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28C20" w14:textId="77777777" w:rsidR="00F019BE" w:rsidRDefault="00F019BE" w:rsidP="004148E4">
      <w:pPr>
        <w:pStyle w:val="Title"/>
      </w:pPr>
    </w:p>
    <w:p w14:paraId="7826A86C" w14:textId="77777777" w:rsidR="00F019BE" w:rsidRPr="004148E4" w:rsidRDefault="00F019BE" w:rsidP="00F019BE">
      <w:pPr>
        <w:pStyle w:val="Title"/>
      </w:pPr>
      <w:r w:rsidRPr="004148E4">
        <w:t>Australia’s notifiable disease status, 2015:</w:t>
      </w:r>
    </w:p>
    <w:p w14:paraId="7E1840B9" w14:textId="77777777" w:rsidR="00F019BE" w:rsidRPr="004148E4" w:rsidRDefault="00F019BE" w:rsidP="00F019BE">
      <w:pPr>
        <w:pStyle w:val="Title"/>
      </w:pPr>
      <w:r w:rsidRPr="004148E4">
        <w:t>Annual report of the National Notifiable Diseases Surveillance System</w:t>
      </w:r>
    </w:p>
    <w:p w14:paraId="03780567" w14:textId="77777777" w:rsidR="00F019BE" w:rsidRDefault="00F019BE" w:rsidP="00F019BE">
      <w:r w:rsidRPr="00AE2F1B">
        <w:t>NNDSS Annual Report Working Group</w:t>
      </w:r>
      <w:r>
        <w:t xml:space="preserve"> </w:t>
      </w:r>
    </w:p>
    <w:sdt>
      <w:sdtPr>
        <w:rPr>
          <w:rFonts w:asciiTheme="minorHAnsi" w:eastAsiaTheme="minorEastAsia" w:hAnsiTheme="minorHAnsi" w:cstheme="minorBidi"/>
          <w:b w:val="0"/>
          <w:bCs w:val="0"/>
          <w:sz w:val="22"/>
          <w:szCs w:val="22"/>
          <w:lang w:bidi="ar-SA"/>
        </w:rPr>
        <w:id w:val="46350811"/>
        <w:docPartObj>
          <w:docPartGallery w:val="Table of Contents"/>
          <w:docPartUnique/>
        </w:docPartObj>
      </w:sdtPr>
      <w:sdtEndPr>
        <w:rPr>
          <w:noProof/>
        </w:rPr>
      </w:sdtEndPr>
      <w:sdtContent>
        <w:p w14:paraId="2E73EE33" w14:textId="77777777" w:rsidR="00F019BE" w:rsidRDefault="00F019BE">
          <w:pPr>
            <w:pStyle w:val="TOCHeading"/>
          </w:pPr>
          <w:r>
            <w:t>Table of Contents</w:t>
          </w:r>
        </w:p>
        <w:p w14:paraId="3085F3B1" w14:textId="77777777" w:rsidR="007D5C30" w:rsidRDefault="004C4D4F">
          <w:pPr>
            <w:pStyle w:val="TOC1"/>
            <w:tabs>
              <w:tab w:val="right" w:leader="dot" w:pos="10456"/>
            </w:tabs>
            <w:rPr>
              <w:b w:val="0"/>
              <w:caps w:val="0"/>
              <w:noProof/>
            </w:rPr>
          </w:pPr>
          <w:r>
            <w:rPr>
              <w:b w:val="0"/>
              <w:bCs/>
              <w:caps w:val="0"/>
              <w:noProof/>
            </w:rPr>
            <w:fldChar w:fldCharType="begin"/>
          </w:r>
          <w:r>
            <w:rPr>
              <w:b w:val="0"/>
              <w:bCs/>
              <w:caps w:val="0"/>
              <w:noProof/>
            </w:rPr>
            <w:instrText xml:space="preserve"> TOC \o "1-3" \h \z \u </w:instrText>
          </w:r>
          <w:r>
            <w:rPr>
              <w:b w:val="0"/>
              <w:bCs/>
              <w:caps w:val="0"/>
              <w:noProof/>
            </w:rPr>
            <w:fldChar w:fldCharType="separate"/>
          </w:r>
          <w:hyperlink w:anchor="_Toc1747154" w:history="1">
            <w:r w:rsidR="007D5C30" w:rsidRPr="008C2D9C">
              <w:rPr>
                <w:rStyle w:val="Hyperlink"/>
                <w:noProof/>
              </w:rPr>
              <w:t>Abstract</w:t>
            </w:r>
            <w:r w:rsidR="007D5C30">
              <w:rPr>
                <w:noProof/>
                <w:webHidden/>
              </w:rPr>
              <w:tab/>
            </w:r>
            <w:r w:rsidR="007D5C30">
              <w:rPr>
                <w:noProof/>
                <w:webHidden/>
              </w:rPr>
              <w:fldChar w:fldCharType="begin"/>
            </w:r>
            <w:r w:rsidR="007D5C30">
              <w:rPr>
                <w:noProof/>
                <w:webHidden/>
              </w:rPr>
              <w:instrText xml:space="preserve"> PAGEREF _Toc1747154 \h </w:instrText>
            </w:r>
            <w:r w:rsidR="007D5C30">
              <w:rPr>
                <w:noProof/>
                <w:webHidden/>
              </w:rPr>
            </w:r>
            <w:r w:rsidR="007D5C30">
              <w:rPr>
                <w:noProof/>
                <w:webHidden/>
              </w:rPr>
              <w:fldChar w:fldCharType="separate"/>
            </w:r>
            <w:r w:rsidR="008A2AC2">
              <w:rPr>
                <w:noProof/>
                <w:webHidden/>
              </w:rPr>
              <w:t>9</w:t>
            </w:r>
            <w:r w:rsidR="007D5C30">
              <w:rPr>
                <w:noProof/>
                <w:webHidden/>
              </w:rPr>
              <w:fldChar w:fldCharType="end"/>
            </w:r>
          </w:hyperlink>
        </w:p>
        <w:p w14:paraId="1DE2ACFD" w14:textId="77777777" w:rsidR="007D5C30" w:rsidRDefault="00EE2A70">
          <w:pPr>
            <w:pStyle w:val="TOC1"/>
            <w:tabs>
              <w:tab w:val="right" w:leader="dot" w:pos="10456"/>
            </w:tabs>
            <w:rPr>
              <w:b w:val="0"/>
              <w:caps w:val="0"/>
              <w:noProof/>
            </w:rPr>
          </w:pPr>
          <w:hyperlink w:anchor="_Toc1747155" w:history="1">
            <w:r w:rsidR="007D5C30" w:rsidRPr="008C2D9C">
              <w:rPr>
                <w:rStyle w:val="Hyperlink"/>
                <w:noProof/>
              </w:rPr>
              <w:t>Introduction</w:t>
            </w:r>
            <w:r w:rsidR="007D5C30">
              <w:rPr>
                <w:noProof/>
                <w:webHidden/>
              </w:rPr>
              <w:tab/>
            </w:r>
            <w:r w:rsidR="007D5C30">
              <w:rPr>
                <w:noProof/>
                <w:webHidden/>
              </w:rPr>
              <w:fldChar w:fldCharType="begin"/>
            </w:r>
            <w:r w:rsidR="007D5C30">
              <w:rPr>
                <w:noProof/>
                <w:webHidden/>
              </w:rPr>
              <w:instrText xml:space="preserve"> PAGEREF _Toc1747155 \h </w:instrText>
            </w:r>
            <w:r w:rsidR="007D5C30">
              <w:rPr>
                <w:noProof/>
                <w:webHidden/>
              </w:rPr>
            </w:r>
            <w:r w:rsidR="007D5C30">
              <w:rPr>
                <w:noProof/>
                <w:webHidden/>
              </w:rPr>
              <w:fldChar w:fldCharType="separate"/>
            </w:r>
            <w:r w:rsidR="008A2AC2">
              <w:rPr>
                <w:noProof/>
                <w:webHidden/>
              </w:rPr>
              <w:t>9</w:t>
            </w:r>
            <w:r w:rsidR="007D5C30">
              <w:rPr>
                <w:noProof/>
                <w:webHidden/>
              </w:rPr>
              <w:fldChar w:fldCharType="end"/>
            </w:r>
          </w:hyperlink>
        </w:p>
        <w:p w14:paraId="1C1317AA" w14:textId="77777777" w:rsidR="007D5C30" w:rsidRDefault="00EE2A70">
          <w:pPr>
            <w:pStyle w:val="TOC1"/>
            <w:tabs>
              <w:tab w:val="right" w:leader="dot" w:pos="10456"/>
            </w:tabs>
            <w:rPr>
              <w:b w:val="0"/>
              <w:caps w:val="0"/>
              <w:noProof/>
            </w:rPr>
          </w:pPr>
          <w:hyperlink w:anchor="_Toc1747156" w:history="1">
            <w:r w:rsidR="007D5C30" w:rsidRPr="008C2D9C">
              <w:rPr>
                <w:rStyle w:val="Hyperlink"/>
                <w:noProof/>
              </w:rPr>
              <w:t>Methods</w:t>
            </w:r>
            <w:r w:rsidR="007D5C30">
              <w:rPr>
                <w:noProof/>
                <w:webHidden/>
              </w:rPr>
              <w:tab/>
            </w:r>
            <w:r w:rsidR="007D5C30">
              <w:rPr>
                <w:noProof/>
                <w:webHidden/>
              </w:rPr>
              <w:fldChar w:fldCharType="begin"/>
            </w:r>
            <w:r w:rsidR="007D5C30">
              <w:rPr>
                <w:noProof/>
                <w:webHidden/>
              </w:rPr>
              <w:instrText xml:space="preserve"> PAGEREF _Toc1747156 \h </w:instrText>
            </w:r>
            <w:r w:rsidR="007D5C30">
              <w:rPr>
                <w:noProof/>
                <w:webHidden/>
              </w:rPr>
            </w:r>
            <w:r w:rsidR="007D5C30">
              <w:rPr>
                <w:noProof/>
                <w:webHidden/>
              </w:rPr>
              <w:fldChar w:fldCharType="separate"/>
            </w:r>
            <w:r w:rsidR="008A2AC2">
              <w:rPr>
                <w:noProof/>
                <w:webHidden/>
              </w:rPr>
              <w:t>9</w:t>
            </w:r>
            <w:r w:rsidR="007D5C30">
              <w:rPr>
                <w:noProof/>
                <w:webHidden/>
              </w:rPr>
              <w:fldChar w:fldCharType="end"/>
            </w:r>
          </w:hyperlink>
        </w:p>
        <w:p w14:paraId="237F9F9D" w14:textId="77777777" w:rsidR="007D5C30" w:rsidRDefault="00EE2A70">
          <w:pPr>
            <w:pStyle w:val="TOC1"/>
            <w:tabs>
              <w:tab w:val="right" w:leader="dot" w:pos="10456"/>
            </w:tabs>
            <w:rPr>
              <w:b w:val="0"/>
              <w:caps w:val="0"/>
              <w:noProof/>
            </w:rPr>
          </w:pPr>
          <w:hyperlink w:anchor="_Toc1747157" w:history="1">
            <w:r w:rsidR="007D5C30" w:rsidRPr="008C2D9C">
              <w:rPr>
                <w:rStyle w:val="Hyperlink"/>
                <w:noProof/>
              </w:rPr>
              <w:t>Notes on interpretation</w:t>
            </w:r>
            <w:r w:rsidR="007D5C30">
              <w:rPr>
                <w:noProof/>
                <w:webHidden/>
              </w:rPr>
              <w:tab/>
            </w:r>
            <w:r w:rsidR="007D5C30">
              <w:rPr>
                <w:noProof/>
                <w:webHidden/>
              </w:rPr>
              <w:fldChar w:fldCharType="begin"/>
            </w:r>
            <w:r w:rsidR="007D5C30">
              <w:rPr>
                <w:noProof/>
                <w:webHidden/>
              </w:rPr>
              <w:instrText xml:space="preserve"> PAGEREF _Toc1747157 \h </w:instrText>
            </w:r>
            <w:r w:rsidR="007D5C30">
              <w:rPr>
                <w:noProof/>
                <w:webHidden/>
              </w:rPr>
            </w:r>
            <w:r w:rsidR="007D5C30">
              <w:rPr>
                <w:noProof/>
                <w:webHidden/>
              </w:rPr>
              <w:fldChar w:fldCharType="separate"/>
            </w:r>
            <w:r w:rsidR="008A2AC2">
              <w:rPr>
                <w:noProof/>
                <w:webHidden/>
              </w:rPr>
              <w:t>11</w:t>
            </w:r>
            <w:r w:rsidR="007D5C30">
              <w:rPr>
                <w:noProof/>
                <w:webHidden/>
              </w:rPr>
              <w:fldChar w:fldCharType="end"/>
            </w:r>
          </w:hyperlink>
        </w:p>
        <w:p w14:paraId="721B0F1E" w14:textId="77777777" w:rsidR="007D5C30" w:rsidRDefault="00EE2A70">
          <w:pPr>
            <w:pStyle w:val="TOC1"/>
            <w:tabs>
              <w:tab w:val="right" w:leader="dot" w:pos="10456"/>
            </w:tabs>
            <w:rPr>
              <w:b w:val="0"/>
              <w:caps w:val="0"/>
              <w:noProof/>
            </w:rPr>
          </w:pPr>
          <w:hyperlink w:anchor="_Toc1747158" w:history="1">
            <w:r w:rsidR="007D5C30" w:rsidRPr="008C2D9C">
              <w:rPr>
                <w:rStyle w:val="Hyperlink"/>
                <w:noProof/>
              </w:rPr>
              <w:t>Notes on case definitions</w:t>
            </w:r>
            <w:r w:rsidR="007D5C30">
              <w:rPr>
                <w:noProof/>
                <w:webHidden/>
              </w:rPr>
              <w:tab/>
            </w:r>
            <w:r w:rsidR="007D5C30">
              <w:rPr>
                <w:noProof/>
                <w:webHidden/>
              </w:rPr>
              <w:fldChar w:fldCharType="begin"/>
            </w:r>
            <w:r w:rsidR="007D5C30">
              <w:rPr>
                <w:noProof/>
                <w:webHidden/>
              </w:rPr>
              <w:instrText xml:space="preserve"> PAGEREF _Toc1747158 \h </w:instrText>
            </w:r>
            <w:r w:rsidR="007D5C30">
              <w:rPr>
                <w:noProof/>
                <w:webHidden/>
              </w:rPr>
            </w:r>
            <w:r w:rsidR="007D5C30">
              <w:rPr>
                <w:noProof/>
                <w:webHidden/>
              </w:rPr>
              <w:fldChar w:fldCharType="separate"/>
            </w:r>
            <w:r w:rsidR="008A2AC2">
              <w:rPr>
                <w:noProof/>
                <w:webHidden/>
              </w:rPr>
              <w:t>17</w:t>
            </w:r>
            <w:r w:rsidR="007D5C30">
              <w:rPr>
                <w:noProof/>
                <w:webHidden/>
              </w:rPr>
              <w:fldChar w:fldCharType="end"/>
            </w:r>
          </w:hyperlink>
        </w:p>
        <w:p w14:paraId="131FDDE0" w14:textId="77777777" w:rsidR="007D5C30" w:rsidRDefault="00EE2A70">
          <w:pPr>
            <w:pStyle w:val="TOC1"/>
            <w:tabs>
              <w:tab w:val="right" w:leader="dot" w:pos="10456"/>
            </w:tabs>
            <w:rPr>
              <w:b w:val="0"/>
              <w:caps w:val="0"/>
              <w:noProof/>
            </w:rPr>
          </w:pPr>
          <w:hyperlink w:anchor="_Toc1747159" w:history="1">
            <w:r w:rsidR="007D5C30" w:rsidRPr="008C2D9C">
              <w:rPr>
                <w:rStyle w:val="Hyperlink"/>
                <w:noProof/>
              </w:rPr>
              <w:t>Results</w:t>
            </w:r>
            <w:r w:rsidR="007D5C30">
              <w:rPr>
                <w:noProof/>
                <w:webHidden/>
              </w:rPr>
              <w:tab/>
            </w:r>
            <w:r w:rsidR="007D5C30">
              <w:rPr>
                <w:noProof/>
                <w:webHidden/>
              </w:rPr>
              <w:fldChar w:fldCharType="begin"/>
            </w:r>
            <w:r w:rsidR="007D5C30">
              <w:rPr>
                <w:noProof/>
                <w:webHidden/>
              </w:rPr>
              <w:instrText xml:space="preserve"> PAGEREF _Toc1747159 \h </w:instrText>
            </w:r>
            <w:r w:rsidR="007D5C30">
              <w:rPr>
                <w:noProof/>
                <w:webHidden/>
              </w:rPr>
            </w:r>
            <w:r w:rsidR="007D5C30">
              <w:rPr>
                <w:noProof/>
                <w:webHidden/>
              </w:rPr>
              <w:fldChar w:fldCharType="separate"/>
            </w:r>
            <w:r w:rsidR="008A2AC2">
              <w:rPr>
                <w:noProof/>
                <w:webHidden/>
              </w:rPr>
              <w:t>17</w:t>
            </w:r>
            <w:r w:rsidR="007D5C30">
              <w:rPr>
                <w:noProof/>
                <w:webHidden/>
              </w:rPr>
              <w:fldChar w:fldCharType="end"/>
            </w:r>
          </w:hyperlink>
        </w:p>
        <w:p w14:paraId="488F841C" w14:textId="77777777" w:rsidR="007D5C30" w:rsidRDefault="00EE2A70">
          <w:pPr>
            <w:pStyle w:val="TOC1"/>
            <w:tabs>
              <w:tab w:val="right" w:leader="dot" w:pos="10456"/>
            </w:tabs>
            <w:rPr>
              <w:b w:val="0"/>
              <w:caps w:val="0"/>
              <w:noProof/>
            </w:rPr>
          </w:pPr>
          <w:hyperlink w:anchor="_Toc1747160" w:history="1">
            <w:r w:rsidR="007D5C30" w:rsidRPr="008C2D9C">
              <w:rPr>
                <w:rStyle w:val="Hyperlink"/>
                <w:noProof/>
              </w:rPr>
              <w:t>Data completeness</w:t>
            </w:r>
            <w:r w:rsidR="007D5C30">
              <w:rPr>
                <w:noProof/>
                <w:webHidden/>
              </w:rPr>
              <w:tab/>
            </w:r>
            <w:r w:rsidR="007D5C30">
              <w:rPr>
                <w:noProof/>
                <w:webHidden/>
              </w:rPr>
              <w:fldChar w:fldCharType="begin"/>
            </w:r>
            <w:r w:rsidR="007D5C30">
              <w:rPr>
                <w:noProof/>
                <w:webHidden/>
              </w:rPr>
              <w:instrText xml:space="preserve"> PAGEREF _Toc1747160 \h </w:instrText>
            </w:r>
            <w:r w:rsidR="007D5C30">
              <w:rPr>
                <w:noProof/>
                <w:webHidden/>
              </w:rPr>
            </w:r>
            <w:r w:rsidR="007D5C30">
              <w:rPr>
                <w:noProof/>
                <w:webHidden/>
              </w:rPr>
              <w:fldChar w:fldCharType="separate"/>
            </w:r>
            <w:r w:rsidR="008A2AC2">
              <w:rPr>
                <w:noProof/>
                <w:webHidden/>
              </w:rPr>
              <w:t>33</w:t>
            </w:r>
            <w:r w:rsidR="007D5C30">
              <w:rPr>
                <w:noProof/>
                <w:webHidden/>
              </w:rPr>
              <w:fldChar w:fldCharType="end"/>
            </w:r>
          </w:hyperlink>
        </w:p>
        <w:p w14:paraId="44CC06AE" w14:textId="77777777" w:rsidR="007D5C30" w:rsidRDefault="00EE2A70">
          <w:pPr>
            <w:pStyle w:val="TOC2"/>
            <w:tabs>
              <w:tab w:val="right" w:leader="dot" w:pos="10456"/>
            </w:tabs>
            <w:rPr>
              <w:b w:val="0"/>
              <w:noProof/>
            </w:rPr>
          </w:pPr>
          <w:hyperlink w:anchor="_Toc1747161" w:history="1">
            <w:r w:rsidR="007D5C30" w:rsidRPr="008C2D9C">
              <w:rPr>
                <w:rStyle w:val="Hyperlink"/>
                <w:noProof/>
              </w:rPr>
              <w:t>Indigenous status</w:t>
            </w:r>
            <w:r w:rsidR="007D5C30">
              <w:rPr>
                <w:noProof/>
                <w:webHidden/>
              </w:rPr>
              <w:tab/>
            </w:r>
            <w:r w:rsidR="007D5C30">
              <w:rPr>
                <w:noProof/>
                <w:webHidden/>
              </w:rPr>
              <w:fldChar w:fldCharType="begin"/>
            </w:r>
            <w:r w:rsidR="007D5C30">
              <w:rPr>
                <w:noProof/>
                <w:webHidden/>
              </w:rPr>
              <w:instrText xml:space="preserve"> PAGEREF _Toc1747161 \h </w:instrText>
            </w:r>
            <w:r w:rsidR="007D5C30">
              <w:rPr>
                <w:noProof/>
                <w:webHidden/>
              </w:rPr>
            </w:r>
            <w:r w:rsidR="007D5C30">
              <w:rPr>
                <w:noProof/>
                <w:webHidden/>
              </w:rPr>
              <w:fldChar w:fldCharType="separate"/>
            </w:r>
            <w:r w:rsidR="008A2AC2">
              <w:rPr>
                <w:noProof/>
                <w:webHidden/>
              </w:rPr>
              <w:t>33</w:t>
            </w:r>
            <w:r w:rsidR="007D5C30">
              <w:rPr>
                <w:noProof/>
                <w:webHidden/>
              </w:rPr>
              <w:fldChar w:fldCharType="end"/>
            </w:r>
          </w:hyperlink>
        </w:p>
        <w:p w14:paraId="62291940" w14:textId="77777777" w:rsidR="007D5C30" w:rsidRDefault="00EE2A70">
          <w:pPr>
            <w:pStyle w:val="TOC2"/>
            <w:tabs>
              <w:tab w:val="right" w:leader="dot" w:pos="10456"/>
            </w:tabs>
            <w:rPr>
              <w:b w:val="0"/>
              <w:noProof/>
            </w:rPr>
          </w:pPr>
          <w:hyperlink w:anchor="_Toc1747162" w:history="1">
            <w:r w:rsidR="007D5C30" w:rsidRPr="008C2D9C">
              <w:rPr>
                <w:rStyle w:val="Hyperlink"/>
                <w:noProof/>
              </w:rPr>
              <w:t>Place of acquisition</w:t>
            </w:r>
            <w:r w:rsidR="007D5C30">
              <w:rPr>
                <w:noProof/>
                <w:webHidden/>
              </w:rPr>
              <w:tab/>
            </w:r>
            <w:r w:rsidR="007D5C30">
              <w:rPr>
                <w:noProof/>
                <w:webHidden/>
              </w:rPr>
              <w:fldChar w:fldCharType="begin"/>
            </w:r>
            <w:r w:rsidR="007D5C30">
              <w:rPr>
                <w:noProof/>
                <w:webHidden/>
              </w:rPr>
              <w:instrText xml:space="preserve"> PAGEREF _Toc1747162 \h </w:instrText>
            </w:r>
            <w:r w:rsidR="007D5C30">
              <w:rPr>
                <w:noProof/>
                <w:webHidden/>
              </w:rPr>
            </w:r>
            <w:r w:rsidR="007D5C30">
              <w:rPr>
                <w:noProof/>
                <w:webHidden/>
              </w:rPr>
              <w:fldChar w:fldCharType="separate"/>
            </w:r>
            <w:r w:rsidR="008A2AC2">
              <w:rPr>
                <w:noProof/>
                <w:webHidden/>
              </w:rPr>
              <w:t>35</w:t>
            </w:r>
            <w:r w:rsidR="007D5C30">
              <w:rPr>
                <w:noProof/>
                <w:webHidden/>
              </w:rPr>
              <w:fldChar w:fldCharType="end"/>
            </w:r>
          </w:hyperlink>
        </w:p>
        <w:p w14:paraId="5DBA967F" w14:textId="77777777" w:rsidR="007D5C30" w:rsidRDefault="00EE2A70">
          <w:pPr>
            <w:pStyle w:val="TOC1"/>
            <w:tabs>
              <w:tab w:val="right" w:leader="dot" w:pos="10456"/>
            </w:tabs>
            <w:rPr>
              <w:b w:val="0"/>
              <w:caps w:val="0"/>
              <w:noProof/>
            </w:rPr>
          </w:pPr>
          <w:hyperlink w:anchor="_Toc1747163" w:history="1">
            <w:r w:rsidR="007D5C30" w:rsidRPr="008C2D9C">
              <w:rPr>
                <w:rStyle w:val="Hyperlink"/>
                <w:noProof/>
              </w:rPr>
              <w:t>Bloodborne diseases</w:t>
            </w:r>
            <w:r w:rsidR="007D5C30">
              <w:rPr>
                <w:noProof/>
                <w:webHidden/>
              </w:rPr>
              <w:tab/>
            </w:r>
            <w:r w:rsidR="007D5C30">
              <w:rPr>
                <w:noProof/>
                <w:webHidden/>
              </w:rPr>
              <w:fldChar w:fldCharType="begin"/>
            </w:r>
            <w:r w:rsidR="007D5C30">
              <w:rPr>
                <w:noProof/>
                <w:webHidden/>
              </w:rPr>
              <w:instrText xml:space="preserve"> PAGEREF _Toc1747163 \h </w:instrText>
            </w:r>
            <w:r w:rsidR="007D5C30">
              <w:rPr>
                <w:noProof/>
                <w:webHidden/>
              </w:rPr>
            </w:r>
            <w:r w:rsidR="007D5C30">
              <w:rPr>
                <w:noProof/>
                <w:webHidden/>
              </w:rPr>
              <w:fldChar w:fldCharType="separate"/>
            </w:r>
            <w:r w:rsidR="008A2AC2">
              <w:rPr>
                <w:noProof/>
                <w:webHidden/>
              </w:rPr>
              <w:t>38</w:t>
            </w:r>
            <w:r w:rsidR="007D5C30">
              <w:rPr>
                <w:noProof/>
                <w:webHidden/>
              </w:rPr>
              <w:fldChar w:fldCharType="end"/>
            </w:r>
          </w:hyperlink>
        </w:p>
        <w:p w14:paraId="5A2C75B4" w14:textId="77777777" w:rsidR="007D5C30" w:rsidRDefault="00EE2A70">
          <w:pPr>
            <w:pStyle w:val="TOC2"/>
            <w:tabs>
              <w:tab w:val="right" w:leader="dot" w:pos="10456"/>
            </w:tabs>
            <w:rPr>
              <w:b w:val="0"/>
              <w:noProof/>
            </w:rPr>
          </w:pPr>
          <w:hyperlink w:anchor="_Toc1747164" w:history="1">
            <w:r w:rsidR="007D5C30" w:rsidRPr="008C2D9C">
              <w:rPr>
                <w:rStyle w:val="Hyperlink"/>
                <w:noProof/>
              </w:rPr>
              <w:t>Hepatitis B</w:t>
            </w:r>
            <w:r w:rsidR="007D5C30">
              <w:rPr>
                <w:noProof/>
                <w:webHidden/>
              </w:rPr>
              <w:tab/>
            </w:r>
            <w:r w:rsidR="007D5C30">
              <w:rPr>
                <w:noProof/>
                <w:webHidden/>
              </w:rPr>
              <w:fldChar w:fldCharType="begin"/>
            </w:r>
            <w:r w:rsidR="007D5C30">
              <w:rPr>
                <w:noProof/>
                <w:webHidden/>
              </w:rPr>
              <w:instrText xml:space="preserve"> PAGEREF _Toc1747164 \h </w:instrText>
            </w:r>
            <w:r w:rsidR="007D5C30">
              <w:rPr>
                <w:noProof/>
                <w:webHidden/>
              </w:rPr>
            </w:r>
            <w:r w:rsidR="007D5C30">
              <w:rPr>
                <w:noProof/>
                <w:webHidden/>
              </w:rPr>
              <w:fldChar w:fldCharType="separate"/>
            </w:r>
            <w:r w:rsidR="008A2AC2">
              <w:rPr>
                <w:noProof/>
                <w:webHidden/>
              </w:rPr>
              <w:t>38</w:t>
            </w:r>
            <w:r w:rsidR="007D5C30">
              <w:rPr>
                <w:noProof/>
                <w:webHidden/>
              </w:rPr>
              <w:fldChar w:fldCharType="end"/>
            </w:r>
          </w:hyperlink>
        </w:p>
        <w:p w14:paraId="76AC65FC" w14:textId="77777777" w:rsidR="007D5C30" w:rsidRDefault="00EE2A70">
          <w:pPr>
            <w:pStyle w:val="TOC3"/>
            <w:tabs>
              <w:tab w:val="right" w:leader="dot" w:pos="10456"/>
            </w:tabs>
            <w:rPr>
              <w:noProof/>
            </w:rPr>
          </w:pPr>
          <w:hyperlink w:anchor="_Toc1747165" w:history="1">
            <w:r w:rsidR="007D5C30" w:rsidRPr="008C2D9C">
              <w:rPr>
                <w:rStyle w:val="Hyperlink"/>
                <w:noProof/>
              </w:rPr>
              <w:t>Epidemiological situation in 2015</w:t>
            </w:r>
            <w:r w:rsidR="007D5C30">
              <w:rPr>
                <w:noProof/>
                <w:webHidden/>
              </w:rPr>
              <w:tab/>
            </w:r>
            <w:r w:rsidR="007D5C30">
              <w:rPr>
                <w:noProof/>
                <w:webHidden/>
              </w:rPr>
              <w:fldChar w:fldCharType="begin"/>
            </w:r>
            <w:r w:rsidR="007D5C30">
              <w:rPr>
                <w:noProof/>
                <w:webHidden/>
              </w:rPr>
              <w:instrText xml:space="preserve"> PAGEREF _Toc1747165 \h </w:instrText>
            </w:r>
            <w:r w:rsidR="007D5C30">
              <w:rPr>
                <w:noProof/>
                <w:webHidden/>
              </w:rPr>
            </w:r>
            <w:r w:rsidR="007D5C30">
              <w:rPr>
                <w:noProof/>
                <w:webHidden/>
              </w:rPr>
              <w:fldChar w:fldCharType="separate"/>
            </w:r>
            <w:r w:rsidR="008A2AC2">
              <w:rPr>
                <w:noProof/>
                <w:webHidden/>
              </w:rPr>
              <w:t>38</w:t>
            </w:r>
            <w:r w:rsidR="007D5C30">
              <w:rPr>
                <w:noProof/>
                <w:webHidden/>
              </w:rPr>
              <w:fldChar w:fldCharType="end"/>
            </w:r>
          </w:hyperlink>
        </w:p>
        <w:p w14:paraId="4ED16E74" w14:textId="77777777" w:rsidR="007D5C30" w:rsidRDefault="00EE2A70">
          <w:pPr>
            <w:pStyle w:val="TOC2"/>
            <w:tabs>
              <w:tab w:val="right" w:leader="dot" w:pos="10456"/>
            </w:tabs>
            <w:rPr>
              <w:b w:val="0"/>
              <w:noProof/>
            </w:rPr>
          </w:pPr>
          <w:hyperlink w:anchor="_Toc1747166" w:history="1">
            <w:r w:rsidR="007D5C30" w:rsidRPr="008C2D9C">
              <w:rPr>
                <w:rStyle w:val="Hyperlink"/>
                <w:noProof/>
              </w:rPr>
              <w:t>Newly acquired hepatitis B</w:t>
            </w:r>
            <w:r w:rsidR="007D5C30">
              <w:rPr>
                <w:noProof/>
                <w:webHidden/>
              </w:rPr>
              <w:tab/>
            </w:r>
            <w:r w:rsidR="007D5C30">
              <w:rPr>
                <w:noProof/>
                <w:webHidden/>
              </w:rPr>
              <w:fldChar w:fldCharType="begin"/>
            </w:r>
            <w:r w:rsidR="007D5C30">
              <w:rPr>
                <w:noProof/>
                <w:webHidden/>
              </w:rPr>
              <w:instrText xml:space="preserve"> PAGEREF _Toc1747166 \h </w:instrText>
            </w:r>
            <w:r w:rsidR="007D5C30">
              <w:rPr>
                <w:noProof/>
                <w:webHidden/>
              </w:rPr>
            </w:r>
            <w:r w:rsidR="007D5C30">
              <w:rPr>
                <w:noProof/>
                <w:webHidden/>
              </w:rPr>
              <w:fldChar w:fldCharType="separate"/>
            </w:r>
            <w:r w:rsidR="008A2AC2">
              <w:rPr>
                <w:noProof/>
                <w:webHidden/>
              </w:rPr>
              <w:t>40</w:t>
            </w:r>
            <w:r w:rsidR="007D5C30">
              <w:rPr>
                <w:noProof/>
                <w:webHidden/>
              </w:rPr>
              <w:fldChar w:fldCharType="end"/>
            </w:r>
          </w:hyperlink>
        </w:p>
        <w:p w14:paraId="5387465C" w14:textId="77777777" w:rsidR="007D5C30" w:rsidRDefault="00EE2A70">
          <w:pPr>
            <w:pStyle w:val="TOC3"/>
            <w:tabs>
              <w:tab w:val="right" w:leader="dot" w:pos="10456"/>
            </w:tabs>
            <w:rPr>
              <w:noProof/>
            </w:rPr>
          </w:pPr>
          <w:hyperlink w:anchor="_Toc1747167" w:history="1">
            <w:r w:rsidR="007D5C30" w:rsidRPr="008C2D9C">
              <w:rPr>
                <w:rStyle w:val="Hyperlink"/>
                <w:noProof/>
              </w:rPr>
              <w:t>Geographical distribution</w:t>
            </w:r>
            <w:r w:rsidR="007D5C30">
              <w:rPr>
                <w:noProof/>
                <w:webHidden/>
              </w:rPr>
              <w:tab/>
            </w:r>
            <w:r w:rsidR="007D5C30">
              <w:rPr>
                <w:noProof/>
                <w:webHidden/>
              </w:rPr>
              <w:fldChar w:fldCharType="begin"/>
            </w:r>
            <w:r w:rsidR="007D5C30">
              <w:rPr>
                <w:noProof/>
                <w:webHidden/>
              </w:rPr>
              <w:instrText xml:space="preserve"> PAGEREF _Toc1747167 \h </w:instrText>
            </w:r>
            <w:r w:rsidR="007D5C30">
              <w:rPr>
                <w:noProof/>
                <w:webHidden/>
              </w:rPr>
            </w:r>
            <w:r w:rsidR="007D5C30">
              <w:rPr>
                <w:noProof/>
                <w:webHidden/>
              </w:rPr>
              <w:fldChar w:fldCharType="separate"/>
            </w:r>
            <w:r w:rsidR="008A2AC2">
              <w:rPr>
                <w:noProof/>
                <w:webHidden/>
              </w:rPr>
              <w:t>40</w:t>
            </w:r>
            <w:r w:rsidR="007D5C30">
              <w:rPr>
                <w:noProof/>
                <w:webHidden/>
              </w:rPr>
              <w:fldChar w:fldCharType="end"/>
            </w:r>
          </w:hyperlink>
        </w:p>
        <w:p w14:paraId="07A318AF" w14:textId="77777777" w:rsidR="007D5C30" w:rsidRDefault="00EE2A70">
          <w:pPr>
            <w:pStyle w:val="TOC3"/>
            <w:tabs>
              <w:tab w:val="right" w:leader="dot" w:pos="10456"/>
            </w:tabs>
            <w:rPr>
              <w:noProof/>
            </w:rPr>
          </w:pPr>
          <w:hyperlink w:anchor="_Toc1747168" w:history="1">
            <w:r w:rsidR="007D5C30" w:rsidRPr="008C2D9C">
              <w:rPr>
                <w:rStyle w:val="Hyperlink"/>
                <w:noProof/>
              </w:rPr>
              <w:t>Age and sex distribution</w:t>
            </w:r>
            <w:r w:rsidR="007D5C30">
              <w:rPr>
                <w:noProof/>
                <w:webHidden/>
              </w:rPr>
              <w:tab/>
            </w:r>
            <w:r w:rsidR="007D5C30">
              <w:rPr>
                <w:noProof/>
                <w:webHidden/>
              </w:rPr>
              <w:fldChar w:fldCharType="begin"/>
            </w:r>
            <w:r w:rsidR="007D5C30">
              <w:rPr>
                <w:noProof/>
                <w:webHidden/>
              </w:rPr>
              <w:instrText xml:space="preserve"> PAGEREF _Toc1747168 \h </w:instrText>
            </w:r>
            <w:r w:rsidR="007D5C30">
              <w:rPr>
                <w:noProof/>
                <w:webHidden/>
              </w:rPr>
            </w:r>
            <w:r w:rsidR="007D5C30">
              <w:rPr>
                <w:noProof/>
                <w:webHidden/>
              </w:rPr>
              <w:fldChar w:fldCharType="separate"/>
            </w:r>
            <w:r w:rsidR="008A2AC2">
              <w:rPr>
                <w:noProof/>
                <w:webHidden/>
              </w:rPr>
              <w:t>40</w:t>
            </w:r>
            <w:r w:rsidR="007D5C30">
              <w:rPr>
                <w:noProof/>
                <w:webHidden/>
              </w:rPr>
              <w:fldChar w:fldCharType="end"/>
            </w:r>
          </w:hyperlink>
        </w:p>
        <w:p w14:paraId="16F69C36" w14:textId="77777777" w:rsidR="007D5C30" w:rsidRDefault="00EE2A70">
          <w:pPr>
            <w:pStyle w:val="TOC3"/>
            <w:tabs>
              <w:tab w:val="right" w:leader="dot" w:pos="10456"/>
            </w:tabs>
            <w:rPr>
              <w:noProof/>
            </w:rPr>
          </w:pPr>
          <w:hyperlink w:anchor="_Toc1747169" w:history="1">
            <w:r w:rsidR="007D5C30" w:rsidRPr="008C2D9C">
              <w:rPr>
                <w:rStyle w:val="Hyperlink"/>
                <w:noProof/>
              </w:rPr>
              <w:t>Risk groups</w:t>
            </w:r>
            <w:r w:rsidR="007D5C30">
              <w:rPr>
                <w:noProof/>
                <w:webHidden/>
              </w:rPr>
              <w:tab/>
            </w:r>
            <w:r w:rsidR="007D5C30">
              <w:rPr>
                <w:noProof/>
                <w:webHidden/>
              </w:rPr>
              <w:fldChar w:fldCharType="begin"/>
            </w:r>
            <w:r w:rsidR="007D5C30">
              <w:rPr>
                <w:noProof/>
                <w:webHidden/>
              </w:rPr>
              <w:instrText xml:space="preserve"> PAGEREF _Toc1747169 \h </w:instrText>
            </w:r>
            <w:r w:rsidR="007D5C30">
              <w:rPr>
                <w:noProof/>
                <w:webHidden/>
              </w:rPr>
            </w:r>
            <w:r w:rsidR="007D5C30">
              <w:rPr>
                <w:noProof/>
                <w:webHidden/>
              </w:rPr>
              <w:fldChar w:fldCharType="separate"/>
            </w:r>
            <w:r w:rsidR="008A2AC2">
              <w:rPr>
                <w:noProof/>
                <w:webHidden/>
              </w:rPr>
              <w:t>41</w:t>
            </w:r>
            <w:r w:rsidR="007D5C30">
              <w:rPr>
                <w:noProof/>
                <w:webHidden/>
              </w:rPr>
              <w:fldChar w:fldCharType="end"/>
            </w:r>
          </w:hyperlink>
        </w:p>
        <w:p w14:paraId="0DD384A9" w14:textId="77777777" w:rsidR="007D5C30" w:rsidRDefault="00EE2A70">
          <w:pPr>
            <w:pStyle w:val="TOC2"/>
            <w:tabs>
              <w:tab w:val="right" w:leader="dot" w:pos="10456"/>
            </w:tabs>
            <w:rPr>
              <w:b w:val="0"/>
              <w:noProof/>
            </w:rPr>
          </w:pPr>
          <w:hyperlink w:anchor="_Toc1747170" w:history="1">
            <w:r w:rsidR="007D5C30" w:rsidRPr="008C2D9C">
              <w:rPr>
                <w:rStyle w:val="Hyperlink"/>
                <w:noProof/>
              </w:rPr>
              <w:t>Unspecified hepatitis B</w:t>
            </w:r>
            <w:r w:rsidR="007D5C30">
              <w:rPr>
                <w:noProof/>
                <w:webHidden/>
              </w:rPr>
              <w:tab/>
            </w:r>
            <w:r w:rsidR="007D5C30">
              <w:rPr>
                <w:noProof/>
                <w:webHidden/>
              </w:rPr>
              <w:fldChar w:fldCharType="begin"/>
            </w:r>
            <w:r w:rsidR="007D5C30">
              <w:rPr>
                <w:noProof/>
                <w:webHidden/>
              </w:rPr>
              <w:instrText xml:space="preserve"> PAGEREF _Toc1747170 \h </w:instrText>
            </w:r>
            <w:r w:rsidR="007D5C30">
              <w:rPr>
                <w:noProof/>
                <w:webHidden/>
              </w:rPr>
            </w:r>
            <w:r w:rsidR="007D5C30">
              <w:rPr>
                <w:noProof/>
                <w:webHidden/>
              </w:rPr>
              <w:fldChar w:fldCharType="separate"/>
            </w:r>
            <w:r w:rsidR="008A2AC2">
              <w:rPr>
                <w:noProof/>
                <w:webHidden/>
              </w:rPr>
              <w:t>44</w:t>
            </w:r>
            <w:r w:rsidR="007D5C30">
              <w:rPr>
                <w:noProof/>
                <w:webHidden/>
              </w:rPr>
              <w:fldChar w:fldCharType="end"/>
            </w:r>
          </w:hyperlink>
        </w:p>
        <w:p w14:paraId="0694EDFD" w14:textId="77777777" w:rsidR="007D5C30" w:rsidRDefault="00EE2A70">
          <w:pPr>
            <w:pStyle w:val="TOC3"/>
            <w:tabs>
              <w:tab w:val="right" w:leader="dot" w:pos="10456"/>
            </w:tabs>
            <w:rPr>
              <w:noProof/>
            </w:rPr>
          </w:pPr>
          <w:hyperlink w:anchor="_Toc1747171" w:history="1">
            <w:r w:rsidR="007D5C30" w:rsidRPr="008C2D9C">
              <w:rPr>
                <w:rStyle w:val="Hyperlink"/>
                <w:noProof/>
              </w:rPr>
              <w:t>Geographical distribution</w:t>
            </w:r>
            <w:r w:rsidR="007D5C30">
              <w:rPr>
                <w:noProof/>
                <w:webHidden/>
              </w:rPr>
              <w:tab/>
            </w:r>
            <w:r w:rsidR="007D5C30">
              <w:rPr>
                <w:noProof/>
                <w:webHidden/>
              </w:rPr>
              <w:fldChar w:fldCharType="begin"/>
            </w:r>
            <w:r w:rsidR="007D5C30">
              <w:rPr>
                <w:noProof/>
                <w:webHidden/>
              </w:rPr>
              <w:instrText xml:space="preserve"> PAGEREF _Toc1747171 \h </w:instrText>
            </w:r>
            <w:r w:rsidR="007D5C30">
              <w:rPr>
                <w:noProof/>
                <w:webHidden/>
              </w:rPr>
            </w:r>
            <w:r w:rsidR="007D5C30">
              <w:rPr>
                <w:noProof/>
                <w:webHidden/>
              </w:rPr>
              <w:fldChar w:fldCharType="separate"/>
            </w:r>
            <w:r w:rsidR="008A2AC2">
              <w:rPr>
                <w:noProof/>
                <w:webHidden/>
              </w:rPr>
              <w:t>44</w:t>
            </w:r>
            <w:r w:rsidR="007D5C30">
              <w:rPr>
                <w:noProof/>
                <w:webHidden/>
              </w:rPr>
              <w:fldChar w:fldCharType="end"/>
            </w:r>
          </w:hyperlink>
        </w:p>
        <w:p w14:paraId="1A7AA4EE" w14:textId="77777777" w:rsidR="007D5C30" w:rsidRDefault="00EE2A70">
          <w:pPr>
            <w:pStyle w:val="TOC3"/>
            <w:tabs>
              <w:tab w:val="right" w:leader="dot" w:pos="10456"/>
            </w:tabs>
            <w:rPr>
              <w:noProof/>
            </w:rPr>
          </w:pPr>
          <w:hyperlink w:anchor="_Toc1747172" w:history="1">
            <w:r w:rsidR="007D5C30" w:rsidRPr="008C2D9C">
              <w:rPr>
                <w:rStyle w:val="Hyperlink"/>
                <w:noProof/>
              </w:rPr>
              <w:t>Age and sex distribution</w:t>
            </w:r>
            <w:r w:rsidR="007D5C30">
              <w:rPr>
                <w:noProof/>
                <w:webHidden/>
              </w:rPr>
              <w:tab/>
            </w:r>
            <w:r w:rsidR="007D5C30">
              <w:rPr>
                <w:noProof/>
                <w:webHidden/>
              </w:rPr>
              <w:fldChar w:fldCharType="begin"/>
            </w:r>
            <w:r w:rsidR="007D5C30">
              <w:rPr>
                <w:noProof/>
                <w:webHidden/>
              </w:rPr>
              <w:instrText xml:space="preserve"> PAGEREF _Toc1747172 \h </w:instrText>
            </w:r>
            <w:r w:rsidR="007D5C30">
              <w:rPr>
                <w:noProof/>
                <w:webHidden/>
              </w:rPr>
            </w:r>
            <w:r w:rsidR="007D5C30">
              <w:rPr>
                <w:noProof/>
                <w:webHidden/>
              </w:rPr>
              <w:fldChar w:fldCharType="separate"/>
            </w:r>
            <w:r w:rsidR="008A2AC2">
              <w:rPr>
                <w:noProof/>
                <w:webHidden/>
              </w:rPr>
              <w:t>44</w:t>
            </w:r>
            <w:r w:rsidR="007D5C30">
              <w:rPr>
                <w:noProof/>
                <w:webHidden/>
              </w:rPr>
              <w:fldChar w:fldCharType="end"/>
            </w:r>
          </w:hyperlink>
        </w:p>
        <w:p w14:paraId="6E1603C4" w14:textId="77777777" w:rsidR="007D5C30" w:rsidRDefault="00EE2A70">
          <w:pPr>
            <w:pStyle w:val="TOC3"/>
            <w:tabs>
              <w:tab w:val="right" w:leader="dot" w:pos="10456"/>
            </w:tabs>
            <w:rPr>
              <w:noProof/>
            </w:rPr>
          </w:pPr>
          <w:hyperlink w:anchor="_Toc1747173" w:history="1">
            <w:r w:rsidR="007D5C30" w:rsidRPr="008C2D9C">
              <w:rPr>
                <w:rStyle w:val="Hyperlink"/>
                <w:rFonts w:eastAsia="Times New Roman"/>
                <w:noProof/>
              </w:rPr>
              <w:t>Hepatitis C</w:t>
            </w:r>
            <w:r w:rsidR="007D5C30">
              <w:rPr>
                <w:noProof/>
                <w:webHidden/>
              </w:rPr>
              <w:tab/>
            </w:r>
            <w:r w:rsidR="007D5C30">
              <w:rPr>
                <w:noProof/>
                <w:webHidden/>
              </w:rPr>
              <w:fldChar w:fldCharType="begin"/>
            </w:r>
            <w:r w:rsidR="007D5C30">
              <w:rPr>
                <w:noProof/>
                <w:webHidden/>
              </w:rPr>
              <w:instrText xml:space="preserve"> PAGEREF _Toc1747173 \h </w:instrText>
            </w:r>
            <w:r w:rsidR="007D5C30">
              <w:rPr>
                <w:noProof/>
                <w:webHidden/>
              </w:rPr>
            </w:r>
            <w:r w:rsidR="007D5C30">
              <w:rPr>
                <w:noProof/>
                <w:webHidden/>
              </w:rPr>
              <w:fldChar w:fldCharType="separate"/>
            </w:r>
            <w:r w:rsidR="008A2AC2">
              <w:rPr>
                <w:noProof/>
                <w:webHidden/>
              </w:rPr>
              <w:t>45</w:t>
            </w:r>
            <w:r w:rsidR="007D5C30">
              <w:rPr>
                <w:noProof/>
                <w:webHidden/>
              </w:rPr>
              <w:fldChar w:fldCharType="end"/>
            </w:r>
          </w:hyperlink>
        </w:p>
        <w:p w14:paraId="5D9B7714" w14:textId="77777777" w:rsidR="007D5C30" w:rsidRDefault="00EE2A70">
          <w:pPr>
            <w:pStyle w:val="TOC3"/>
            <w:tabs>
              <w:tab w:val="right" w:leader="dot" w:pos="10456"/>
            </w:tabs>
            <w:rPr>
              <w:noProof/>
            </w:rPr>
          </w:pPr>
          <w:hyperlink w:anchor="_Toc1747174" w:history="1">
            <w:r w:rsidR="007D5C30" w:rsidRPr="008C2D9C">
              <w:rPr>
                <w:rStyle w:val="Hyperlink"/>
                <w:noProof/>
              </w:rPr>
              <w:t>Epidemiological situation in 2015</w:t>
            </w:r>
            <w:r w:rsidR="007D5C30">
              <w:rPr>
                <w:noProof/>
                <w:webHidden/>
              </w:rPr>
              <w:tab/>
            </w:r>
            <w:r w:rsidR="007D5C30">
              <w:rPr>
                <w:noProof/>
                <w:webHidden/>
              </w:rPr>
              <w:fldChar w:fldCharType="begin"/>
            </w:r>
            <w:r w:rsidR="007D5C30">
              <w:rPr>
                <w:noProof/>
                <w:webHidden/>
              </w:rPr>
              <w:instrText xml:space="preserve"> PAGEREF _Toc1747174 \h </w:instrText>
            </w:r>
            <w:r w:rsidR="007D5C30">
              <w:rPr>
                <w:noProof/>
                <w:webHidden/>
              </w:rPr>
            </w:r>
            <w:r w:rsidR="007D5C30">
              <w:rPr>
                <w:noProof/>
                <w:webHidden/>
              </w:rPr>
              <w:fldChar w:fldCharType="separate"/>
            </w:r>
            <w:r w:rsidR="008A2AC2">
              <w:rPr>
                <w:noProof/>
                <w:webHidden/>
              </w:rPr>
              <w:t>45</w:t>
            </w:r>
            <w:r w:rsidR="007D5C30">
              <w:rPr>
                <w:noProof/>
                <w:webHidden/>
              </w:rPr>
              <w:fldChar w:fldCharType="end"/>
            </w:r>
          </w:hyperlink>
        </w:p>
        <w:p w14:paraId="3034244A" w14:textId="77777777" w:rsidR="007D5C30" w:rsidRDefault="00EE2A70">
          <w:pPr>
            <w:pStyle w:val="TOC2"/>
            <w:tabs>
              <w:tab w:val="right" w:leader="dot" w:pos="10456"/>
            </w:tabs>
            <w:rPr>
              <w:b w:val="0"/>
              <w:noProof/>
            </w:rPr>
          </w:pPr>
          <w:hyperlink w:anchor="_Toc1747175" w:history="1">
            <w:r w:rsidR="007D5C30" w:rsidRPr="008C2D9C">
              <w:rPr>
                <w:rStyle w:val="Hyperlink"/>
                <w:noProof/>
              </w:rPr>
              <w:t>Newly acquired hepatitis C</w:t>
            </w:r>
            <w:r w:rsidR="007D5C30">
              <w:rPr>
                <w:noProof/>
                <w:webHidden/>
              </w:rPr>
              <w:tab/>
            </w:r>
            <w:r w:rsidR="007D5C30">
              <w:rPr>
                <w:noProof/>
                <w:webHidden/>
              </w:rPr>
              <w:fldChar w:fldCharType="begin"/>
            </w:r>
            <w:r w:rsidR="007D5C30">
              <w:rPr>
                <w:noProof/>
                <w:webHidden/>
              </w:rPr>
              <w:instrText xml:space="preserve"> PAGEREF _Toc1747175 \h </w:instrText>
            </w:r>
            <w:r w:rsidR="007D5C30">
              <w:rPr>
                <w:noProof/>
                <w:webHidden/>
              </w:rPr>
            </w:r>
            <w:r w:rsidR="007D5C30">
              <w:rPr>
                <w:noProof/>
                <w:webHidden/>
              </w:rPr>
              <w:fldChar w:fldCharType="separate"/>
            </w:r>
            <w:r w:rsidR="008A2AC2">
              <w:rPr>
                <w:noProof/>
                <w:webHidden/>
              </w:rPr>
              <w:t>46</w:t>
            </w:r>
            <w:r w:rsidR="007D5C30">
              <w:rPr>
                <w:noProof/>
                <w:webHidden/>
              </w:rPr>
              <w:fldChar w:fldCharType="end"/>
            </w:r>
          </w:hyperlink>
        </w:p>
        <w:p w14:paraId="5B61058B" w14:textId="77777777" w:rsidR="007D5C30" w:rsidRDefault="00EE2A70">
          <w:pPr>
            <w:pStyle w:val="TOC3"/>
            <w:tabs>
              <w:tab w:val="right" w:leader="dot" w:pos="10456"/>
            </w:tabs>
            <w:rPr>
              <w:noProof/>
            </w:rPr>
          </w:pPr>
          <w:hyperlink w:anchor="_Toc1747176" w:history="1">
            <w:r w:rsidR="007D5C30" w:rsidRPr="008C2D9C">
              <w:rPr>
                <w:rStyle w:val="Hyperlink"/>
                <w:noProof/>
              </w:rPr>
              <w:t>Epidemiological situation in 2015</w:t>
            </w:r>
            <w:r w:rsidR="007D5C30">
              <w:rPr>
                <w:noProof/>
                <w:webHidden/>
              </w:rPr>
              <w:tab/>
            </w:r>
            <w:r w:rsidR="007D5C30">
              <w:rPr>
                <w:noProof/>
                <w:webHidden/>
              </w:rPr>
              <w:fldChar w:fldCharType="begin"/>
            </w:r>
            <w:r w:rsidR="007D5C30">
              <w:rPr>
                <w:noProof/>
                <w:webHidden/>
              </w:rPr>
              <w:instrText xml:space="preserve"> PAGEREF _Toc1747176 \h </w:instrText>
            </w:r>
            <w:r w:rsidR="007D5C30">
              <w:rPr>
                <w:noProof/>
                <w:webHidden/>
              </w:rPr>
            </w:r>
            <w:r w:rsidR="007D5C30">
              <w:rPr>
                <w:noProof/>
                <w:webHidden/>
              </w:rPr>
              <w:fldChar w:fldCharType="separate"/>
            </w:r>
            <w:r w:rsidR="008A2AC2">
              <w:rPr>
                <w:noProof/>
                <w:webHidden/>
              </w:rPr>
              <w:t>46</w:t>
            </w:r>
            <w:r w:rsidR="007D5C30">
              <w:rPr>
                <w:noProof/>
                <w:webHidden/>
              </w:rPr>
              <w:fldChar w:fldCharType="end"/>
            </w:r>
          </w:hyperlink>
        </w:p>
        <w:p w14:paraId="341E9D75" w14:textId="77777777" w:rsidR="007D5C30" w:rsidRDefault="00EE2A70">
          <w:pPr>
            <w:pStyle w:val="TOC3"/>
            <w:tabs>
              <w:tab w:val="right" w:leader="dot" w:pos="10456"/>
            </w:tabs>
            <w:rPr>
              <w:noProof/>
            </w:rPr>
          </w:pPr>
          <w:hyperlink w:anchor="_Toc1747177" w:history="1">
            <w:r w:rsidR="007D5C30" w:rsidRPr="008C2D9C">
              <w:rPr>
                <w:rStyle w:val="Hyperlink"/>
                <w:noProof/>
              </w:rPr>
              <w:t>Geographical distribution</w:t>
            </w:r>
            <w:r w:rsidR="007D5C30">
              <w:rPr>
                <w:noProof/>
                <w:webHidden/>
              </w:rPr>
              <w:tab/>
            </w:r>
            <w:r w:rsidR="007D5C30">
              <w:rPr>
                <w:noProof/>
                <w:webHidden/>
              </w:rPr>
              <w:fldChar w:fldCharType="begin"/>
            </w:r>
            <w:r w:rsidR="007D5C30">
              <w:rPr>
                <w:noProof/>
                <w:webHidden/>
              </w:rPr>
              <w:instrText xml:space="preserve"> PAGEREF _Toc1747177 \h </w:instrText>
            </w:r>
            <w:r w:rsidR="007D5C30">
              <w:rPr>
                <w:noProof/>
                <w:webHidden/>
              </w:rPr>
            </w:r>
            <w:r w:rsidR="007D5C30">
              <w:rPr>
                <w:noProof/>
                <w:webHidden/>
              </w:rPr>
              <w:fldChar w:fldCharType="separate"/>
            </w:r>
            <w:r w:rsidR="008A2AC2">
              <w:rPr>
                <w:noProof/>
                <w:webHidden/>
              </w:rPr>
              <w:t>46</w:t>
            </w:r>
            <w:r w:rsidR="007D5C30">
              <w:rPr>
                <w:noProof/>
                <w:webHidden/>
              </w:rPr>
              <w:fldChar w:fldCharType="end"/>
            </w:r>
          </w:hyperlink>
        </w:p>
        <w:p w14:paraId="158B63EE" w14:textId="77777777" w:rsidR="007D5C30" w:rsidRDefault="00EE2A70">
          <w:pPr>
            <w:pStyle w:val="TOC3"/>
            <w:tabs>
              <w:tab w:val="right" w:leader="dot" w:pos="10456"/>
            </w:tabs>
            <w:rPr>
              <w:noProof/>
            </w:rPr>
          </w:pPr>
          <w:hyperlink w:anchor="_Toc1747178" w:history="1">
            <w:r w:rsidR="007D5C30" w:rsidRPr="008C2D9C">
              <w:rPr>
                <w:rStyle w:val="Hyperlink"/>
                <w:noProof/>
              </w:rPr>
              <w:t>Age and sex distribution</w:t>
            </w:r>
            <w:r w:rsidR="007D5C30">
              <w:rPr>
                <w:noProof/>
                <w:webHidden/>
              </w:rPr>
              <w:tab/>
            </w:r>
            <w:r w:rsidR="007D5C30">
              <w:rPr>
                <w:noProof/>
                <w:webHidden/>
              </w:rPr>
              <w:fldChar w:fldCharType="begin"/>
            </w:r>
            <w:r w:rsidR="007D5C30">
              <w:rPr>
                <w:noProof/>
                <w:webHidden/>
              </w:rPr>
              <w:instrText xml:space="preserve"> PAGEREF _Toc1747178 \h </w:instrText>
            </w:r>
            <w:r w:rsidR="007D5C30">
              <w:rPr>
                <w:noProof/>
                <w:webHidden/>
              </w:rPr>
            </w:r>
            <w:r w:rsidR="007D5C30">
              <w:rPr>
                <w:noProof/>
                <w:webHidden/>
              </w:rPr>
              <w:fldChar w:fldCharType="separate"/>
            </w:r>
            <w:r w:rsidR="008A2AC2">
              <w:rPr>
                <w:noProof/>
                <w:webHidden/>
              </w:rPr>
              <w:t>46</w:t>
            </w:r>
            <w:r w:rsidR="007D5C30">
              <w:rPr>
                <w:noProof/>
                <w:webHidden/>
              </w:rPr>
              <w:fldChar w:fldCharType="end"/>
            </w:r>
          </w:hyperlink>
        </w:p>
        <w:p w14:paraId="1F854D72" w14:textId="77777777" w:rsidR="007D5C30" w:rsidRDefault="00EE2A70">
          <w:pPr>
            <w:pStyle w:val="TOC3"/>
            <w:tabs>
              <w:tab w:val="right" w:leader="dot" w:pos="10456"/>
            </w:tabs>
            <w:rPr>
              <w:noProof/>
            </w:rPr>
          </w:pPr>
          <w:hyperlink w:anchor="_Toc1747179" w:history="1">
            <w:r w:rsidR="007D5C30" w:rsidRPr="008C2D9C">
              <w:rPr>
                <w:rStyle w:val="Hyperlink"/>
                <w:noProof/>
              </w:rPr>
              <w:t>Risk groups</w:t>
            </w:r>
            <w:r w:rsidR="007D5C30">
              <w:rPr>
                <w:noProof/>
                <w:webHidden/>
              </w:rPr>
              <w:tab/>
            </w:r>
            <w:r w:rsidR="007D5C30">
              <w:rPr>
                <w:noProof/>
                <w:webHidden/>
              </w:rPr>
              <w:fldChar w:fldCharType="begin"/>
            </w:r>
            <w:r w:rsidR="007D5C30">
              <w:rPr>
                <w:noProof/>
                <w:webHidden/>
              </w:rPr>
              <w:instrText xml:space="preserve"> PAGEREF _Toc1747179 \h </w:instrText>
            </w:r>
            <w:r w:rsidR="007D5C30">
              <w:rPr>
                <w:noProof/>
                <w:webHidden/>
              </w:rPr>
            </w:r>
            <w:r w:rsidR="007D5C30">
              <w:rPr>
                <w:noProof/>
                <w:webHidden/>
              </w:rPr>
              <w:fldChar w:fldCharType="separate"/>
            </w:r>
            <w:r w:rsidR="008A2AC2">
              <w:rPr>
                <w:noProof/>
                <w:webHidden/>
              </w:rPr>
              <w:t>48</w:t>
            </w:r>
            <w:r w:rsidR="007D5C30">
              <w:rPr>
                <w:noProof/>
                <w:webHidden/>
              </w:rPr>
              <w:fldChar w:fldCharType="end"/>
            </w:r>
          </w:hyperlink>
        </w:p>
        <w:p w14:paraId="57F8D9CA" w14:textId="77777777" w:rsidR="007D5C30" w:rsidRDefault="00EE2A70">
          <w:pPr>
            <w:pStyle w:val="TOC2"/>
            <w:tabs>
              <w:tab w:val="right" w:leader="dot" w:pos="10456"/>
            </w:tabs>
            <w:rPr>
              <w:b w:val="0"/>
              <w:noProof/>
            </w:rPr>
          </w:pPr>
          <w:hyperlink w:anchor="_Toc1747180" w:history="1">
            <w:r w:rsidR="007D5C30" w:rsidRPr="008C2D9C">
              <w:rPr>
                <w:rStyle w:val="Hyperlink"/>
                <w:noProof/>
              </w:rPr>
              <w:t>Unspecified hepatitis C</w:t>
            </w:r>
            <w:r w:rsidR="007D5C30">
              <w:rPr>
                <w:noProof/>
                <w:webHidden/>
              </w:rPr>
              <w:tab/>
            </w:r>
            <w:r w:rsidR="007D5C30">
              <w:rPr>
                <w:noProof/>
                <w:webHidden/>
              </w:rPr>
              <w:fldChar w:fldCharType="begin"/>
            </w:r>
            <w:r w:rsidR="007D5C30">
              <w:rPr>
                <w:noProof/>
                <w:webHidden/>
              </w:rPr>
              <w:instrText xml:space="preserve"> PAGEREF _Toc1747180 \h </w:instrText>
            </w:r>
            <w:r w:rsidR="007D5C30">
              <w:rPr>
                <w:noProof/>
                <w:webHidden/>
              </w:rPr>
            </w:r>
            <w:r w:rsidR="007D5C30">
              <w:rPr>
                <w:noProof/>
                <w:webHidden/>
              </w:rPr>
              <w:fldChar w:fldCharType="separate"/>
            </w:r>
            <w:r w:rsidR="008A2AC2">
              <w:rPr>
                <w:noProof/>
                <w:webHidden/>
              </w:rPr>
              <w:t>51</w:t>
            </w:r>
            <w:r w:rsidR="007D5C30">
              <w:rPr>
                <w:noProof/>
                <w:webHidden/>
              </w:rPr>
              <w:fldChar w:fldCharType="end"/>
            </w:r>
          </w:hyperlink>
        </w:p>
        <w:p w14:paraId="00C81040" w14:textId="77777777" w:rsidR="007D5C30" w:rsidRDefault="00EE2A70">
          <w:pPr>
            <w:pStyle w:val="TOC3"/>
            <w:tabs>
              <w:tab w:val="right" w:leader="dot" w:pos="10456"/>
            </w:tabs>
            <w:rPr>
              <w:noProof/>
            </w:rPr>
          </w:pPr>
          <w:hyperlink w:anchor="_Toc1747181" w:history="1">
            <w:r w:rsidR="007D5C30" w:rsidRPr="008C2D9C">
              <w:rPr>
                <w:rStyle w:val="Hyperlink"/>
                <w:noProof/>
              </w:rPr>
              <w:t>Epidemiological situation in 2015</w:t>
            </w:r>
            <w:r w:rsidR="007D5C30">
              <w:rPr>
                <w:noProof/>
                <w:webHidden/>
              </w:rPr>
              <w:tab/>
            </w:r>
            <w:r w:rsidR="007D5C30">
              <w:rPr>
                <w:noProof/>
                <w:webHidden/>
              </w:rPr>
              <w:fldChar w:fldCharType="begin"/>
            </w:r>
            <w:r w:rsidR="007D5C30">
              <w:rPr>
                <w:noProof/>
                <w:webHidden/>
              </w:rPr>
              <w:instrText xml:space="preserve"> PAGEREF _Toc1747181 \h </w:instrText>
            </w:r>
            <w:r w:rsidR="007D5C30">
              <w:rPr>
                <w:noProof/>
                <w:webHidden/>
              </w:rPr>
            </w:r>
            <w:r w:rsidR="007D5C30">
              <w:rPr>
                <w:noProof/>
                <w:webHidden/>
              </w:rPr>
              <w:fldChar w:fldCharType="separate"/>
            </w:r>
            <w:r w:rsidR="008A2AC2">
              <w:rPr>
                <w:noProof/>
                <w:webHidden/>
              </w:rPr>
              <w:t>51</w:t>
            </w:r>
            <w:r w:rsidR="007D5C30">
              <w:rPr>
                <w:noProof/>
                <w:webHidden/>
              </w:rPr>
              <w:fldChar w:fldCharType="end"/>
            </w:r>
          </w:hyperlink>
        </w:p>
        <w:p w14:paraId="16241004" w14:textId="77777777" w:rsidR="007D5C30" w:rsidRDefault="00EE2A70">
          <w:pPr>
            <w:pStyle w:val="TOC3"/>
            <w:tabs>
              <w:tab w:val="right" w:leader="dot" w:pos="10456"/>
            </w:tabs>
            <w:rPr>
              <w:noProof/>
            </w:rPr>
          </w:pPr>
          <w:hyperlink w:anchor="_Toc1747182" w:history="1">
            <w:r w:rsidR="007D5C30" w:rsidRPr="008C2D9C">
              <w:rPr>
                <w:rStyle w:val="Hyperlink"/>
                <w:noProof/>
              </w:rPr>
              <w:t>Geographical distribution</w:t>
            </w:r>
            <w:r w:rsidR="007D5C30">
              <w:rPr>
                <w:noProof/>
                <w:webHidden/>
              </w:rPr>
              <w:tab/>
            </w:r>
            <w:r w:rsidR="007D5C30">
              <w:rPr>
                <w:noProof/>
                <w:webHidden/>
              </w:rPr>
              <w:fldChar w:fldCharType="begin"/>
            </w:r>
            <w:r w:rsidR="007D5C30">
              <w:rPr>
                <w:noProof/>
                <w:webHidden/>
              </w:rPr>
              <w:instrText xml:space="preserve"> PAGEREF _Toc1747182 \h </w:instrText>
            </w:r>
            <w:r w:rsidR="007D5C30">
              <w:rPr>
                <w:noProof/>
                <w:webHidden/>
              </w:rPr>
            </w:r>
            <w:r w:rsidR="007D5C30">
              <w:rPr>
                <w:noProof/>
                <w:webHidden/>
              </w:rPr>
              <w:fldChar w:fldCharType="separate"/>
            </w:r>
            <w:r w:rsidR="008A2AC2">
              <w:rPr>
                <w:noProof/>
                <w:webHidden/>
              </w:rPr>
              <w:t>51</w:t>
            </w:r>
            <w:r w:rsidR="007D5C30">
              <w:rPr>
                <w:noProof/>
                <w:webHidden/>
              </w:rPr>
              <w:fldChar w:fldCharType="end"/>
            </w:r>
          </w:hyperlink>
        </w:p>
        <w:p w14:paraId="008715BE" w14:textId="77777777" w:rsidR="007D5C30" w:rsidRDefault="00EE2A70">
          <w:pPr>
            <w:pStyle w:val="TOC3"/>
            <w:tabs>
              <w:tab w:val="right" w:leader="dot" w:pos="10456"/>
            </w:tabs>
            <w:rPr>
              <w:noProof/>
            </w:rPr>
          </w:pPr>
          <w:hyperlink w:anchor="_Toc1747183" w:history="1">
            <w:r w:rsidR="007D5C30" w:rsidRPr="008C2D9C">
              <w:rPr>
                <w:rStyle w:val="Hyperlink"/>
                <w:noProof/>
              </w:rPr>
              <w:t>Age and sex distribution</w:t>
            </w:r>
            <w:r w:rsidR="007D5C30">
              <w:rPr>
                <w:noProof/>
                <w:webHidden/>
              </w:rPr>
              <w:tab/>
            </w:r>
            <w:r w:rsidR="007D5C30">
              <w:rPr>
                <w:noProof/>
                <w:webHidden/>
              </w:rPr>
              <w:fldChar w:fldCharType="begin"/>
            </w:r>
            <w:r w:rsidR="007D5C30">
              <w:rPr>
                <w:noProof/>
                <w:webHidden/>
              </w:rPr>
              <w:instrText xml:space="preserve"> PAGEREF _Toc1747183 \h </w:instrText>
            </w:r>
            <w:r w:rsidR="007D5C30">
              <w:rPr>
                <w:noProof/>
                <w:webHidden/>
              </w:rPr>
            </w:r>
            <w:r w:rsidR="007D5C30">
              <w:rPr>
                <w:noProof/>
                <w:webHidden/>
              </w:rPr>
              <w:fldChar w:fldCharType="separate"/>
            </w:r>
            <w:r w:rsidR="008A2AC2">
              <w:rPr>
                <w:noProof/>
                <w:webHidden/>
              </w:rPr>
              <w:t>51</w:t>
            </w:r>
            <w:r w:rsidR="007D5C30">
              <w:rPr>
                <w:noProof/>
                <w:webHidden/>
              </w:rPr>
              <w:fldChar w:fldCharType="end"/>
            </w:r>
          </w:hyperlink>
        </w:p>
        <w:p w14:paraId="5959C00C" w14:textId="77777777" w:rsidR="007D5C30" w:rsidRDefault="00EE2A70">
          <w:pPr>
            <w:pStyle w:val="TOC2"/>
            <w:tabs>
              <w:tab w:val="right" w:leader="dot" w:pos="10456"/>
            </w:tabs>
            <w:rPr>
              <w:b w:val="0"/>
              <w:noProof/>
            </w:rPr>
          </w:pPr>
          <w:hyperlink w:anchor="_Toc1747184" w:history="1">
            <w:r w:rsidR="007D5C30" w:rsidRPr="008C2D9C">
              <w:rPr>
                <w:rStyle w:val="Hyperlink"/>
                <w:noProof/>
              </w:rPr>
              <w:t>Hepatitis D</w:t>
            </w:r>
            <w:r w:rsidR="007D5C30">
              <w:rPr>
                <w:noProof/>
                <w:webHidden/>
              </w:rPr>
              <w:tab/>
            </w:r>
            <w:r w:rsidR="007D5C30">
              <w:rPr>
                <w:noProof/>
                <w:webHidden/>
              </w:rPr>
              <w:fldChar w:fldCharType="begin"/>
            </w:r>
            <w:r w:rsidR="007D5C30">
              <w:rPr>
                <w:noProof/>
                <w:webHidden/>
              </w:rPr>
              <w:instrText xml:space="preserve"> PAGEREF _Toc1747184 \h </w:instrText>
            </w:r>
            <w:r w:rsidR="007D5C30">
              <w:rPr>
                <w:noProof/>
                <w:webHidden/>
              </w:rPr>
            </w:r>
            <w:r w:rsidR="007D5C30">
              <w:rPr>
                <w:noProof/>
                <w:webHidden/>
              </w:rPr>
              <w:fldChar w:fldCharType="separate"/>
            </w:r>
            <w:r w:rsidR="008A2AC2">
              <w:rPr>
                <w:noProof/>
                <w:webHidden/>
              </w:rPr>
              <w:t>53</w:t>
            </w:r>
            <w:r w:rsidR="007D5C30">
              <w:rPr>
                <w:noProof/>
                <w:webHidden/>
              </w:rPr>
              <w:fldChar w:fldCharType="end"/>
            </w:r>
          </w:hyperlink>
        </w:p>
        <w:p w14:paraId="63298063" w14:textId="77777777" w:rsidR="007D5C30" w:rsidRDefault="00EE2A70">
          <w:pPr>
            <w:pStyle w:val="TOC3"/>
            <w:tabs>
              <w:tab w:val="right" w:leader="dot" w:pos="10456"/>
            </w:tabs>
            <w:rPr>
              <w:noProof/>
            </w:rPr>
          </w:pPr>
          <w:hyperlink w:anchor="_Toc1747185" w:history="1">
            <w:r w:rsidR="007D5C30" w:rsidRPr="008C2D9C">
              <w:rPr>
                <w:rStyle w:val="Hyperlink"/>
                <w:noProof/>
              </w:rPr>
              <w:t>Epidemiological situation in 2015</w:t>
            </w:r>
            <w:r w:rsidR="007D5C30">
              <w:rPr>
                <w:noProof/>
                <w:webHidden/>
              </w:rPr>
              <w:tab/>
            </w:r>
            <w:r w:rsidR="007D5C30">
              <w:rPr>
                <w:noProof/>
                <w:webHidden/>
              </w:rPr>
              <w:fldChar w:fldCharType="begin"/>
            </w:r>
            <w:r w:rsidR="007D5C30">
              <w:rPr>
                <w:noProof/>
                <w:webHidden/>
              </w:rPr>
              <w:instrText xml:space="preserve"> PAGEREF _Toc1747185 \h </w:instrText>
            </w:r>
            <w:r w:rsidR="007D5C30">
              <w:rPr>
                <w:noProof/>
                <w:webHidden/>
              </w:rPr>
            </w:r>
            <w:r w:rsidR="007D5C30">
              <w:rPr>
                <w:noProof/>
                <w:webHidden/>
              </w:rPr>
              <w:fldChar w:fldCharType="separate"/>
            </w:r>
            <w:r w:rsidR="008A2AC2">
              <w:rPr>
                <w:noProof/>
                <w:webHidden/>
              </w:rPr>
              <w:t>53</w:t>
            </w:r>
            <w:r w:rsidR="007D5C30">
              <w:rPr>
                <w:noProof/>
                <w:webHidden/>
              </w:rPr>
              <w:fldChar w:fldCharType="end"/>
            </w:r>
          </w:hyperlink>
        </w:p>
        <w:p w14:paraId="4A2F3280" w14:textId="77777777" w:rsidR="007D5C30" w:rsidRDefault="00EE2A70">
          <w:pPr>
            <w:pStyle w:val="TOC3"/>
            <w:tabs>
              <w:tab w:val="right" w:leader="dot" w:pos="10456"/>
            </w:tabs>
            <w:rPr>
              <w:noProof/>
            </w:rPr>
          </w:pPr>
          <w:hyperlink w:anchor="_Toc1747186" w:history="1">
            <w:r w:rsidR="007D5C30" w:rsidRPr="008C2D9C">
              <w:rPr>
                <w:rStyle w:val="Hyperlink"/>
                <w:noProof/>
              </w:rPr>
              <w:t>Geographical distribution</w:t>
            </w:r>
            <w:r w:rsidR="007D5C30">
              <w:rPr>
                <w:noProof/>
                <w:webHidden/>
              </w:rPr>
              <w:tab/>
            </w:r>
            <w:r w:rsidR="007D5C30">
              <w:rPr>
                <w:noProof/>
                <w:webHidden/>
              </w:rPr>
              <w:fldChar w:fldCharType="begin"/>
            </w:r>
            <w:r w:rsidR="007D5C30">
              <w:rPr>
                <w:noProof/>
                <w:webHidden/>
              </w:rPr>
              <w:instrText xml:space="preserve"> PAGEREF _Toc1747186 \h </w:instrText>
            </w:r>
            <w:r w:rsidR="007D5C30">
              <w:rPr>
                <w:noProof/>
                <w:webHidden/>
              </w:rPr>
            </w:r>
            <w:r w:rsidR="007D5C30">
              <w:rPr>
                <w:noProof/>
                <w:webHidden/>
              </w:rPr>
              <w:fldChar w:fldCharType="separate"/>
            </w:r>
            <w:r w:rsidR="008A2AC2">
              <w:rPr>
                <w:noProof/>
                <w:webHidden/>
              </w:rPr>
              <w:t>53</w:t>
            </w:r>
            <w:r w:rsidR="007D5C30">
              <w:rPr>
                <w:noProof/>
                <w:webHidden/>
              </w:rPr>
              <w:fldChar w:fldCharType="end"/>
            </w:r>
          </w:hyperlink>
        </w:p>
        <w:p w14:paraId="0FB13EDB" w14:textId="77777777" w:rsidR="007D5C30" w:rsidRDefault="00EE2A70">
          <w:pPr>
            <w:pStyle w:val="TOC3"/>
            <w:tabs>
              <w:tab w:val="right" w:leader="dot" w:pos="10456"/>
            </w:tabs>
            <w:rPr>
              <w:noProof/>
            </w:rPr>
          </w:pPr>
          <w:hyperlink w:anchor="_Toc1747187" w:history="1">
            <w:r w:rsidR="007D5C30" w:rsidRPr="008C2D9C">
              <w:rPr>
                <w:rStyle w:val="Hyperlink"/>
                <w:noProof/>
              </w:rPr>
              <w:t>Age and sex distribution</w:t>
            </w:r>
            <w:r w:rsidR="007D5C30">
              <w:rPr>
                <w:noProof/>
                <w:webHidden/>
              </w:rPr>
              <w:tab/>
            </w:r>
            <w:r w:rsidR="007D5C30">
              <w:rPr>
                <w:noProof/>
                <w:webHidden/>
              </w:rPr>
              <w:fldChar w:fldCharType="begin"/>
            </w:r>
            <w:r w:rsidR="007D5C30">
              <w:rPr>
                <w:noProof/>
                <w:webHidden/>
              </w:rPr>
              <w:instrText xml:space="preserve"> PAGEREF _Toc1747187 \h </w:instrText>
            </w:r>
            <w:r w:rsidR="007D5C30">
              <w:rPr>
                <w:noProof/>
                <w:webHidden/>
              </w:rPr>
            </w:r>
            <w:r w:rsidR="007D5C30">
              <w:rPr>
                <w:noProof/>
                <w:webHidden/>
              </w:rPr>
              <w:fldChar w:fldCharType="separate"/>
            </w:r>
            <w:r w:rsidR="008A2AC2">
              <w:rPr>
                <w:noProof/>
                <w:webHidden/>
              </w:rPr>
              <w:t>54</w:t>
            </w:r>
            <w:r w:rsidR="007D5C30">
              <w:rPr>
                <w:noProof/>
                <w:webHidden/>
              </w:rPr>
              <w:fldChar w:fldCharType="end"/>
            </w:r>
          </w:hyperlink>
        </w:p>
        <w:p w14:paraId="1DC50FAF" w14:textId="77777777" w:rsidR="007D5C30" w:rsidRDefault="00EE2A70">
          <w:pPr>
            <w:pStyle w:val="TOC1"/>
            <w:tabs>
              <w:tab w:val="right" w:leader="dot" w:pos="10456"/>
            </w:tabs>
            <w:rPr>
              <w:b w:val="0"/>
              <w:caps w:val="0"/>
              <w:noProof/>
            </w:rPr>
          </w:pPr>
          <w:hyperlink w:anchor="_Toc1747188" w:history="1">
            <w:r w:rsidR="007D5C30" w:rsidRPr="008C2D9C">
              <w:rPr>
                <w:rStyle w:val="Hyperlink"/>
                <w:noProof/>
              </w:rPr>
              <w:t>Gastrointestinal diseases</w:t>
            </w:r>
            <w:r w:rsidR="007D5C30">
              <w:rPr>
                <w:noProof/>
                <w:webHidden/>
              </w:rPr>
              <w:tab/>
            </w:r>
            <w:r w:rsidR="007D5C30">
              <w:rPr>
                <w:noProof/>
                <w:webHidden/>
              </w:rPr>
              <w:fldChar w:fldCharType="begin"/>
            </w:r>
            <w:r w:rsidR="007D5C30">
              <w:rPr>
                <w:noProof/>
                <w:webHidden/>
              </w:rPr>
              <w:instrText xml:space="preserve"> PAGEREF _Toc1747188 \h </w:instrText>
            </w:r>
            <w:r w:rsidR="007D5C30">
              <w:rPr>
                <w:noProof/>
                <w:webHidden/>
              </w:rPr>
            </w:r>
            <w:r w:rsidR="007D5C30">
              <w:rPr>
                <w:noProof/>
                <w:webHidden/>
              </w:rPr>
              <w:fldChar w:fldCharType="separate"/>
            </w:r>
            <w:r w:rsidR="008A2AC2">
              <w:rPr>
                <w:noProof/>
                <w:webHidden/>
              </w:rPr>
              <w:t>54</w:t>
            </w:r>
            <w:r w:rsidR="007D5C30">
              <w:rPr>
                <w:noProof/>
                <w:webHidden/>
              </w:rPr>
              <w:fldChar w:fldCharType="end"/>
            </w:r>
          </w:hyperlink>
        </w:p>
        <w:p w14:paraId="2BF761ED" w14:textId="77777777" w:rsidR="007D5C30" w:rsidRDefault="00EE2A70">
          <w:pPr>
            <w:pStyle w:val="TOC2"/>
            <w:tabs>
              <w:tab w:val="right" w:leader="dot" w:pos="10456"/>
            </w:tabs>
            <w:rPr>
              <w:b w:val="0"/>
              <w:noProof/>
            </w:rPr>
          </w:pPr>
          <w:hyperlink w:anchor="_Toc1747189" w:history="1">
            <w:r w:rsidR="007D5C30" w:rsidRPr="008C2D9C">
              <w:rPr>
                <w:rStyle w:val="Hyperlink"/>
                <w:noProof/>
              </w:rPr>
              <w:t>Surveillance systems overview</w:t>
            </w:r>
            <w:r w:rsidR="007D5C30">
              <w:rPr>
                <w:noProof/>
                <w:webHidden/>
              </w:rPr>
              <w:tab/>
            </w:r>
            <w:r w:rsidR="007D5C30">
              <w:rPr>
                <w:noProof/>
                <w:webHidden/>
              </w:rPr>
              <w:fldChar w:fldCharType="begin"/>
            </w:r>
            <w:r w:rsidR="007D5C30">
              <w:rPr>
                <w:noProof/>
                <w:webHidden/>
              </w:rPr>
              <w:instrText xml:space="preserve"> PAGEREF _Toc1747189 \h </w:instrText>
            </w:r>
            <w:r w:rsidR="007D5C30">
              <w:rPr>
                <w:noProof/>
                <w:webHidden/>
              </w:rPr>
            </w:r>
            <w:r w:rsidR="007D5C30">
              <w:rPr>
                <w:noProof/>
                <w:webHidden/>
              </w:rPr>
              <w:fldChar w:fldCharType="separate"/>
            </w:r>
            <w:r w:rsidR="008A2AC2">
              <w:rPr>
                <w:noProof/>
                <w:webHidden/>
              </w:rPr>
              <w:t>55</w:t>
            </w:r>
            <w:r w:rsidR="007D5C30">
              <w:rPr>
                <w:noProof/>
                <w:webHidden/>
              </w:rPr>
              <w:fldChar w:fldCharType="end"/>
            </w:r>
          </w:hyperlink>
        </w:p>
        <w:p w14:paraId="4C748129" w14:textId="77777777" w:rsidR="007D5C30" w:rsidRDefault="00EE2A70">
          <w:pPr>
            <w:pStyle w:val="TOC2"/>
            <w:tabs>
              <w:tab w:val="right" w:leader="dot" w:pos="10456"/>
            </w:tabs>
            <w:rPr>
              <w:b w:val="0"/>
              <w:noProof/>
            </w:rPr>
          </w:pPr>
          <w:hyperlink w:anchor="_Toc1747190" w:history="1">
            <w:r w:rsidR="007D5C30" w:rsidRPr="008C2D9C">
              <w:rPr>
                <w:rStyle w:val="Hyperlink"/>
                <w:noProof/>
              </w:rPr>
              <w:t>Botulism</w:t>
            </w:r>
            <w:r w:rsidR="007D5C30">
              <w:rPr>
                <w:noProof/>
                <w:webHidden/>
              </w:rPr>
              <w:tab/>
            </w:r>
            <w:r w:rsidR="007D5C30">
              <w:rPr>
                <w:noProof/>
                <w:webHidden/>
              </w:rPr>
              <w:fldChar w:fldCharType="begin"/>
            </w:r>
            <w:r w:rsidR="007D5C30">
              <w:rPr>
                <w:noProof/>
                <w:webHidden/>
              </w:rPr>
              <w:instrText xml:space="preserve"> PAGEREF _Toc1747190 \h </w:instrText>
            </w:r>
            <w:r w:rsidR="007D5C30">
              <w:rPr>
                <w:noProof/>
                <w:webHidden/>
              </w:rPr>
            </w:r>
            <w:r w:rsidR="007D5C30">
              <w:rPr>
                <w:noProof/>
                <w:webHidden/>
              </w:rPr>
              <w:fldChar w:fldCharType="separate"/>
            </w:r>
            <w:r w:rsidR="008A2AC2">
              <w:rPr>
                <w:noProof/>
                <w:webHidden/>
              </w:rPr>
              <w:t>55</w:t>
            </w:r>
            <w:r w:rsidR="007D5C30">
              <w:rPr>
                <w:noProof/>
                <w:webHidden/>
              </w:rPr>
              <w:fldChar w:fldCharType="end"/>
            </w:r>
          </w:hyperlink>
        </w:p>
        <w:p w14:paraId="2C8BE759" w14:textId="77777777" w:rsidR="007D5C30" w:rsidRDefault="00EE2A70">
          <w:pPr>
            <w:pStyle w:val="TOC3"/>
            <w:tabs>
              <w:tab w:val="right" w:leader="dot" w:pos="10456"/>
            </w:tabs>
            <w:rPr>
              <w:noProof/>
            </w:rPr>
          </w:pPr>
          <w:hyperlink w:anchor="_Toc1747191" w:history="1">
            <w:r w:rsidR="007D5C30" w:rsidRPr="008C2D9C">
              <w:rPr>
                <w:rStyle w:val="Hyperlink"/>
                <w:noProof/>
              </w:rPr>
              <w:t>Epidemiological situation in 2015</w:t>
            </w:r>
            <w:r w:rsidR="007D5C30">
              <w:rPr>
                <w:noProof/>
                <w:webHidden/>
              </w:rPr>
              <w:tab/>
            </w:r>
            <w:r w:rsidR="007D5C30">
              <w:rPr>
                <w:noProof/>
                <w:webHidden/>
              </w:rPr>
              <w:fldChar w:fldCharType="begin"/>
            </w:r>
            <w:r w:rsidR="007D5C30">
              <w:rPr>
                <w:noProof/>
                <w:webHidden/>
              </w:rPr>
              <w:instrText xml:space="preserve"> PAGEREF _Toc1747191 \h </w:instrText>
            </w:r>
            <w:r w:rsidR="007D5C30">
              <w:rPr>
                <w:noProof/>
                <w:webHidden/>
              </w:rPr>
            </w:r>
            <w:r w:rsidR="007D5C30">
              <w:rPr>
                <w:noProof/>
                <w:webHidden/>
              </w:rPr>
              <w:fldChar w:fldCharType="separate"/>
            </w:r>
            <w:r w:rsidR="008A2AC2">
              <w:rPr>
                <w:noProof/>
                <w:webHidden/>
              </w:rPr>
              <w:t>55</w:t>
            </w:r>
            <w:r w:rsidR="007D5C30">
              <w:rPr>
                <w:noProof/>
                <w:webHidden/>
              </w:rPr>
              <w:fldChar w:fldCharType="end"/>
            </w:r>
          </w:hyperlink>
        </w:p>
        <w:p w14:paraId="0E3718ED" w14:textId="77777777" w:rsidR="007D5C30" w:rsidRDefault="00EE2A70">
          <w:pPr>
            <w:pStyle w:val="TOC2"/>
            <w:tabs>
              <w:tab w:val="right" w:leader="dot" w:pos="10456"/>
            </w:tabs>
            <w:rPr>
              <w:b w:val="0"/>
              <w:noProof/>
            </w:rPr>
          </w:pPr>
          <w:hyperlink w:anchor="_Toc1747192" w:history="1">
            <w:r w:rsidR="007D5C30" w:rsidRPr="008C2D9C">
              <w:rPr>
                <w:rStyle w:val="Hyperlink"/>
                <w:noProof/>
              </w:rPr>
              <w:t>Campylobacteriosis</w:t>
            </w:r>
            <w:r w:rsidR="007D5C30">
              <w:rPr>
                <w:noProof/>
                <w:webHidden/>
              </w:rPr>
              <w:tab/>
            </w:r>
            <w:r w:rsidR="007D5C30">
              <w:rPr>
                <w:noProof/>
                <w:webHidden/>
              </w:rPr>
              <w:fldChar w:fldCharType="begin"/>
            </w:r>
            <w:r w:rsidR="007D5C30">
              <w:rPr>
                <w:noProof/>
                <w:webHidden/>
              </w:rPr>
              <w:instrText xml:space="preserve"> PAGEREF _Toc1747192 \h </w:instrText>
            </w:r>
            <w:r w:rsidR="007D5C30">
              <w:rPr>
                <w:noProof/>
                <w:webHidden/>
              </w:rPr>
            </w:r>
            <w:r w:rsidR="007D5C30">
              <w:rPr>
                <w:noProof/>
                <w:webHidden/>
              </w:rPr>
              <w:fldChar w:fldCharType="separate"/>
            </w:r>
            <w:r w:rsidR="008A2AC2">
              <w:rPr>
                <w:noProof/>
                <w:webHidden/>
              </w:rPr>
              <w:t>55</w:t>
            </w:r>
            <w:r w:rsidR="007D5C30">
              <w:rPr>
                <w:noProof/>
                <w:webHidden/>
              </w:rPr>
              <w:fldChar w:fldCharType="end"/>
            </w:r>
          </w:hyperlink>
        </w:p>
        <w:p w14:paraId="72C3FC89" w14:textId="77777777" w:rsidR="007D5C30" w:rsidRDefault="00EE2A70">
          <w:pPr>
            <w:pStyle w:val="TOC3"/>
            <w:tabs>
              <w:tab w:val="right" w:leader="dot" w:pos="10456"/>
            </w:tabs>
            <w:rPr>
              <w:noProof/>
            </w:rPr>
          </w:pPr>
          <w:hyperlink w:anchor="_Toc1747193" w:history="1">
            <w:r w:rsidR="007D5C30" w:rsidRPr="008C2D9C">
              <w:rPr>
                <w:rStyle w:val="Hyperlink"/>
                <w:noProof/>
              </w:rPr>
              <w:t>Epidemiological situation in 2015</w:t>
            </w:r>
            <w:r w:rsidR="007D5C30">
              <w:rPr>
                <w:noProof/>
                <w:webHidden/>
              </w:rPr>
              <w:tab/>
            </w:r>
            <w:r w:rsidR="007D5C30">
              <w:rPr>
                <w:noProof/>
                <w:webHidden/>
              </w:rPr>
              <w:fldChar w:fldCharType="begin"/>
            </w:r>
            <w:r w:rsidR="007D5C30">
              <w:rPr>
                <w:noProof/>
                <w:webHidden/>
              </w:rPr>
              <w:instrText xml:space="preserve"> PAGEREF _Toc1747193 \h </w:instrText>
            </w:r>
            <w:r w:rsidR="007D5C30">
              <w:rPr>
                <w:noProof/>
                <w:webHidden/>
              </w:rPr>
            </w:r>
            <w:r w:rsidR="007D5C30">
              <w:rPr>
                <w:noProof/>
                <w:webHidden/>
              </w:rPr>
              <w:fldChar w:fldCharType="separate"/>
            </w:r>
            <w:r w:rsidR="008A2AC2">
              <w:rPr>
                <w:noProof/>
                <w:webHidden/>
              </w:rPr>
              <w:t>55</w:t>
            </w:r>
            <w:r w:rsidR="007D5C30">
              <w:rPr>
                <w:noProof/>
                <w:webHidden/>
              </w:rPr>
              <w:fldChar w:fldCharType="end"/>
            </w:r>
          </w:hyperlink>
        </w:p>
        <w:p w14:paraId="63BBF5B3" w14:textId="77777777" w:rsidR="007D5C30" w:rsidRDefault="00EE2A70">
          <w:pPr>
            <w:pStyle w:val="TOC3"/>
            <w:tabs>
              <w:tab w:val="right" w:leader="dot" w:pos="10456"/>
            </w:tabs>
            <w:rPr>
              <w:noProof/>
            </w:rPr>
          </w:pPr>
          <w:hyperlink w:anchor="_Toc1747194" w:history="1">
            <w:r w:rsidR="007D5C30" w:rsidRPr="008C2D9C">
              <w:rPr>
                <w:rStyle w:val="Hyperlink"/>
                <w:rFonts w:eastAsia="Times New Roman"/>
                <w:noProof/>
              </w:rPr>
              <w:t>Geographical distribution</w:t>
            </w:r>
            <w:r w:rsidR="007D5C30">
              <w:rPr>
                <w:noProof/>
                <w:webHidden/>
              </w:rPr>
              <w:tab/>
            </w:r>
            <w:r w:rsidR="007D5C30">
              <w:rPr>
                <w:noProof/>
                <w:webHidden/>
              </w:rPr>
              <w:fldChar w:fldCharType="begin"/>
            </w:r>
            <w:r w:rsidR="007D5C30">
              <w:rPr>
                <w:noProof/>
                <w:webHidden/>
              </w:rPr>
              <w:instrText xml:space="preserve"> PAGEREF _Toc1747194 \h </w:instrText>
            </w:r>
            <w:r w:rsidR="007D5C30">
              <w:rPr>
                <w:noProof/>
                <w:webHidden/>
              </w:rPr>
            </w:r>
            <w:r w:rsidR="007D5C30">
              <w:rPr>
                <w:noProof/>
                <w:webHidden/>
              </w:rPr>
              <w:fldChar w:fldCharType="separate"/>
            </w:r>
            <w:r w:rsidR="008A2AC2">
              <w:rPr>
                <w:noProof/>
                <w:webHidden/>
              </w:rPr>
              <w:t>56</w:t>
            </w:r>
            <w:r w:rsidR="007D5C30">
              <w:rPr>
                <w:noProof/>
                <w:webHidden/>
              </w:rPr>
              <w:fldChar w:fldCharType="end"/>
            </w:r>
          </w:hyperlink>
        </w:p>
        <w:p w14:paraId="3CCDBD74" w14:textId="77777777" w:rsidR="007D5C30" w:rsidRDefault="00EE2A70">
          <w:pPr>
            <w:pStyle w:val="TOC3"/>
            <w:tabs>
              <w:tab w:val="right" w:leader="dot" w:pos="10456"/>
            </w:tabs>
            <w:rPr>
              <w:noProof/>
            </w:rPr>
          </w:pPr>
          <w:hyperlink w:anchor="_Toc1747195" w:history="1">
            <w:r w:rsidR="007D5C30" w:rsidRPr="008C2D9C">
              <w:rPr>
                <w:rStyle w:val="Hyperlink"/>
                <w:noProof/>
              </w:rPr>
              <w:t>Age and sex distribution</w:t>
            </w:r>
            <w:r w:rsidR="007D5C30">
              <w:rPr>
                <w:noProof/>
                <w:webHidden/>
              </w:rPr>
              <w:tab/>
            </w:r>
            <w:r w:rsidR="007D5C30">
              <w:rPr>
                <w:noProof/>
                <w:webHidden/>
              </w:rPr>
              <w:fldChar w:fldCharType="begin"/>
            </w:r>
            <w:r w:rsidR="007D5C30">
              <w:rPr>
                <w:noProof/>
                <w:webHidden/>
              </w:rPr>
              <w:instrText xml:space="preserve"> PAGEREF _Toc1747195 \h </w:instrText>
            </w:r>
            <w:r w:rsidR="007D5C30">
              <w:rPr>
                <w:noProof/>
                <w:webHidden/>
              </w:rPr>
            </w:r>
            <w:r w:rsidR="007D5C30">
              <w:rPr>
                <w:noProof/>
                <w:webHidden/>
              </w:rPr>
              <w:fldChar w:fldCharType="separate"/>
            </w:r>
            <w:r w:rsidR="008A2AC2">
              <w:rPr>
                <w:noProof/>
                <w:webHidden/>
              </w:rPr>
              <w:t>56</w:t>
            </w:r>
            <w:r w:rsidR="007D5C30">
              <w:rPr>
                <w:noProof/>
                <w:webHidden/>
              </w:rPr>
              <w:fldChar w:fldCharType="end"/>
            </w:r>
          </w:hyperlink>
        </w:p>
        <w:p w14:paraId="3BE9D46C" w14:textId="77777777" w:rsidR="007D5C30" w:rsidRDefault="00EE2A70">
          <w:pPr>
            <w:pStyle w:val="TOC2"/>
            <w:tabs>
              <w:tab w:val="right" w:leader="dot" w:pos="10456"/>
            </w:tabs>
            <w:rPr>
              <w:b w:val="0"/>
              <w:noProof/>
            </w:rPr>
          </w:pPr>
          <w:hyperlink w:anchor="_Toc1747196" w:history="1">
            <w:r w:rsidR="007D5C30" w:rsidRPr="008C2D9C">
              <w:rPr>
                <w:rStyle w:val="Hyperlink"/>
                <w:noProof/>
              </w:rPr>
              <w:t>Cryptosporidiosis</w:t>
            </w:r>
            <w:r w:rsidR="007D5C30">
              <w:rPr>
                <w:noProof/>
                <w:webHidden/>
              </w:rPr>
              <w:tab/>
            </w:r>
            <w:r w:rsidR="007D5C30">
              <w:rPr>
                <w:noProof/>
                <w:webHidden/>
              </w:rPr>
              <w:fldChar w:fldCharType="begin"/>
            </w:r>
            <w:r w:rsidR="007D5C30">
              <w:rPr>
                <w:noProof/>
                <w:webHidden/>
              </w:rPr>
              <w:instrText xml:space="preserve"> PAGEREF _Toc1747196 \h </w:instrText>
            </w:r>
            <w:r w:rsidR="007D5C30">
              <w:rPr>
                <w:noProof/>
                <w:webHidden/>
              </w:rPr>
            </w:r>
            <w:r w:rsidR="007D5C30">
              <w:rPr>
                <w:noProof/>
                <w:webHidden/>
              </w:rPr>
              <w:fldChar w:fldCharType="separate"/>
            </w:r>
            <w:r w:rsidR="008A2AC2">
              <w:rPr>
                <w:noProof/>
                <w:webHidden/>
              </w:rPr>
              <w:t>57</w:t>
            </w:r>
            <w:r w:rsidR="007D5C30">
              <w:rPr>
                <w:noProof/>
                <w:webHidden/>
              </w:rPr>
              <w:fldChar w:fldCharType="end"/>
            </w:r>
          </w:hyperlink>
        </w:p>
        <w:p w14:paraId="1486FF70" w14:textId="77777777" w:rsidR="007D5C30" w:rsidRDefault="00EE2A70">
          <w:pPr>
            <w:pStyle w:val="TOC3"/>
            <w:tabs>
              <w:tab w:val="right" w:leader="dot" w:pos="10456"/>
            </w:tabs>
            <w:rPr>
              <w:noProof/>
            </w:rPr>
          </w:pPr>
          <w:hyperlink w:anchor="_Toc1747197" w:history="1">
            <w:r w:rsidR="007D5C30" w:rsidRPr="008C2D9C">
              <w:rPr>
                <w:rStyle w:val="Hyperlink"/>
                <w:noProof/>
              </w:rPr>
              <w:t>Epidemiological situation in 2015</w:t>
            </w:r>
            <w:r w:rsidR="007D5C30">
              <w:rPr>
                <w:noProof/>
                <w:webHidden/>
              </w:rPr>
              <w:tab/>
            </w:r>
            <w:r w:rsidR="007D5C30">
              <w:rPr>
                <w:noProof/>
                <w:webHidden/>
              </w:rPr>
              <w:fldChar w:fldCharType="begin"/>
            </w:r>
            <w:r w:rsidR="007D5C30">
              <w:rPr>
                <w:noProof/>
                <w:webHidden/>
              </w:rPr>
              <w:instrText xml:space="preserve"> PAGEREF _Toc1747197 \h </w:instrText>
            </w:r>
            <w:r w:rsidR="007D5C30">
              <w:rPr>
                <w:noProof/>
                <w:webHidden/>
              </w:rPr>
            </w:r>
            <w:r w:rsidR="007D5C30">
              <w:rPr>
                <w:noProof/>
                <w:webHidden/>
              </w:rPr>
              <w:fldChar w:fldCharType="separate"/>
            </w:r>
            <w:r w:rsidR="008A2AC2">
              <w:rPr>
                <w:noProof/>
                <w:webHidden/>
              </w:rPr>
              <w:t>57</w:t>
            </w:r>
            <w:r w:rsidR="007D5C30">
              <w:rPr>
                <w:noProof/>
                <w:webHidden/>
              </w:rPr>
              <w:fldChar w:fldCharType="end"/>
            </w:r>
          </w:hyperlink>
        </w:p>
        <w:p w14:paraId="1A023B1D" w14:textId="77777777" w:rsidR="007D5C30" w:rsidRDefault="00EE2A70">
          <w:pPr>
            <w:pStyle w:val="TOC3"/>
            <w:tabs>
              <w:tab w:val="right" w:leader="dot" w:pos="10456"/>
            </w:tabs>
            <w:rPr>
              <w:noProof/>
            </w:rPr>
          </w:pPr>
          <w:hyperlink w:anchor="_Toc1747198" w:history="1">
            <w:r w:rsidR="007D5C30" w:rsidRPr="008C2D9C">
              <w:rPr>
                <w:rStyle w:val="Hyperlink"/>
                <w:noProof/>
              </w:rPr>
              <w:t>Geographical distribution</w:t>
            </w:r>
            <w:r w:rsidR="007D5C30">
              <w:rPr>
                <w:noProof/>
                <w:webHidden/>
              </w:rPr>
              <w:tab/>
            </w:r>
            <w:r w:rsidR="007D5C30">
              <w:rPr>
                <w:noProof/>
                <w:webHidden/>
              </w:rPr>
              <w:fldChar w:fldCharType="begin"/>
            </w:r>
            <w:r w:rsidR="007D5C30">
              <w:rPr>
                <w:noProof/>
                <w:webHidden/>
              </w:rPr>
              <w:instrText xml:space="preserve"> PAGEREF _Toc1747198 \h </w:instrText>
            </w:r>
            <w:r w:rsidR="007D5C30">
              <w:rPr>
                <w:noProof/>
                <w:webHidden/>
              </w:rPr>
            </w:r>
            <w:r w:rsidR="007D5C30">
              <w:rPr>
                <w:noProof/>
                <w:webHidden/>
              </w:rPr>
              <w:fldChar w:fldCharType="separate"/>
            </w:r>
            <w:r w:rsidR="008A2AC2">
              <w:rPr>
                <w:noProof/>
                <w:webHidden/>
              </w:rPr>
              <w:t>58</w:t>
            </w:r>
            <w:r w:rsidR="007D5C30">
              <w:rPr>
                <w:noProof/>
                <w:webHidden/>
              </w:rPr>
              <w:fldChar w:fldCharType="end"/>
            </w:r>
          </w:hyperlink>
        </w:p>
        <w:p w14:paraId="62A28FB0" w14:textId="77777777" w:rsidR="007D5C30" w:rsidRDefault="00EE2A70">
          <w:pPr>
            <w:pStyle w:val="TOC3"/>
            <w:tabs>
              <w:tab w:val="right" w:leader="dot" w:pos="10456"/>
            </w:tabs>
            <w:rPr>
              <w:noProof/>
            </w:rPr>
          </w:pPr>
          <w:hyperlink w:anchor="_Toc1747199" w:history="1">
            <w:r w:rsidR="007D5C30" w:rsidRPr="008C2D9C">
              <w:rPr>
                <w:rStyle w:val="Hyperlink"/>
                <w:noProof/>
              </w:rPr>
              <w:t>Age and sex distribution</w:t>
            </w:r>
            <w:r w:rsidR="007D5C30">
              <w:rPr>
                <w:noProof/>
                <w:webHidden/>
              </w:rPr>
              <w:tab/>
            </w:r>
            <w:r w:rsidR="007D5C30">
              <w:rPr>
                <w:noProof/>
                <w:webHidden/>
              </w:rPr>
              <w:fldChar w:fldCharType="begin"/>
            </w:r>
            <w:r w:rsidR="007D5C30">
              <w:rPr>
                <w:noProof/>
                <w:webHidden/>
              </w:rPr>
              <w:instrText xml:space="preserve"> PAGEREF _Toc1747199 \h </w:instrText>
            </w:r>
            <w:r w:rsidR="007D5C30">
              <w:rPr>
                <w:noProof/>
                <w:webHidden/>
              </w:rPr>
            </w:r>
            <w:r w:rsidR="007D5C30">
              <w:rPr>
                <w:noProof/>
                <w:webHidden/>
              </w:rPr>
              <w:fldChar w:fldCharType="separate"/>
            </w:r>
            <w:r w:rsidR="008A2AC2">
              <w:rPr>
                <w:noProof/>
                <w:webHidden/>
              </w:rPr>
              <w:t>58</w:t>
            </w:r>
            <w:r w:rsidR="007D5C30">
              <w:rPr>
                <w:noProof/>
                <w:webHidden/>
              </w:rPr>
              <w:fldChar w:fldCharType="end"/>
            </w:r>
          </w:hyperlink>
        </w:p>
        <w:p w14:paraId="116F5012" w14:textId="77777777" w:rsidR="007D5C30" w:rsidRDefault="00EE2A70">
          <w:pPr>
            <w:pStyle w:val="TOC2"/>
            <w:tabs>
              <w:tab w:val="right" w:leader="dot" w:pos="10456"/>
            </w:tabs>
            <w:rPr>
              <w:b w:val="0"/>
              <w:noProof/>
            </w:rPr>
          </w:pPr>
          <w:hyperlink w:anchor="_Toc1747200" w:history="1">
            <w:r w:rsidR="007D5C30" w:rsidRPr="008C2D9C">
              <w:rPr>
                <w:rStyle w:val="Hyperlink"/>
                <w:noProof/>
              </w:rPr>
              <w:t>Haemolytic uraemic syndrome</w:t>
            </w:r>
            <w:r w:rsidR="007D5C30">
              <w:rPr>
                <w:noProof/>
                <w:webHidden/>
              </w:rPr>
              <w:tab/>
            </w:r>
            <w:r w:rsidR="007D5C30">
              <w:rPr>
                <w:noProof/>
                <w:webHidden/>
              </w:rPr>
              <w:fldChar w:fldCharType="begin"/>
            </w:r>
            <w:r w:rsidR="007D5C30">
              <w:rPr>
                <w:noProof/>
                <w:webHidden/>
              </w:rPr>
              <w:instrText xml:space="preserve"> PAGEREF _Toc1747200 \h </w:instrText>
            </w:r>
            <w:r w:rsidR="007D5C30">
              <w:rPr>
                <w:noProof/>
                <w:webHidden/>
              </w:rPr>
            </w:r>
            <w:r w:rsidR="007D5C30">
              <w:rPr>
                <w:noProof/>
                <w:webHidden/>
              </w:rPr>
              <w:fldChar w:fldCharType="separate"/>
            </w:r>
            <w:r w:rsidR="008A2AC2">
              <w:rPr>
                <w:noProof/>
                <w:webHidden/>
              </w:rPr>
              <w:t>59</w:t>
            </w:r>
            <w:r w:rsidR="007D5C30">
              <w:rPr>
                <w:noProof/>
                <w:webHidden/>
              </w:rPr>
              <w:fldChar w:fldCharType="end"/>
            </w:r>
          </w:hyperlink>
        </w:p>
        <w:p w14:paraId="765F830D" w14:textId="77777777" w:rsidR="007D5C30" w:rsidRDefault="00EE2A70">
          <w:pPr>
            <w:pStyle w:val="TOC3"/>
            <w:tabs>
              <w:tab w:val="right" w:leader="dot" w:pos="10456"/>
            </w:tabs>
            <w:rPr>
              <w:noProof/>
            </w:rPr>
          </w:pPr>
          <w:hyperlink w:anchor="_Toc1747201" w:history="1">
            <w:r w:rsidR="007D5C30" w:rsidRPr="008C2D9C">
              <w:rPr>
                <w:rStyle w:val="Hyperlink"/>
                <w:noProof/>
              </w:rPr>
              <w:t>Epidemiological situation in 2015</w:t>
            </w:r>
            <w:r w:rsidR="007D5C30">
              <w:rPr>
                <w:noProof/>
                <w:webHidden/>
              </w:rPr>
              <w:tab/>
            </w:r>
            <w:r w:rsidR="007D5C30">
              <w:rPr>
                <w:noProof/>
                <w:webHidden/>
              </w:rPr>
              <w:fldChar w:fldCharType="begin"/>
            </w:r>
            <w:r w:rsidR="007D5C30">
              <w:rPr>
                <w:noProof/>
                <w:webHidden/>
              </w:rPr>
              <w:instrText xml:space="preserve"> PAGEREF _Toc1747201 \h </w:instrText>
            </w:r>
            <w:r w:rsidR="007D5C30">
              <w:rPr>
                <w:noProof/>
                <w:webHidden/>
              </w:rPr>
            </w:r>
            <w:r w:rsidR="007D5C30">
              <w:rPr>
                <w:noProof/>
                <w:webHidden/>
              </w:rPr>
              <w:fldChar w:fldCharType="separate"/>
            </w:r>
            <w:r w:rsidR="008A2AC2">
              <w:rPr>
                <w:noProof/>
                <w:webHidden/>
              </w:rPr>
              <w:t>59</w:t>
            </w:r>
            <w:r w:rsidR="007D5C30">
              <w:rPr>
                <w:noProof/>
                <w:webHidden/>
              </w:rPr>
              <w:fldChar w:fldCharType="end"/>
            </w:r>
          </w:hyperlink>
        </w:p>
        <w:p w14:paraId="4933729F" w14:textId="77777777" w:rsidR="007D5C30" w:rsidRDefault="00EE2A70">
          <w:pPr>
            <w:pStyle w:val="TOC3"/>
            <w:tabs>
              <w:tab w:val="right" w:leader="dot" w:pos="10456"/>
            </w:tabs>
            <w:rPr>
              <w:noProof/>
            </w:rPr>
          </w:pPr>
          <w:hyperlink w:anchor="_Toc1747202" w:history="1">
            <w:r w:rsidR="007D5C30" w:rsidRPr="008C2D9C">
              <w:rPr>
                <w:rStyle w:val="Hyperlink"/>
                <w:noProof/>
              </w:rPr>
              <w:t>Geographical distribution</w:t>
            </w:r>
            <w:r w:rsidR="007D5C30">
              <w:rPr>
                <w:noProof/>
                <w:webHidden/>
              </w:rPr>
              <w:tab/>
            </w:r>
            <w:r w:rsidR="007D5C30">
              <w:rPr>
                <w:noProof/>
                <w:webHidden/>
              </w:rPr>
              <w:fldChar w:fldCharType="begin"/>
            </w:r>
            <w:r w:rsidR="007D5C30">
              <w:rPr>
                <w:noProof/>
                <w:webHidden/>
              </w:rPr>
              <w:instrText xml:space="preserve"> PAGEREF _Toc1747202 \h </w:instrText>
            </w:r>
            <w:r w:rsidR="007D5C30">
              <w:rPr>
                <w:noProof/>
                <w:webHidden/>
              </w:rPr>
            </w:r>
            <w:r w:rsidR="007D5C30">
              <w:rPr>
                <w:noProof/>
                <w:webHidden/>
              </w:rPr>
              <w:fldChar w:fldCharType="separate"/>
            </w:r>
            <w:r w:rsidR="008A2AC2">
              <w:rPr>
                <w:noProof/>
                <w:webHidden/>
              </w:rPr>
              <w:t>59</w:t>
            </w:r>
            <w:r w:rsidR="007D5C30">
              <w:rPr>
                <w:noProof/>
                <w:webHidden/>
              </w:rPr>
              <w:fldChar w:fldCharType="end"/>
            </w:r>
          </w:hyperlink>
        </w:p>
        <w:p w14:paraId="55C122FD" w14:textId="77777777" w:rsidR="007D5C30" w:rsidRDefault="00EE2A70">
          <w:pPr>
            <w:pStyle w:val="TOC3"/>
            <w:tabs>
              <w:tab w:val="right" w:leader="dot" w:pos="10456"/>
            </w:tabs>
            <w:rPr>
              <w:noProof/>
            </w:rPr>
          </w:pPr>
          <w:hyperlink w:anchor="_Toc1747203" w:history="1">
            <w:r w:rsidR="007D5C30" w:rsidRPr="008C2D9C">
              <w:rPr>
                <w:rStyle w:val="Hyperlink"/>
                <w:noProof/>
              </w:rPr>
              <w:t>Age and sex distribution</w:t>
            </w:r>
            <w:r w:rsidR="007D5C30">
              <w:rPr>
                <w:noProof/>
                <w:webHidden/>
              </w:rPr>
              <w:tab/>
            </w:r>
            <w:r w:rsidR="007D5C30">
              <w:rPr>
                <w:noProof/>
                <w:webHidden/>
              </w:rPr>
              <w:fldChar w:fldCharType="begin"/>
            </w:r>
            <w:r w:rsidR="007D5C30">
              <w:rPr>
                <w:noProof/>
                <w:webHidden/>
              </w:rPr>
              <w:instrText xml:space="preserve"> PAGEREF _Toc1747203 \h </w:instrText>
            </w:r>
            <w:r w:rsidR="007D5C30">
              <w:rPr>
                <w:noProof/>
                <w:webHidden/>
              </w:rPr>
            </w:r>
            <w:r w:rsidR="007D5C30">
              <w:rPr>
                <w:noProof/>
                <w:webHidden/>
              </w:rPr>
              <w:fldChar w:fldCharType="separate"/>
            </w:r>
            <w:r w:rsidR="008A2AC2">
              <w:rPr>
                <w:noProof/>
                <w:webHidden/>
              </w:rPr>
              <w:t>60</w:t>
            </w:r>
            <w:r w:rsidR="007D5C30">
              <w:rPr>
                <w:noProof/>
                <w:webHidden/>
              </w:rPr>
              <w:fldChar w:fldCharType="end"/>
            </w:r>
          </w:hyperlink>
        </w:p>
        <w:p w14:paraId="6D682CF5" w14:textId="77777777" w:rsidR="007D5C30" w:rsidRDefault="00EE2A70">
          <w:pPr>
            <w:pStyle w:val="TOC2"/>
            <w:tabs>
              <w:tab w:val="right" w:leader="dot" w:pos="10456"/>
            </w:tabs>
            <w:rPr>
              <w:b w:val="0"/>
              <w:noProof/>
            </w:rPr>
          </w:pPr>
          <w:hyperlink w:anchor="_Toc1747204" w:history="1">
            <w:r w:rsidR="007D5C30" w:rsidRPr="008C2D9C">
              <w:rPr>
                <w:rStyle w:val="Hyperlink"/>
                <w:noProof/>
              </w:rPr>
              <w:t>Hepatitis A</w:t>
            </w:r>
            <w:r w:rsidR="007D5C30">
              <w:rPr>
                <w:noProof/>
                <w:webHidden/>
              </w:rPr>
              <w:tab/>
            </w:r>
            <w:r w:rsidR="007D5C30">
              <w:rPr>
                <w:noProof/>
                <w:webHidden/>
              </w:rPr>
              <w:fldChar w:fldCharType="begin"/>
            </w:r>
            <w:r w:rsidR="007D5C30">
              <w:rPr>
                <w:noProof/>
                <w:webHidden/>
              </w:rPr>
              <w:instrText xml:space="preserve"> PAGEREF _Toc1747204 \h </w:instrText>
            </w:r>
            <w:r w:rsidR="007D5C30">
              <w:rPr>
                <w:noProof/>
                <w:webHidden/>
              </w:rPr>
            </w:r>
            <w:r w:rsidR="007D5C30">
              <w:rPr>
                <w:noProof/>
                <w:webHidden/>
              </w:rPr>
              <w:fldChar w:fldCharType="separate"/>
            </w:r>
            <w:r w:rsidR="008A2AC2">
              <w:rPr>
                <w:noProof/>
                <w:webHidden/>
              </w:rPr>
              <w:t>60</w:t>
            </w:r>
            <w:r w:rsidR="007D5C30">
              <w:rPr>
                <w:noProof/>
                <w:webHidden/>
              </w:rPr>
              <w:fldChar w:fldCharType="end"/>
            </w:r>
          </w:hyperlink>
        </w:p>
        <w:p w14:paraId="5091A62B" w14:textId="77777777" w:rsidR="007D5C30" w:rsidRDefault="00EE2A70">
          <w:pPr>
            <w:pStyle w:val="TOC3"/>
            <w:tabs>
              <w:tab w:val="right" w:leader="dot" w:pos="10456"/>
            </w:tabs>
            <w:rPr>
              <w:noProof/>
            </w:rPr>
          </w:pPr>
          <w:hyperlink w:anchor="_Toc1747205" w:history="1">
            <w:r w:rsidR="007D5C30" w:rsidRPr="008C2D9C">
              <w:rPr>
                <w:rStyle w:val="Hyperlink"/>
                <w:noProof/>
              </w:rPr>
              <w:t>Epidemiological situation in 2015</w:t>
            </w:r>
            <w:r w:rsidR="007D5C30">
              <w:rPr>
                <w:noProof/>
                <w:webHidden/>
              </w:rPr>
              <w:tab/>
            </w:r>
            <w:r w:rsidR="007D5C30">
              <w:rPr>
                <w:noProof/>
                <w:webHidden/>
              </w:rPr>
              <w:fldChar w:fldCharType="begin"/>
            </w:r>
            <w:r w:rsidR="007D5C30">
              <w:rPr>
                <w:noProof/>
                <w:webHidden/>
              </w:rPr>
              <w:instrText xml:space="preserve"> PAGEREF _Toc1747205 \h </w:instrText>
            </w:r>
            <w:r w:rsidR="007D5C30">
              <w:rPr>
                <w:noProof/>
                <w:webHidden/>
              </w:rPr>
            </w:r>
            <w:r w:rsidR="007D5C30">
              <w:rPr>
                <w:noProof/>
                <w:webHidden/>
              </w:rPr>
              <w:fldChar w:fldCharType="separate"/>
            </w:r>
            <w:r w:rsidR="008A2AC2">
              <w:rPr>
                <w:noProof/>
                <w:webHidden/>
              </w:rPr>
              <w:t>60</w:t>
            </w:r>
            <w:r w:rsidR="007D5C30">
              <w:rPr>
                <w:noProof/>
                <w:webHidden/>
              </w:rPr>
              <w:fldChar w:fldCharType="end"/>
            </w:r>
          </w:hyperlink>
        </w:p>
        <w:p w14:paraId="7EA0A080" w14:textId="77777777" w:rsidR="007D5C30" w:rsidRDefault="00EE2A70">
          <w:pPr>
            <w:pStyle w:val="TOC3"/>
            <w:tabs>
              <w:tab w:val="right" w:leader="dot" w:pos="10456"/>
            </w:tabs>
            <w:rPr>
              <w:noProof/>
            </w:rPr>
          </w:pPr>
          <w:hyperlink w:anchor="_Toc1747206" w:history="1">
            <w:r w:rsidR="007D5C30" w:rsidRPr="008C2D9C">
              <w:rPr>
                <w:rStyle w:val="Hyperlink"/>
                <w:noProof/>
              </w:rPr>
              <w:t>Geographical distribution</w:t>
            </w:r>
            <w:r w:rsidR="007D5C30">
              <w:rPr>
                <w:noProof/>
                <w:webHidden/>
              </w:rPr>
              <w:tab/>
            </w:r>
            <w:r w:rsidR="007D5C30">
              <w:rPr>
                <w:noProof/>
                <w:webHidden/>
              </w:rPr>
              <w:fldChar w:fldCharType="begin"/>
            </w:r>
            <w:r w:rsidR="007D5C30">
              <w:rPr>
                <w:noProof/>
                <w:webHidden/>
              </w:rPr>
              <w:instrText xml:space="preserve"> PAGEREF _Toc1747206 \h </w:instrText>
            </w:r>
            <w:r w:rsidR="007D5C30">
              <w:rPr>
                <w:noProof/>
                <w:webHidden/>
              </w:rPr>
            </w:r>
            <w:r w:rsidR="007D5C30">
              <w:rPr>
                <w:noProof/>
                <w:webHidden/>
              </w:rPr>
              <w:fldChar w:fldCharType="separate"/>
            </w:r>
            <w:r w:rsidR="008A2AC2">
              <w:rPr>
                <w:noProof/>
                <w:webHidden/>
              </w:rPr>
              <w:t>61</w:t>
            </w:r>
            <w:r w:rsidR="007D5C30">
              <w:rPr>
                <w:noProof/>
                <w:webHidden/>
              </w:rPr>
              <w:fldChar w:fldCharType="end"/>
            </w:r>
          </w:hyperlink>
        </w:p>
        <w:p w14:paraId="733A4961" w14:textId="77777777" w:rsidR="007D5C30" w:rsidRDefault="00EE2A70">
          <w:pPr>
            <w:pStyle w:val="TOC3"/>
            <w:tabs>
              <w:tab w:val="right" w:leader="dot" w:pos="10456"/>
            </w:tabs>
            <w:rPr>
              <w:noProof/>
            </w:rPr>
          </w:pPr>
          <w:hyperlink w:anchor="_Toc1747207" w:history="1">
            <w:r w:rsidR="007D5C30" w:rsidRPr="008C2D9C">
              <w:rPr>
                <w:rStyle w:val="Hyperlink"/>
                <w:noProof/>
              </w:rPr>
              <w:t>Age and sex distribution</w:t>
            </w:r>
            <w:r w:rsidR="007D5C30">
              <w:rPr>
                <w:noProof/>
                <w:webHidden/>
              </w:rPr>
              <w:tab/>
            </w:r>
            <w:r w:rsidR="007D5C30">
              <w:rPr>
                <w:noProof/>
                <w:webHidden/>
              </w:rPr>
              <w:fldChar w:fldCharType="begin"/>
            </w:r>
            <w:r w:rsidR="007D5C30">
              <w:rPr>
                <w:noProof/>
                <w:webHidden/>
              </w:rPr>
              <w:instrText xml:space="preserve"> PAGEREF _Toc1747207 \h </w:instrText>
            </w:r>
            <w:r w:rsidR="007D5C30">
              <w:rPr>
                <w:noProof/>
                <w:webHidden/>
              </w:rPr>
            </w:r>
            <w:r w:rsidR="007D5C30">
              <w:rPr>
                <w:noProof/>
                <w:webHidden/>
              </w:rPr>
              <w:fldChar w:fldCharType="separate"/>
            </w:r>
            <w:r w:rsidR="008A2AC2">
              <w:rPr>
                <w:noProof/>
                <w:webHidden/>
              </w:rPr>
              <w:t>61</w:t>
            </w:r>
            <w:r w:rsidR="007D5C30">
              <w:rPr>
                <w:noProof/>
                <w:webHidden/>
              </w:rPr>
              <w:fldChar w:fldCharType="end"/>
            </w:r>
          </w:hyperlink>
        </w:p>
        <w:p w14:paraId="1E1E0A3F" w14:textId="77777777" w:rsidR="007D5C30" w:rsidRDefault="00EE2A70">
          <w:pPr>
            <w:pStyle w:val="TOC3"/>
            <w:tabs>
              <w:tab w:val="right" w:leader="dot" w:pos="10456"/>
            </w:tabs>
            <w:rPr>
              <w:noProof/>
            </w:rPr>
          </w:pPr>
          <w:hyperlink w:anchor="_Toc1747208" w:history="1">
            <w:r w:rsidR="007D5C30" w:rsidRPr="008C2D9C">
              <w:rPr>
                <w:rStyle w:val="Hyperlink"/>
                <w:noProof/>
              </w:rPr>
              <w:t>Indigenous status</w:t>
            </w:r>
            <w:r w:rsidR="007D5C30">
              <w:rPr>
                <w:noProof/>
                <w:webHidden/>
              </w:rPr>
              <w:tab/>
            </w:r>
            <w:r w:rsidR="007D5C30">
              <w:rPr>
                <w:noProof/>
                <w:webHidden/>
              </w:rPr>
              <w:fldChar w:fldCharType="begin"/>
            </w:r>
            <w:r w:rsidR="007D5C30">
              <w:rPr>
                <w:noProof/>
                <w:webHidden/>
              </w:rPr>
              <w:instrText xml:space="preserve"> PAGEREF _Toc1747208 \h </w:instrText>
            </w:r>
            <w:r w:rsidR="007D5C30">
              <w:rPr>
                <w:noProof/>
                <w:webHidden/>
              </w:rPr>
            </w:r>
            <w:r w:rsidR="007D5C30">
              <w:rPr>
                <w:noProof/>
                <w:webHidden/>
              </w:rPr>
              <w:fldChar w:fldCharType="separate"/>
            </w:r>
            <w:r w:rsidR="008A2AC2">
              <w:rPr>
                <w:noProof/>
                <w:webHidden/>
              </w:rPr>
              <w:t>62</w:t>
            </w:r>
            <w:r w:rsidR="007D5C30">
              <w:rPr>
                <w:noProof/>
                <w:webHidden/>
              </w:rPr>
              <w:fldChar w:fldCharType="end"/>
            </w:r>
          </w:hyperlink>
        </w:p>
        <w:p w14:paraId="017BDE0B" w14:textId="77777777" w:rsidR="007D5C30" w:rsidRDefault="00EE2A70">
          <w:pPr>
            <w:pStyle w:val="TOC3"/>
            <w:tabs>
              <w:tab w:val="right" w:leader="dot" w:pos="10456"/>
            </w:tabs>
            <w:rPr>
              <w:noProof/>
            </w:rPr>
          </w:pPr>
          <w:hyperlink w:anchor="_Toc1747209" w:history="1">
            <w:r w:rsidR="007D5C30" w:rsidRPr="008C2D9C">
              <w:rPr>
                <w:rStyle w:val="Hyperlink"/>
                <w:noProof/>
              </w:rPr>
              <w:t>Place of acquisition</w:t>
            </w:r>
            <w:r w:rsidR="007D5C30">
              <w:rPr>
                <w:noProof/>
                <w:webHidden/>
              </w:rPr>
              <w:tab/>
            </w:r>
            <w:r w:rsidR="007D5C30">
              <w:rPr>
                <w:noProof/>
                <w:webHidden/>
              </w:rPr>
              <w:fldChar w:fldCharType="begin"/>
            </w:r>
            <w:r w:rsidR="007D5C30">
              <w:rPr>
                <w:noProof/>
                <w:webHidden/>
              </w:rPr>
              <w:instrText xml:space="preserve"> PAGEREF _Toc1747209 \h </w:instrText>
            </w:r>
            <w:r w:rsidR="007D5C30">
              <w:rPr>
                <w:noProof/>
                <w:webHidden/>
              </w:rPr>
            </w:r>
            <w:r w:rsidR="007D5C30">
              <w:rPr>
                <w:noProof/>
                <w:webHidden/>
              </w:rPr>
              <w:fldChar w:fldCharType="separate"/>
            </w:r>
            <w:r w:rsidR="008A2AC2">
              <w:rPr>
                <w:noProof/>
                <w:webHidden/>
              </w:rPr>
              <w:t>62</w:t>
            </w:r>
            <w:r w:rsidR="007D5C30">
              <w:rPr>
                <w:noProof/>
                <w:webHidden/>
              </w:rPr>
              <w:fldChar w:fldCharType="end"/>
            </w:r>
          </w:hyperlink>
        </w:p>
        <w:p w14:paraId="08020698" w14:textId="77777777" w:rsidR="007D5C30" w:rsidRDefault="00EE2A70">
          <w:pPr>
            <w:pStyle w:val="TOC2"/>
            <w:tabs>
              <w:tab w:val="right" w:leader="dot" w:pos="10456"/>
            </w:tabs>
            <w:rPr>
              <w:b w:val="0"/>
              <w:noProof/>
            </w:rPr>
          </w:pPr>
          <w:hyperlink w:anchor="_Toc1747210" w:history="1">
            <w:r w:rsidR="007D5C30" w:rsidRPr="008C2D9C">
              <w:rPr>
                <w:rStyle w:val="Hyperlink"/>
                <w:noProof/>
              </w:rPr>
              <w:t>Hepatitis E</w:t>
            </w:r>
            <w:r w:rsidR="007D5C30">
              <w:rPr>
                <w:noProof/>
                <w:webHidden/>
              </w:rPr>
              <w:tab/>
            </w:r>
            <w:r w:rsidR="007D5C30">
              <w:rPr>
                <w:noProof/>
                <w:webHidden/>
              </w:rPr>
              <w:fldChar w:fldCharType="begin"/>
            </w:r>
            <w:r w:rsidR="007D5C30">
              <w:rPr>
                <w:noProof/>
                <w:webHidden/>
              </w:rPr>
              <w:instrText xml:space="preserve"> PAGEREF _Toc1747210 \h </w:instrText>
            </w:r>
            <w:r w:rsidR="007D5C30">
              <w:rPr>
                <w:noProof/>
                <w:webHidden/>
              </w:rPr>
            </w:r>
            <w:r w:rsidR="007D5C30">
              <w:rPr>
                <w:noProof/>
                <w:webHidden/>
              </w:rPr>
              <w:fldChar w:fldCharType="separate"/>
            </w:r>
            <w:r w:rsidR="008A2AC2">
              <w:rPr>
                <w:noProof/>
                <w:webHidden/>
              </w:rPr>
              <w:t>63</w:t>
            </w:r>
            <w:r w:rsidR="007D5C30">
              <w:rPr>
                <w:noProof/>
                <w:webHidden/>
              </w:rPr>
              <w:fldChar w:fldCharType="end"/>
            </w:r>
          </w:hyperlink>
        </w:p>
        <w:p w14:paraId="50C3AA58" w14:textId="77777777" w:rsidR="007D5C30" w:rsidRDefault="00EE2A70">
          <w:pPr>
            <w:pStyle w:val="TOC3"/>
            <w:tabs>
              <w:tab w:val="right" w:leader="dot" w:pos="10456"/>
            </w:tabs>
            <w:rPr>
              <w:noProof/>
            </w:rPr>
          </w:pPr>
          <w:hyperlink w:anchor="_Toc1747211" w:history="1">
            <w:r w:rsidR="007D5C30" w:rsidRPr="008C2D9C">
              <w:rPr>
                <w:rStyle w:val="Hyperlink"/>
                <w:noProof/>
              </w:rPr>
              <w:t>Epidemiological situation in 2015</w:t>
            </w:r>
            <w:r w:rsidR="007D5C30">
              <w:rPr>
                <w:noProof/>
                <w:webHidden/>
              </w:rPr>
              <w:tab/>
            </w:r>
            <w:r w:rsidR="007D5C30">
              <w:rPr>
                <w:noProof/>
                <w:webHidden/>
              </w:rPr>
              <w:fldChar w:fldCharType="begin"/>
            </w:r>
            <w:r w:rsidR="007D5C30">
              <w:rPr>
                <w:noProof/>
                <w:webHidden/>
              </w:rPr>
              <w:instrText xml:space="preserve"> PAGEREF _Toc1747211 \h </w:instrText>
            </w:r>
            <w:r w:rsidR="007D5C30">
              <w:rPr>
                <w:noProof/>
                <w:webHidden/>
              </w:rPr>
            </w:r>
            <w:r w:rsidR="007D5C30">
              <w:rPr>
                <w:noProof/>
                <w:webHidden/>
              </w:rPr>
              <w:fldChar w:fldCharType="separate"/>
            </w:r>
            <w:r w:rsidR="008A2AC2">
              <w:rPr>
                <w:noProof/>
                <w:webHidden/>
              </w:rPr>
              <w:t>63</w:t>
            </w:r>
            <w:r w:rsidR="007D5C30">
              <w:rPr>
                <w:noProof/>
                <w:webHidden/>
              </w:rPr>
              <w:fldChar w:fldCharType="end"/>
            </w:r>
          </w:hyperlink>
        </w:p>
        <w:p w14:paraId="7D6ACEFD" w14:textId="77777777" w:rsidR="007D5C30" w:rsidRDefault="00EE2A70">
          <w:pPr>
            <w:pStyle w:val="TOC3"/>
            <w:tabs>
              <w:tab w:val="right" w:leader="dot" w:pos="10456"/>
            </w:tabs>
            <w:rPr>
              <w:noProof/>
            </w:rPr>
          </w:pPr>
          <w:hyperlink w:anchor="_Toc1747212" w:history="1">
            <w:r w:rsidR="007D5C30" w:rsidRPr="008C2D9C">
              <w:rPr>
                <w:rStyle w:val="Hyperlink"/>
                <w:noProof/>
              </w:rPr>
              <w:t>Geographical distribution</w:t>
            </w:r>
            <w:r w:rsidR="007D5C30">
              <w:rPr>
                <w:noProof/>
                <w:webHidden/>
              </w:rPr>
              <w:tab/>
            </w:r>
            <w:r w:rsidR="007D5C30">
              <w:rPr>
                <w:noProof/>
                <w:webHidden/>
              </w:rPr>
              <w:fldChar w:fldCharType="begin"/>
            </w:r>
            <w:r w:rsidR="007D5C30">
              <w:rPr>
                <w:noProof/>
                <w:webHidden/>
              </w:rPr>
              <w:instrText xml:space="preserve"> PAGEREF _Toc1747212 \h </w:instrText>
            </w:r>
            <w:r w:rsidR="007D5C30">
              <w:rPr>
                <w:noProof/>
                <w:webHidden/>
              </w:rPr>
            </w:r>
            <w:r w:rsidR="007D5C30">
              <w:rPr>
                <w:noProof/>
                <w:webHidden/>
              </w:rPr>
              <w:fldChar w:fldCharType="separate"/>
            </w:r>
            <w:r w:rsidR="008A2AC2">
              <w:rPr>
                <w:noProof/>
                <w:webHidden/>
              </w:rPr>
              <w:t>63</w:t>
            </w:r>
            <w:r w:rsidR="007D5C30">
              <w:rPr>
                <w:noProof/>
                <w:webHidden/>
              </w:rPr>
              <w:fldChar w:fldCharType="end"/>
            </w:r>
          </w:hyperlink>
        </w:p>
        <w:p w14:paraId="0593C057" w14:textId="77777777" w:rsidR="007D5C30" w:rsidRDefault="00EE2A70">
          <w:pPr>
            <w:pStyle w:val="TOC3"/>
            <w:tabs>
              <w:tab w:val="right" w:leader="dot" w:pos="10456"/>
            </w:tabs>
            <w:rPr>
              <w:noProof/>
            </w:rPr>
          </w:pPr>
          <w:hyperlink w:anchor="_Toc1747213" w:history="1">
            <w:r w:rsidR="007D5C30" w:rsidRPr="008C2D9C">
              <w:rPr>
                <w:rStyle w:val="Hyperlink"/>
                <w:noProof/>
              </w:rPr>
              <w:t>Age and sex distribution</w:t>
            </w:r>
            <w:r w:rsidR="007D5C30">
              <w:rPr>
                <w:noProof/>
                <w:webHidden/>
              </w:rPr>
              <w:tab/>
            </w:r>
            <w:r w:rsidR="007D5C30">
              <w:rPr>
                <w:noProof/>
                <w:webHidden/>
              </w:rPr>
              <w:fldChar w:fldCharType="begin"/>
            </w:r>
            <w:r w:rsidR="007D5C30">
              <w:rPr>
                <w:noProof/>
                <w:webHidden/>
              </w:rPr>
              <w:instrText xml:space="preserve"> PAGEREF _Toc1747213 \h </w:instrText>
            </w:r>
            <w:r w:rsidR="007D5C30">
              <w:rPr>
                <w:noProof/>
                <w:webHidden/>
              </w:rPr>
            </w:r>
            <w:r w:rsidR="007D5C30">
              <w:rPr>
                <w:noProof/>
                <w:webHidden/>
              </w:rPr>
              <w:fldChar w:fldCharType="separate"/>
            </w:r>
            <w:r w:rsidR="008A2AC2">
              <w:rPr>
                <w:noProof/>
                <w:webHidden/>
              </w:rPr>
              <w:t>63</w:t>
            </w:r>
            <w:r w:rsidR="007D5C30">
              <w:rPr>
                <w:noProof/>
                <w:webHidden/>
              </w:rPr>
              <w:fldChar w:fldCharType="end"/>
            </w:r>
          </w:hyperlink>
        </w:p>
        <w:p w14:paraId="104689F9" w14:textId="77777777" w:rsidR="007D5C30" w:rsidRDefault="00EE2A70">
          <w:pPr>
            <w:pStyle w:val="TOC3"/>
            <w:tabs>
              <w:tab w:val="right" w:leader="dot" w:pos="10456"/>
            </w:tabs>
            <w:rPr>
              <w:noProof/>
            </w:rPr>
          </w:pPr>
          <w:hyperlink w:anchor="_Toc1747214" w:history="1">
            <w:r w:rsidR="007D5C30" w:rsidRPr="008C2D9C">
              <w:rPr>
                <w:rStyle w:val="Hyperlink"/>
                <w:noProof/>
              </w:rPr>
              <w:t>Place of acquisition</w:t>
            </w:r>
            <w:r w:rsidR="007D5C30">
              <w:rPr>
                <w:noProof/>
                <w:webHidden/>
              </w:rPr>
              <w:tab/>
            </w:r>
            <w:r w:rsidR="007D5C30">
              <w:rPr>
                <w:noProof/>
                <w:webHidden/>
              </w:rPr>
              <w:fldChar w:fldCharType="begin"/>
            </w:r>
            <w:r w:rsidR="007D5C30">
              <w:rPr>
                <w:noProof/>
                <w:webHidden/>
              </w:rPr>
              <w:instrText xml:space="preserve"> PAGEREF _Toc1747214 \h </w:instrText>
            </w:r>
            <w:r w:rsidR="007D5C30">
              <w:rPr>
                <w:noProof/>
                <w:webHidden/>
              </w:rPr>
            </w:r>
            <w:r w:rsidR="007D5C30">
              <w:rPr>
                <w:noProof/>
                <w:webHidden/>
              </w:rPr>
              <w:fldChar w:fldCharType="separate"/>
            </w:r>
            <w:r w:rsidR="008A2AC2">
              <w:rPr>
                <w:noProof/>
                <w:webHidden/>
              </w:rPr>
              <w:t>64</w:t>
            </w:r>
            <w:r w:rsidR="007D5C30">
              <w:rPr>
                <w:noProof/>
                <w:webHidden/>
              </w:rPr>
              <w:fldChar w:fldCharType="end"/>
            </w:r>
          </w:hyperlink>
        </w:p>
        <w:p w14:paraId="7D27CA0E" w14:textId="77777777" w:rsidR="007D5C30" w:rsidRDefault="00EE2A70">
          <w:pPr>
            <w:pStyle w:val="TOC2"/>
            <w:tabs>
              <w:tab w:val="right" w:leader="dot" w:pos="10456"/>
            </w:tabs>
            <w:rPr>
              <w:b w:val="0"/>
              <w:noProof/>
            </w:rPr>
          </w:pPr>
          <w:hyperlink w:anchor="_Toc1747215" w:history="1">
            <w:r w:rsidR="007D5C30" w:rsidRPr="008C2D9C">
              <w:rPr>
                <w:rStyle w:val="Hyperlink"/>
                <w:noProof/>
              </w:rPr>
              <w:t>Listeriosis</w:t>
            </w:r>
            <w:r w:rsidR="007D5C30">
              <w:rPr>
                <w:noProof/>
                <w:webHidden/>
              </w:rPr>
              <w:tab/>
            </w:r>
            <w:r w:rsidR="007D5C30">
              <w:rPr>
                <w:noProof/>
                <w:webHidden/>
              </w:rPr>
              <w:fldChar w:fldCharType="begin"/>
            </w:r>
            <w:r w:rsidR="007D5C30">
              <w:rPr>
                <w:noProof/>
                <w:webHidden/>
              </w:rPr>
              <w:instrText xml:space="preserve"> PAGEREF _Toc1747215 \h </w:instrText>
            </w:r>
            <w:r w:rsidR="007D5C30">
              <w:rPr>
                <w:noProof/>
                <w:webHidden/>
              </w:rPr>
            </w:r>
            <w:r w:rsidR="007D5C30">
              <w:rPr>
                <w:noProof/>
                <w:webHidden/>
              </w:rPr>
              <w:fldChar w:fldCharType="separate"/>
            </w:r>
            <w:r w:rsidR="008A2AC2">
              <w:rPr>
                <w:noProof/>
                <w:webHidden/>
              </w:rPr>
              <w:t>64</w:t>
            </w:r>
            <w:r w:rsidR="007D5C30">
              <w:rPr>
                <w:noProof/>
                <w:webHidden/>
              </w:rPr>
              <w:fldChar w:fldCharType="end"/>
            </w:r>
          </w:hyperlink>
        </w:p>
        <w:p w14:paraId="7A7F688E" w14:textId="77777777" w:rsidR="007D5C30" w:rsidRDefault="00EE2A70">
          <w:pPr>
            <w:pStyle w:val="TOC3"/>
            <w:tabs>
              <w:tab w:val="right" w:leader="dot" w:pos="10456"/>
            </w:tabs>
            <w:rPr>
              <w:noProof/>
            </w:rPr>
          </w:pPr>
          <w:hyperlink w:anchor="_Toc1747216" w:history="1">
            <w:r w:rsidR="007D5C30" w:rsidRPr="008C2D9C">
              <w:rPr>
                <w:rStyle w:val="Hyperlink"/>
                <w:noProof/>
              </w:rPr>
              <w:t>Epidemiological situation in 2015</w:t>
            </w:r>
            <w:r w:rsidR="007D5C30">
              <w:rPr>
                <w:noProof/>
                <w:webHidden/>
              </w:rPr>
              <w:tab/>
            </w:r>
            <w:r w:rsidR="007D5C30">
              <w:rPr>
                <w:noProof/>
                <w:webHidden/>
              </w:rPr>
              <w:fldChar w:fldCharType="begin"/>
            </w:r>
            <w:r w:rsidR="007D5C30">
              <w:rPr>
                <w:noProof/>
                <w:webHidden/>
              </w:rPr>
              <w:instrText xml:space="preserve"> PAGEREF _Toc1747216 \h </w:instrText>
            </w:r>
            <w:r w:rsidR="007D5C30">
              <w:rPr>
                <w:noProof/>
                <w:webHidden/>
              </w:rPr>
            </w:r>
            <w:r w:rsidR="007D5C30">
              <w:rPr>
                <w:noProof/>
                <w:webHidden/>
              </w:rPr>
              <w:fldChar w:fldCharType="separate"/>
            </w:r>
            <w:r w:rsidR="008A2AC2">
              <w:rPr>
                <w:noProof/>
                <w:webHidden/>
              </w:rPr>
              <w:t>64</w:t>
            </w:r>
            <w:r w:rsidR="007D5C30">
              <w:rPr>
                <w:noProof/>
                <w:webHidden/>
              </w:rPr>
              <w:fldChar w:fldCharType="end"/>
            </w:r>
          </w:hyperlink>
        </w:p>
        <w:p w14:paraId="04DAF7F7" w14:textId="77777777" w:rsidR="007D5C30" w:rsidRDefault="00EE2A70">
          <w:pPr>
            <w:pStyle w:val="TOC3"/>
            <w:tabs>
              <w:tab w:val="right" w:leader="dot" w:pos="10456"/>
            </w:tabs>
            <w:rPr>
              <w:noProof/>
            </w:rPr>
          </w:pPr>
          <w:hyperlink w:anchor="_Toc1747217" w:history="1">
            <w:r w:rsidR="007D5C30" w:rsidRPr="008C2D9C">
              <w:rPr>
                <w:rStyle w:val="Hyperlink"/>
                <w:noProof/>
              </w:rPr>
              <w:t>Geographical distribution</w:t>
            </w:r>
            <w:r w:rsidR="007D5C30">
              <w:rPr>
                <w:noProof/>
                <w:webHidden/>
              </w:rPr>
              <w:tab/>
            </w:r>
            <w:r w:rsidR="007D5C30">
              <w:rPr>
                <w:noProof/>
                <w:webHidden/>
              </w:rPr>
              <w:fldChar w:fldCharType="begin"/>
            </w:r>
            <w:r w:rsidR="007D5C30">
              <w:rPr>
                <w:noProof/>
                <w:webHidden/>
              </w:rPr>
              <w:instrText xml:space="preserve"> PAGEREF _Toc1747217 \h </w:instrText>
            </w:r>
            <w:r w:rsidR="007D5C30">
              <w:rPr>
                <w:noProof/>
                <w:webHidden/>
              </w:rPr>
            </w:r>
            <w:r w:rsidR="007D5C30">
              <w:rPr>
                <w:noProof/>
                <w:webHidden/>
              </w:rPr>
              <w:fldChar w:fldCharType="separate"/>
            </w:r>
            <w:r w:rsidR="008A2AC2">
              <w:rPr>
                <w:noProof/>
                <w:webHidden/>
              </w:rPr>
              <w:t>64</w:t>
            </w:r>
            <w:r w:rsidR="007D5C30">
              <w:rPr>
                <w:noProof/>
                <w:webHidden/>
              </w:rPr>
              <w:fldChar w:fldCharType="end"/>
            </w:r>
          </w:hyperlink>
        </w:p>
        <w:p w14:paraId="5F677341" w14:textId="77777777" w:rsidR="007D5C30" w:rsidRDefault="00EE2A70">
          <w:pPr>
            <w:pStyle w:val="TOC3"/>
            <w:tabs>
              <w:tab w:val="right" w:leader="dot" w:pos="10456"/>
            </w:tabs>
            <w:rPr>
              <w:noProof/>
            </w:rPr>
          </w:pPr>
          <w:hyperlink w:anchor="_Toc1747218" w:history="1">
            <w:r w:rsidR="007D5C30" w:rsidRPr="008C2D9C">
              <w:rPr>
                <w:rStyle w:val="Hyperlink"/>
                <w:noProof/>
              </w:rPr>
              <w:t>Age and sex distribution</w:t>
            </w:r>
            <w:r w:rsidR="007D5C30">
              <w:rPr>
                <w:noProof/>
                <w:webHidden/>
              </w:rPr>
              <w:tab/>
            </w:r>
            <w:r w:rsidR="007D5C30">
              <w:rPr>
                <w:noProof/>
                <w:webHidden/>
              </w:rPr>
              <w:fldChar w:fldCharType="begin"/>
            </w:r>
            <w:r w:rsidR="007D5C30">
              <w:rPr>
                <w:noProof/>
                <w:webHidden/>
              </w:rPr>
              <w:instrText xml:space="preserve"> PAGEREF _Toc1747218 \h </w:instrText>
            </w:r>
            <w:r w:rsidR="007D5C30">
              <w:rPr>
                <w:noProof/>
                <w:webHidden/>
              </w:rPr>
            </w:r>
            <w:r w:rsidR="007D5C30">
              <w:rPr>
                <w:noProof/>
                <w:webHidden/>
              </w:rPr>
              <w:fldChar w:fldCharType="separate"/>
            </w:r>
            <w:r w:rsidR="008A2AC2">
              <w:rPr>
                <w:noProof/>
                <w:webHidden/>
              </w:rPr>
              <w:t>65</w:t>
            </w:r>
            <w:r w:rsidR="007D5C30">
              <w:rPr>
                <w:noProof/>
                <w:webHidden/>
              </w:rPr>
              <w:fldChar w:fldCharType="end"/>
            </w:r>
          </w:hyperlink>
        </w:p>
        <w:p w14:paraId="1EBD6B1E" w14:textId="77777777" w:rsidR="007D5C30" w:rsidRDefault="00EE2A70">
          <w:pPr>
            <w:pStyle w:val="TOC3"/>
            <w:tabs>
              <w:tab w:val="right" w:leader="dot" w:pos="10456"/>
            </w:tabs>
            <w:rPr>
              <w:noProof/>
            </w:rPr>
          </w:pPr>
          <w:hyperlink w:anchor="_Toc1747219" w:history="1">
            <w:r w:rsidR="007D5C30" w:rsidRPr="008C2D9C">
              <w:rPr>
                <w:rStyle w:val="Hyperlink"/>
                <w:noProof/>
              </w:rPr>
              <w:t>Enhanced surveillance datasets</w:t>
            </w:r>
            <w:r w:rsidR="007D5C30">
              <w:rPr>
                <w:noProof/>
                <w:webHidden/>
              </w:rPr>
              <w:tab/>
            </w:r>
            <w:r w:rsidR="007D5C30">
              <w:rPr>
                <w:noProof/>
                <w:webHidden/>
              </w:rPr>
              <w:fldChar w:fldCharType="begin"/>
            </w:r>
            <w:r w:rsidR="007D5C30">
              <w:rPr>
                <w:noProof/>
                <w:webHidden/>
              </w:rPr>
              <w:instrText xml:space="preserve"> PAGEREF _Toc1747219 \h </w:instrText>
            </w:r>
            <w:r w:rsidR="007D5C30">
              <w:rPr>
                <w:noProof/>
                <w:webHidden/>
              </w:rPr>
            </w:r>
            <w:r w:rsidR="007D5C30">
              <w:rPr>
                <w:noProof/>
                <w:webHidden/>
              </w:rPr>
              <w:fldChar w:fldCharType="separate"/>
            </w:r>
            <w:r w:rsidR="008A2AC2">
              <w:rPr>
                <w:noProof/>
                <w:webHidden/>
              </w:rPr>
              <w:t>65</w:t>
            </w:r>
            <w:r w:rsidR="007D5C30">
              <w:rPr>
                <w:noProof/>
                <w:webHidden/>
              </w:rPr>
              <w:fldChar w:fldCharType="end"/>
            </w:r>
          </w:hyperlink>
        </w:p>
        <w:p w14:paraId="63C323F4" w14:textId="77777777" w:rsidR="007D5C30" w:rsidRDefault="00EE2A70">
          <w:pPr>
            <w:pStyle w:val="TOC2"/>
            <w:tabs>
              <w:tab w:val="right" w:leader="dot" w:pos="10456"/>
            </w:tabs>
            <w:rPr>
              <w:b w:val="0"/>
              <w:noProof/>
            </w:rPr>
          </w:pPr>
          <w:hyperlink w:anchor="_Toc1747220" w:history="1">
            <w:r w:rsidR="007D5C30" w:rsidRPr="008C2D9C">
              <w:rPr>
                <w:rStyle w:val="Hyperlink"/>
                <w:noProof/>
              </w:rPr>
              <w:t>Paratyphoid</w:t>
            </w:r>
            <w:r w:rsidR="007D5C30">
              <w:rPr>
                <w:noProof/>
                <w:webHidden/>
              </w:rPr>
              <w:tab/>
            </w:r>
            <w:r w:rsidR="007D5C30">
              <w:rPr>
                <w:noProof/>
                <w:webHidden/>
              </w:rPr>
              <w:fldChar w:fldCharType="begin"/>
            </w:r>
            <w:r w:rsidR="007D5C30">
              <w:rPr>
                <w:noProof/>
                <w:webHidden/>
              </w:rPr>
              <w:instrText xml:space="preserve"> PAGEREF _Toc1747220 \h </w:instrText>
            </w:r>
            <w:r w:rsidR="007D5C30">
              <w:rPr>
                <w:noProof/>
                <w:webHidden/>
              </w:rPr>
            </w:r>
            <w:r w:rsidR="007D5C30">
              <w:rPr>
                <w:noProof/>
                <w:webHidden/>
              </w:rPr>
              <w:fldChar w:fldCharType="separate"/>
            </w:r>
            <w:r w:rsidR="008A2AC2">
              <w:rPr>
                <w:noProof/>
                <w:webHidden/>
              </w:rPr>
              <w:t>65</w:t>
            </w:r>
            <w:r w:rsidR="007D5C30">
              <w:rPr>
                <w:noProof/>
                <w:webHidden/>
              </w:rPr>
              <w:fldChar w:fldCharType="end"/>
            </w:r>
          </w:hyperlink>
        </w:p>
        <w:p w14:paraId="50474179" w14:textId="77777777" w:rsidR="007D5C30" w:rsidRDefault="00EE2A70">
          <w:pPr>
            <w:pStyle w:val="TOC3"/>
            <w:tabs>
              <w:tab w:val="right" w:leader="dot" w:pos="10456"/>
            </w:tabs>
            <w:rPr>
              <w:noProof/>
            </w:rPr>
          </w:pPr>
          <w:hyperlink w:anchor="_Toc1747221" w:history="1">
            <w:r w:rsidR="007D5C30" w:rsidRPr="008C2D9C">
              <w:rPr>
                <w:rStyle w:val="Hyperlink"/>
                <w:noProof/>
              </w:rPr>
              <w:t>Epidemiological situation in 2015</w:t>
            </w:r>
            <w:r w:rsidR="007D5C30">
              <w:rPr>
                <w:noProof/>
                <w:webHidden/>
              </w:rPr>
              <w:tab/>
            </w:r>
            <w:r w:rsidR="007D5C30">
              <w:rPr>
                <w:noProof/>
                <w:webHidden/>
              </w:rPr>
              <w:fldChar w:fldCharType="begin"/>
            </w:r>
            <w:r w:rsidR="007D5C30">
              <w:rPr>
                <w:noProof/>
                <w:webHidden/>
              </w:rPr>
              <w:instrText xml:space="preserve"> PAGEREF _Toc1747221 \h </w:instrText>
            </w:r>
            <w:r w:rsidR="007D5C30">
              <w:rPr>
                <w:noProof/>
                <w:webHidden/>
              </w:rPr>
            </w:r>
            <w:r w:rsidR="007D5C30">
              <w:rPr>
                <w:noProof/>
                <w:webHidden/>
              </w:rPr>
              <w:fldChar w:fldCharType="separate"/>
            </w:r>
            <w:r w:rsidR="008A2AC2">
              <w:rPr>
                <w:noProof/>
                <w:webHidden/>
              </w:rPr>
              <w:t>66</w:t>
            </w:r>
            <w:r w:rsidR="007D5C30">
              <w:rPr>
                <w:noProof/>
                <w:webHidden/>
              </w:rPr>
              <w:fldChar w:fldCharType="end"/>
            </w:r>
          </w:hyperlink>
        </w:p>
        <w:p w14:paraId="58A7A622" w14:textId="77777777" w:rsidR="007D5C30" w:rsidRDefault="00EE2A70">
          <w:pPr>
            <w:pStyle w:val="TOC3"/>
            <w:tabs>
              <w:tab w:val="right" w:leader="dot" w:pos="10456"/>
            </w:tabs>
            <w:rPr>
              <w:noProof/>
            </w:rPr>
          </w:pPr>
          <w:hyperlink w:anchor="_Toc1747222" w:history="1">
            <w:r w:rsidR="007D5C30" w:rsidRPr="008C2D9C">
              <w:rPr>
                <w:rStyle w:val="Hyperlink"/>
                <w:noProof/>
              </w:rPr>
              <w:t>Geographical distribution</w:t>
            </w:r>
            <w:r w:rsidR="007D5C30">
              <w:rPr>
                <w:noProof/>
                <w:webHidden/>
              </w:rPr>
              <w:tab/>
            </w:r>
            <w:r w:rsidR="007D5C30">
              <w:rPr>
                <w:noProof/>
                <w:webHidden/>
              </w:rPr>
              <w:fldChar w:fldCharType="begin"/>
            </w:r>
            <w:r w:rsidR="007D5C30">
              <w:rPr>
                <w:noProof/>
                <w:webHidden/>
              </w:rPr>
              <w:instrText xml:space="preserve"> PAGEREF _Toc1747222 \h </w:instrText>
            </w:r>
            <w:r w:rsidR="007D5C30">
              <w:rPr>
                <w:noProof/>
                <w:webHidden/>
              </w:rPr>
            </w:r>
            <w:r w:rsidR="007D5C30">
              <w:rPr>
                <w:noProof/>
                <w:webHidden/>
              </w:rPr>
              <w:fldChar w:fldCharType="separate"/>
            </w:r>
            <w:r w:rsidR="008A2AC2">
              <w:rPr>
                <w:noProof/>
                <w:webHidden/>
              </w:rPr>
              <w:t>66</w:t>
            </w:r>
            <w:r w:rsidR="007D5C30">
              <w:rPr>
                <w:noProof/>
                <w:webHidden/>
              </w:rPr>
              <w:fldChar w:fldCharType="end"/>
            </w:r>
          </w:hyperlink>
        </w:p>
        <w:p w14:paraId="329D44C3" w14:textId="77777777" w:rsidR="007D5C30" w:rsidRDefault="00EE2A70">
          <w:pPr>
            <w:pStyle w:val="TOC3"/>
            <w:tabs>
              <w:tab w:val="right" w:leader="dot" w:pos="10456"/>
            </w:tabs>
            <w:rPr>
              <w:noProof/>
            </w:rPr>
          </w:pPr>
          <w:hyperlink w:anchor="_Toc1747223" w:history="1">
            <w:r w:rsidR="007D5C30" w:rsidRPr="008C2D9C">
              <w:rPr>
                <w:rStyle w:val="Hyperlink"/>
                <w:noProof/>
              </w:rPr>
              <w:t>Age and sex distribution</w:t>
            </w:r>
            <w:r w:rsidR="007D5C30">
              <w:rPr>
                <w:noProof/>
                <w:webHidden/>
              </w:rPr>
              <w:tab/>
            </w:r>
            <w:r w:rsidR="007D5C30">
              <w:rPr>
                <w:noProof/>
                <w:webHidden/>
              </w:rPr>
              <w:fldChar w:fldCharType="begin"/>
            </w:r>
            <w:r w:rsidR="007D5C30">
              <w:rPr>
                <w:noProof/>
                <w:webHidden/>
              </w:rPr>
              <w:instrText xml:space="preserve"> PAGEREF _Toc1747223 \h </w:instrText>
            </w:r>
            <w:r w:rsidR="007D5C30">
              <w:rPr>
                <w:noProof/>
                <w:webHidden/>
              </w:rPr>
            </w:r>
            <w:r w:rsidR="007D5C30">
              <w:rPr>
                <w:noProof/>
                <w:webHidden/>
              </w:rPr>
              <w:fldChar w:fldCharType="separate"/>
            </w:r>
            <w:r w:rsidR="008A2AC2">
              <w:rPr>
                <w:noProof/>
                <w:webHidden/>
              </w:rPr>
              <w:t>66</w:t>
            </w:r>
            <w:r w:rsidR="007D5C30">
              <w:rPr>
                <w:noProof/>
                <w:webHidden/>
              </w:rPr>
              <w:fldChar w:fldCharType="end"/>
            </w:r>
          </w:hyperlink>
        </w:p>
        <w:p w14:paraId="5663C195" w14:textId="77777777" w:rsidR="007D5C30" w:rsidRDefault="00EE2A70">
          <w:pPr>
            <w:pStyle w:val="TOC3"/>
            <w:tabs>
              <w:tab w:val="right" w:leader="dot" w:pos="10456"/>
            </w:tabs>
            <w:rPr>
              <w:noProof/>
            </w:rPr>
          </w:pPr>
          <w:hyperlink w:anchor="_Toc1747224" w:history="1">
            <w:r w:rsidR="007D5C30" w:rsidRPr="008C2D9C">
              <w:rPr>
                <w:rStyle w:val="Hyperlink"/>
                <w:noProof/>
              </w:rPr>
              <w:t>Place of acquisition</w:t>
            </w:r>
            <w:r w:rsidR="007D5C30">
              <w:rPr>
                <w:noProof/>
                <w:webHidden/>
              </w:rPr>
              <w:tab/>
            </w:r>
            <w:r w:rsidR="007D5C30">
              <w:rPr>
                <w:noProof/>
                <w:webHidden/>
              </w:rPr>
              <w:fldChar w:fldCharType="begin"/>
            </w:r>
            <w:r w:rsidR="007D5C30">
              <w:rPr>
                <w:noProof/>
                <w:webHidden/>
              </w:rPr>
              <w:instrText xml:space="preserve"> PAGEREF _Toc1747224 \h </w:instrText>
            </w:r>
            <w:r w:rsidR="007D5C30">
              <w:rPr>
                <w:noProof/>
                <w:webHidden/>
              </w:rPr>
            </w:r>
            <w:r w:rsidR="007D5C30">
              <w:rPr>
                <w:noProof/>
                <w:webHidden/>
              </w:rPr>
              <w:fldChar w:fldCharType="separate"/>
            </w:r>
            <w:r w:rsidR="008A2AC2">
              <w:rPr>
                <w:noProof/>
                <w:webHidden/>
              </w:rPr>
              <w:t>67</w:t>
            </w:r>
            <w:r w:rsidR="007D5C30">
              <w:rPr>
                <w:noProof/>
                <w:webHidden/>
              </w:rPr>
              <w:fldChar w:fldCharType="end"/>
            </w:r>
          </w:hyperlink>
        </w:p>
        <w:p w14:paraId="4C065BAD" w14:textId="77777777" w:rsidR="007D5C30" w:rsidRDefault="00EE2A70">
          <w:pPr>
            <w:pStyle w:val="TOC2"/>
            <w:tabs>
              <w:tab w:val="right" w:leader="dot" w:pos="10456"/>
            </w:tabs>
            <w:rPr>
              <w:b w:val="0"/>
              <w:noProof/>
            </w:rPr>
          </w:pPr>
          <w:hyperlink w:anchor="_Toc1747225" w:history="1">
            <w:r w:rsidR="007D5C30" w:rsidRPr="008C2D9C">
              <w:rPr>
                <w:rStyle w:val="Hyperlink"/>
                <w:noProof/>
              </w:rPr>
              <w:t>Salmonellosis (non-typhoidal)</w:t>
            </w:r>
            <w:r w:rsidR="007D5C30">
              <w:rPr>
                <w:noProof/>
                <w:webHidden/>
              </w:rPr>
              <w:tab/>
            </w:r>
            <w:r w:rsidR="007D5C30">
              <w:rPr>
                <w:noProof/>
                <w:webHidden/>
              </w:rPr>
              <w:fldChar w:fldCharType="begin"/>
            </w:r>
            <w:r w:rsidR="007D5C30">
              <w:rPr>
                <w:noProof/>
                <w:webHidden/>
              </w:rPr>
              <w:instrText xml:space="preserve"> PAGEREF _Toc1747225 \h </w:instrText>
            </w:r>
            <w:r w:rsidR="007D5C30">
              <w:rPr>
                <w:noProof/>
                <w:webHidden/>
              </w:rPr>
            </w:r>
            <w:r w:rsidR="007D5C30">
              <w:rPr>
                <w:noProof/>
                <w:webHidden/>
              </w:rPr>
              <w:fldChar w:fldCharType="separate"/>
            </w:r>
            <w:r w:rsidR="008A2AC2">
              <w:rPr>
                <w:noProof/>
                <w:webHidden/>
              </w:rPr>
              <w:t>68</w:t>
            </w:r>
            <w:r w:rsidR="007D5C30">
              <w:rPr>
                <w:noProof/>
                <w:webHidden/>
              </w:rPr>
              <w:fldChar w:fldCharType="end"/>
            </w:r>
          </w:hyperlink>
        </w:p>
        <w:p w14:paraId="2AF7E0ED" w14:textId="77777777" w:rsidR="007D5C30" w:rsidRDefault="00EE2A70">
          <w:pPr>
            <w:pStyle w:val="TOC3"/>
            <w:tabs>
              <w:tab w:val="right" w:leader="dot" w:pos="10456"/>
            </w:tabs>
            <w:rPr>
              <w:noProof/>
            </w:rPr>
          </w:pPr>
          <w:hyperlink w:anchor="_Toc1747226" w:history="1">
            <w:r w:rsidR="007D5C30" w:rsidRPr="008C2D9C">
              <w:rPr>
                <w:rStyle w:val="Hyperlink"/>
                <w:noProof/>
              </w:rPr>
              <w:t>Epidemiological situation in 2015</w:t>
            </w:r>
            <w:r w:rsidR="007D5C30">
              <w:rPr>
                <w:noProof/>
                <w:webHidden/>
              </w:rPr>
              <w:tab/>
            </w:r>
            <w:r w:rsidR="007D5C30">
              <w:rPr>
                <w:noProof/>
                <w:webHidden/>
              </w:rPr>
              <w:fldChar w:fldCharType="begin"/>
            </w:r>
            <w:r w:rsidR="007D5C30">
              <w:rPr>
                <w:noProof/>
                <w:webHidden/>
              </w:rPr>
              <w:instrText xml:space="preserve"> PAGEREF _Toc1747226 \h </w:instrText>
            </w:r>
            <w:r w:rsidR="007D5C30">
              <w:rPr>
                <w:noProof/>
                <w:webHidden/>
              </w:rPr>
            </w:r>
            <w:r w:rsidR="007D5C30">
              <w:rPr>
                <w:noProof/>
                <w:webHidden/>
              </w:rPr>
              <w:fldChar w:fldCharType="separate"/>
            </w:r>
            <w:r w:rsidR="008A2AC2">
              <w:rPr>
                <w:noProof/>
                <w:webHidden/>
              </w:rPr>
              <w:t>68</w:t>
            </w:r>
            <w:r w:rsidR="007D5C30">
              <w:rPr>
                <w:noProof/>
                <w:webHidden/>
              </w:rPr>
              <w:fldChar w:fldCharType="end"/>
            </w:r>
          </w:hyperlink>
        </w:p>
        <w:p w14:paraId="027CBF37" w14:textId="77777777" w:rsidR="007D5C30" w:rsidRDefault="00EE2A70">
          <w:pPr>
            <w:pStyle w:val="TOC3"/>
            <w:tabs>
              <w:tab w:val="right" w:leader="dot" w:pos="10456"/>
            </w:tabs>
            <w:rPr>
              <w:noProof/>
            </w:rPr>
          </w:pPr>
          <w:hyperlink w:anchor="_Toc1747227" w:history="1">
            <w:r w:rsidR="007D5C30" w:rsidRPr="008C2D9C">
              <w:rPr>
                <w:rStyle w:val="Hyperlink"/>
                <w:noProof/>
              </w:rPr>
              <w:t>Geographical distribution</w:t>
            </w:r>
            <w:r w:rsidR="007D5C30">
              <w:rPr>
                <w:noProof/>
                <w:webHidden/>
              </w:rPr>
              <w:tab/>
            </w:r>
            <w:r w:rsidR="007D5C30">
              <w:rPr>
                <w:noProof/>
                <w:webHidden/>
              </w:rPr>
              <w:fldChar w:fldCharType="begin"/>
            </w:r>
            <w:r w:rsidR="007D5C30">
              <w:rPr>
                <w:noProof/>
                <w:webHidden/>
              </w:rPr>
              <w:instrText xml:space="preserve"> PAGEREF _Toc1747227 \h </w:instrText>
            </w:r>
            <w:r w:rsidR="007D5C30">
              <w:rPr>
                <w:noProof/>
                <w:webHidden/>
              </w:rPr>
            </w:r>
            <w:r w:rsidR="007D5C30">
              <w:rPr>
                <w:noProof/>
                <w:webHidden/>
              </w:rPr>
              <w:fldChar w:fldCharType="separate"/>
            </w:r>
            <w:r w:rsidR="008A2AC2">
              <w:rPr>
                <w:noProof/>
                <w:webHidden/>
              </w:rPr>
              <w:t>69</w:t>
            </w:r>
            <w:r w:rsidR="007D5C30">
              <w:rPr>
                <w:noProof/>
                <w:webHidden/>
              </w:rPr>
              <w:fldChar w:fldCharType="end"/>
            </w:r>
          </w:hyperlink>
        </w:p>
        <w:p w14:paraId="06C04FAA" w14:textId="77777777" w:rsidR="007D5C30" w:rsidRDefault="00EE2A70">
          <w:pPr>
            <w:pStyle w:val="TOC3"/>
            <w:tabs>
              <w:tab w:val="right" w:leader="dot" w:pos="10456"/>
            </w:tabs>
            <w:rPr>
              <w:noProof/>
            </w:rPr>
          </w:pPr>
          <w:hyperlink w:anchor="_Toc1747228" w:history="1">
            <w:r w:rsidR="007D5C30" w:rsidRPr="008C2D9C">
              <w:rPr>
                <w:rStyle w:val="Hyperlink"/>
                <w:noProof/>
              </w:rPr>
              <w:t>Age and sex distribution</w:t>
            </w:r>
            <w:r w:rsidR="007D5C30">
              <w:rPr>
                <w:noProof/>
                <w:webHidden/>
              </w:rPr>
              <w:tab/>
            </w:r>
            <w:r w:rsidR="007D5C30">
              <w:rPr>
                <w:noProof/>
                <w:webHidden/>
              </w:rPr>
              <w:fldChar w:fldCharType="begin"/>
            </w:r>
            <w:r w:rsidR="007D5C30">
              <w:rPr>
                <w:noProof/>
                <w:webHidden/>
              </w:rPr>
              <w:instrText xml:space="preserve"> PAGEREF _Toc1747228 \h </w:instrText>
            </w:r>
            <w:r w:rsidR="007D5C30">
              <w:rPr>
                <w:noProof/>
                <w:webHidden/>
              </w:rPr>
            </w:r>
            <w:r w:rsidR="007D5C30">
              <w:rPr>
                <w:noProof/>
                <w:webHidden/>
              </w:rPr>
              <w:fldChar w:fldCharType="separate"/>
            </w:r>
            <w:r w:rsidR="008A2AC2">
              <w:rPr>
                <w:noProof/>
                <w:webHidden/>
              </w:rPr>
              <w:t>69</w:t>
            </w:r>
            <w:r w:rsidR="007D5C30">
              <w:rPr>
                <w:noProof/>
                <w:webHidden/>
              </w:rPr>
              <w:fldChar w:fldCharType="end"/>
            </w:r>
          </w:hyperlink>
        </w:p>
        <w:p w14:paraId="1ABCE675" w14:textId="77777777" w:rsidR="007D5C30" w:rsidRDefault="00EE2A70">
          <w:pPr>
            <w:pStyle w:val="TOC2"/>
            <w:tabs>
              <w:tab w:val="right" w:leader="dot" w:pos="10456"/>
            </w:tabs>
            <w:rPr>
              <w:b w:val="0"/>
              <w:noProof/>
            </w:rPr>
          </w:pPr>
          <w:hyperlink w:anchor="_Toc1747229" w:history="1">
            <w:r w:rsidR="007D5C30" w:rsidRPr="008C2D9C">
              <w:rPr>
                <w:rStyle w:val="Hyperlink"/>
                <w:noProof/>
              </w:rPr>
              <w:t>Shigellosis</w:t>
            </w:r>
            <w:r w:rsidR="007D5C30">
              <w:rPr>
                <w:noProof/>
                <w:webHidden/>
              </w:rPr>
              <w:tab/>
            </w:r>
            <w:r w:rsidR="007D5C30">
              <w:rPr>
                <w:noProof/>
                <w:webHidden/>
              </w:rPr>
              <w:fldChar w:fldCharType="begin"/>
            </w:r>
            <w:r w:rsidR="007D5C30">
              <w:rPr>
                <w:noProof/>
                <w:webHidden/>
              </w:rPr>
              <w:instrText xml:space="preserve"> PAGEREF _Toc1747229 \h </w:instrText>
            </w:r>
            <w:r w:rsidR="007D5C30">
              <w:rPr>
                <w:noProof/>
                <w:webHidden/>
              </w:rPr>
            </w:r>
            <w:r w:rsidR="007D5C30">
              <w:rPr>
                <w:noProof/>
                <w:webHidden/>
              </w:rPr>
              <w:fldChar w:fldCharType="separate"/>
            </w:r>
            <w:r w:rsidR="008A2AC2">
              <w:rPr>
                <w:noProof/>
                <w:webHidden/>
              </w:rPr>
              <w:t>70</w:t>
            </w:r>
            <w:r w:rsidR="007D5C30">
              <w:rPr>
                <w:noProof/>
                <w:webHidden/>
              </w:rPr>
              <w:fldChar w:fldCharType="end"/>
            </w:r>
          </w:hyperlink>
        </w:p>
        <w:p w14:paraId="5BE1DBBA" w14:textId="77777777" w:rsidR="007D5C30" w:rsidRDefault="00EE2A70">
          <w:pPr>
            <w:pStyle w:val="TOC3"/>
            <w:tabs>
              <w:tab w:val="right" w:leader="dot" w:pos="10456"/>
            </w:tabs>
            <w:rPr>
              <w:noProof/>
            </w:rPr>
          </w:pPr>
          <w:hyperlink w:anchor="_Toc1747230" w:history="1">
            <w:r w:rsidR="007D5C30" w:rsidRPr="008C2D9C">
              <w:rPr>
                <w:rStyle w:val="Hyperlink"/>
                <w:noProof/>
              </w:rPr>
              <w:t>Epidemiological situation in 2015</w:t>
            </w:r>
            <w:r w:rsidR="007D5C30">
              <w:rPr>
                <w:noProof/>
                <w:webHidden/>
              </w:rPr>
              <w:tab/>
            </w:r>
            <w:r w:rsidR="007D5C30">
              <w:rPr>
                <w:noProof/>
                <w:webHidden/>
              </w:rPr>
              <w:fldChar w:fldCharType="begin"/>
            </w:r>
            <w:r w:rsidR="007D5C30">
              <w:rPr>
                <w:noProof/>
                <w:webHidden/>
              </w:rPr>
              <w:instrText xml:space="preserve"> PAGEREF _Toc1747230 \h </w:instrText>
            </w:r>
            <w:r w:rsidR="007D5C30">
              <w:rPr>
                <w:noProof/>
                <w:webHidden/>
              </w:rPr>
            </w:r>
            <w:r w:rsidR="007D5C30">
              <w:rPr>
                <w:noProof/>
                <w:webHidden/>
              </w:rPr>
              <w:fldChar w:fldCharType="separate"/>
            </w:r>
            <w:r w:rsidR="008A2AC2">
              <w:rPr>
                <w:noProof/>
                <w:webHidden/>
              </w:rPr>
              <w:t>70</w:t>
            </w:r>
            <w:r w:rsidR="007D5C30">
              <w:rPr>
                <w:noProof/>
                <w:webHidden/>
              </w:rPr>
              <w:fldChar w:fldCharType="end"/>
            </w:r>
          </w:hyperlink>
        </w:p>
        <w:p w14:paraId="02B7593C" w14:textId="77777777" w:rsidR="007D5C30" w:rsidRDefault="00EE2A70">
          <w:pPr>
            <w:pStyle w:val="TOC3"/>
            <w:tabs>
              <w:tab w:val="right" w:leader="dot" w:pos="10456"/>
            </w:tabs>
            <w:rPr>
              <w:noProof/>
            </w:rPr>
          </w:pPr>
          <w:hyperlink w:anchor="_Toc1747231" w:history="1">
            <w:r w:rsidR="007D5C30" w:rsidRPr="008C2D9C">
              <w:rPr>
                <w:rStyle w:val="Hyperlink"/>
                <w:noProof/>
              </w:rPr>
              <w:t>Geographical distribution</w:t>
            </w:r>
            <w:r w:rsidR="007D5C30">
              <w:rPr>
                <w:noProof/>
                <w:webHidden/>
              </w:rPr>
              <w:tab/>
            </w:r>
            <w:r w:rsidR="007D5C30">
              <w:rPr>
                <w:noProof/>
                <w:webHidden/>
              </w:rPr>
              <w:fldChar w:fldCharType="begin"/>
            </w:r>
            <w:r w:rsidR="007D5C30">
              <w:rPr>
                <w:noProof/>
                <w:webHidden/>
              </w:rPr>
              <w:instrText xml:space="preserve"> PAGEREF _Toc1747231 \h </w:instrText>
            </w:r>
            <w:r w:rsidR="007D5C30">
              <w:rPr>
                <w:noProof/>
                <w:webHidden/>
              </w:rPr>
            </w:r>
            <w:r w:rsidR="007D5C30">
              <w:rPr>
                <w:noProof/>
                <w:webHidden/>
              </w:rPr>
              <w:fldChar w:fldCharType="separate"/>
            </w:r>
            <w:r w:rsidR="008A2AC2">
              <w:rPr>
                <w:noProof/>
                <w:webHidden/>
              </w:rPr>
              <w:t>71</w:t>
            </w:r>
            <w:r w:rsidR="007D5C30">
              <w:rPr>
                <w:noProof/>
                <w:webHidden/>
              </w:rPr>
              <w:fldChar w:fldCharType="end"/>
            </w:r>
          </w:hyperlink>
        </w:p>
        <w:p w14:paraId="4EE708BF" w14:textId="77777777" w:rsidR="007D5C30" w:rsidRDefault="00EE2A70">
          <w:pPr>
            <w:pStyle w:val="TOC3"/>
            <w:tabs>
              <w:tab w:val="right" w:leader="dot" w:pos="10456"/>
            </w:tabs>
            <w:rPr>
              <w:noProof/>
            </w:rPr>
          </w:pPr>
          <w:hyperlink w:anchor="_Toc1747232" w:history="1">
            <w:r w:rsidR="007D5C30" w:rsidRPr="008C2D9C">
              <w:rPr>
                <w:rStyle w:val="Hyperlink"/>
                <w:noProof/>
              </w:rPr>
              <w:t>Age and sex distribution</w:t>
            </w:r>
            <w:r w:rsidR="007D5C30">
              <w:rPr>
                <w:noProof/>
                <w:webHidden/>
              </w:rPr>
              <w:tab/>
            </w:r>
            <w:r w:rsidR="007D5C30">
              <w:rPr>
                <w:noProof/>
                <w:webHidden/>
              </w:rPr>
              <w:fldChar w:fldCharType="begin"/>
            </w:r>
            <w:r w:rsidR="007D5C30">
              <w:rPr>
                <w:noProof/>
                <w:webHidden/>
              </w:rPr>
              <w:instrText xml:space="preserve"> PAGEREF _Toc1747232 \h </w:instrText>
            </w:r>
            <w:r w:rsidR="007D5C30">
              <w:rPr>
                <w:noProof/>
                <w:webHidden/>
              </w:rPr>
            </w:r>
            <w:r w:rsidR="007D5C30">
              <w:rPr>
                <w:noProof/>
                <w:webHidden/>
              </w:rPr>
              <w:fldChar w:fldCharType="separate"/>
            </w:r>
            <w:r w:rsidR="008A2AC2">
              <w:rPr>
                <w:noProof/>
                <w:webHidden/>
              </w:rPr>
              <w:t>71</w:t>
            </w:r>
            <w:r w:rsidR="007D5C30">
              <w:rPr>
                <w:noProof/>
                <w:webHidden/>
              </w:rPr>
              <w:fldChar w:fldCharType="end"/>
            </w:r>
          </w:hyperlink>
        </w:p>
        <w:p w14:paraId="104758D7" w14:textId="77777777" w:rsidR="007D5C30" w:rsidRDefault="00EE2A70">
          <w:pPr>
            <w:pStyle w:val="TOC3"/>
            <w:tabs>
              <w:tab w:val="right" w:leader="dot" w:pos="10456"/>
            </w:tabs>
            <w:rPr>
              <w:noProof/>
            </w:rPr>
          </w:pPr>
          <w:hyperlink w:anchor="_Toc1747233" w:history="1">
            <w:r w:rsidR="007D5C30" w:rsidRPr="008C2D9C">
              <w:rPr>
                <w:rStyle w:val="Hyperlink"/>
                <w:noProof/>
              </w:rPr>
              <w:t>Indigenous status</w:t>
            </w:r>
            <w:r w:rsidR="007D5C30">
              <w:rPr>
                <w:noProof/>
                <w:webHidden/>
              </w:rPr>
              <w:tab/>
            </w:r>
            <w:r w:rsidR="007D5C30">
              <w:rPr>
                <w:noProof/>
                <w:webHidden/>
              </w:rPr>
              <w:fldChar w:fldCharType="begin"/>
            </w:r>
            <w:r w:rsidR="007D5C30">
              <w:rPr>
                <w:noProof/>
                <w:webHidden/>
              </w:rPr>
              <w:instrText xml:space="preserve"> PAGEREF _Toc1747233 \h </w:instrText>
            </w:r>
            <w:r w:rsidR="007D5C30">
              <w:rPr>
                <w:noProof/>
                <w:webHidden/>
              </w:rPr>
            </w:r>
            <w:r w:rsidR="007D5C30">
              <w:rPr>
                <w:noProof/>
                <w:webHidden/>
              </w:rPr>
              <w:fldChar w:fldCharType="separate"/>
            </w:r>
            <w:r w:rsidR="008A2AC2">
              <w:rPr>
                <w:noProof/>
                <w:webHidden/>
              </w:rPr>
              <w:t>72</w:t>
            </w:r>
            <w:r w:rsidR="007D5C30">
              <w:rPr>
                <w:noProof/>
                <w:webHidden/>
              </w:rPr>
              <w:fldChar w:fldCharType="end"/>
            </w:r>
          </w:hyperlink>
        </w:p>
        <w:p w14:paraId="1C27E53B" w14:textId="77777777" w:rsidR="007D5C30" w:rsidRDefault="00EE2A70">
          <w:pPr>
            <w:pStyle w:val="TOC3"/>
            <w:tabs>
              <w:tab w:val="right" w:leader="dot" w:pos="10456"/>
            </w:tabs>
            <w:rPr>
              <w:noProof/>
            </w:rPr>
          </w:pPr>
          <w:hyperlink w:anchor="_Toc1747234" w:history="1">
            <w:r w:rsidR="007D5C30" w:rsidRPr="008C2D9C">
              <w:rPr>
                <w:rStyle w:val="Hyperlink"/>
                <w:noProof/>
              </w:rPr>
              <w:t>Place of acquisition</w:t>
            </w:r>
            <w:r w:rsidR="007D5C30">
              <w:rPr>
                <w:noProof/>
                <w:webHidden/>
              </w:rPr>
              <w:tab/>
            </w:r>
            <w:r w:rsidR="007D5C30">
              <w:rPr>
                <w:noProof/>
                <w:webHidden/>
              </w:rPr>
              <w:fldChar w:fldCharType="begin"/>
            </w:r>
            <w:r w:rsidR="007D5C30">
              <w:rPr>
                <w:noProof/>
                <w:webHidden/>
              </w:rPr>
              <w:instrText xml:space="preserve"> PAGEREF _Toc1747234 \h </w:instrText>
            </w:r>
            <w:r w:rsidR="007D5C30">
              <w:rPr>
                <w:noProof/>
                <w:webHidden/>
              </w:rPr>
            </w:r>
            <w:r w:rsidR="007D5C30">
              <w:rPr>
                <w:noProof/>
                <w:webHidden/>
              </w:rPr>
              <w:fldChar w:fldCharType="separate"/>
            </w:r>
            <w:r w:rsidR="008A2AC2">
              <w:rPr>
                <w:noProof/>
                <w:webHidden/>
              </w:rPr>
              <w:t>72</w:t>
            </w:r>
            <w:r w:rsidR="007D5C30">
              <w:rPr>
                <w:noProof/>
                <w:webHidden/>
              </w:rPr>
              <w:fldChar w:fldCharType="end"/>
            </w:r>
          </w:hyperlink>
        </w:p>
        <w:p w14:paraId="4191D9F5" w14:textId="77777777" w:rsidR="007D5C30" w:rsidRDefault="00EE2A70">
          <w:pPr>
            <w:pStyle w:val="TOC2"/>
            <w:tabs>
              <w:tab w:val="right" w:leader="dot" w:pos="10456"/>
            </w:tabs>
            <w:rPr>
              <w:b w:val="0"/>
              <w:noProof/>
            </w:rPr>
          </w:pPr>
          <w:hyperlink w:anchor="_Toc1747235" w:history="1">
            <w:r w:rsidR="007D5C30" w:rsidRPr="008C2D9C">
              <w:rPr>
                <w:rStyle w:val="Hyperlink"/>
                <w:noProof/>
              </w:rPr>
              <w:t>Shiga toxin-producing Escherichia coli</w:t>
            </w:r>
            <w:r w:rsidR="007D5C30">
              <w:rPr>
                <w:noProof/>
                <w:webHidden/>
              </w:rPr>
              <w:tab/>
            </w:r>
            <w:r w:rsidR="007D5C30">
              <w:rPr>
                <w:noProof/>
                <w:webHidden/>
              </w:rPr>
              <w:fldChar w:fldCharType="begin"/>
            </w:r>
            <w:r w:rsidR="007D5C30">
              <w:rPr>
                <w:noProof/>
                <w:webHidden/>
              </w:rPr>
              <w:instrText xml:space="preserve"> PAGEREF _Toc1747235 \h </w:instrText>
            </w:r>
            <w:r w:rsidR="007D5C30">
              <w:rPr>
                <w:noProof/>
                <w:webHidden/>
              </w:rPr>
            </w:r>
            <w:r w:rsidR="007D5C30">
              <w:rPr>
                <w:noProof/>
                <w:webHidden/>
              </w:rPr>
              <w:fldChar w:fldCharType="separate"/>
            </w:r>
            <w:r w:rsidR="008A2AC2">
              <w:rPr>
                <w:noProof/>
                <w:webHidden/>
              </w:rPr>
              <w:t>73</w:t>
            </w:r>
            <w:r w:rsidR="007D5C30">
              <w:rPr>
                <w:noProof/>
                <w:webHidden/>
              </w:rPr>
              <w:fldChar w:fldCharType="end"/>
            </w:r>
          </w:hyperlink>
        </w:p>
        <w:p w14:paraId="13635776" w14:textId="77777777" w:rsidR="007D5C30" w:rsidRDefault="00EE2A70">
          <w:pPr>
            <w:pStyle w:val="TOC3"/>
            <w:tabs>
              <w:tab w:val="right" w:leader="dot" w:pos="10456"/>
            </w:tabs>
            <w:rPr>
              <w:noProof/>
            </w:rPr>
          </w:pPr>
          <w:hyperlink w:anchor="_Toc1747236" w:history="1">
            <w:r w:rsidR="007D5C30" w:rsidRPr="008C2D9C">
              <w:rPr>
                <w:rStyle w:val="Hyperlink"/>
                <w:noProof/>
              </w:rPr>
              <w:t>Epidemiological situation in 2015</w:t>
            </w:r>
            <w:r w:rsidR="007D5C30">
              <w:rPr>
                <w:noProof/>
                <w:webHidden/>
              </w:rPr>
              <w:tab/>
            </w:r>
            <w:r w:rsidR="007D5C30">
              <w:rPr>
                <w:noProof/>
                <w:webHidden/>
              </w:rPr>
              <w:fldChar w:fldCharType="begin"/>
            </w:r>
            <w:r w:rsidR="007D5C30">
              <w:rPr>
                <w:noProof/>
                <w:webHidden/>
              </w:rPr>
              <w:instrText xml:space="preserve"> PAGEREF _Toc1747236 \h </w:instrText>
            </w:r>
            <w:r w:rsidR="007D5C30">
              <w:rPr>
                <w:noProof/>
                <w:webHidden/>
              </w:rPr>
            </w:r>
            <w:r w:rsidR="007D5C30">
              <w:rPr>
                <w:noProof/>
                <w:webHidden/>
              </w:rPr>
              <w:fldChar w:fldCharType="separate"/>
            </w:r>
            <w:r w:rsidR="008A2AC2">
              <w:rPr>
                <w:noProof/>
                <w:webHidden/>
              </w:rPr>
              <w:t>73</w:t>
            </w:r>
            <w:r w:rsidR="007D5C30">
              <w:rPr>
                <w:noProof/>
                <w:webHidden/>
              </w:rPr>
              <w:fldChar w:fldCharType="end"/>
            </w:r>
          </w:hyperlink>
        </w:p>
        <w:p w14:paraId="651EF9F8" w14:textId="77777777" w:rsidR="007D5C30" w:rsidRDefault="00EE2A70">
          <w:pPr>
            <w:pStyle w:val="TOC3"/>
            <w:tabs>
              <w:tab w:val="right" w:leader="dot" w:pos="10456"/>
            </w:tabs>
            <w:rPr>
              <w:noProof/>
            </w:rPr>
          </w:pPr>
          <w:hyperlink w:anchor="_Toc1747237" w:history="1">
            <w:r w:rsidR="007D5C30" w:rsidRPr="008C2D9C">
              <w:rPr>
                <w:rStyle w:val="Hyperlink"/>
                <w:noProof/>
              </w:rPr>
              <w:t>Geographical distribution</w:t>
            </w:r>
            <w:r w:rsidR="007D5C30">
              <w:rPr>
                <w:noProof/>
                <w:webHidden/>
              </w:rPr>
              <w:tab/>
            </w:r>
            <w:r w:rsidR="007D5C30">
              <w:rPr>
                <w:noProof/>
                <w:webHidden/>
              </w:rPr>
              <w:fldChar w:fldCharType="begin"/>
            </w:r>
            <w:r w:rsidR="007D5C30">
              <w:rPr>
                <w:noProof/>
                <w:webHidden/>
              </w:rPr>
              <w:instrText xml:space="preserve"> PAGEREF _Toc1747237 \h </w:instrText>
            </w:r>
            <w:r w:rsidR="007D5C30">
              <w:rPr>
                <w:noProof/>
                <w:webHidden/>
              </w:rPr>
            </w:r>
            <w:r w:rsidR="007D5C30">
              <w:rPr>
                <w:noProof/>
                <w:webHidden/>
              </w:rPr>
              <w:fldChar w:fldCharType="separate"/>
            </w:r>
            <w:r w:rsidR="008A2AC2">
              <w:rPr>
                <w:noProof/>
                <w:webHidden/>
              </w:rPr>
              <w:t>73</w:t>
            </w:r>
            <w:r w:rsidR="007D5C30">
              <w:rPr>
                <w:noProof/>
                <w:webHidden/>
              </w:rPr>
              <w:fldChar w:fldCharType="end"/>
            </w:r>
          </w:hyperlink>
        </w:p>
        <w:p w14:paraId="70689075" w14:textId="77777777" w:rsidR="007D5C30" w:rsidRDefault="00EE2A70">
          <w:pPr>
            <w:pStyle w:val="TOC3"/>
            <w:tabs>
              <w:tab w:val="right" w:leader="dot" w:pos="10456"/>
            </w:tabs>
            <w:rPr>
              <w:noProof/>
            </w:rPr>
          </w:pPr>
          <w:hyperlink w:anchor="_Toc1747238" w:history="1">
            <w:r w:rsidR="007D5C30" w:rsidRPr="008C2D9C">
              <w:rPr>
                <w:rStyle w:val="Hyperlink"/>
                <w:noProof/>
              </w:rPr>
              <w:t>Age and sex distribution</w:t>
            </w:r>
            <w:r w:rsidR="007D5C30">
              <w:rPr>
                <w:noProof/>
                <w:webHidden/>
              </w:rPr>
              <w:tab/>
            </w:r>
            <w:r w:rsidR="007D5C30">
              <w:rPr>
                <w:noProof/>
                <w:webHidden/>
              </w:rPr>
              <w:fldChar w:fldCharType="begin"/>
            </w:r>
            <w:r w:rsidR="007D5C30">
              <w:rPr>
                <w:noProof/>
                <w:webHidden/>
              </w:rPr>
              <w:instrText xml:space="preserve"> PAGEREF _Toc1747238 \h </w:instrText>
            </w:r>
            <w:r w:rsidR="007D5C30">
              <w:rPr>
                <w:noProof/>
                <w:webHidden/>
              </w:rPr>
            </w:r>
            <w:r w:rsidR="007D5C30">
              <w:rPr>
                <w:noProof/>
                <w:webHidden/>
              </w:rPr>
              <w:fldChar w:fldCharType="separate"/>
            </w:r>
            <w:r w:rsidR="008A2AC2">
              <w:rPr>
                <w:noProof/>
                <w:webHidden/>
              </w:rPr>
              <w:t>73</w:t>
            </w:r>
            <w:r w:rsidR="007D5C30">
              <w:rPr>
                <w:noProof/>
                <w:webHidden/>
              </w:rPr>
              <w:fldChar w:fldCharType="end"/>
            </w:r>
          </w:hyperlink>
        </w:p>
        <w:p w14:paraId="767AD1E2" w14:textId="77777777" w:rsidR="007D5C30" w:rsidRDefault="00EE2A70">
          <w:pPr>
            <w:pStyle w:val="TOC3"/>
            <w:tabs>
              <w:tab w:val="right" w:leader="dot" w:pos="10456"/>
            </w:tabs>
            <w:rPr>
              <w:noProof/>
            </w:rPr>
          </w:pPr>
          <w:hyperlink w:anchor="_Toc1747239" w:history="1">
            <w:r w:rsidR="007D5C30" w:rsidRPr="008C2D9C">
              <w:rPr>
                <w:rStyle w:val="Hyperlink"/>
                <w:noProof/>
              </w:rPr>
              <w:t>Microbiological trends</w:t>
            </w:r>
            <w:r w:rsidR="007D5C30">
              <w:rPr>
                <w:noProof/>
                <w:webHidden/>
              </w:rPr>
              <w:tab/>
            </w:r>
            <w:r w:rsidR="007D5C30">
              <w:rPr>
                <w:noProof/>
                <w:webHidden/>
              </w:rPr>
              <w:fldChar w:fldCharType="begin"/>
            </w:r>
            <w:r w:rsidR="007D5C30">
              <w:rPr>
                <w:noProof/>
                <w:webHidden/>
              </w:rPr>
              <w:instrText xml:space="preserve"> PAGEREF _Toc1747239 \h </w:instrText>
            </w:r>
            <w:r w:rsidR="007D5C30">
              <w:rPr>
                <w:noProof/>
                <w:webHidden/>
              </w:rPr>
            </w:r>
            <w:r w:rsidR="007D5C30">
              <w:rPr>
                <w:noProof/>
                <w:webHidden/>
              </w:rPr>
              <w:fldChar w:fldCharType="separate"/>
            </w:r>
            <w:r w:rsidR="008A2AC2">
              <w:rPr>
                <w:noProof/>
                <w:webHidden/>
              </w:rPr>
              <w:t>74</w:t>
            </w:r>
            <w:r w:rsidR="007D5C30">
              <w:rPr>
                <w:noProof/>
                <w:webHidden/>
              </w:rPr>
              <w:fldChar w:fldCharType="end"/>
            </w:r>
          </w:hyperlink>
        </w:p>
        <w:p w14:paraId="60D2D531" w14:textId="77777777" w:rsidR="007D5C30" w:rsidRDefault="00EE2A70">
          <w:pPr>
            <w:pStyle w:val="TOC2"/>
            <w:tabs>
              <w:tab w:val="right" w:leader="dot" w:pos="10456"/>
            </w:tabs>
            <w:rPr>
              <w:b w:val="0"/>
              <w:noProof/>
            </w:rPr>
          </w:pPr>
          <w:hyperlink w:anchor="_Toc1747240" w:history="1">
            <w:r w:rsidR="007D5C30" w:rsidRPr="008C2D9C">
              <w:rPr>
                <w:rStyle w:val="Hyperlink"/>
                <w:noProof/>
              </w:rPr>
              <w:t>Typhoid</w:t>
            </w:r>
            <w:r w:rsidR="007D5C30">
              <w:rPr>
                <w:noProof/>
                <w:webHidden/>
              </w:rPr>
              <w:tab/>
            </w:r>
            <w:r w:rsidR="007D5C30">
              <w:rPr>
                <w:noProof/>
                <w:webHidden/>
              </w:rPr>
              <w:fldChar w:fldCharType="begin"/>
            </w:r>
            <w:r w:rsidR="007D5C30">
              <w:rPr>
                <w:noProof/>
                <w:webHidden/>
              </w:rPr>
              <w:instrText xml:space="preserve"> PAGEREF _Toc1747240 \h </w:instrText>
            </w:r>
            <w:r w:rsidR="007D5C30">
              <w:rPr>
                <w:noProof/>
                <w:webHidden/>
              </w:rPr>
            </w:r>
            <w:r w:rsidR="007D5C30">
              <w:rPr>
                <w:noProof/>
                <w:webHidden/>
              </w:rPr>
              <w:fldChar w:fldCharType="separate"/>
            </w:r>
            <w:r w:rsidR="008A2AC2">
              <w:rPr>
                <w:noProof/>
                <w:webHidden/>
              </w:rPr>
              <w:t>76</w:t>
            </w:r>
            <w:r w:rsidR="007D5C30">
              <w:rPr>
                <w:noProof/>
                <w:webHidden/>
              </w:rPr>
              <w:fldChar w:fldCharType="end"/>
            </w:r>
          </w:hyperlink>
        </w:p>
        <w:p w14:paraId="1349B004" w14:textId="77777777" w:rsidR="007D5C30" w:rsidRDefault="00EE2A70">
          <w:pPr>
            <w:pStyle w:val="TOC3"/>
            <w:tabs>
              <w:tab w:val="right" w:leader="dot" w:pos="10456"/>
            </w:tabs>
            <w:rPr>
              <w:noProof/>
            </w:rPr>
          </w:pPr>
          <w:hyperlink w:anchor="_Toc1747241" w:history="1">
            <w:r w:rsidR="007D5C30" w:rsidRPr="008C2D9C">
              <w:rPr>
                <w:rStyle w:val="Hyperlink"/>
                <w:noProof/>
              </w:rPr>
              <w:t>Epidemiological situation in 2015</w:t>
            </w:r>
            <w:r w:rsidR="007D5C30">
              <w:rPr>
                <w:noProof/>
                <w:webHidden/>
              </w:rPr>
              <w:tab/>
            </w:r>
            <w:r w:rsidR="007D5C30">
              <w:rPr>
                <w:noProof/>
                <w:webHidden/>
              </w:rPr>
              <w:fldChar w:fldCharType="begin"/>
            </w:r>
            <w:r w:rsidR="007D5C30">
              <w:rPr>
                <w:noProof/>
                <w:webHidden/>
              </w:rPr>
              <w:instrText xml:space="preserve"> PAGEREF _Toc1747241 \h </w:instrText>
            </w:r>
            <w:r w:rsidR="007D5C30">
              <w:rPr>
                <w:noProof/>
                <w:webHidden/>
              </w:rPr>
            </w:r>
            <w:r w:rsidR="007D5C30">
              <w:rPr>
                <w:noProof/>
                <w:webHidden/>
              </w:rPr>
              <w:fldChar w:fldCharType="separate"/>
            </w:r>
            <w:r w:rsidR="008A2AC2">
              <w:rPr>
                <w:noProof/>
                <w:webHidden/>
              </w:rPr>
              <w:t>76</w:t>
            </w:r>
            <w:r w:rsidR="007D5C30">
              <w:rPr>
                <w:noProof/>
                <w:webHidden/>
              </w:rPr>
              <w:fldChar w:fldCharType="end"/>
            </w:r>
          </w:hyperlink>
        </w:p>
        <w:p w14:paraId="0CF23C8F" w14:textId="77777777" w:rsidR="007D5C30" w:rsidRDefault="00EE2A70">
          <w:pPr>
            <w:pStyle w:val="TOC3"/>
            <w:tabs>
              <w:tab w:val="right" w:leader="dot" w:pos="10456"/>
            </w:tabs>
            <w:rPr>
              <w:noProof/>
            </w:rPr>
          </w:pPr>
          <w:hyperlink w:anchor="_Toc1747242" w:history="1">
            <w:r w:rsidR="007D5C30" w:rsidRPr="008C2D9C">
              <w:rPr>
                <w:rStyle w:val="Hyperlink"/>
                <w:noProof/>
              </w:rPr>
              <w:t>Geographical distribution</w:t>
            </w:r>
            <w:r w:rsidR="007D5C30">
              <w:rPr>
                <w:noProof/>
                <w:webHidden/>
              </w:rPr>
              <w:tab/>
            </w:r>
            <w:r w:rsidR="007D5C30">
              <w:rPr>
                <w:noProof/>
                <w:webHidden/>
              </w:rPr>
              <w:fldChar w:fldCharType="begin"/>
            </w:r>
            <w:r w:rsidR="007D5C30">
              <w:rPr>
                <w:noProof/>
                <w:webHidden/>
              </w:rPr>
              <w:instrText xml:space="preserve"> PAGEREF _Toc1747242 \h </w:instrText>
            </w:r>
            <w:r w:rsidR="007D5C30">
              <w:rPr>
                <w:noProof/>
                <w:webHidden/>
              </w:rPr>
            </w:r>
            <w:r w:rsidR="007D5C30">
              <w:rPr>
                <w:noProof/>
                <w:webHidden/>
              </w:rPr>
              <w:fldChar w:fldCharType="separate"/>
            </w:r>
            <w:r w:rsidR="008A2AC2">
              <w:rPr>
                <w:noProof/>
                <w:webHidden/>
              </w:rPr>
              <w:t>76</w:t>
            </w:r>
            <w:r w:rsidR="007D5C30">
              <w:rPr>
                <w:noProof/>
                <w:webHidden/>
              </w:rPr>
              <w:fldChar w:fldCharType="end"/>
            </w:r>
          </w:hyperlink>
        </w:p>
        <w:p w14:paraId="4409E8C8" w14:textId="77777777" w:rsidR="007D5C30" w:rsidRDefault="00EE2A70">
          <w:pPr>
            <w:pStyle w:val="TOC3"/>
            <w:tabs>
              <w:tab w:val="right" w:leader="dot" w:pos="10456"/>
            </w:tabs>
            <w:rPr>
              <w:noProof/>
            </w:rPr>
          </w:pPr>
          <w:hyperlink w:anchor="_Toc1747243" w:history="1">
            <w:r w:rsidR="007D5C30" w:rsidRPr="008C2D9C">
              <w:rPr>
                <w:rStyle w:val="Hyperlink"/>
                <w:noProof/>
              </w:rPr>
              <w:t>Age and sex distribution</w:t>
            </w:r>
            <w:r w:rsidR="007D5C30">
              <w:rPr>
                <w:noProof/>
                <w:webHidden/>
              </w:rPr>
              <w:tab/>
            </w:r>
            <w:r w:rsidR="007D5C30">
              <w:rPr>
                <w:noProof/>
                <w:webHidden/>
              </w:rPr>
              <w:fldChar w:fldCharType="begin"/>
            </w:r>
            <w:r w:rsidR="007D5C30">
              <w:rPr>
                <w:noProof/>
                <w:webHidden/>
              </w:rPr>
              <w:instrText xml:space="preserve"> PAGEREF _Toc1747243 \h </w:instrText>
            </w:r>
            <w:r w:rsidR="007D5C30">
              <w:rPr>
                <w:noProof/>
                <w:webHidden/>
              </w:rPr>
            </w:r>
            <w:r w:rsidR="007D5C30">
              <w:rPr>
                <w:noProof/>
                <w:webHidden/>
              </w:rPr>
              <w:fldChar w:fldCharType="separate"/>
            </w:r>
            <w:r w:rsidR="008A2AC2">
              <w:rPr>
                <w:noProof/>
                <w:webHidden/>
              </w:rPr>
              <w:t>76</w:t>
            </w:r>
            <w:r w:rsidR="007D5C30">
              <w:rPr>
                <w:noProof/>
                <w:webHidden/>
              </w:rPr>
              <w:fldChar w:fldCharType="end"/>
            </w:r>
          </w:hyperlink>
        </w:p>
        <w:p w14:paraId="4B34084A" w14:textId="77777777" w:rsidR="007D5C30" w:rsidRDefault="00EE2A70">
          <w:pPr>
            <w:pStyle w:val="TOC3"/>
            <w:tabs>
              <w:tab w:val="right" w:leader="dot" w:pos="10456"/>
            </w:tabs>
            <w:rPr>
              <w:noProof/>
            </w:rPr>
          </w:pPr>
          <w:hyperlink w:anchor="_Toc1747244" w:history="1">
            <w:r w:rsidR="007D5C30" w:rsidRPr="008C2D9C">
              <w:rPr>
                <w:rStyle w:val="Hyperlink"/>
                <w:noProof/>
              </w:rPr>
              <w:t>Place of acquisition</w:t>
            </w:r>
            <w:r w:rsidR="007D5C30">
              <w:rPr>
                <w:noProof/>
                <w:webHidden/>
              </w:rPr>
              <w:tab/>
            </w:r>
            <w:r w:rsidR="007D5C30">
              <w:rPr>
                <w:noProof/>
                <w:webHidden/>
              </w:rPr>
              <w:fldChar w:fldCharType="begin"/>
            </w:r>
            <w:r w:rsidR="007D5C30">
              <w:rPr>
                <w:noProof/>
                <w:webHidden/>
              </w:rPr>
              <w:instrText xml:space="preserve"> PAGEREF _Toc1747244 \h </w:instrText>
            </w:r>
            <w:r w:rsidR="007D5C30">
              <w:rPr>
                <w:noProof/>
                <w:webHidden/>
              </w:rPr>
            </w:r>
            <w:r w:rsidR="007D5C30">
              <w:rPr>
                <w:noProof/>
                <w:webHidden/>
              </w:rPr>
              <w:fldChar w:fldCharType="separate"/>
            </w:r>
            <w:r w:rsidR="008A2AC2">
              <w:rPr>
                <w:noProof/>
                <w:webHidden/>
              </w:rPr>
              <w:t>77</w:t>
            </w:r>
            <w:r w:rsidR="007D5C30">
              <w:rPr>
                <w:noProof/>
                <w:webHidden/>
              </w:rPr>
              <w:fldChar w:fldCharType="end"/>
            </w:r>
          </w:hyperlink>
        </w:p>
        <w:p w14:paraId="262ECB3D" w14:textId="77777777" w:rsidR="007D5C30" w:rsidRDefault="00EE2A70">
          <w:pPr>
            <w:pStyle w:val="TOC1"/>
            <w:tabs>
              <w:tab w:val="right" w:leader="dot" w:pos="10456"/>
            </w:tabs>
            <w:rPr>
              <w:b w:val="0"/>
              <w:caps w:val="0"/>
              <w:noProof/>
            </w:rPr>
          </w:pPr>
          <w:hyperlink w:anchor="_Toc1747245" w:history="1">
            <w:r w:rsidR="007D5C30" w:rsidRPr="008C2D9C">
              <w:rPr>
                <w:rStyle w:val="Hyperlink"/>
                <w:noProof/>
              </w:rPr>
              <w:t>Quarantinable diseases</w:t>
            </w:r>
            <w:r w:rsidR="007D5C30">
              <w:rPr>
                <w:noProof/>
                <w:webHidden/>
              </w:rPr>
              <w:tab/>
            </w:r>
            <w:r w:rsidR="007D5C30">
              <w:rPr>
                <w:noProof/>
                <w:webHidden/>
              </w:rPr>
              <w:fldChar w:fldCharType="begin"/>
            </w:r>
            <w:r w:rsidR="007D5C30">
              <w:rPr>
                <w:noProof/>
                <w:webHidden/>
              </w:rPr>
              <w:instrText xml:space="preserve"> PAGEREF _Toc1747245 \h </w:instrText>
            </w:r>
            <w:r w:rsidR="007D5C30">
              <w:rPr>
                <w:noProof/>
                <w:webHidden/>
              </w:rPr>
            </w:r>
            <w:r w:rsidR="007D5C30">
              <w:rPr>
                <w:noProof/>
                <w:webHidden/>
              </w:rPr>
              <w:fldChar w:fldCharType="separate"/>
            </w:r>
            <w:r w:rsidR="008A2AC2">
              <w:rPr>
                <w:noProof/>
                <w:webHidden/>
              </w:rPr>
              <w:t>78</w:t>
            </w:r>
            <w:r w:rsidR="007D5C30">
              <w:rPr>
                <w:noProof/>
                <w:webHidden/>
              </w:rPr>
              <w:fldChar w:fldCharType="end"/>
            </w:r>
          </w:hyperlink>
        </w:p>
        <w:p w14:paraId="6C379A28" w14:textId="77777777" w:rsidR="007D5C30" w:rsidRDefault="00EE2A70">
          <w:pPr>
            <w:pStyle w:val="TOC2"/>
            <w:tabs>
              <w:tab w:val="right" w:leader="dot" w:pos="10456"/>
            </w:tabs>
            <w:rPr>
              <w:b w:val="0"/>
              <w:noProof/>
            </w:rPr>
          </w:pPr>
          <w:hyperlink w:anchor="_Toc1747246" w:history="1">
            <w:r w:rsidR="007D5C30" w:rsidRPr="008C2D9C">
              <w:rPr>
                <w:rStyle w:val="Hyperlink"/>
                <w:noProof/>
              </w:rPr>
              <w:t>Cholera</w:t>
            </w:r>
            <w:r w:rsidR="007D5C30">
              <w:rPr>
                <w:noProof/>
                <w:webHidden/>
              </w:rPr>
              <w:tab/>
            </w:r>
            <w:r w:rsidR="007D5C30">
              <w:rPr>
                <w:noProof/>
                <w:webHidden/>
              </w:rPr>
              <w:fldChar w:fldCharType="begin"/>
            </w:r>
            <w:r w:rsidR="007D5C30">
              <w:rPr>
                <w:noProof/>
                <w:webHidden/>
              </w:rPr>
              <w:instrText xml:space="preserve"> PAGEREF _Toc1747246 \h </w:instrText>
            </w:r>
            <w:r w:rsidR="007D5C30">
              <w:rPr>
                <w:noProof/>
                <w:webHidden/>
              </w:rPr>
            </w:r>
            <w:r w:rsidR="007D5C30">
              <w:rPr>
                <w:noProof/>
                <w:webHidden/>
              </w:rPr>
              <w:fldChar w:fldCharType="separate"/>
            </w:r>
            <w:r w:rsidR="008A2AC2">
              <w:rPr>
                <w:noProof/>
                <w:webHidden/>
              </w:rPr>
              <w:t>79</w:t>
            </w:r>
            <w:r w:rsidR="007D5C30">
              <w:rPr>
                <w:noProof/>
                <w:webHidden/>
              </w:rPr>
              <w:fldChar w:fldCharType="end"/>
            </w:r>
          </w:hyperlink>
        </w:p>
        <w:p w14:paraId="2C21D6CF" w14:textId="77777777" w:rsidR="007D5C30" w:rsidRDefault="00EE2A70">
          <w:pPr>
            <w:pStyle w:val="TOC3"/>
            <w:tabs>
              <w:tab w:val="right" w:leader="dot" w:pos="10456"/>
            </w:tabs>
            <w:rPr>
              <w:noProof/>
            </w:rPr>
          </w:pPr>
          <w:hyperlink w:anchor="_Toc1747247" w:history="1">
            <w:r w:rsidR="007D5C30" w:rsidRPr="008C2D9C">
              <w:rPr>
                <w:rStyle w:val="Hyperlink"/>
                <w:noProof/>
              </w:rPr>
              <w:t>Epidemiological situation in 2015</w:t>
            </w:r>
            <w:r w:rsidR="007D5C30">
              <w:rPr>
                <w:noProof/>
                <w:webHidden/>
              </w:rPr>
              <w:tab/>
            </w:r>
            <w:r w:rsidR="007D5C30">
              <w:rPr>
                <w:noProof/>
                <w:webHidden/>
              </w:rPr>
              <w:fldChar w:fldCharType="begin"/>
            </w:r>
            <w:r w:rsidR="007D5C30">
              <w:rPr>
                <w:noProof/>
                <w:webHidden/>
              </w:rPr>
              <w:instrText xml:space="preserve"> PAGEREF _Toc1747247 \h </w:instrText>
            </w:r>
            <w:r w:rsidR="007D5C30">
              <w:rPr>
                <w:noProof/>
                <w:webHidden/>
              </w:rPr>
            </w:r>
            <w:r w:rsidR="007D5C30">
              <w:rPr>
                <w:noProof/>
                <w:webHidden/>
              </w:rPr>
              <w:fldChar w:fldCharType="separate"/>
            </w:r>
            <w:r w:rsidR="008A2AC2">
              <w:rPr>
                <w:noProof/>
                <w:webHidden/>
              </w:rPr>
              <w:t>79</w:t>
            </w:r>
            <w:r w:rsidR="007D5C30">
              <w:rPr>
                <w:noProof/>
                <w:webHidden/>
              </w:rPr>
              <w:fldChar w:fldCharType="end"/>
            </w:r>
          </w:hyperlink>
        </w:p>
        <w:p w14:paraId="293A9ACB" w14:textId="77777777" w:rsidR="007D5C30" w:rsidRDefault="00EE2A70">
          <w:pPr>
            <w:pStyle w:val="TOC1"/>
            <w:tabs>
              <w:tab w:val="right" w:leader="dot" w:pos="10456"/>
            </w:tabs>
            <w:rPr>
              <w:b w:val="0"/>
              <w:caps w:val="0"/>
              <w:noProof/>
            </w:rPr>
          </w:pPr>
          <w:hyperlink w:anchor="_Toc1747248" w:history="1">
            <w:r w:rsidR="007D5C30" w:rsidRPr="008C2D9C">
              <w:rPr>
                <w:rStyle w:val="Hyperlink"/>
                <w:noProof/>
              </w:rPr>
              <w:t>Sexually Transmissible Infections</w:t>
            </w:r>
            <w:r w:rsidR="007D5C30">
              <w:rPr>
                <w:noProof/>
                <w:webHidden/>
              </w:rPr>
              <w:tab/>
            </w:r>
            <w:r w:rsidR="007D5C30">
              <w:rPr>
                <w:noProof/>
                <w:webHidden/>
              </w:rPr>
              <w:fldChar w:fldCharType="begin"/>
            </w:r>
            <w:r w:rsidR="007D5C30">
              <w:rPr>
                <w:noProof/>
                <w:webHidden/>
              </w:rPr>
              <w:instrText xml:space="preserve"> PAGEREF _Toc1747248 \h </w:instrText>
            </w:r>
            <w:r w:rsidR="007D5C30">
              <w:rPr>
                <w:noProof/>
                <w:webHidden/>
              </w:rPr>
            </w:r>
            <w:r w:rsidR="007D5C30">
              <w:rPr>
                <w:noProof/>
                <w:webHidden/>
              </w:rPr>
              <w:fldChar w:fldCharType="separate"/>
            </w:r>
            <w:r w:rsidR="008A2AC2">
              <w:rPr>
                <w:noProof/>
                <w:webHidden/>
              </w:rPr>
              <w:t>80</w:t>
            </w:r>
            <w:r w:rsidR="007D5C30">
              <w:rPr>
                <w:noProof/>
                <w:webHidden/>
              </w:rPr>
              <w:fldChar w:fldCharType="end"/>
            </w:r>
          </w:hyperlink>
        </w:p>
        <w:p w14:paraId="48511E2F" w14:textId="77777777" w:rsidR="007D5C30" w:rsidRDefault="00EE2A70">
          <w:pPr>
            <w:pStyle w:val="TOC2"/>
            <w:tabs>
              <w:tab w:val="right" w:leader="dot" w:pos="10456"/>
            </w:tabs>
            <w:rPr>
              <w:b w:val="0"/>
              <w:noProof/>
            </w:rPr>
          </w:pPr>
          <w:hyperlink w:anchor="_Toc1747249" w:history="1">
            <w:r w:rsidR="007D5C30" w:rsidRPr="008C2D9C">
              <w:rPr>
                <w:rStyle w:val="Hyperlink"/>
                <w:noProof/>
              </w:rPr>
              <w:t>Chlamydial infection</w:t>
            </w:r>
            <w:r w:rsidR="007D5C30">
              <w:rPr>
                <w:noProof/>
                <w:webHidden/>
              </w:rPr>
              <w:tab/>
            </w:r>
            <w:r w:rsidR="007D5C30">
              <w:rPr>
                <w:noProof/>
                <w:webHidden/>
              </w:rPr>
              <w:fldChar w:fldCharType="begin"/>
            </w:r>
            <w:r w:rsidR="007D5C30">
              <w:rPr>
                <w:noProof/>
                <w:webHidden/>
              </w:rPr>
              <w:instrText xml:space="preserve"> PAGEREF _Toc1747249 \h </w:instrText>
            </w:r>
            <w:r w:rsidR="007D5C30">
              <w:rPr>
                <w:noProof/>
                <w:webHidden/>
              </w:rPr>
            </w:r>
            <w:r w:rsidR="007D5C30">
              <w:rPr>
                <w:noProof/>
                <w:webHidden/>
              </w:rPr>
              <w:fldChar w:fldCharType="separate"/>
            </w:r>
            <w:r w:rsidR="008A2AC2">
              <w:rPr>
                <w:noProof/>
                <w:webHidden/>
              </w:rPr>
              <w:t>80</w:t>
            </w:r>
            <w:r w:rsidR="007D5C30">
              <w:rPr>
                <w:noProof/>
                <w:webHidden/>
              </w:rPr>
              <w:fldChar w:fldCharType="end"/>
            </w:r>
          </w:hyperlink>
        </w:p>
        <w:p w14:paraId="6AFFD301" w14:textId="77777777" w:rsidR="007D5C30" w:rsidRDefault="00EE2A70">
          <w:pPr>
            <w:pStyle w:val="TOC3"/>
            <w:tabs>
              <w:tab w:val="right" w:leader="dot" w:pos="10456"/>
            </w:tabs>
            <w:rPr>
              <w:noProof/>
            </w:rPr>
          </w:pPr>
          <w:hyperlink w:anchor="_Toc1747250" w:history="1">
            <w:r w:rsidR="007D5C30" w:rsidRPr="008C2D9C">
              <w:rPr>
                <w:rStyle w:val="Hyperlink"/>
                <w:noProof/>
              </w:rPr>
              <w:t>Epidemiological situation in 2015</w:t>
            </w:r>
            <w:r w:rsidR="007D5C30">
              <w:rPr>
                <w:noProof/>
                <w:webHidden/>
              </w:rPr>
              <w:tab/>
            </w:r>
            <w:r w:rsidR="007D5C30">
              <w:rPr>
                <w:noProof/>
                <w:webHidden/>
              </w:rPr>
              <w:fldChar w:fldCharType="begin"/>
            </w:r>
            <w:r w:rsidR="007D5C30">
              <w:rPr>
                <w:noProof/>
                <w:webHidden/>
              </w:rPr>
              <w:instrText xml:space="preserve"> PAGEREF _Toc1747250 \h </w:instrText>
            </w:r>
            <w:r w:rsidR="007D5C30">
              <w:rPr>
                <w:noProof/>
                <w:webHidden/>
              </w:rPr>
            </w:r>
            <w:r w:rsidR="007D5C30">
              <w:rPr>
                <w:noProof/>
                <w:webHidden/>
              </w:rPr>
              <w:fldChar w:fldCharType="separate"/>
            </w:r>
            <w:r w:rsidR="008A2AC2">
              <w:rPr>
                <w:noProof/>
                <w:webHidden/>
              </w:rPr>
              <w:t>80</w:t>
            </w:r>
            <w:r w:rsidR="007D5C30">
              <w:rPr>
                <w:noProof/>
                <w:webHidden/>
              </w:rPr>
              <w:fldChar w:fldCharType="end"/>
            </w:r>
          </w:hyperlink>
        </w:p>
        <w:p w14:paraId="734EB6B6" w14:textId="77777777" w:rsidR="007D5C30" w:rsidRDefault="00EE2A70">
          <w:pPr>
            <w:pStyle w:val="TOC3"/>
            <w:tabs>
              <w:tab w:val="right" w:leader="dot" w:pos="10456"/>
            </w:tabs>
            <w:rPr>
              <w:noProof/>
            </w:rPr>
          </w:pPr>
          <w:hyperlink w:anchor="_Toc1747251" w:history="1">
            <w:r w:rsidR="007D5C30" w:rsidRPr="008C2D9C">
              <w:rPr>
                <w:rStyle w:val="Hyperlink"/>
                <w:noProof/>
              </w:rPr>
              <w:t>Geographical distribution</w:t>
            </w:r>
            <w:r w:rsidR="007D5C30">
              <w:rPr>
                <w:noProof/>
                <w:webHidden/>
              </w:rPr>
              <w:tab/>
            </w:r>
            <w:r w:rsidR="007D5C30">
              <w:rPr>
                <w:noProof/>
                <w:webHidden/>
              </w:rPr>
              <w:fldChar w:fldCharType="begin"/>
            </w:r>
            <w:r w:rsidR="007D5C30">
              <w:rPr>
                <w:noProof/>
                <w:webHidden/>
              </w:rPr>
              <w:instrText xml:space="preserve"> PAGEREF _Toc1747251 \h </w:instrText>
            </w:r>
            <w:r w:rsidR="007D5C30">
              <w:rPr>
                <w:noProof/>
                <w:webHidden/>
              </w:rPr>
            </w:r>
            <w:r w:rsidR="007D5C30">
              <w:rPr>
                <w:noProof/>
                <w:webHidden/>
              </w:rPr>
              <w:fldChar w:fldCharType="separate"/>
            </w:r>
            <w:r w:rsidR="008A2AC2">
              <w:rPr>
                <w:noProof/>
                <w:webHidden/>
              </w:rPr>
              <w:t>81</w:t>
            </w:r>
            <w:r w:rsidR="007D5C30">
              <w:rPr>
                <w:noProof/>
                <w:webHidden/>
              </w:rPr>
              <w:fldChar w:fldCharType="end"/>
            </w:r>
          </w:hyperlink>
        </w:p>
        <w:p w14:paraId="2DC44CF1" w14:textId="77777777" w:rsidR="007D5C30" w:rsidRDefault="00EE2A70">
          <w:pPr>
            <w:pStyle w:val="TOC3"/>
            <w:tabs>
              <w:tab w:val="right" w:leader="dot" w:pos="10456"/>
            </w:tabs>
            <w:rPr>
              <w:noProof/>
            </w:rPr>
          </w:pPr>
          <w:hyperlink w:anchor="_Toc1747252" w:history="1">
            <w:r w:rsidR="007D5C30" w:rsidRPr="008C2D9C">
              <w:rPr>
                <w:rStyle w:val="Hyperlink"/>
                <w:noProof/>
              </w:rPr>
              <w:t>Age and sex distribution</w:t>
            </w:r>
            <w:r w:rsidR="007D5C30">
              <w:rPr>
                <w:noProof/>
                <w:webHidden/>
              </w:rPr>
              <w:tab/>
            </w:r>
            <w:r w:rsidR="007D5C30">
              <w:rPr>
                <w:noProof/>
                <w:webHidden/>
              </w:rPr>
              <w:fldChar w:fldCharType="begin"/>
            </w:r>
            <w:r w:rsidR="007D5C30">
              <w:rPr>
                <w:noProof/>
                <w:webHidden/>
              </w:rPr>
              <w:instrText xml:space="preserve"> PAGEREF _Toc1747252 \h </w:instrText>
            </w:r>
            <w:r w:rsidR="007D5C30">
              <w:rPr>
                <w:noProof/>
                <w:webHidden/>
              </w:rPr>
            </w:r>
            <w:r w:rsidR="007D5C30">
              <w:rPr>
                <w:noProof/>
                <w:webHidden/>
              </w:rPr>
              <w:fldChar w:fldCharType="separate"/>
            </w:r>
            <w:r w:rsidR="008A2AC2">
              <w:rPr>
                <w:noProof/>
                <w:webHidden/>
              </w:rPr>
              <w:t>85</w:t>
            </w:r>
            <w:r w:rsidR="007D5C30">
              <w:rPr>
                <w:noProof/>
                <w:webHidden/>
              </w:rPr>
              <w:fldChar w:fldCharType="end"/>
            </w:r>
          </w:hyperlink>
        </w:p>
        <w:p w14:paraId="5EC897E2" w14:textId="77777777" w:rsidR="007D5C30" w:rsidRDefault="00EE2A70">
          <w:pPr>
            <w:pStyle w:val="TOC3"/>
            <w:tabs>
              <w:tab w:val="right" w:leader="dot" w:pos="10456"/>
            </w:tabs>
            <w:rPr>
              <w:noProof/>
            </w:rPr>
          </w:pPr>
          <w:hyperlink w:anchor="_Toc1747253" w:history="1">
            <w:r w:rsidR="007D5C30" w:rsidRPr="008C2D9C">
              <w:rPr>
                <w:rStyle w:val="Hyperlink"/>
                <w:noProof/>
              </w:rPr>
              <w:t>Indigenous status</w:t>
            </w:r>
            <w:r w:rsidR="007D5C30">
              <w:rPr>
                <w:noProof/>
                <w:webHidden/>
              </w:rPr>
              <w:tab/>
            </w:r>
            <w:r w:rsidR="007D5C30">
              <w:rPr>
                <w:noProof/>
                <w:webHidden/>
              </w:rPr>
              <w:fldChar w:fldCharType="begin"/>
            </w:r>
            <w:r w:rsidR="007D5C30">
              <w:rPr>
                <w:noProof/>
                <w:webHidden/>
              </w:rPr>
              <w:instrText xml:space="preserve"> PAGEREF _Toc1747253 \h </w:instrText>
            </w:r>
            <w:r w:rsidR="007D5C30">
              <w:rPr>
                <w:noProof/>
                <w:webHidden/>
              </w:rPr>
            </w:r>
            <w:r w:rsidR="007D5C30">
              <w:rPr>
                <w:noProof/>
                <w:webHidden/>
              </w:rPr>
              <w:fldChar w:fldCharType="separate"/>
            </w:r>
            <w:r w:rsidR="008A2AC2">
              <w:rPr>
                <w:noProof/>
                <w:webHidden/>
              </w:rPr>
              <w:t>85</w:t>
            </w:r>
            <w:r w:rsidR="007D5C30">
              <w:rPr>
                <w:noProof/>
                <w:webHidden/>
              </w:rPr>
              <w:fldChar w:fldCharType="end"/>
            </w:r>
          </w:hyperlink>
        </w:p>
        <w:p w14:paraId="5077AD3D" w14:textId="77777777" w:rsidR="007D5C30" w:rsidRDefault="00EE2A70">
          <w:pPr>
            <w:pStyle w:val="TOC2"/>
            <w:tabs>
              <w:tab w:val="right" w:leader="dot" w:pos="10456"/>
            </w:tabs>
            <w:rPr>
              <w:b w:val="0"/>
              <w:noProof/>
            </w:rPr>
          </w:pPr>
          <w:hyperlink w:anchor="_Toc1747254" w:history="1">
            <w:r w:rsidR="007D5C30" w:rsidRPr="008C2D9C">
              <w:rPr>
                <w:rStyle w:val="Hyperlink"/>
                <w:noProof/>
              </w:rPr>
              <w:t>Donovanosis</w:t>
            </w:r>
            <w:r w:rsidR="007D5C30">
              <w:rPr>
                <w:noProof/>
                <w:webHidden/>
              </w:rPr>
              <w:tab/>
            </w:r>
            <w:r w:rsidR="007D5C30">
              <w:rPr>
                <w:noProof/>
                <w:webHidden/>
              </w:rPr>
              <w:fldChar w:fldCharType="begin"/>
            </w:r>
            <w:r w:rsidR="007D5C30">
              <w:rPr>
                <w:noProof/>
                <w:webHidden/>
              </w:rPr>
              <w:instrText xml:space="preserve"> PAGEREF _Toc1747254 \h </w:instrText>
            </w:r>
            <w:r w:rsidR="007D5C30">
              <w:rPr>
                <w:noProof/>
                <w:webHidden/>
              </w:rPr>
            </w:r>
            <w:r w:rsidR="007D5C30">
              <w:rPr>
                <w:noProof/>
                <w:webHidden/>
              </w:rPr>
              <w:fldChar w:fldCharType="separate"/>
            </w:r>
            <w:r w:rsidR="008A2AC2">
              <w:rPr>
                <w:noProof/>
                <w:webHidden/>
              </w:rPr>
              <w:t>86</w:t>
            </w:r>
            <w:r w:rsidR="007D5C30">
              <w:rPr>
                <w:noProof/>
                <w:webHidden/>
              </w:rPr>
              <w:fldChar w:fldCharType="end"/>
            </w:r>
          </w:hyperlink>
        </w:p>
        <w:p w14:paraId="1A3DEBD5" w14:textId="77777777" w:rsidR="007D5C30" w:rsidRDefault="00EE2A70">
          <w:pPr>
            <w:pStyle w:val="TOC3"/>
            <w:tabs>
              <w:tab w:val="right" w:leader="dot" w:pos="10456"/>
            </w:tabs>
            <w:rPr>
              <w:noProof/>
            </w:rPr>
          </w:pPr>
          <w:hyperlink w:anchor="_Toc1747255" w:history="1">
            <w:r w:rsidR="007D5C30" w:rsidRPr="008C2D9C">
              <w:rPr>
                <w:rStyle w:val="Hyperlink"/>
                <w:noProof/>
              </w:rPr>
              <w:t>Epidemiological situation in 2015</w:t>
            </w:r>
            <w:r w:rsidR="007D5C30">
              <w:rPr>
                <w:noProof/>
                <w:webHidden/>
              </w:rPr>
              <w:tab/>
            </w:r>
            <w:r w:rsidR="007D5C30">
              <w:rPr>
                <w:noProof/>
                <w:webHidden/>
              </w:rPr>
              <w:fldChar w:fldCharType="begin"/>
            </w:r>
            <w:r w:rsidR="007D5C30">
              <w:rPr>
                <w:noProof/>
                <w:webHidden/>
              </w:rPr>
              <w:instrText xml:space="preserve"> PAGEREF _Toc1747255 \h </w:instrText>
            </w:r>
            <w:r w:rsidR="007D5C30">
              <w:rPr>
                <w:noProof/>
                <w:webHidden/>
              </w:rPr>
            </w:r>
            <w:r w:rsidR="007D5C30">
              <w:rPr>
                <w:noProof/>
                <w:webHidden/>
              </w:rPr>
              <w:fldChar w:fldCharType="separate"/>
            </w:r>
            <w:r w:rsidR="008A2AC2">
              <w:rPr>
                <w:noProof/>
                <w:webHidden/>
              </w:rPr>
              <w:t>87</w:t>
            </w:r>
            <w:r w:rsidR="007D5C30">
              <w:rPr>
                <w:noProof/>
                <w:webHidden/>
              </w:rPr>
              <w:fldChar w:fldCharType="end"/>
            </w:r>
          </w:hyperlink>
        </w:p>
        <w:p w14:paraId="548D08B8" w14:textId="77777777" w:rsidR="007D5C30" w:rsidRDefault="00EE2A70">
          <w:pPr>
            <w:pStyle w:val="TOC2"/>
            <w:tabs>
              <w:tab w:val="right" w:leader="dot" w:pos="10456"/>
            </w:tabs>
            <w:rPr>
              <w:b w:val="0"/>
              <w:noProof/>
            </w:rPr>
          </w:pPr>
          <w:hyperlink w:anchor="_Toc1747256" w:history="1">
            <w:r w:rsidR="007D5C30" w:rsidRPr="008C2D9C">
              <w:rPr>
                <w:rStyle w:val="Hyperlink"/>
                <w:noProof/>
              </w:rPr>
              <w:t>Gonococcal infection</w:t>
            </w:r>
            <w:r w:rsidR="007D5C30">
              <w:rPr>
                <w:noProof/>
                <w:webHidden/>
              </w:rPr>
              <w:tab/>
            </w:r>
            <w:r w:rsidR="007D5C30">
              <w:rPr>
                <w:noProof/>
                <w:webHidden/>
              </w:rPr>
              <w:fldChar w:fldCharType="begin"/>
            </w:r>
            <w:r w:rsidR="007D5C30">
              <w:rPr>
                <w:noProof/>
                <w:webHidden/>
              </w:rPr>
              <w:instrText xml:space="preserve"> PAGEREF _Toc1747256 \h </w:instrText>
            </w:r>
            <w:r w:rsidR="007D5C30">
              <w:rPr>
                <w:noProof/>
                <w:webHidden/>
              </w:rPr>
            </w:r>
            <w:r w:rsidR="007D5C30">
              <w:rPr>
                <w:noProof/>
                <w:webHidden/>
              </w:rPr>
              <w:fldChar w:fldCharType="separate"/>
            </w:r>
            <w:r w:rsidR="008A2AC2">
              <w:rPr>
                <w:noProof/>
                <w:webHidden/>
              </w:rPr>
              <w:t>87</w:t>
            </w:r>
            <w:r w:rsidR="007D5C30">
              <w:rPr>
                <w:noProof/>
                <w:webHidden/>
              </w:rPr>
              <w:fldChar w:fldCharType="end"/>
            </w:r>
          </w:hyperlink>
        </w:p>
        <w:p w14:paraId="4194597A" w14:textId="77777777" w:rsidR="007D5C30" w:rsidRDefault="00EE2A70">
          <w:pPr>
            <w:pStyle w:val="TOC3"/>
            <w:tabs>
              <w:tab w:val="right" w:leader="dot" w:pos="10456"/>
            </w:tabs>
            <w:rPr>
              <w:noProof/>
            </w:rPr>
          </w:pPr>
          <w:hyperlink w:anchor="_Toc1747257" w:history="1">
            <w:r w:rsidR="007D5C30" w:rsidRPr="008C2D9C">
              <w:rPr>
                <w:rStyle w:val="Hyperlink"/>
                <w:noProof/>
              </w:rPr>
              <w:t>Epidemiological situation in 2015</w:t>
            </w:r>
            <w:r w:rsidR="007D5C30">
              <w:rPr>
                <w:noProof/>
                <w:webHidden/>
              </w:rPr>
              <w:tab/>
            </w:r>
            <w:r w:rsidR="007D5C30">
              <w:rPr>
                <w:noProof/>
                <w:webHidden/>
              </w:rPr>
              <w:fldChar w:fldCharType="begin"/>
            </w:r>
            <w:r w:rsidR="007D5C30">
              <w:rPr>
                <w:noProof/>
                <w:webHidden/>
              </w:rPr>
              <w:instrText xml:space="preserve"> PAGEREF _Toc1747257 \h </w:instrText>
            </w:r>
            <w:r w:rsidR="007D5C30">
              <w:rPr>
                <w:noProof/>
                <w:webHidden/>
              </w:rPr>
            </w:r>
            <w:r w:rsidR="007D5C30">
              <w:rPr>
                <w:noProof/>
                <w:webHidden/>
              </w:rPr>
              <w:fldChar w:fldCharType="separate"/>
            </w:r>
            <w:r w:rsidR="008A2AC2">
              <w:rPr>
                <w:noProof/>
                <w:webHidden/>
              </w:rPr>
              <w:t>87</w:t>
            </w:r>
            <w:r w:rsidR="007D5C30">
              <w:rPr>
                <w:noProof/>
                <w:webHidden/>
              </w:rPr>
              <w:fldChar w:fldCharType="end"/>
            </w:r>
          </w:hyperlink>
        </w:p>
        <w:p w14:paraId="733986F7" w14:textId="77777777" w:rsidR="007D5C30" w:rsidRDefault="00EE2A70">
          <w:pPr>
            <w:pStyle w:val="TOC3"/>
            <w:tabs>
              <w:tab w:val="right" w:leader="dot" w:pos="10456"/>
            </w:tabs>
            <w:rPr>
              <w:noProof/>
            </w:rPr>
          </w:pPr>
          <w:hyperlink w:anchor="_Toc1747258" w:history="1">
            <w:r w:rsidR="007D5C30" w:rsidRPr="008C2D9C">
              <w:rPr>
                <w:rStyle w:val="Hyperlink"/>
                <w:noProof/>
              </w:rPr>
              <w:t>Geographical distribution</w:t>
            </w:r>
            <w:r w:rsidR="007D5C30">
              <w:rPr>
                <w:noProof/>
                <w:webHidden/>
              </w:rPr>
              <w:tab/>
            </w:r>
            <w:r w:rsidR="007D5C30">
              <w:rPr>
                <w:noProof/>
                <w:webHidden/>
              </w:rPr>
              <w:fldChar w:fldCharType="begin"/>
            </w:r>
            <w:r w:rsidR="007D5C30">
              <w:rPr>
                <w:noProof/>
                <w:webHidden/>
              </w:rPr>
              <w:instrText xml:space="preserve"> PAGEREF _Toc1747258 \h </w:instrText>
            </w:r>
            <w:r w:rsidR="007D5C30">
              <w:rPr>
                <w:noProof/>
                <w:webHidden/>
              </w:rPr>
            </w:r>
            <w:r w:rsidR="007D5C30">
              <w:rPr>
                <w:noProof/>
                <w:webHidden/>
              </w:rPr>
              <w:fldChar w:fldCharType="separate"/>
            </w:r>
            <w:r w:rsidR="008A2AC2">
              <w:rPr>
                <w:noProof/>
                <w:webHidden/>
              </w:rPr>
              <w:t>88</w:t>
            </w:r>
            <w:r w:rsidR="007D5C30">
              <w:rPr>
                <w:noProof/>
                <w:webHidden/>
              </w:rPr>
              <w:fldChar w:fldCharType="end"/>
            </w:r>
          </w:hyperlink>
        </w:p>
        <w:p w14:paraId="00FBB648" w14:textId="77777777" w:rsidR="007D5C30" w:rsidRDefault="00EE2A70">
          <w:pPr>
            <w:pStyle w:val="TOC3"/>
            <w:tabs>
              <w:tab w:val="right" w:leader="dot" w:pos="10456"/>
            </w:tabs>
            <w:rPr>
              <w:noProof/>
            </w:rPr>
          </w:pPr>
          <w:hyperlink w:anchor="_Toc1747259" w:history="1">
            <w:r w:rsidR="007D5C30" w:rsidRPr="008C2D9C">
              <w:rPr>
                <w:rStyle w:val="Hyperlink"/>
                <w:noProof/>
              </w:rPr>
              <w:t>Age and sex distribution</w:t>
            </w:r>
            <w:r w:rsidR="007D5C30">
              <w:rPr>
                <w:noProof/>
                <w:webHidden/>
              </w:rPr>
              <w:tab/>
            </w:r>
            <w:r w:rsidR="007D5C30">
              <w:rPr>
                <w:noProof/>
                <w:webHidden/>
              </w:rPr>
              <w:fldChar w:fldCharType="begin"/>
            </w:r>
            <w:r w:rsidR="007D5C30">
              <w:rPr>
                <w:noProof/>
                <w:webHidden/>
              </w:rPr>
              <w:instrText xml:space="preserve"> PAGEREF _Toc1747259 \h </w:instrText>
            </w:r>
            <w:r w:rsidR="007D5C30">
              <w:rPr>
                <w:noProof/>
                <w:webHidden/>
              </w:rPr>
            </w:r>
            <w:r w:rsidR="007D5C30">
              <w:rPr>
                <w:noProof/>
                <w:webHidden/>
              </w:rPr>
              <w:fldChar w:fldCharType="separate"/>
            </w:r>
            <w:r w:rsidR="008A2AC2">
              <w:rPr>
                <w:noProof/>
                <w:webHidden/>
              </w:rPr>
              <w:t>89</w:t>
            </w:r>
            <w:r w:rsidR="007D5C30">
              <w:rPr>
                <w:noProof/>
                <w:webHidden/>
              </w:rPr>
              <w:fldChar w:fldCharType="end"/>
            </w:r>
          </w:hyperlink>
        </w:p>
        <w:p w14:paraId="538CA812" w14:textId="77777777" w:rsidR="007D5C30" w:rsidRDefault="00EE2A70">
          <w:pPr>
            <w:pStyle w:val="TOC3"/>
            <w:tabs>
              <w:tab w:val="right" w:leader="dot" w:pos="10456"/>
            </w:tabs>
            <w:rPr>
              <w:noProof/>
            </w:rPr>
          </w:pPr>
          <w:hyperlink w:anchor="_Toc1747260" w:history="1">
            <w:r w:rsidR="007D5C30" w:rsidRPr="008C2D9C">
              <w:rPr>
                <w:rStyle w:val="Hyperlink"/>
                <w:noProof/>
              </w:rPr>
              <w:t>Indigenous</w:t>
            </w:r>
            <w:r w:rsidR="007D5C30">
              <w:rPr>
                <w:noProof/>
                <w:webHidden/>
              </w:rPr>
              <w:tab/>
            </w:r>
            <w:r w:rsidR="007D5C30">
              <w:rPr>
                <w:noProof/>
                <w:webHidden/>
              </w:rPr>
              <w:fldChar w:fldCharType="begin"/>
            </w:r>
            <w:r w:rsidR="007D5C30">
              <w:rPr>
                <w:noProof/>
                <w:webHidden/>
              </w:rPr>
              <w:instrText xml:space="preserve"> PAGEREF _Toc1747260 \h </w:instrText>
            </w:r>
            <w:r w:rsidR="007D5C30">
              <w:rPr>
                <w:noProof/>
                <w:webHidden/>
              </w:rPr>
            </w:r>
            <w:r w:rsidR="007D5C30">
              <w:rPr>
                <w:noProof/>
                <w:webHidden/>
              </w:rPr>
              <w:fldChar w:fldCharType="separate"/>
            </w:r>
            <w:r w:rsidR="008A2AC2">
              <w:rPr>
                <w:noProof/>
                <w:webHidden/>
              </w:rPr>
              <w:t>91</w:t>
            </w:r>
            <w:r w:rsidR="007D5C30">
              <w:rPr>
                <w:noProof/>
                <w:webHidden/>
              </w:rPr>
              <w:fldChar w:fldCharType="end"/>
            </w:r>
          </w:hyperlink>
        </w:p>
        <w:p w14:paraId="5618920E" w14:textId="77777777" w:rsidR="007D5C30" w:rsidRDefault="00EE2A70">
          <w:pPr>
            <w:pStyle w:val="TOC3"/>
            <w:tabs>
              <w:tab w:val="right" w:leader="dot" w:pos="10456"/>
            </w:tabs>
            <w:rPr>
              <w:noProof/>
            </w:rPr>
          </w:pPr>
          <w:hyperlink w:anchor="_Toc1747261" w:history="1">
            <w:r w:rsidR="007D5C30" w:rsidRPr="008C2D9C">
              <w:rPr>
                <w:rStyle w:val="Hyperlink"/>
                <w:noProof/>
              </w:rPr>
              <w:t>Microbiological trends</w:t>
            </w:r>
            <w:r w:rsidR="007D5C30">
              <w:rPr>
                <w:noProof/>
                <w:webHidden/>
              </w:rPr>
              <w:tab/>
            </w:r>
            <w:r w:rsidR="007D5C30">
              <w:rPr>
                <w:noProof/>
                <w:webHidden/>
              </w:rPr>
              <w:fldChar w:fldCharType="begin"/>
            </w:r>
            <w:r w:rsidR="007D5C30">
              <w:rPr>
                <w:noProof/>
                <w:webHidden/>
              </w:rPr>
              <w:instrText xml:space="preserve"> PAGEREF _Toc1747261 \h </w:instrText>
            </w:r>
            <w:r w:rsidR="007D5C30">
              <w:rPr>
                <w:noProof/>
                <w:webHidden/>
              </w:rPr>
            </w:r>
            <w:r w:rsidR="007D5C30">
              <w:rPr>
                <w:noProof/>
                <w:webHidden/>
              </w:rPr>
              <w:fldChar w:fldCharType="separate"/>
            </w:r>
            <w:r w:rsidR="008A2AC2">
              <w:rPr>
                <w:noProof/>
                <w:webHidden/>
              </w:rPr>
              <w:t>92</w:t>
            </w:r>
            <w:r w:rsidR="007D5C30">
              <w:rPr>
                <w:noProof/>
                <w:webHidden/>
              </w:rPr>
              <w:fldChar w:fldCharType="end"/>
            </w:r>
          </w:hyperlink>
        </w:p>
        <w:p w14:paraId="07A80E63" w14:textId="77777777" w:rsidR="007D5C30" w:rsidRDefault="00EE2A70">
          <w:pPr>
            <w:pStyle w:val="TOC2"/>
            <w:tabs>
              <w:tab w:val="right" w:leader="dot" w:pos="10456"/>
            </w:tabs>
            <w:rPr>
              <w:b w:val="0"/>
              <w:noProof/>
            </w:rPr>
          </w:pPr>
          <w:hyperlink w:anchor="_Toc1747262" w:history="1">
            <w:r w:rsidR="007D5C30" w:rsidRPr="008C2D9C">
              <w:rPr>
                <w:rStyle w:val="Hyperlink"/>
                <w:noProof/>
              </w:rPr>
              <w:t>Syphilis (non-congenital categories)</w:t>
            </w:r>
            <w:r w:rsidR="007D5C30">
              <w:rPr>
                <w:noProof/>
                <w:webHidden/>
              </w:rPr>
              <w:tab/>
            </w:r>
            <w:r w:rsidR="007D5C30">
              <w:rPr>
                <w:noProof/>
                <w:webHidden/>
              </w:rPr>
              <w:fldChar w:fldCharType="begin"/>
            </w:r>
            <w:r w:rsidR="007D5C30">
              <w:rPr>
                <w:noProof/>
                <w:webHidden/>
              </w:rPr>
              <w:instrText xml:space="preserve"> PAGEREF _Toc1747262 \h </w:instrText>
            </w:r>
            <w:r w:rsidR="007D5C30">
              <w:rPr>
                <w:noProof/>
                <w:webHidden/>
              </w:rPr>
            </w:r>
            <w:r w:rsidR="007D5C30">
              <w:rPr>
                <w:noProof/>
                <w:webHidden/>
              </w:rPr>
              <w:fldChar w:fldCharType="separate"/>
            </w:r>
            <w:r w:rsidR="008A2AC2">
              <w:rPr>
                <w:noProof/>
                <w:webHidden/>
              </w:rPr>
              <w:t>93</w:t>
            </w:r>
            <w:r w:rsidR="007D5C30">
              <w:rPr>
                <w:noProof/>
                <w:webHidden/>
              </w:rPr>
              <w:fldChar w:fldCharType="end"/>
            </w:r>
          </w:hyperlink>
        </w:p>
        <w:p w14:paraId="553CA3A3" w14:textId="77777777" w:rsidR="007D5C30" w:rsidRDefault="00EE2A70">
          <w:pPr>
            <w:pStyle w:val="TOC3"/>
            <w:tabs>
              <w:tab w:val="right" w:leader="dot" w:pos="10456"/>
            </w:tabs>
            <w:rPr>
              <w:noProof/>
            </w:rPr>
          </w:pPr>
          <w:hyperlink w:anchor="_Toc1747263" w:history="1">
            <w:r w:rsidR="007D5C30" w:rsidRPr="008C2D9C">
              <w:rPr>
                <w:rStyle w:val="Hyperlink"/>
                <w:noProof/>
              </w:rPr>
              <w:t>Epidemiological situation in 2015</w:t>
            </w:r>
            <w:r w:rsidR="007D5C30">
              <w:rPr>
                <w:noProof/>
                <w:webHidden/>
              </w:rPr>
              <w:tab/>
            </w:r>
            <w:r w:rsidR="007D5C30">
              <w:rPr>
                <w:noProof/>
                <w:webHidden/>
              </w:rPr>
              <w:fldChar w:fldCharType="begin"/>
            </w:r>
            <w:r w:rsidR="007D5C30">
              <w:rPr>
                <w:noProof/>
                <w:webHidden/>
              </w:rPr>
              <w:instrText xml:space="preserve"> PAGEREF _Toc1747263 \h </w:instrText>
            </w:r>
            <w:r w:rsidR="007D5C30">
              <w:rPr>
                <w:noProof/>
                <w:webHidden/>
              </w:rPr>
            </w:r>
            <w:r w:rsidR="007D5C30">
              <w:rPr>
                <w:noProof/>
                <w:webHidden/>
              </w:rPr>
              <w:fldChar w:fldCharType="separate"/>
            </w:r>
            <w:r w:rsidR="008A2AC2">
              <w:rPr>
                <w:noProof/>
                <w:webHidden/>
              </w:rPr>
              <w:t>93</w:t>
            </w:r>
            <w:r w:rsidR="007D5C30">
              <w:rPr>
                <w:noProof/>
                <w:webHidden/>
              </w:rPr>
              <w:fldChar w:fldCharType="end"/>
            </w:r>
          </w:hyperlink>
        </w:p>
        <w:p w14:paraId="125E7C7C" w14:textId="77777777" w:rsidR="007D5C30" w:rsidRDefault="00EE2A70">
          <w:pPr>
            <w:pStyle w:val="TOC2"/>
            <w:tabs>
              <w:tab w:val="right" w:leader="dot" w:pos="10456"/>
            </w:tabs>
            <w:rPr>
              <w:b w:val="0"/>
              <w:noProof/>
            </w:rPr>
          </w:pPr>
          <w:hyperlink w:anchor="_Toc1747264" w:history="1">
            <w:r w:rsidR="007D5C30" w:rsidRPr="008C2D9C">
              <w:rPr>
                <w:rStyle w:val="Hyperlink"/>
                <w:noProof/>
              </w:rPr>
              <w:t>Syphilis – infectious (primary, secondary and early latent), less than 2 years duration</w:t>
            </w:r>
            <w:r w:rsidR="007D5C30">
              <w:rPr>
                <w:noProof/>
                <w:webHidden/>
              </w:rPr>
              <w:tab/>
            </w:r>
            <w:r w:rsidR="007D5C30">
              <w:rPr>
                <w:noProof/>
                <w:webHidden/>
              </w:rPr>
              <w:fldChar w:fldCharType="begin"/>
            </w:r>
            <w:r w:rsidR="007D5C30">
              <w:rPr>
                <w:noProof/>
                <w:webHidden/>
              </w:rPr>
              <w:instrText xml:space="preserve"> PAGEREF _Toc1747264 \h </w:instrText>
            </w:r>
            <w:r w:rsidR="007D5C30">
              <w:rPr>
                <w:noProof/>
                <w:webHidden/>
              </w:rPr>
            </w:r>
            <w:r w:rsidR="007D5C30">
              <w:rPr>
                <w:noProof/>
                <w:webHidden/>
              </w:rPr>
              <w:fldChar w:fldCharType="separate"/>
            </w:r>
            <w:r w:rsidR="008A2AC2">
              <w:rPr>
                <w:noProof/>
                <w:webHidden/>
              </w:rPr>
              <w:t>94</w:t>
            </w:r>
            <w:r w:rsidR="007D5C30">
              <w:rPr>
                <w:noProof/>
                <w:webHidden/>
              </w:rPr>
              <w:fldChar w:fldCharType="end"/>
            </w:r>
          </w:hyperlink>
        </w:p>
        <w:p w14:paraId="4DDA5379" w14:textId="77777777" w:rsidR="007D5C30" w:rsidRDefault="00EE2A70">
          <w:pPr>
            <w:pStyle w:val="TOC3"/>
            <w:tabs>
              <w:tab w:val="right" w:leader="dot" w:pos="10456"/>
            </w:tabs>
            <w:rPr>
              <w:noProof/>
            </w:rPr>
          </w:pPr>
          <w:hyperlink w:anchor="_Toc1747265" w:history="1">
            <w:r w:rsidR="007D5C30" w:rsidRPr="008C2D9C">
              <w:rPr>
                <w:rStyle w:val="Hyperlink"/>
                <w:noProof/>
              </w:rPr>
              <w:t>Epidemiological situation in 2015</w:t>
            </w:r>
            <w:r w:rsidR="007D5C30">
              <w:rPr>
                <w:noProof/>
                <w:webHidden/>
              </w:rPr>
              <w:tab/>
            </w:r>
            <w:r w:rsidR="007D5C30">
              <w:rPr>
                <w:noProof/>
                <w:webHidden/>
              </w:rPr>
              <w:fldChar w:fldCharType="begin"/>
            </w:r>
            <w:r w:rsidR="007D5C30">
              <w:rPr>
                <w:noProof/>
                <w:webHidden/>
              </w:rPr>
              <w:instrText xml:space="preserve"> PAGEREF _Toc1747265 \h </w:instrText>
            </w:r>
            <w:r w:rsidR="007D5C30">
              <w:rPr>
                <w:noProof/>
                <w:webHidden/>
              </w:rPr>
            </w:r>
            <w:r w:rsidR="007D5C30">
              <w:rPr>
                <w:noProof/>
                <w:webHidden/>
              </w:rPr>
              <w:fldChar w:fldCharType="separate"/>
            </w:r>
            <w:r w:rsidR="008A2AC2">
              <w:rPr>
                <w:noProof/>
                <w:webHidden/>
              </w:rPr>
              <w:t>94</w:t>
            </w:r>
            <w:r w:rsidR="007D5C30">
              <w:rPr>
                <w:noProof/>
                <w:webHidden/>
              </w:rPr>
              <w:fldChar w:fldCharType="end"/>
            </w:r>
          </w:hyperlink>
        </w:p>
        <w:p w14:paraId="4BC12C29" w14:textId="77777777" w:rsidR="007D5C30" w:rsidRDefault="00EE2A70">
          <w:pPr>
            <w:pStyle w:val="TOC3"/>
            <w:tabs>
              <w:tab w:val="right" w:leader="dot" w:pos="10456"/>
            </w:tabs>
            <w:rPr>
              <w:noProof/>
            </w:rPr>
          </w:pPr>
          <w:hyperlink w:anchor="_Toc1747266" w:history="1">
            <w:r w:rsidR="007D5C30" w:rsidRPr="008C2D9C">
              <w:rPr>
                <w:rStyle w:val="Hyperlink"/>
                <w:noProof/>
              </w:rPr>
              <w:t>Geographical distribution</w:t>
            </w:r>
            <w:r w:rsidR="007D5C30">
              <w:rPr>
                <w:noProof/>
                <w:webHidden/>
              </w:rPr>
              <w:tab/>
            </w:r>
            <w:r w:rsidR="007D5C30">
              <w:rPr>
                <w:noProof/>
                <w:webHidden/>
              </w:rPr>
              <w:fldChar w:fldCharType="begin"/>
            </w:r>
            <w:r w:rsidR="007D5C30">
              <w:rPr>
                <w:noProof/>
                <w:webHidden/>
              </w:rPr>
              <w:instrText xml:space="preserve"> PAGEREF _Toc1747266 \h </w:instrText>
            </w:r>
            <w:r w:rsidR="007D5C30">
              <w:rPr>
                <w:noProof/>
                <w:webHidden/>
              </w:rPr>
            </w:r>
            <w:r w:rsidR="007D5C30">
              <w:rPr>
                <w:noProof/>
                <w:webHidden/>
              </w:rPr>
              <w:fldChar w:fldCharType="separate"/>
            </w:r>
            <w:r w:rsidR="008A2AC2">
              <w:rPr>
                <w:noProof/>
                <w:webHidden/>
              </w:rPr>
              <w:t>94</w:t>
            </w:r>
            <w:r w:rsidR="007D5C30">
              <w:rPr>
                <w:noProof/>
                <w:webHidden/>
              </w:rPr>
              <w:fldChar w:fldCharType="end"/>
            </w:r>
          </w:hyperlink>
        </w:p>
        <w:p w14:paraId="4CC80D9D" w14:textId="77777777" w:rsidR="007D5C30" w:rsidRDefault="00EE2A70">
          <w:pPr>
            <w:pStyle w:val="TOC3"/>
            <w:tabs>
              <w:tab w:val="right" w:leader="dot" w:pos="10456"/>
            </w:tabs>
            <w:rPr>
              <w:noProof/>
            </w:rPr>
          </w:pPr>
          <w:hyperlink w:anchor="_Toc1747267" w:history="1">
            <w:r w:rsidR="007D5C30" w:rsidRPr="008C2D9C">
              <w:rPr>
                <w:rStyle w:val="Hyperlink"/>
                <w:noProof/>
              </w:rPr>
              <w:t>Age and sex distribution</w:t>
            </w:r>
            <w:r w:rsidR="007D5C30">
              <w:rPr>
                <w:noProof/>
                <w:webHidden/>
              </w:rPr>
              <w:tab/>
            </w:r>
            <w:r w:rsidR="007D5C30">
              <w:rPr>
                <w:noProof/>
                <w:webHidden/>
              </w:rPr>
              <w:fldChar w:fldCharType="begin"/>
            </w:r>
            <w:r w:rsidR="007D5C30">
              <w:rPr>
                <w:noProof/>
                <w:webHidden/>
              </w:rPr>
              <w:instrText xml:space="preserve"> PAGEREF _Toc1747267 \h </w:instrText>
            </w:r>
            <w:r w:rsidR="007D5C30">
              <w:rPr>
                <w:noProof/>
                <w:webHidden/>
              </w:rPr>
            </w:r>
            <w:r w:rsidR="007D5C30">
              <w:rPr>
                <w:noProof/>
                <w:webHidden/>
              </w:rPr>
              <w:fldChar w:fldCharType="separate"/>
            </w:r>
            <w:r w:rsidR="008A2AC2">
              <w:rPr>
                <w:noProof/>
                <w:webHidden/>
              </w:rPr>
              <w:t>94</w:t>
            </w:r>
            <w:r w:rsidR="007D5C30">
              <w:rPr>
                <w:noProof/>
                <w:webHidden/>
              </w:rPr>
              <w:fldChar w:fldCharType="end"/>
            </w:r>
          </w:hyperlink>
        </w:p>
        <w:p w14:paraId="31BF2F61" w14:textId="77777777" w:rsidR="007D5C30" w:rsidRDefault="00EE2A70">
          <w:pPr>
            <w:pStyle w:val="TOC3"/>
            <w:tabs>
              <w:tab w:val="right" w:leader="dot" w:pos="10456"/>
            </w:tabs>
            <w:rPr>
              <w:noProof/>
            </w:rPr>
          </w:pPr>
          <w:hyperlink w:anchor="_Toc1747268" w:history="1">
            <w:r w:rsidR="007D5C30" w:rsidRPr="008C2D9C">
              <w:rPr>
                <w:rStyle w:val="Hyperlink"/>
                <w:noProof/>
              </w:rPr>
              <w:t>Indigenous</w:t>
            </w:r>
            <w:r w:rsidR="007D5C30">
              <w:rPr>
                <w:noProof/>
                <w:webHidden/>
              </w:rPr>
              <w:tab/>
            </w:r>
            <w:r w:rsidR="007D5C30">
              <w:rPr>
                <w:noProof/>
                <w:webHidden/>
              </w:rPr>
              <w:fldChar w:fldCharType="begin"/>
            </w:r>
            <w:r w:rsidR="007D5C30">
              <w:rPr>
                <w:noProof/>
                <w:webHidden/>
              </w:rPr>
              <w:instrText xml:space="preserve"> PAGEREF _Toc1747268 \h </w:instrText>
            </w:r>
            <w:r w:rsidR="007D5C30">
              <w:rPr>
                <w:noProof/>
                <w:webHidden/>
              </w:rPr>
            </w:r>
            <w:r w:rsidR="007D5C30">
              <w:rPr>
                <w:noProof/>
                <w:webHidden/>
              </w:rPr>
              <w:fldChar w:fldCharType="separate"/>
            </w:r>
            <w:r w:rsidR="008A2AC2">
              <w:rPr>
                <w:noProof/>
                <w:webHidden/>
              </w:rPr>
              <w:t>96</w:t>
            </w:r>
            <w:r w:rsidR="007D5C30">
              <w:rPr>
                <w:noProof/>
                <w:webHidden/>
              </w:rPr>
              <w:fldChar w:fldCharType="end"/>
            </w:r>
          </w:hyperlink>
        </w:p>
        <w:p w14:paraId="0E8972EF" w14:textId="77777777" w:rsidR="007D5C30" w:rsidRDefault="00EE2A70">
          <w:pPr>
            <w:pStyle w:val="TOC2"/>
            <w:tabs>
              <w:tab w:val="right" w:leader="dot" w:pos="10456"/>
            </w:tabs>
            <w:rPr>
              <w:b w:val="0"/>
              <w:noProof/>
            </w:rPr>
          </w:pPr>
          <w:hyperlink w:anchor="_Toc1747269" w:history="1">
            <w:r w:rsidR="007D5C30" w:rsidRPr="008C2D9C">
              <w:rPr>
                <w:rStyle w:val="Hyperlink"/>
                <w:noProof/>
              </w:rPr>
              <w:t>Syphilis of more than 2 years or unspecified duration</w:t>
            </w:r>
            <w:r w:rsidR="007D5C30">
              <w:rPr>
                <w:noProof/>
                <w:webHidden/>
              </w:rPr>
              <w:tab/>
            </w:r>
            <w:r w:rsidR="007D5C30">
              <w:rPr>
                <w:noProof/>
                <w:webHidden/>
              </w:rPr>
              <w:fldChar w:fldCharType="begin"/>
            </w:r>
            <w:r w:rsidR="007D5C30">
              <w:rPr>
                <w:noProof/>
                <w:webHidden/>
              </w:rPr>
              <w:instrText xml:space="preserve"> PAGEREF _Toc1747269 \h </w:instrText>
            </w:r>
            <w:r w:rsidR="007D5C30">
              <w:rPr>
                <w:noProof/>
                <w:webHidden/>
              </w:rPr>
            </w:r>
            <w:r w:rsidR="007D5C30">
              <w:rPr>
                <w:noProof/>
                <w:webHidden/>
              </w:rPr>
              <w:fldChar w:fldCharType="separate"/>
            </w:r>
            <w:r w:rsidR="008A2AC2">
              <w:rPr>
                <w:noProof/>
                <w:webHidden/>
              </w:rPr>
              <w:t>97</w:t>
            </w:r>
            <w:r w:rsidR="007D5C30">
              <w:rPr>
                <w:noProof/>
                <w:webHidden/>
              </w:rPr>
              <w:fldChar w:fldCharType="end"/>
            </w:r>
          </w:hyperlink>
        </w:p>
        <w:p w14:paraId="4A0AF45E" w14:textId="77777777" w:rsidR="007D5C30" w:rsidRDefault="00EE2A70">
          <w:pPr>
            <w:pStyle w:val="TOC3"/>
            <w:tabs>
              <w:tab w:val="right" w:leader="dot" w:pos="10456"/>
            </w:tabs>
            <w:rPr>
              <w:noProof/>
            </w:rPr>
          </w:pPr>
          <w:hyperlink w:anchor="_Toc1747270" w:history="1">
            <w:r w:rsidR="007D5C30" w:rsidRPr="008C2D9C">
              <w:rPr>
                <w:rStyle w:val="Hyperlink"/>
                <w:rFonts w:eastAsia="Times New Roman"/>
                <w:noProof/>
              </w:rPr>
              <w:t>Epidemiological situation in 2015</w:t>
            </w:r>
            <w:r w:rsidR="007D5C30">
              <w:rPr>
                <w:noProof/>
                <w:webHidden/>
              </w:rPr>
              <w:tab/>
            </w:r>
            <w:r w:rsidR="007D5C30">
              <w:rPr>
                <w:noProof/>
                <w:webHidden/>
              </w:rPr>
              <w:fldChar w:fldCharType="begin"/>
            </w:r>
            <w:r w:rsidR="007D5C30">
              <w:rPr>
                <w:noProof/>
                <w:webHidden/>
              </w:rPr>
              <w:instrText xml:space="preserve"> PAGEREF _Toc1747270 \h </w:instrText>
            </w:r>
            <w:r w:rsidR="007D5C30">
              <w:rPr>
                <w:noProof/>
                <w:webHidden/>
              </w:rPr>
            </w:r>
            <w:r w:rsidR="007D5C30">
              <w:rPr>
                <w:noProof/>
                <w:webHidden/>
              </w:rPr>
              <w:fldChar w:fldCharType="separate"/>
            </w:r>
            <w:r w:rsidR="008A2AC2">
              <w:rPr>
                <w:noProof/>
                <w:webHidden/>
              </w:rPr>
              <w:t>97</w:t>
            </w:r>
            <w:r w:rsidR="007D5C30">
              <w:rPr>
                <w:noProof/>
                <w:webHidden/>
              </w:rPr>
              <w:fldChar w:fldCharType="end"/>
            </w:r>
          </w:hyperlink>
        </w:p>
        <w:p w14:paraId="214DA72C" w14:textId="77777777" w:rsidR="007D5C30" w:rsidRDefault="00EE2A70">
          <w:pPr>
            <w:pStyle w:val="TOC3"/>
            <w:tabs>
              <w:tab w:val="right" w:leader="dot" w:pos="10456"/>
            </w:tabs>
            <w:rPr>
              <w:noProof/>
            </w:rPr>
          </w:pPr>
          <w:hyperlink w:anchor="_Toc1747271" w:history="1">
            <w:r w:rsidR="007D5C30" w:rsidRPr="008C2D9C">
              <w:rPr>
                <w:rStyle w:val="Hyperlink"/>
                <w:noProof/>
              </w:rPr>
              <w:t>Geographical distribution</w:t>
            </w:r>
            <w:r w:rsidR="007D5C30">
              <w:rPr>
                <w:noProof/>
                <w:webHidden/>
              </w:rPr>
              <w:tab/>
            </w:r>
            <w:r w:rsidR="007D5C30">
              <w:rPr>
                <w:noProof/>
                <w:webHidden/>
              </w:rPr>
              <w:fldChar w:fldCharType="begin"/>
            </w:r>
            <w:r w:rsidR="007D5C30">
              <w:rPr>
                <w:noProof/>
                <w:webHidden/>
              </w:rPr>
              <w:instrText xml:space="preserve"> PAGEREF _Toc1747271 \h </w:instrText>
            </w:r>
            <w:r w:rsidR="007D5C30">
              <w:rPr>
                <w:noProof/>
                <w:webHidden/>
              </w:rPr>
            </w:r>
            <w:r w:rsidR="007D5C30">
              <w:rPr>
                <w:noProof/>
                <w:webHidden/>
              </w:rPr>
              <w:fldChar w:fldCharType="separate"/>
            </w:r>
            <w:r w:rsidR="008A2AC2">
              <w:rPr>
                <w:noProof/>
                <w:webHidden/>
              </w:rPr>
              <w:t>97</w:t>
            </w:r>
            <w:r w:rsidR="007D5C30">
              <w:rPr>
                <w:noProof/>
                <w:webHidden/>
              </w:rPr>
              <w:fldChar w:fldCharType="end"/>
            </w:r>
          </w:hyperlink>
        </w:p>
        <w:p w14:paraId="3B13017A" w14:textId="77777777" w:rsidR="007D5C30" w:rsidRDefault="00EE2A70">
          <w:pPr>
            <w:pStyle w:val="TOC3"/>
            <w:tabs>
              <w:tab w:val="right" w:leader="dot" w:pos="10456"/>
            </w:tabs>
            <w:rPr>
              <w:noProof/>
            </w:rPr>
          </w:pPr>
          <w:hyperlink w:anchor="_Toc1747272" w:history="1">
            <w:r w:rsidR="007D5C30" w:rsidRPr="008C2D9C">
              <w:rPr>
                <w:rStyle w:val="Hyperlink"/>
                <w:noProof/>
              </w:rPr>
              <w:t>Age and sex distribution</w:t>
            </w:r>
            <w:r w:rsidR="007D5C30">
              <w:rPr>
                <w:noProof/>
                <w:webHidden/>
              </w:rPr>
              <w:tab/>
            </w:r>
            <w:r w:rsidR="007D5C30">
              <w:rPr>
                <w:noProof/>
                <w:webHidden/>
              </w:rPr>
              <w:fldChar w:fldCharType="begin"/>
            </w:r>
            <w:r w:rsidR="007D5C30">
              <w:rPr>
                <w:noProof/>
                <w:webHidden/>
              </w:rPr>
              <w:instrText xml:space="preserve"> PAGEREF _Toc1747272 \h </w:instrText>
            </w:r>
            <w:r w:rsidR="007D5C30">
              <w:rPr>
                <w:noProof/>
                <w:webHidden/>
              </w:rPr>
            </w:r>
            <w:r w:rsidR="007D5C30">
              <w:rPr>
                <w:noProof/>
                <w:webHidden/>
              </w:rPr>
              <w:fldChar w:fldCharType="separate"/>
            </w:r>
            <w:r w:rsidR="008A2AC2">
              <w:rPr>
                <w:noProof/>
                <w:webHidden/>
              </w:rPr>
              <w:t>98</w:t>
            </w:r>
            <w:r w:rsidR="007D5C30">
              <w:rPr>
                <w:noProof/>
                <w:webHidden/>
              </w:rPr>
              <w:fldChar w:fldCharType="end"/>
            </w:r>
          </w:hyperlink>
        </w:p>
        <w:p w14:paraId="632C6B87" w14:textId="77777777" w:rsidR="007D5C30" w:rsidRDefault="00EE2A70">
          <w:pPr>
            <w:pStyle w:val="TOC2"/>
            <w:tabs>
              <w:tab w:val="right" w:leader="dot" w:pos="10456"/>
            </w:tabs>
            <w:rPr>
              <w:b w:val="0"/>
              <w:noProof/>
            </w:rPr>
          </w:pPr>
          <w:hyperlink w:anchor="_Toc1747273" w:history="1">
            <w:r w:rsidR="007D5C30" w:rsidRPr="008C2D9C">
              <w:rPr>
                <w:rStyle w:val="Hyperlink"/>
                <w:noProof/>
              </w:rPr>
              <w:t>Congenital syphilis</w:t>
            </w:r>
            <w:r w:rsidR="007D5C30">
              <w:rPr>
                <w:noProof/>
                <w:webHidden/>
              </w:rPr>
              <w:tab/>
            </w:r>
            <w:r w:rsidR="007D5C30">
              <w:rPr>
                <w:noProof/>
                <w:webHidden/>
              </w:rPr>
              <w:fldChar w:fldCharType="begin"/>
            </w:r>
            <w:r w:rsidR="007D5C30">
              <w:rPr>
                <w:noProof/>
                <w:webHidden/>
              </w:rPr>
              <w:instrText xml:space="preserve"> PAGEREF _Toc1747273 \h </w:instrText>
            </w:r>
            <w:r w:rsidR="007D5C30">
              <w:rPr>
                <w:noProof/>
                <w:webHidden/>
              </w:rPr>
            </w:r>
            <w:r w:rsidR="007D5C30">
              <w:rPr>
                <w:noProof/>
                <w:webHidden/>
              </w:rPr>
              <w:fldChar w:fldCharType="separate"/>
            </w:r>
            <w:r w:rsidR="008A2AC2">
              <w:rPr>
                <w:noProof/>
                <w:webHidden/>
              </w:rPr>
              <w:t>100</w:t>
            </w:r>
            <w:r w:rsidR="007D5C30">
              <w:rPr>
                <w:noProof/>
                <w:webHidden/>
              </w:rPr>
              <w:fldChar w:fldCharType="end"/>
            </w:r>
          </w:hyperlink>
        </w:p>
        <w:p w14:paraId="3A25FB73" w14:textId="77777777" w:rsidR="007D5C30" w:rsidRDefault="00EE2A70">
          <w:pPr>
            <w:pStyle w:val="TOC3"/>
            <w:tabs>
              <w:tab w:val="right" w:leader="dot" w:pos="10456"/>
            </w:tabs>
            <w:rPr>
              <w:noProof/>
            </w:rPr>
          </w:pPr>
          <w:hyperlink w:anchor="_Toc1747274" w:history="1">
            <w:r w:rsidR="007D5C30" w:rsidRPr="008C2D9C">
              <w:rPr>
                <w:rStyle w:val="Hyperlink"/>
                <w:noProof/>
              </w:rPr>
              <w:t>Epidemiological situation in 2015</w:t>
            </w:r>
            <w:r w:rsidR="007D5C30">
              <w:rPr>
                <w:noProof/>
                <w:webHidden/>
              </w:rPr>
              <w:tab/>
            </w:r>
            <w:r w:rsidR="007D5C30">
              <w:rPr>
                <w:noProof/>
                <w:webHidden/>
              </w:rPr>
              <w:fldChar w:fldCharType="begin"/>
            </w:r>
            <w:r w:rsidR="007D5C30">
              <w:rPr>
                <w:noProof/>
                <w:webHidden/>
              </w:rPr>
              <w:instrText xml:space="preserve"> PAGEREF _Toc1747274 \h </w:instrText>
            </w:r>
            <w:r w:rsidR="007D5C30">
              <w:rPr>
                <w:noProof/>
                <w:webHidden/>
              </w:rPr>
            </w:r>
            <w:r w:rsidR="007D5C30">
              <w:rPr>
                <w:noProof/>
                <w:webHidden/>
              </w:rPr>
              <w:fldChar w:fldCharType="separate"/>
            </w:r>
            <w:r w:rsidR="008A2AC2">
              <w:rPr>
                <w:noProof/>
                <w:webHidden/>
              </w:rPr>
              <w:t>100</w:t>
            </w:r>
            <w:r w:rsidR="007D5C30">
              <w:rPr>
                <w:noProof/>
                <w:webHidden/>
              </w:rPr>
              <w:fldChar w:fldCharType="end"/>
            </w:r>
          </w:hyperlink>
        </w:p>
        <w:p w14:paraId="5E2C49B6" w14:textId="77777777" w:rsidR="007D5C30" w:rsidRDefault="00EE2A70">
          <w:pPr>
            <w:pStyle w:val="TOC1"/>
            <w:tabs>
              <w:tab w:val="right" w:leader="dot" w:pos="10456"/>
            </w:tabs>
            <w:rPr>
              <w:b w:val="0"/>
              <w:caps w:val="0"/>
              <w:noProof/>
            </w:rPr>
          </w:pPr>
          <w:hyperlink w:anchor="_Toc1747275" w:history="1">
            <w:r w:rsidR="007D5C30" w:rsidRPr="008C2D9C">
              <w:rPr>
                <w:rStyle w:val="Hyperlink"/>
                <w:noProof/>
              </w:rPr>
              <w:t>Vaccine Preventable Diseases</w:t>
            </w:r>
            <w:r w:rsidR="007D5C30">
              <w:rPr>
                <w:noProof/>
                <w:webHidden/>
              </w:rPr>
              <w:tab/>
            </w:r>
            <w:r w:rsidR="007D5C30">
              <w:rPr>
                <w:noProof/>
                <w:webHidden/>
              </w:rPr>
              <w:fldChar w:fldCharType="begin"/>
            </w:r>
            <w:r w:rsidR="007D5C30">
              <w:rPr>
                <w:noProof/>
                <w:webHidden/>
              </w:rPr>
              <w:instrText xml:space="preserve"> PAGEREF _Toc1747275 \h </w:instrText>
            </w:r>
            <w:r w:rsidR="007D5C30">
              <w:rPr>
                <w:noProof/>
                <w:webHidden/>
              </w:rPr>
            </w:r>
            <w:r w:rsidR="007D5C30">
              <w:rPr>
                <w:noProof/>
                <w:webHidden/>
              </w:rPr>
              <w:fldChar w:fldCharType="separate"/>
            </w:r>
            <w:r w:rsidR="008A2AC2">
              <w:rPr>
                <w:noProof/>
                <w:webHidden/>
              </w:rPr>
              <w:t>101</w:t>
            </w:r>
            <w:r w:rsidR="007D5C30">
              <w:rPr>
                <w:noProof/>
                <w:webHidden/>
              </w:rPr>
              <w:fldChar w:fldCharType="end"/>
            </w:r>
          </w:hyperlink>
        </w:p>
        <w:p w14:paraId="6414AA46" w14:textId="77777777" w:rsidR="007D5C30" w:rsidRDefault="00EE2A70">
          <w:pPr>
            <w:pStyle w:val="TOC2"/>
            <w:tabs>
              <w:tab w:val="right" w:leader="dot" w:pos="10456"/>
            </w:tabs>
            <w:rPr>
              <w:b w:val="0"/>
              <w:noProof/>
            </w:rPr>
          </w:pPr>
          <w:hyperlink w:anchor="_Toc1747276" w:history="1">
            <w:r w:rsidR="007D5C30" w:rsidRPr="008C2D9C">
              <w:rPr>
                <w:rStyle w:val="Hyperlink"/>
                <w:noProof/>
              </w:rPr>
              <w:t>Diphtheria</w:t>
            </w:r>
            <w:r w:rsidR="007D5C30">
              <w:rPr>
                <w:noProof/>
                <w:webHidden/>
              </w:rPr>
              <w:tab/>
            </w:r>
            <w:r w:rsidR="007D5C30">
              <w:rPr>
                <w:noProof/>
                <w:webHidden/>
              </w:rPr>
              <w:fldChar w:fldCharType="begin"/>
            </w:r>
            <w:r w:rsidR="007D5C30">
              <w:rPr>
                <w:noProof/>
                <w:webHidden/>
              </w:rPr>
              <w:instrText xml:space="preserve"> PAGEREF _Toc1747276 \h </w:instrText>
            </w:r>
            <w:r w:rsidR="007D5C30">
              <w:rPr>
                <w:noProof/>
                <w:webHidden/>
              </w:rPr>
            </w:r>
            <w:r w:rsidR="007D5C30">
              <w:rPr>
                <w:noProof/>
                <w:webHidden/>
              </w:rPr>
              <w:fldChar w:fldCharType="separate"/>
            </w:r>
            <w:r w:rsidR="008A2AC2">
              <w:rPr>
                <w:noProof/>
                <w:webHidden/>
              </w:rPr>
              <w:t>102</w:t>
            </w:r>
            <w:r w:rsidR="007D5C30">
              <w:rPr>
                <w:noProof/>
                <w:webHidden/>
              </w:rPr>
              <w:fldChar w:fldCharType="end"/>
            </w:r>
          </w:hyperlink>
        </w:p>
        <w:p w14:paraId="07D5337F" w14:textId="77777777" w:rsidR="007D5C30" w:rsidRDefault="00EE2A70">
          <w:pPr>
            <w:pStyle w:val="TOC3"/>
            <w:tabs>
              <w:tab w:val="right" w:leader="dot" w:pos="10456"/>
            </w:tabs>
            <w:rPr>
              <w:noProof/>
            </w:rPr>
          </w:pPr>
          <w:hyperlink w:anchor="_Toc1747277" w:history="1">
            <w:r w:rsidR="007D5C30" w:rsidRPr="008C2D9C">
              <w:rPr>
                <w:rStyle w:val="Hyperlink"/>
                <w:noProof/>
              </w:rPr>
              <w:t>Epidemiological situation in 2015</w:t>
            </w:r>
            <w:r w:rsidR="007D5C30">
              <w:rPr>
                <w:noProof/>
                <w:webHidden/>
              </w:rPr>
              <w:tab/>
            </w:r>
            <w:r w:rsidR="007D5C30">
              <w:rPr>
                <w:noProof/>
                <w:webHidden/>
              </w:rPr>
              <w:fldChar w:fldCharType="begin"/>
            </w:r>
            <w:r w:rsidR="007D5C30">
              <w:rPr>
                <w:noProof/>
                <w:webHidden/>
              </w:rPr>
              <w:instrText xml:space="preserve"> PAGEREF _Toc1747277 \h </w:instrText>
            </w:r>
            <w:r w:rsidR="007D5C30">
              <w:rPr>
                <w:noProof/>
                <w:webHidden/>
              </w:rPr>
            </w:r>
            <w:r w:rsidR="007D5C30">
              <w:rPr>
                <w:noProof/>
                <w:webHidden/>
              </w:rPr>
              <w:fldChar w:fldCharType="separate"/>
            </w:r>
            <w:r w:rsidR="008A2AC2">
              <w:rPr>
                <w:noProof/>
                <w:webHidden/>
              </w:rPr>
              <w:t>102</w:t>
            </w:r>
            <w:r w:rsidR="007D5C30">
              <w:rPr>
                <w:noProof/>
                <w:webHidden/>
              </w:rPr>
              <w:fldChar w:fldCharType="end"/>
            </w:r>
          </w:hyperlink>
        </w:p>
        <w:p w14:paraId="1925507A" w14:textId="77777777" w:rsidR="007D5C30" w:rsidRDefault="00EE2A70">
          <w:pPr>
            <w:pStyle w:val="TOC2"/>
            <w:tabs>
              <w:tab w:val="right" w:leader="dot" w:pos="10456"/>
            </w:tabs>
            <w:rPr>
              <w:b w:val="0"/>
              <w:noProof/>
            </w:rPr>
          </w:pPr>
          <w:hyperlink w:anchor="_Toc1747278" w:history="1">
            <w:r w:rsidR="007D5C30" w:rsidRPr="008C2D9C">
              <w:rPr>
                <w:rStyle w:val="Hyperlink"/>
                <w:noProof/>
              </w:rPr>
              <w:t>Haemophilus influenzae type b (invasive)</w:t>
            </w:r>
            <w:r w:rsidR="007D5C30">
              <w:rPr>
                <w:noProof/>
                <w:webHidden/>
              </w:rPr>
              <w:tab/>
            </w:r>
            <w:r w:rsidR="007D5C30">
              <w:rPr>
                <w:noProof/>
                <w:webHidden/>
              </w:rPr>
              <w:fldChar w:fldCharType="begin"/>
            </w:r>
            <w:r w:rsidR="007D5C30">
              <w:rPr>
                <w:noProof/>
                <w:webHidden/>
              </w:rPr>
              <w:instrText xml:space="preserve"> PAGEREF _Toc1747278 \h </w:instrText>
            </w:r>
            <w:r w:rsidR="007D5C30">
              <w:rPr>
                <w:noProof/>
                <w:webHidden/>
              </w:rPr>
            </w:r>
            <w:r w:rsidR="007D5C30">
              <w:rPr>
                <w:noProof/>
                <w:webHidden/>
              </w:rPr>
              <w:fldChar w:fldCharType="separate"/>
            </w:r>
            <w:r w:rsidR="008A2AC2">
              <w:rPr>
                <w:noProof/>
                <w:webHidden/>
              </w:rPr>
              <w:t>102</w:t>
            </w:r>
            <w:r w:rsidR="007D5C30">
              <w:rPr>
                <w:noProof/>
                <w:webHidden/>
              </w:rPr>
              <w:fldChar w:fldCharType="end"/>
            </w:r>
          </w:hyperlink>
        </w:p>
        <w:p w14:paraId="478D1AC8" w14:textId="77777777" w:rsidR="007D5C30" w:rsidRDefault="00EE2A70">
          <w:pPr>
            <w:pStyle w:val="TOC3"/>
            <w:tabs>
              <w:tab w:val="right" w:leader="dot" w:pos="10456"/>
            </w:tabs>
            <w:rPr>
              <w:noProof/>
            </w:rPr>
          </w:pPr>
          <w:hyperlink w:anchor="_Toc1747279" w:history="1">
            <w:r w:rsidR="007D5C30" w:rsidRPr="008C2D9C">
              <w:rPr>
                <w:rStyle w:val="Hyperlink"/>
                <w:noProof/>
              </w:rPr>
              <w:t>Epidemiological situation in 2015</w:t>
            </w:r>
            <w:r w:rsidR="007D5C30">
              <w:rPr>
                <w:noProof/>
                <w:webHidden/>
              </w:rPr>
              <w:tab/>
            </w:r>
            <w:r w:rsidR="007D5C30">
              <w:rPr>
                <w:noProof/>
                <w:webHidden/>
              </w:rPr>
              <w:fldChar w:fldCharType="begin"/>
            </w:r>
            <w:r w:rsidR="007D5C30">
              <w:rPr>
                <w:noProof/>
                <w:webHidden/>
              </w:rPr>
              <w:instrText xml:space="preserve"> PAGEREF _Toc1747279 \h </w:instrText>
            </w:r>
            <w:r w:rsidR="007D5C30">
              <w:rPr>
                <w:noProof/>
                <w:webHidden/>
              </w:rPr>
            </w:r>
            <w:r w:rsidR="007D5C30">
              <w:rPr>
                <w:noProof/>
                <w:webHidden/>
              </w:rPr>
              <w:fldChar w:fldCharType="separate"/>
            </w:r>
            <w:r w:rsidR="008A2AC2">
              <w:rPr>
                <w:noProof/>
                <w:webHidden/>
              </w:rPr>
              <w:t>103</w:t>
            </w:r>
            <w:r w:rsidR="007D5C30">
              <w:rPr>
                <w:noProof/>
                <w:webHidden/>
              </w:rPr>
              <w:fldChar w:fldCharType="end"/>
            </w:r>
          </w:hyperlink>
        </w:p>
        <w:p w14:paraId="0B4948EB" w14:textId="77777777" w:rsidR="007D5C30" w:rsidRDefault="00EE2A70">
          <w:pPr>
            <w:pStyle w:val="TOC3"/>
            <w:tabs>
              <w:tab w:val="right" w:leader="dot" w:pos="10456"/>
            </w:tabs>
            <w:rPr>
              <w:noProof/>
            </w:rPr>
          </w:pPr>
          <w:hyperlink w:anchor="_Toc1747280" w:history="1">
            <w:r w:rsidR="007D5C30" w:rsidRPr="008C2D9C">
              <w:rPr>
                <w:rStyle w:val="Hyperlink"/>
                <w:noProof/>
              </w:rPr>
              <w:t>Age and sex distribution</w:t>
            </w:r>
            <w:r w:rsidR="007D5C30">
              <w:rPr>
                <w:noProof/>
                <w:webHidden/>
              </w:rPr>
              <w:tab/>
            </w:r>
            <w:r w:rsidR="007D5C30">
              <w:rPr>
                <w:noProof/>
                <w:webHidden/>
              </w:rPr>
              <w:fldChar w:fldCharType="begin"/>
            </w:r>
            <w:r w:rsidR="007D5C30">
              <w:rPr>
                <w:noProof/>
                <w:webHidden/>
              </w:rPr>
              <w:instrText xml:space="preserve"> PAGEREF _Toc1747280 \h </w:instrText>
            </w:r>
            <w:r w:rsidR="007D5C30">
              <w:rPr>
                <w:noProof/>
                <w:webHidden/>
              </w:rPr>
            </w:r>
            <w:r w:rsidR="007D5C30">
              <w:rPr>
                <w:noProof/>
                <w:webHidden/>
              </w:rPr>
              <w:fldChar w:fldCharType="separate"/>
            </w:r>
            <w:r w:rsidR="008A2AC2">
              <w:rPr>
                <w:noProof/>
                <w:webHidden/>
              </w:rPr>
              <w:t>103</w:t>
            </w:r>
            <w:r w:rsidR="007D5C30">
              <w:rPr>
                <w:noProof/>
                <w:webHidden/>
              </w:rPr>
              <w:fldChar w:fldCharType="end"/>
            </w:r>
          </w:hyperlink>
        </w:p>
        <w:p w14:paraId="157F262E" w14:textId="77777777" w:rsidR="007D5C30" w:rsidRDefault="00EE2A70">
          <w:pPr>
            <w:pStyle w:val="TOC3"/>
            <w:tabs>
              <w:tab w:val="right" w:leader="dot" w:pos="10456"/>
            </w:tabs>
            <w:rPr>
              <w:noProof/>
            </w:rPr>
          </w:pPr>
          <w:hyperlink w:anchor="_Toc1747281" w:history="1">
            <w:r w:rsidR="007D5C30" w:rsidRPr="008C2D9C">
              <w:rPr>
                <w:rStyle w:val="Hyperlink"/>
                <w:noProof/>
              </w:rPr>
              <w:t>Indigenous Status</w:t>
            </w:r>
            <w:r w:rsidR="007D5C30">
              <w:rPr>
                <w:noProof/>
                <w:webHidden/>
              </w:rPr>
              <w:tab/>
            </w:r>
            <w:r w:rsidR="007D5C30">
              <w:rPr>
                <w:noProof/>
                <w:webHidden/>
              </w:rPr>
              <w:fldChar w:fldCharType="begin"/>
            </w:r>
            <w:r w:rsidR="007D5C30">
              <w:rPr>
                <w:noProof/>
                <w:webHidden/>
              </w:rPr>
              <w:instrText xml:space="preserve"> PAGEREF _Toc1747281 \h </w:instrText>
            </w:r>
            <w:r w:rsidR="007D5C30">
              <w:rPr>
                <w:noProof/>
                <w:webHidden/>
              </w:rPr>
            </w:r>
            <w:r w:rsidR="007D5C30">
              <w:rPr>
                <w:noProof/>
                <w:webHidden/>
              </w:rPr>
              <w:fldChar w:fldCharType="separate"/>
            </w:r>
            <w:r w:rsidR="008A2AC2">
              <w:rPr>
                <w:noProof/>
                <w:webHidden/>
              </w:rPr>
              <w:t>104</w:t>
            </w:r>
            <w:r w:rsidR="007D5C30">
              <w:rPr>
                <w:noProof/>
                <w:webHidden/>
              </w:rPr>
              <w:fldChar w:fldCharType="end"/>
            </w:r>
          </w:hyperlink>
        </w:p>
        <w:p w14:paraId="49E87F23" w14:textId="77777777" w:rsidR="007D5C30" w:rsidRDefault="00EE2A70">
          <w:pPr>
            <w:pStyle w:val="TOC3"/>
            <w:tabs>
              <w:tab w:val="right" w:leader="dot" w:pos="10456"/>
            </w:tabs>
            <w:rPr>
              <w:noProof/>
            </w:rPr>
          </w:pPr>
          <w:hyperlink w:anchor="_Toc1747282" w:history="1">
            <w:r w:rsidR="007D5C30" w:rsidRPr="008C2D9C">
              <w:rPr>
                <w:rStyle w:val="Hyperlink"/>
                <w:noProof/>
              </w:rPr>
              <w:t>Immunisation status</w:t>
            </w:r>
            <w:r w:rsidR="007D5C30">
              <w:rPr>
                <w:noProof/>
                <w:webHidden/>
              </w:rPr>
              <w:tab/>
            </w:r>
            <w:r w:rsidR="007D5C30">
              <w:rPr>
                <w:noProof/>
                <w:webHidden/>
              </w:rPr>
              <w:fldChar w:fldCharType="begin"/>
            </w:r>
            <w:r w:rsidR="007D5C30">
              <w:rPr>
                <w:noProof/>
                <w:webHidden/>
              </w:rPr>
              <w:instrText xml:space="preserve"> PAGEREF _Toc1747282 \h </w:instrText>
            </w:r>
            <w:r w:rsidR="007D5C30">
              <w:rPr>
                <w:noProof/>
                <w:webHidden/>
              </w:rPr>
            </w:r>
            <w:r w:rsidR="007D5C30">
              <w:rPr>
                <w:noProof/>
                <w:webHidden/>
              </w:rPr>
              <w:fldChar w:fldCharType="separate"/>
            </w:r>
            <w:r w:rsidR="008A2AC2">
              <w:rPr>
                <w:noProof/>
                <w:webHidden/>
              </w:rPr>
              <w:t>104</w:t>
            </w:r>
            <w:r w:rsidR="007D5C30">
              <w:rPr>
                <w:noProof/>
                <w:webHidden/>
              </w:rPr>
              <w:fldChar w:fldCharType="end"/>
            </w:r>
          </w:hyperlink>
        </w:p>
        <w:p w14:paraId="7762460A" w14:textId="77777777" w:rsidR="007D5C30" w:rsidRDefault="00EE2A70">
          <w:pPr>
            <w:pStyle w:val="TOC2"/>
            <w:tabs>
              <w:tab w:val="right" w:leader="dot" w:pos="10456"/>
            </w:tabs>
            <w:rPr>
              <w:b w:val="0"/>
              <w:noProof/>
            </w:rPr>
          </w:pPr>
          <w:hyperlink w:anchor="_Toc1747283" w:history="1">
            <w:r w:rsidR="007D5C30" w:rsidRPr="008C2D9C">
              <w:rPr>
                <w:rStyle w:val="Hyperlink"/>
                <w:noProof/>
              </w:rPr>
              <w:t>Influenza (laboratory confirmed)</w:t>
            </w:r>
            <w:r w:rsidR="007D5C30">
              <w:rPr>
                <w:noProof/>
                <w:webHidden/>
              </w:rPr>
              <w:tab/>
            </w:r>
            <w:r w:rsidR="007D5C30">
              <w:rPr>
                <w:noProof/>
                <w:webHidden/>
              </w:rPr>
              <w:fldChar w:fldCharType="begin"/>
            </w:r>
            <w:r w:rsidR="007D5C30">
              <w:rPr>
                <w:noProof/>
                <w:webHidden/>
              </w:rPr>
              <w:instrText xml:space="preserve"> PAGEREF _Toc1747283 \h </w:instrText>
            </w:r>
            <w:r w:rsidR="007D5C30">
              <w:rPr>
                <w:noProof/>
                <w:webHidden/>
              </w:rPr>
            </w:r>
            <w:r w:rsidR="007D5C30">
              <w:rPr>
                <w:noProof/>
                <w:webHidden/>
              </w:rPr>
              <w:fldChar w:fldCharType="separate"/>
            </w:r>
            <w:r w:rsidR="008A2AC2">
              <w:rPr>
                <w:noProof/>
                <w:webHidden/>
              </w:rPr>
              <w:t>104</w:t>
            </w:r>
            <w:r w:rsidR="007D5C30">
              <w:rPr>
                <w:noProof/>
                <w:webHidden/>
              </w:rPr>
              <w:fldChar w:fldCharType="end"/>
            </w:r>
          </w:hyperlink>
        </w:p>
        <w:p w14:paraId="1025F628" w14:textId="77777777" w:rsidR="007D5C30" w:rsidRDefault="00EE2A70">
          <w:pPr>
            <w:pStyle w:val="TOC3"/>
            <w:tabs>
              <w:tab w:val="right" w:leader="dot" w:pos="10456"/>
            </w:tabs>
            <w:rPr>
              <w:noProof/>
            </w:rPr>
          </w:pPr>
          <w:hyperlink w:anchor="_Toc1747284" w:history="1">
            <w:r w:rsidR="007D5C30" w:rsidRPr="008C2D9C">
              <w:rPr>
                <w:rStyle w:val="Hyperlink"/>
                <w:noProof/>
              </w:rPr>
              <w:t>Epidemiological situation in 2015</w:t>
            </w:r>
            <w:r w:rsidR="007D5C30">
              <w:rPr>
                <w:noProof/>
                <w:webHidden/>
              </w:rPr>
              <w:tab/>
            </w:r>
            <w:r w:rsidR="007D5C30">
              <w:rPr>
                <w:noProof/>
                <w:webHidden/>
              </w:rPr>
              <w:fldChar w:fldCharType="begin"/>
            </w:r>
            <w:r w:rsidR="007D5C30">
              <w:rPr>
                <w:noProof/>
                <w:webHidden/>
              </w:rPr>
              <w:instrText xml:space="preserve"> PAGEREF _Toc1747284 \h </w:instrText>
            </w:r>
            <w:r w:rsidR="007D5C30">
              <w:rPr>
                <w:noProof/>
                <w:webHidden/>
              </w:rPr>
            </w:r>
            <w:r w:rsidR="007D5C30">
              <w:rPr>
                <w:noProof/>
                <w:webHidden/>
              </w:rPr>
              <w:fldChar w:fldCharType="separate"/>
            </w:r>
            <w:r w:rsidR="008A2AC2">
              <w:rPr>
                <w:noProof/>
                <w:webHidden/>
              </w:rPr>
              <w:t>105</w:t>
            </w:r>
            <w:r w:rsidR="007D5C30">
              <w:rPr>
                <w:noProof/>
                <w:webHidden/>
              </w:rPr>
              <w:fldChar w:fldCharType="end"/>
            </w:r>
          </w:hyperlink>
        </w:p>
        <w:p w14:paraId="1B610E36" w14:textId="77777777" w:rsidR="007D5C30" w:rsidRDefault="00EE2A70">
          <w:pPr>
            <w:pStyle w:val="TOC3"/>
            <w:tabs>
              <w:tab w:val="right" w:leader="dot" w:pos="10456"/>
            </w:tabs>
            <w:rPr>
              <w:noProof/>
            </w:rPr>
          </w:pPr>
          <w:hyperlink w:anchor="_Toc1747285" w:history="1">
            <w:r w:rsidR="007D5C30" w:rsidRPr="008C2D9C">
              <w:rPr>
                <w:rStyle w:val="Hyperlink"/>
                <w:noProof/>
              </w:rPr>
              <w:t>Geographical distribution</w:t>
            </w:r>
            <w:r w:rsidR="007D5C30">
              <w:rPr>
                <w:noProof/>
                <w:webHidden/>
              </w:rPr>
              <w:tab/>
            </w:r>
            <w:r w:rsidR="007D5C30">
              <w:rPr>
                <w:noProof/>
                <w:webHidden/>
              </w:rPr>
              <w:fldChar w:fldCharType="begin"/>
            </w:r>
            <w:r w:rsidR="007D5C30">
              <w:rPr>
                <w:noProof/>
                <w:webHidden/>
              </w:rPr>
              <w:instrText xml:space="preserve"> PAGEREF _Toc1747285 \h </w:instrText>
            </w:r>
            <w:r w:rsidR="007D5C30">
              <w:rPr>
                <w:noProof/>
                <w:webHidden/>
              </w:rPr>
            </w:r>
            <w:r w:rsidR="007D5C30">
              <w:rPr>
                <w:noProof/>
                <w:webHidden/>
              </w:rPr>
              <w:fldChar w:fldCharType="separate"/>
            </w:r>
            <w:r w:rsidR="008A2AC2">
              <w:rPr>
                <w:noProof/>
                <w:webHidden/>
              </w:rPr>
              <w:t>105</w:t>
            </w:r>
            <w:r w:rsidR="007D5C30">
              <w:rPr>
                <w:noProof/>
                <w:webHidden/>
              </w:rPr>
              <w:fldChar w:fldCharType="end"/>
            </w:r>
          </w:hyperlink>
        </w:p>
        <w:p w14:paraId="756AF180" w14:textId="77777777" w:rsidR="007D5C30" w:rsidRDefault="00EE2A70">
          <w:pPr>
            <w:pStyle w:val="TOC3"/>
            <w:tabs>
              <w:tab w:val="right" w:leader="dot" w:pos="10456"/>
            </w:tabs>
            <w:rPr>
              <w:noProof/>
            </w:rPr>
          </w:pPr>
          <w:hyperlink w:anchor="_Toc1747286" w:history="1">
            <w:r w:rsidR="007D5C30" w:rsidRPr="008C2D9C">
              <w:rPr>
                <w:rStyle w:val="Hyperlink"/>
                <w:noProof/>
              </w:rPr>
              <w:t>Age and sex distribution</w:t>
            </w:r>
            <w:r w:rsidR="007D5C30">
              <w:rPr>
                <w:noProof/>
                <w:webHidden/>
              </w:rPr>
              <w:tab/>
            </w:r>
            <w:r w:rsidR="007D5C30">
              <w:rPr>
                <w:noProof/>
                <w:webHidden/>
              </w:rPr>
              <w:fldChar w:fldCharType="begin"/>
            </w:r>
            <w:r w:rsidR="007D5C30">
              <w:rPr>
                <w:noProof/>
                <w:webHidden/>
              </w:rPr>
              <w:instrText xml:space="preserve"> PAGEREF _Toc1747286 \h </w:instrText>
            </w:r>
            <w:r w:rsidR="007D5C30">
              <w:rPr>
                <w:noProof/>
                <w:webHidden/>
              </w:rPr>
            </w:r>
            <w:r w:rsidR="007D5C30">
              <w:rPr>
                <w:noProof/>
                <w:webHidden/>
              </w:rPr>
              <w:fldChar w:fldCharType="separate"/>
            </w:r>
            <w:r w:rsidR="008A2AC2">
              <w:rPr>
                <w:noProof/>
                <w:webHidden/>
              </w:rPr>
              <w:t>106</w:t>
            </w:r>
            <w:r w:rsidR="007D5C30">
              <w:rPr>
                <w:noProof/>
                <w:webHidden/>
              </w:rPr>
              <w:fldChar w:fldCharType="end"/>
            </w:r>
          </w:hyperlink>
        </w:p>
        <w:p w14:paraId="22BFAB12" w14:textId="77777777" w:rsidR="007D5C30" w:rsidRDefault="00EE2A70">
          <w:pPr>
            <w:pStyle w:val="TOC3"/>
            <w:tabs>
              <w:tab w:val="right" w:leader="dot" w:pos="10456"/>
            </w:tabs>
            <w:rPr>
              <w:noProof/>
            </w:rPr>
          </w:pPr>
          <w:hyperlink w:anchor="_Toc1747287" w:history="1">
            <w:r w:rsidR="007D5C30" w:rsidRPr="008C2D9C">
              <w:rPr>
                <w:rStyle w:val="Hyperlink"/>
                <w:noProof/>
              </w:rPr>
              <w:t>Seasonality</w:t>
            </w:r>
            <w:r w:rsidR="007D5C30">
              <w:rPr>
                <w:noProof/>
                <w:webHidden/>
              </w:rPr>
              <w:tab/>
            </w:r>
            <w:r w:rsidR="007D5C30">
              <w:rPr>
                <w:noProof/>
                <w:webHidden/>
              </w:rPr>
              <w:fldChar w:fldCharType="begin"/>
            </w:r>
            <w:r w:rsidR="007D5C30">
              <w:rPr>
                <w:noProof/>
                <w:webHidden/>
              </w:rPr>
              <w:instrText xml:space="preserve"> PAGEREF _Toc1747287 \h </w:instrText>
            </w:r>
            <w:r w:rsidR="007D5C30">
              <w:rPr>
                <w:noProof/>
                <w:webHidden/>
              </w:rPr>
            </w:r>
            <w:r w:rsidR="007D5C30">
              <w:rPr>
                <w:noProof/>
                <w:webHidden/>
              </w:rPr>
              <w:fldChar w:fldCharType="separate"/>
            </w:r>
            <w:r w:rsidR="008A2AC2">
              <w:rPr>
                <w:noProof/>
                <w:webHidden/>
              </w:rPr>
              <w:t>108</w:t>
            </w:r>
            <w:r w:rsidR="007D5C30">
              <w:rPr>
                <w:noProof/>
                <w:webHidden/>
              </w:rPr>
              <w:fldChar w:fldCharType="end"/>
            </w:r>
          </w:hyperlink>
        </w:p>
        <w:p w14:paraId="2E1296D9" w14:textId="77777777" w:rsidR="007D5C30" w:rsidRDefault="00EE2A70">
          <w:pPr>
            <w:pStyle w:val="TOC3"/>
            <w:tabs>
              <w:tab w:val="right" w:leader="dot" w:pos="10456"/>
            </w:tabs>
            <w:rPr>
              <w:noProof/>
            </w:rPr>
          </w:pPr>
          <w:hyperlink w:anchor="_Toc1747288" w:history="1">
            <w:r w:rsidR="007D5C30" w:rsidRPr="008C2D9C">
              <w:rPr>
                <w:rStyle w:val="Hyperlink"/>
                <w:noProof/>
              </w:rPr>
              <w:t>Indigenous status</w:t>
            </w:r>
            <w:r w:rsidR="007D5C30">
              <w:rPr>
                <w:noProof/>
                <w:webHidden/>
              </w:rPr>
              <w:tab/>
            </w:r>
            <w:r w:rsidR="007D5C30">
              <w:rPr>
                <w:noProof/>
                <w:webHidden/>
              </w:rPr>
              <w:fldChar w:fldCharType="begin"/>
            </w:r>
            <w:r w:rsidR="007D5C30">
              <w:rPr>
                <w:noProof/>
                <w:webHidden/>
              </w:rPr>
              <w:instrText xml:space="preserve"> PAGEREF _Toc1747288 \h </w:instrText>
            </w:r>
            <w:r w:rsidR="007D5C30">
              <w:rPr>
                <w:noProof/>
                <w:webHidden/>
              </w:rPr>
            </w:r>
            <w:r w:rsidR="007D5C30">
              <w:rPr>
                <w:noProof/>
                <w:webHidden/>
              </w:rPr>
              <w:fldChar w:fldCharType="separate"/>
            </w:r>
            <w:r w:rsidR="008A2AC2">
              <w:rPr>
                <w:noProof/>
                <w:webHidden/>
              </w:rPr>
              <w:t>109</w:t>
            </w:r>
            <w:r w:rsidR="007D5C30">
              <w:rPr>
                <w:noProof/>
                <w:webHidden/>
              </w:rPr>
              <w:fldChar w:fldCharType="end"/>
            </w:r>
          </w:hyperlink>
        </w:p>
        <w:p w14:paraId="1A31DD59" w14:textId="77777777" w:rsidR="007D5C30" w:rsidRDefault="00EE2A70">
          <w:pPr>
            <w:pStyle w:val="TOC3"/>
            <w:tabs>
              <w:tab w:val="right" w:leader="dot" w:pos="10456"/>
            </w:tabs>
            <w:rPr>
              <w:noProof/>
            </w:rPr>
          </w:pPr>
          <w:hyperlink w:anchor="_Toc1747289" w:history="1">
            <w:r w:rsidR="007D5C30" w:rsidRPr="008C2D9C">
              <w:rPr>
                <w:rStyle w:val="Hyperlink"/>
                <w:noProof/>
              </w:rPr>
              <w:t>Mortality</w:t>
            </w:r>
            <w:r w:rsidR="007D5C30">
              <w:rPr>
                <w:noProof/>
                <w:webHidden/>
              </w:rPr>
              <w:tab/>
            </w:r>
            <w:r w:rsidR="007D5C30">
              <w:rPr>
                <w:noProof/>
                <w:webHidden/>
              </w:rPr>
              <w:fldChar w:fldCharType="begin"/>
            </w:r>
            <w:r w:rsidR="007D5C30">
              <w:rPr>
                <w:noProof/>
                <w:webHidden/>
              </w:rPr>
              <w:instrText xml:space="preserve"> PAGEREF _Toc1747289 \h </w:instrText>
            </w:r>
            <w:r w:rsidR="007D5C30">
              <w:rPr>
                <w:noProof/>
                <w:webHidden/>
              </w:rPr>
            </w:r>
            <w:r w:rsidR="007D5C30">
              <w:rPr>
                <w:noProof/>
                <w:webHidden/>
              </w:rPr>
              <w:fldChar w:fldCharType="separate"/>
            </w:r>
            <w:r w:rsidR="008A2AC2">
              <w:rPr>
                <w:noProof/>
                <w:webHidden/>
              </w:rPr>
              <w:t>109</w:t>
            </w:r>
            <w:r w:rsidR="007D5C30">
              <w:rPr>
                <w:noProof/>
                <w:webHidden/>
              </w:rPr>
              <w:fldChar w:fldCharType="end"/>
            </w:r>
          </w:hyperlink>
        </w:p>
        <w:p w14:paraId="060562FF" w14:textId="77777777" w:rsidR="007D5C30" w:rsidRDefault="00EE2A70">
          <w:pPr>
            <w:pStyle w:val="TOC3"/>
            <w:tabs>
              <w:tab w:val="right" w:leader="dot" w:pos="10456"/>
            </w:tabs>
            <w:rPr>
              <w:noProof/>
            </w:rPr>
          </w:pPr>
          <w:hyperlink w:anchor="_Toc1747290" w:history="1">
            <w:r w:rsidR="007D5C30" w:rsidRPr="008C2D9C">
              <w:rPr>
                <w:rStyle w:val="Hyperlink"/>
                <w:noProof/>
              </w:rPr>
              <w:t>Microbiological trends</w:t>
            </w:r>
            <w:r w:rsidR="007D5C30">
              <w:rPr>
                <w:noProof/>
                <w:webHidden/>
              </w:rPr>
              <w:tab/>
            </w:r>
            <w:r w:rsidR="007D5C30">
              <w:rPr>
                <w:noProof/>
                <w:webHidden/>
              </w:rPr>
              <w:fldChar w:fldCharType="begin"/>
            </w:r>
            <w:r w:rsidR="007D5C30">
              <w:rPr>
                <w:noProof/>
                <w:webHidden/>
              </w:rPr>
              <w:instrText xml:space="preserve"> PAGEREF _Toc1747290 \h </w:instrText>
            </w:r>
            <w:r w:rsidR="007D5C30">
              <w:rPr>
                <w:noProof/>
                <w:webHidden/>
              </w:rPr>
            </w:r>
            <w:r w:rsidR="007D5C30">
              <w:rPr>
                <w:noProof/>
                <w:webHidden/>
              </w:rPr>
              <w:fldChar w:fldCharType="separate"/>
            </w:r>
            <w:r w:rsidR="008A2AC2">
              <w:rPr>
                <w:noProof/>
                <w:webHidden/>
              </w:rPr>
              <w:t>109</w:t>
            </w:r>
            <w:r w:rsidR="007D5C30">
              <w:rPr>
                <w:noProof/>
                <w:webHidden/>
              </w:rPr>
              <w:fldChar w:fldCharType="end"/>
            </w:r>
          </w:hyperlink>
        </w:p>
        <w:p w14:paraId="17B384F1" w14:textId="77777777" w:rsidR="007D5C30" w:rsidRDefault="00EE2A70">
          <w:pPr>
            <w:pStyle w:val="TOC3"/>
            <w:tabs>
              <w:tab w:val="right" w:leader="dot" w:pos="10456"/>
            </w:tabs>
            <w:rPr>
              <w:noProof/>
            </w:rPr>
          </w:pPr>
          <w:hyperlink w:anchor="_Toc1747291" w:history="1">
            <w:r w:rsidR="007D5C30" w:rsidRPr="008C2D9C">
              <w:rPr>
                <w:rStyle w:val="Hyperlink"/>
                <w:noProof/>
              </w:rPr>
              <w:t>NNDSS</w:t>
            </w:r>
            <w:r w:rsidR="007D5C30">
              <w:rPr>
                <w:noProof/>
                <w:webHidden/>
              </w:rPr>
              <w:tab/>
            </w:r>
            <w:r w:rsidR="007D5C30">
              <w:rPr>
                <w:noProof/>
                <w:webHidden/>
              </w:rPr>
              <w:fldChar w:fldCharType="begin"/>
            </w:r>
            <w:r w:rsidR="007D5C30">
              <w:rPr>
                <w:noProof/>
                <w:webHidden/>
              </w:rPr>
              <w:instrText xml:space="preserve"> PAGEREF _Toc1747291 \h </w:instrText>
            </w:r>
            <w:r w:rsidR="007D5C30">
              <w:rPr>
                <w:noProof/>
                <w:webHidden/>
              </w:rPr>
            </w:r>
            <w:r w:rsidR="007D5C30">
              <w:rPr>
                <w:noProof/>
                <w:webHidden/>
              </w:rPr>
              <w:fldChar w:fldCharType="separate"/>
            </w:r>
            <w:r w:rsidR="008A2AC2">
              <w:rPr>
                <w:noProof/>
                <w:webHidden/>
              </w:rPr>
              <w:t>109</w:t>
            </w:r>
            <w:r w:rsidR="007D5C30">
              <w:rPr>
                <w:noProof/>
                <w:webHidden/>
              </w:rPr>
              <w:fldChar w:fldCharType="end"/>
            </w:r>
          </w:hyperlink>
        </w:p>
        <w:p w14:paraId="5CFFBCC8" w14:textId="77777777" w:rsidR="007D5C30" w:rsidRDefault="00EE2A70">
          <w:pPr>
            <w:pStyle w:val="TOC3"/>
            <w:tabs>
              <w:tab w:val="right" w:leader="dot" w:pos="10456"/>
            </w:tabs>
            <w:rPr>
              <w:noProof/>
            </w:rPr>
          </w:pPr>
          <w:hyperlink w:anchor="_Toc1747292" w:history="1">
            <w:r w:rsidR="007D5C30" w:rsidRPr="008C2D9C">
              <w:rPr>
                <w:rStyle w:val="Hyperlink"/>
                <w:noProof/>
              </w:rPr>
              <w:t>WHO Collaborating Centre for Reference and Research on Influenza</w:t>
            </w:r>
            <w:r w:rsidR="007D5C30">
              <w:rPr>
                <w:noProof/>
                <w:webHidden/>
              </w:rPr>
              <w:tab/>
            </w:r>
            <w:r w:rsidR="007D5C30">
              <w:rPr>
                <w:noProof/>
                <w:webHidden/>
              </w:rPr>
              <w:fldChar w:fldCharType="begin"/>
            </w:r>
            <w:r w:rsidR="007D5C30">
              <w:rPr>
                <w:noProof/>
                <w:webHidden/>
              </w:rPr>
              <w:instrText xml:space="preserve"> PAGEREF _Toc1747292 \h </w:instrText>
            </w:r>
            <w:r w:rsidR="007D5C30">
              <w:rPr>
                <w:noProof/>
                <w:webHidden/>
              </w:rPr>
            </w:r>
            <w:r w:rsidR="007D5C30">
              <w:rPr>
                <w:noProof/>
                <w:webHidden/>
              </w:rPr>
              <w:fldChar w:fldCharType="separate"/>
            </w:r>
            <w:r w:rsidR="008A2AC2">
              <w:rPr>
                <w:noProof/>
                <w:webHidden/>
              </w:rPr>
              <w:t>111</w:t>
            </w:r>
            <w:r w:rsidR="007D5C30">
              <w:rPr>
                <w:noProof/>
                <w:webHidden/>
              </w:rPr>
              <w:fldChar w:fldCharType="end"/>
            </w:r>
          </w:hyperlink>
        </w:p>
        <w:p w14:paraId="59FA3D70" w14:textId="77777777" w:rsidR="007D5C30" w:rsidRDefault="00EE2A70">
          <w:pPr>
            <w:pStyle w:val="TOC3"/>
            <w:tabs>
              <w:tab w:val="right" w:leader="dot" w:pos="10456"/>
            </w:tabs>
            <w:rPr>
              <w:noProof/>
            </w:rPr>
          </w:pPr>
          <w:hyperlink w:anchor="_Toc1747293" w:history="1">
            <w:r w:rsidR="007D5C30" w:rsidRPr="008C2D9C">
              <w:rPr>
                <w:rStyle w:val="Hyperlink"/>
                <w:noProof/>
              </w:rPr>
              <w:t>Enhanced surveillance data sets</w:t>
            </w:r>
            <w:r w:rsidR="007D5C30">
              <w:rPr>
                <w:noProof/>
                <w:webHidden/>
              </w:rPr>
              <w:tab/>
            </w:r>
            <w:r w:rsidR="007D5C30">
              <w:rPr>
                <w:noProof/>
                <w:webHidden/>
              </w:rPr>
              <w:fldChar w:fldCharType="begin"/>
            </w:r>
            <w:r w:rsidR="007D5C30">
              <w:rPr>
                <w:noProof/>
                <w:webHidden/>
              </w:rPr>
              <w:instrText xml:space="preserve"> PAGEREF _Toc1747293 \h </w:instrText>
            </w:r>
            <w:r w:rsidR="007D5C30">
              <w:rPr>
                <w:noProof/>
                <w:webHidden/>
              </w:rPr>
            </w:r>
            <w:r w:rsidR="007D5C30">
              <w:rPr>
                <w:noProof/>
                <w:webHidden/>
              </w:rPr>
              <w:fldChar w:fldCharType="separate"/>
            </w:r>
            <w:r w:rsidR="008A2AC2">
              <w:rPr>
                <w:noProof/>
                <w:webHidden/>
              </w:rPr>
              <w:t>113</w:t>
            </w:r>
            <w:r w:rsidR="007D5C30">
              <w:rPr>
                <w:noProof/>
                <w:webHidden/>
              </w:rPr>
              <w:fldChar w:fldCharType="end"/>
            </w:r>
          </w:hyperlink>
        </w:p>
        <w:p w14:paraId="7013EA65" w14:textId="77777777" w:rsidR="007D5C30" w:rsidRDefault="00EE2A70">
          <w:pPr>
            <w:pStyle w:val="TOC3"/>
            <w:tabs>
              <w:tab w:val="right" w:leader="dot" w:pos="10456"/>
            </w:tabs>
            <w:rPr>
              <w:noProof/>
            </w:rPr>
          </w:pPr>
          <w:hyperlink w:anchor="_Toc1747294" w:history="1">
            <w:r w:rsidR="007D5C30" w:rsidRPr="008C2D9C">
              <w:rPr>
                <w:rStyle w:val="Hyperlink"/>
                <w:noProof/>
              </w:rPr>
              <w:t>Discussion</w:t>
            </w:r>
            <w:r w:rsidR="007D5C30">
              <w:rPr>
                <w:noProof/>
                <w:webHidden/>
              </w:rPr>
              <w:tab/>
            </w:r>
            <w:r w:rsidR="007D5C30">
              <w:rPr>
                <w:noProof/>
                <w:webHidden/>
              </w:rPr>
              <w:fldChar w:fldCharType="begin"/>
            </w:r>
            <w:r w:rsidR="007D5C30">
              <w:rPr>
                <w:noProof/>
                <w:webHidden/>
              </w:rPr>
              <w:instrText xml:space="preserve"> PAGEREF _Toc1747294 \h </w:instrText>
            </w:r>
            <w:r w:rsidR="007D5C30">
              <w:rPr>
                <w:noProof/>
                <w:webHidden/>
              </w:rPr>
            </w:r>
            <w:r w:rsidR="007D5C30">
              <w:rPr>
                <w:noProof/>
                <w:webHidden/>
              </w:rPr>
              <w:fldChar w:fldCharType="separate"/>
            </w:r>
            <w:r w:rsidR="008A2AC2">
              <w:rPr>
                <w:noProof/>
                <w:webHidden/>
              </w:rPr>
              <w:t>114</w:t>
            </w:r>
            <w:r w:rsidR="007D5C30">
              <w:rPr>
                <w:noProof/>
                <w:webHidden/>
              </w:rPr>
              <w:fldChar w:fldCharType="end"/>
            </w:r>
          </w:hyperlink>
        </w:p>
        <w:p w14:paraId="4714166F" w14:textId="77777777" w:rsidR="007D5C30" w:rsidRDefault="00EE2A70">
          <w:pPr>
            <w:pStyle w:val="TOC2"/>
            <w:tabs>
              <w:tab w:val="right" w:leader="dot" w:pos="10456"/>
            </w:tabs>
            <w:rPr>
              <w:b w:val="0"/>
              <w:noProof/>
            </w:rPr>
          </w:pPr>
          <w:hyperlink w:anchor="_Toc1747295" w:history="1">
            <w:r w:rsidR="007D5C30" w:rsidRPr="008C2D9C">
              <w:rPr>
                <w:rStyle w:val="Hyperlink"/>
                <w:noProof/>
              </w:rPr>
              <w:t>Measles</w:t>
            </w:r>
            <w:r w:rsidR="007D5C30">
              <w:rPr>
                <w:noProof/>
                <w:webHidden/>
              </w:rPr>
              <w:tab/>
            </w:r>
            <w:r w:rsidR="007D5C30">
              <w:rPr>
                <w:noProof/>
                <w:webHidden/>
              </w:rPr>
              <w:fldChar w:fldCharType="begin"/>
            </w:r>
            <w:r w:rsidR="007D5C30">
              <w:rPr>
                <w:noProof/>
                <w:webHidden/>
              </w:rPr>
              <w:instrText xml:space="preserve"> PAGEREF _Toc1747295 \h </w:instrText>
            </w:r>
            <w:r w:rsidR="007D5C30">
              <w:rPr>
                <w:noProof/>
                <w:webHidden/>
              </w:rPr>
            </w:r>
            <w:r w:rsidR="007D5C30">
              <w:rPr>
                <w:noProof/>
                <w:webHidden/>
              </w:rPr>
              <w:fldChar w:fldCharType="separate"/>
            </w:r>
            <w:r w:rsidR="008A2AC2">
              <w:rPr>
                <w:noProof/>
                <w:webHidden/>
              </w:rPr>
              <w:t>114</w:t>
            </w:r>
            <w:r w:rsidR="007D5C30">
              <w:rPr>
                <w:noProof/>
                <w:webHidden/>
              </w:rPr>
              <w:fldChar w:fldCharType="end"/>
            </w:r>
          </w:hyperlink>
        </w:p>
        <w:p w14:paraId="68AD6FF9" w14:textId="77777777" w:rsidR="007D5C30" w:rsidRDefault="00EE2A70">
          <w:pPr>
            <w:pStyle w:val="TOC3"/>
            <w:tabs>
              <w:tab w:val="right" w:leader="dot" w:pos="10456"/>
            </w:tabs>
            <w:rPr>
              <w:noProof/>
            </w:rPr>
          </w:pPr>
          <w:hyperlink w:anchor="_Toc1747296" w:history="1">
            <w:r w:rsidR="007D5C30" w:rsidRPr="008C2D9C">
              <w:rPr>
                <w:rStyle w:val="Hyperlink"/>
                <w:noProof/>
              </w:rPr>
              <w:t>Epidemiological situation in 2015</w:t>
            </w:r>
            <w:r w:rsidR="007D5C30">
              <w:rPr>
                <w:noProof/>
                <w:webHidden/>
              </w:rPr>
              <w:tab/>
            </w:r>
            <w:r w:rsidR="007D5C30">
              <w:rPr>
                <w:noProof/>
                <w:webHidden/>
              </w:rPr>
              <w:fldChar w:fldCharType="begin"/>
            </w:r>
            <w:r w:rsidR="007D5C30">
              <w:rPr>
                <w:noProof/>
                <w:webHidden/>
              </w:rPr>
              <w:instrText xml:space="preserve"> PAGEREF _Toc1747296 \h </w:instrText>
            </w:r>
            <w:r w:rsidR="007D5C30">
              <w:rPr>
                <w:noProof/>
                <w:webHidden/>
              </w:rPr>
            </w:r>
            <w:r w:rsidR="007D5C30">
              <w:rPr>
                <w:noProof/>
                <w:webHidden/>
              </w:rPr>
              <w:fldChar w:fldCharType="separate"/>
            </w:r>
            <w:r w:rsidR="008A2AC2">
              <w:rPr>
                <w:noProof/>
                <w:webHidden/>
              </w:rPr>
              <w:t>115</w:t>
            </w:r>
            <w:r w:rsidR="007D5C30">
              <w:rPr>
                <w:noProof/>
                <w:webHidden/>
              </w:rPr>
              <w:fldChar w:fldCharType="end"/>
            </w:r>
          </w:hyperlink>
        </w:p>
        <w:p w14:paraId="60AD8084" w14:textId="77777777" w:rsidR="007D5C30" w:rsidRDefault="00EE2A70">
          <w:pPr>
            <w:pStyle w:val="TOC3"/>
            <w:tabs>
              <w:tab w:val="right" w:leader="dot" w:pos="10456"/>
            </w:tabs>
            <w:rPr>
              <w:noProof/>
            </w:rPr>
          </w:pPr>
          <w:hyperlink w:anchor="_Toc1747297" w:history="1">
            <w:r w:rsidR="007D5C30" w:rsidRPr="008C2D9C">
              <w:rPr>
                <w:rStyle w:val="Hyperlink"/>
                <w:noProof/>
              </w:rPr>
              <w:t>Age and sex distribution</w:t>
            </w:r>
            <w:r w:rsidR="007D5C30">
              <w:rPr>
                <w:noProof/>
                <w:webHidden/>
              </w:rPr>
              <w:tab/>
            </w:r>
            <w:r w:rsidR="007D5C30">
              <w:rPr>
                <w:noProof/>
                <w:webHidden/>
              </w:rPr>
              <w:fldChar w:fldCharType="begin"/>
            </w:r>
            <w:r w:rsidR="007D5C30">
              <w:rPr>
                <w:noProof/>
                <w:webHidden/>
              </w:rPr>
              <w:instrText xml:space="preserve"> PAGEREF _Toc1747297 \h </w:instrText>
            </w:r>
            <w:r w:rsidR="007D5C30">
              <w:rPr>
                <w:noProof/>
                <w:webHidden/>
              </w:rPr>
            </w:r>
            <w:r w:rsidR="007D5C30">
              <w:rPr>
                <w:noProof/>
                <w:webHidden/>
              </w:rPr>
              <w:fldChar w:fldCharType="separate"/>
            </w:r>
            <w:r w:rsidR="008A2AC2">
              <w:rPr>
                <w:noProof/>
                <w:webHidden/>
              </w:rPr>
              <w:t>116</w:t>
            </w:r>
            <w:r w:rsidR="007D5C30">
              <w:rPr>
                <w:noProof/>
                <w:webHidden/>
              </w:rPr>
              <w:fldChar w:fldCharType="end"/>
            </w:r>
          </w:hyperlink>
        </w:p>
        <w:p w14:paraId="7B2838B8" w14:textId="77777777" w:rsidR="007D5C30" w:rsidRDefault="00EE2A70">
          <w:pPr>
            <w:pStyle w:val="TOC3"/>
            <w:tabs>
              <w:tab w:val="right" w:leader="dot" w:pos="10456"/>
            </w:tabs>
            <w:rPr>
              <w:noProof/>
            </w:rPr>
          </w:pPr>
          <w:hyperlink w:anchor="_Toc1747298" w:history="1">
            <w:r w:rsidR="007D5C30" w:rsidRPr="008C2D9C">
              <w:rPr>
                <w:rStyle w:val="Hyperlink"/>
                <w:noProof/>
              </w:rPr>
              <w:t>Immunisation status</w:t>
            </w:r>
            <w:r w:rsidR="007D5C30">
              <w:rPr>
                <w:noProof/>
                <w:webHidden/>
              </w:rPr>
              <w:tab/>
            </w:r>
            <w:r w:rsidR="007D5C30">
              <w:rPr>
                <w:noProof/>
                <w:webHidden/>
              </w:rPr>
              <w:fldChar w:fldCharType="begin"/>
            </w:r>
            <w:r w:rsidR="007D5C30">
              <w:rPr>
                <w:noProof/>
                <w:webHidden/>
              </w:rPr>
              <w:instrText xml:space="preserve"> PAGEREF _Toc1747298 \h </w:instrText>
            </w:r>
            <w:r w:rsidR="007D5C30">
              <w:rPr>
                <w:noProof/>
                <w:webHidden/>
              </w:rPr>
            </w:r>
            <w:r w:rsidR="007D5C30">
              <w:rPr>
                <w:noProof/>
                <w:webHidden/>
              </w:rPr>
              <w:fldChar w:fldCharType="separate"/>
            </w:r>
            <w:r w:rsidR="008A2AC2">
              <w:rPr>
                <w:noProof/>
                <w:webHidden/>
              </w:rPr>
              <w:t>118</w:t>
            </w:r>
            <w:r w:rsidR="007D5C30">
              <w:rPr>
                <w:noProof/>
                <w:webHidden/>
              </w:rPr>
              <w:fldChar w:fldCharType="end"/>
            </w:r>
          </w:hyperlink>
        </w:p>
        <w:p w14:paraId="5114D2D8" w14:textId="77777777" w:rsidR="007D5C30" w:rsidRDefault="00EE2A70">
          <w:pPr>
            <w:pStyle w:val="TOC3"/>
            <w:tabs>
              <w:tab w:val="right" w:leader="dot" w:pos="10456"/>
            </w:tabs>
            <w:rPr>
              <w:noProof/>
            </w:rPr>
          </w:pPr>
          <w:hyperlink w:anchor="_Toc1747299" w:history="1">
            <w:r w:rsidR="007D5C30" w:rsidRPr="008C2D9C">
              <w:rPr>
                <w:rStyle w:val="Hyperlink"/>
                <w:noProof/>
              </w:rPr>
              <w:t>Indigenous status</w:t>
            </w:r>
            <w:r w:rsidR="007D5C30">
              <w:rPr>
                <w:noProof/>
                <w:webHidden/>
              </w:rPr>
              <w:tab/>
            </w:r>
            <w:r w:rsidR="007D5C30">
              <w:rPr>
                <w:noProof/>
                <w:webHidden/>
              </w:rPr>
              <w:fldChar w:fldCharType="begin"/>
            </w:r>
            <w:r w:rsidR="007D5C30">
              <w:rPr>
                <w:noProof/>
                <w:webHidden/>
              </w:rPr>
              <w:instrText xml:space="preserve"> PAGEREF _Toc1747299 \h </w:instrText>
            </w:r>
            <w:r w:rsidR="007D5C30">
              <w:rPr>
                <w:noProof/>
                <w:webHidden/>
              </w:rPr>
            </w:r>
            <w:r w:rsidR="007D5C30">
              <w:rPr>
                <w:noProof/>
                <w:webHidden/>
              </w:rPr>
              <w:fldChar w:fldCharType="separate"/>
            </w:r>
            <w:r w:rsidR="008A2AC2">
              <w:rPr>
                <w:noProof/>
                <w:webHidden/>
              </w:rPr>
              <w:t>119</w:t>
            </w:r>
            <w:r w:rsidR="007D5C30">
              <w:rPr>
                <w:noProof/>
                <w:webHidden/>
              </w:rPr>
              <w:fldChar w:fldCharType="end"/>
            </w:r>
          </w:hyperlink>
        </w:p>
        <w:p w14:paraId="26E986CE" w14:textId="77777777" w:rsidR="007D5C30" w:rsidRDefault="00EE2A70">
          <w:pPr>
            <w:pStyle w:val="TOC3"/>
            <w:tabs>
              <w:tab w:val="right" w:leader="dot" w:pos="10456"/>
            </w:tabs>
            <w:rPr>
              <w:noProof/>
            </w:rPr>
          </w:pPr>
          <w:hyperlink w:anchor="_Toc1747300" w:history="1">
            <w:r w:rsidR="007D5C30" w:rsidRPr="008C2D9C">
              <w:rPr>
                <w:rStyle w:val="Hyperlink"/>
                <w:noProof/>
              </w:rPr>
              <w:t>Sources of infection and outbreaks</w:t>
            </w:r>
            <w:r w:rsidR="007D5C30">
              <w:rPr>
                <w:noProof/>
                <w:webHidden/>
              </w:rPr>
              <w:tab/>
            </w:r>
            <w:r w:rsidR="007D5C30">
              <w:rPr>
                <w:noProof/>
                <w:webHidden/>
              </w:rPr>
              <w:fldChar w:fldCharType="begin"/>
            </w:r>
            <w:r w:rsidR="007D5C30">
              <w:rPr>
                <w:noProof/>
                <w:webHidden/>
              </w:rPr>
              <w:instrText xml:space="preserve"> PAGEREF _Toc1747300 \h </w:instrText>
            </w:r>
            <w:r w:rsidR="007D5C30">
              <w:rPr>
                <w:noProof/>
                <w:webHidden/>
              </w:rPr>
            </w:r>
            <w:r w:rsidR="007D5C30">
              <w:rPr>
                <w:noProof/>
                <w:webHidden/>
              </w:rPr>
              <w:fldChar w:fldCharType="separate"/>
            </w:r>
            <w:r w:rsidR="008A2AC2">
              <w:rPr>
                <w:noProof/>
                <w:webHidden/>
              </w:rPr>
              <w:t>119</w:t>
            </w:r>
            <w:r w:rsidR="007D5C30">
              <w:rPr>
                <w:noProof/>
                <w:webHidden/>
              </w:rPr>
              <w:fldChar w:fldCharType="end"/>
            </w:r>
          </w:hyperlink>
        </w:p>
        <w:p w14:paraId="67E55A9C" w14:textId="77777777" w:rsidR="007D5C30" w:rsidRDefault="00EE2A70">
          <w:pPr>
            <w:pStyle w:val="TOC3"/>
            <w:tabs>
              <w:tab w:val="right" w:leader="dot" w:pos="10456"/>
            </w:tabs>
            <w:rPr>
              <w:noProof/>
            </w:rPr>
          </w:pPr>
          <w:hyperlink w:anchor="_Toc1747301" w:history="1">
            <w:r w:rsidR="007D5C30" w:rsidRPr="008C2D9C">
              <w:rPr>
                <w:rStyle w:val="Hyperlink"/>
                <w:noProof/>
              </w:rPr>
              <w:t>Microbiological trends</w:t>
            </w:r>
            <w:r w:rsidR="007D5C30">
              <w:rPr>
                <w:noProof/>
                <w:webHidden/>
              </w:rPr>
              <w:tab/>
            </w:r>
            <w:r w:rsidR="007D5C30">
              <w:rPr>
                <w:noProof/>
                <w:webHidden/>
              </w:rPr>
              <w:fldChar w:fldCharType="begin"/>
            </w:r>
            <w:r w:rsidR="007D5C30">
              <w:rPr>
                <w:noProof/>
                <w:webHidden/>
              </w:rPr>
              <w:instrText xml:space="preserve"> PAGEREF _Toc1747301 \h </w:instrText>
            </w:r>
            <w:r w:rsidR="007D5C30">
              <w:rPr>
                <w:noProof/>
                <w:webHidden/>
              </w:rPr>
            </w:r>
            <w:r w:rsidR="007D5C30">
              <w:rPr>
                <w:noProof/>
                <w:webHidden/>
              </w:rPr>
              <w:fldChar w:fldCharType="separate"/>
            </w:r>
            <w:r w:rsidR="008A2AC2">
              <w:rPr>
                <w:noProof/>
                <w:webHidden/>
              </w:rPr>
              <w:t>120</w:t>
            </w:r>
            <w:r w:rsidR="007D5C30">
              <w:rPr>
                <w:noProof/>
                <w:webHidden/>
              </w:rPr>
              <w:fldChar w:fldCharType="end"/>
            </w:r>
          </w:hyperlink>
        </w:p>
        <w:p w14:paraId="64D20157" w14:textId="77777777" w:rsidR="007D5C30" w:rsidRDefault="00EE2A70">
          <w:pPr>
            <w:pStyle w:val="TOC3"/>
            <w:tabs>
              <w:tab w:val="right" w:leader="dot" w:pos="10456"/>
            </w:tabs>
            <w:rPr>
              <w:noProof/>
            </w:rPr>
          </w:pPr>
          <w:hyperlink w:anchor="_Toc1747302" w:history="1">
            <w:r w:rsidR="007D5C30" w:rsidRPr="008C2D9C">
              <w:rPr>
                <w:rStyle w:val="Hyperlink"/>
                <w:noProof/>
              </w:rPr>
              <w:t>Discussion</w:t>
            </w:r>
            <w:r w:rsidR="007D5C30">
              <w:rPr>
                <w:noProof/>
                <w:webHidden/>
              </w:rPr>
              <w:tab/>
            </w:r>
            <w:r w:rsidR="007D5C30">
              <w:rPr>
                <w:noProof/>
                <w:webHidden/>
              </w:rPr>
              <w:fldChar w:fldCharType="begin"/>
            </w:r>
            <w:r w:rsidR="007D5C30">
              <w:rPr>
                <w:noProof/>
                <w:webHidden/>
              </w:rPr>
              <w:instrText xml:space="preserve"> PAGEREF _Toc1747302 \h </w:instrText>
            </w:r>
            <w:r w:rsidR="007D5C30">
              <w:rPr>
                <w:noProof/>
                <w:webHidden/>
              </w:rPr>
            </w:r>
            <w:r w:rsidR="007D5C30">
              <w:rPr>
                <w:noProof/>
                <w:webHidden/>
              </w:rPr>
              <w:fldChar w:fldCharType="separate"/>
            </w:r>
            <w:r w:rsidR="008A2AC2">
              <w:rPr>
                <w:noProof/>
                <w:webHidden/>
              </w:rPr>
              <w:t>121</w:t>
            </w:r>
            <w:r w:rsidR="007D5C30">
              <w:rPr>
                <w:noProof/>
                <w:webHidden/>
              </w:rPr>
              <w:fldChar w:fldCharType="end"/>
            </w:r>
          </w:hyperlink>
        </w:p>
        <w:p w14:paraId="678A4B4F" w14:textId="77777777" w:rsidR="007D5C30" w:rsidRDefault="00EE2A70">
          <w:pPr>
            <w:pStyle w:val="TOC2"/>
            <w:tabs>
              <w:tab w:val="right" w:leader="dot" w:pos="10456"/>
            </w:tabs>
            <w:rPr>
              <w:b w:val="0"/>
              <w:noProof/>
            </w:rPr>
          </w:pPr>
          <w:hyperlink w:anchor="_Toc1747303" w:history="1">
            <w:r w:rsidR="007D5C30" w:rsidRPr="008C2D9C">
              <w:rPr>
                <w:rStyle w:val="Hyperlink"/>
                <w:noProof/>
              </w:rPr>
              <w:t>Mumps</w:t>
            </w:r>
            <w:r w:rsidR="007D5C30">
              <w:rPr>
                <w:noProof/>
                <w:webHidden/>
              </w:rPr>
              <w:tab/>
            </w:r>
            <w:r w:rsidR="007D5C30">
              <w:rPr>
                <w:noProof/>
                <w:webHidden/>
              </w:rPr>
              <w:fldChar w:fldCharType="begin"/>
            </w:r>
            <w:r w:rsidR="007D5C30">
              <w:rPr>
                <w:noProof/>
                <w:webHidden/>
              </w:rPr>
              <w:instrText xml:space="preserve"> PAGEREF _Toc1747303 \h </w:instrText>
            </w:r>
            <w:r w:rsidR="007D5C30">
              <w:rPr>
                <w:noProof/>
                <w:webHidden/>
              </w:rPr>
            </w:r>
            <w:r w:rsidR="007D5C30">
              <w:rPr>
                <w:noProof/>
                <w:webHidden/>
              </w:rPr>
              <w:fldChar w:fldCharType="separate"/>
            </w:r>
            <w:r w:rsidR="008A2AC2">
              <w:rPr>
                <w:noProof/>
                <w:webHidden/>
              </w:rPr>
              <w:t>121</w:t>
            </w:r>
            <w:r w:rsidR="007D5C30">
              <w:rPr>
                <w:noProof/>
                <w:webHidden/>
              </w:rPr>
              <w:fldChar w:fldCharType="end"/>
            </w:r>
          </w:hyperlink>
        </w:p>
        <w:p w14:paraId="3F77F456" w14:textId="77777777" w:rsidR="007D5C30" w:rsidRDefault="00EE2A70">
          <w:pPr>
            <w:pStyle w:val="TOC3"/>
            <w:tabs>
              <w:tab w:val="right" w:leader="dot" w:pos="10456"/>
            </w:tabs>
            <w:rPr>
              <w:noProof/>
            </w:rPr>
          </w:pPr>
          <w:hyperlink w:anchor="_Toc1747304" w:history="1">
            <w:r w:rsidR="007D5C30" w:rsidRPr="008C2D9C">
              <w:rPr>
                <w:rStyle w:val="Hyperlink"/>
                <w:noProof/>
              </w:rPr>
              <w:t>Epidemiological situation in 2015</w:t>
            </w:r>
            <w:r w:rsidR="007D5C30">
              <w:rPr>
                <w:noProof/>
                <w:webHidden/>
              </w:rPr>
              <w:tab/>
            </w:r>
            <w:r w:rsidR="007D5C30">
              <w:rPr>
                <w:noProof/>
                <w:webHidden/>
              </w:rPr>
              <w:fldChar w:fldCharType="begin"/>
            </w:r>
            <w:r w:rsidR="007D5C30">
              <w:rPr>
                <w:noProof/>
                <w:webHidden/>
              </w:rPr>
              <w:instrText xml:space="preserve"> PAGEREF _Toc1747304 \h </w:instrText>
            </w:r>
            <w:r w:rsidR="007D5C30">
              <w:rPr>
                <w:noProof/>
                <w:webHidden/>
              </w:rPr>
            </w:r>
            <w:r w:rsidR="007D5C30">
              <w:rPr>
                <w:noProof/>
                <w:webHidden/>
              </w:rPr>
              <w:fldChar w:fldCharType="separate"/>
            </w:r>
            <w:r w:rsidR="008A2AC2">
              <w:rPr>
                <w:noProof/>
                <w:webHidden/>
              </w:rPr>
              <w:t>121</w:t>
            </w:r>
            <w:r w:rsidR="007D5C30">
              <w:rPr>
                <w:noProof/>
                <w:webHidden/>
              </w:rPr>
              <w:fldChar w:fldCharType="end"/>
            </w:r>
          </w:hyperlink>
        </w:p>
        <w:p w14:paraId="77E54A86" w14:textId="77777777" w:rsidR="007D5C30" w:rsidRDefault="00EE2A70">
          <w:pPr>
            <w:pStyle w:val="TOC3"/>
            <w:tabs>
              <w:tab w:val="right" w:leader="dot" w:pos="10456"/>
            </w:tabs>
            <w:rPr>
              <w:noProof/>
            </w:rPr>
          </w:pPr>
          <w:hyperlink w:anchor="_Toc1747305" w:history="1">
            <w:r w:rsidR="007D5C30" w:rsidRPr="008C2D9C">
              <w:rPr>
                <w:rStyle w:val="Hyperlink"/>
                <w:noProof/>
              </w:rPr>
              <w:t>Geographical distribution</w:t>
            </w:r>
            <w:r w:rsidR="007D5C30">
              <w:rPr>
                <w:noProof/>
                <w:webHidden/>
              </w:rPr>
              <w:tab/>
            </w:r>
            <w:r w:rsidR="007D5C30">
              <w:rPr>
                <w:noProof/>
                <w:webHidden/>
              </w:rPr>
              <w:fldChar w:fldCharType="begin"/>
            </w:r>
            <w:r w:rsidR="007D5C30">
              <w:rPr>
                <w:noProof/>
                <w:webHidden/>
              </w:rPr>
              <w:instrText xml:space="preserve"> PAGEREF _Toc1747305 \h </w:instrText>
            </w:r>
            <w:r w:rsidR="007D5C30">
              <w:rPr>
                <w:noProof/>
                <w:webHidden/>
              </w:rPr>
            </w:r>
            <w:r w:rsidR="007D5C30">
              <w:rPr>
                <w:noProof/>
                <w:webHidden/>
              </w:rPr>
              <w:fldChar w:fldCharType="separate"/>
            </w:r>
            <w:r w:rsidR="008A2AC2">
              <w:rPr>
                <w:noProof/>
                <w:webHidden/>
              </w:rPr>
              <w:t>123</w:t>
            </w:r>
            <w:r w:rsidR="007D5C30">
              <w:rPr>
                <w:noProof/>
                <w:webHidden/>
              </w:rPr>
              <w:fldChar w:fldCharType="end"/>
            </w:r>
          </w:hyperlink>
        </w:p>
        <w:p w14:paraId="3268FB3B" w14:textId="77777777" w:rsidR="007D5C30" w:rsidRDefault="00EE2A70">
          <w:pPr>
            <w:pStyle w:val="TOC3"/>
            <w:tabs>
              <w:tab w:val="right" w:leader="dot" w:pos="10456"/>
            </w:tabs>
            <w:rPr>
              <w:noProof/>
            </w:rPr>
          </w:pPr>
          <w:hyperlink w:anchor="_Toc1747306" w:history="1">
            <w:r w:rsidR="007D5C30" w:rsidRPr="008C2D9C">
              <w:rPr>
                <w:rStyle w:val="Hyperlink"/>
                <w:noProof/>
              </w:rPr>
              <w:t>Age and sex distribution</w:t>
            </w:r>
            <w:r w:rsidR="007D5C30">
              <w:rPr>
                <w:noProof/>
                <w:webHidden/>
              </w:rPr>
              <w:tab/>
            </w:r>
            <w:r w:rsidR="007D5C30">
              <w:rPr>
                <w:noProof/>
                <w:webHidden/>
              </w:rPr>
              <w:fldChar w:fldCharType="begin"/>
            </w:r>
            <w:r w:rsidR="007D5C30">
              <w:rPr>
                <w:noProof/>
                <w:webHidden/>
              </w:rPr>
              <w:instrText xml:space="preserve"> PAGEREF _Toc1747306 \h </w:instrText>
            </w:r>
            <w:r w:rsidR="007D5C30">
              <w:rPr>
                <w:noProof/>
                <w:webHidden/>
              </w:rPr>
            </w:r>
            <w:r w:rsidR="007D5C30">
              <w:rPr>
                <w:noProof/>
                <w:webHidden/>
              </w:rPr>
              <w:fldChar w:fldCharType="separate"/>
            </w:r>
            <w:r w:rsidR="008A2AC2">
              <w:rPr>
                <w:noProof/>
                <w:webHidden/>
              </w:rPr>
              <w:t>123</w:t>
            </w:r>
            <w:r w:rsidR="007D5C30">
              <w:rPr>
                <w:noProof/>
                <w:webHidden/>
              </w:rPr>
              <w:fldChar w:fldCharType="end"/>
            </w:r>
          </w:hyperlink>
        </w:p>
        <w:p w14:paraId="007AC65A" w14:textId="77777777" w:rsidR="007D5C30" w:rsidRDefault="00EE2A70">
          <w:pPr>
            <w:pStyle w:val="TOC3"/>
            <w:tabs>
              <w:tab w:val="right" w:leader="dot" w:pos="10456"/>
            </w:tabs>
            <w:rPr>
              <w:noProof/>
            </w:rPr>
          </w:pPr>
          <w:hyperlink w:anchor="_Toc1747307" w:history="1">
            <w:r w:rsidR="007D5C30" w:rsidRPr="008C2D9C">
              <w:rPr>
                <w:rStyle w:val="Hyperlink"/>
                <w:noProof/>
              </w:rPr>
              <w:t>Immunisation status</w:t>
            </w:r>
            <w:r w:rsidR="007D5C30">
              <w:rPr>
                <w:noProof/>
                <w:webHidden/>
              </w:rPr>
              <w:tab/>
            </w:r>
            <w:r w:rsidR="007D5C30">
              <w:rPr>
                <w:noProof/>
                <w:webHidden/>
              </w:rPr>
              <w:fldChar w:fldCharType="begin"/>
            </w:r>
            <w:r w:rsidR="007D5C30">
              <w:rPr>
                <w:noProof/>
                <w:webHidden/>
              </w:rPr>
              <w:instrText xml:space="preserve"> PAGEREF _Toc1747307 \h </w:instrText>
            </w:r>
            <w:r w:rsidR="007D5C30">
              <w:rPr>
                <w:noProof/>
                <w:webHidden/>
              </w:rPr>
            </w:r>
            <w:r w:rsidR="007D5C30">
              <w:rPr>
                <w:noProof/>
                <w:webHidden/>
              </w:rPr>
              <w:fldChar w:fldCharType="separate"/>
            </w:r>
            <w:r w:rsidR="008A2AC2">
              <w:rPr>
                <w:noProof/>
                <w:webHidden/>
              </w:rPr>
              <w:t>124</w:t>
            </w:r>
            <w:r w:rsidR="007D5C30">
              <w:rPr>
                <w:noProof/>
                <w:webHidden/>
              </w:rPr>
              <w:fldChar w:fldCharType="end"/>
            </w:r>
          </w:hyperlink>
        </w:p>
        <w:p w14:paraId="01181BDA" w14:textId="77777777" w:rsidR="007D5C30" w:rsidRDefault="00EE2A70">
          <w:pPr>
            <w:pStyle w:val="TOC3"/>
            <w:tabs>
              <w:tab w:val="right" w:leader="dot" w:pos="10456"/>
            </w:tabs>
            <w:rPr>
              <w:noProof/>
            </w:rPr>
          </w:pPr>
          <w:hyperlink w:anchor="_Toc1747308" w:history="1">
            <w:r w:rsidR="007D5C30" w:rsidRPr="008C2D9C">
              <w:rPr>
                <w:rStyle w:val="Hyperlink"/>
                <w:noProof/>
              </w:rPr>
              <w:t>Indigenous status</w:t>
            </w:r>
            <w:r w:rsidR="007D5C30">
              <w:rPr>
                <w:noProof/>
                <w:webHidden/>
              </w:rPr>
              <w:tab/>
            </w:r>
            <w:r w:rsidR="007D5C30">
              <w:rPr>
                <w:noProof/>
                <w:webHidden/>
              </w:rPr>
              <w:fldChar w:fldCharType="begin"/>
            </w:r>
            <w:r w:rsidR="007D5C30">
              <w:rPr>
                <w:noProof/>
                <w:webHidden/>
              </w:rPr>
              <w:instrText xml:space="preserve"> PAGEREF _Toc1747308 \h </w:instrText>
            </w:r>
            <w:r w:rsidR="007D5C30">
              <w:rPr>
                <w:noProof/>
                <w:webHidden/>
              </w:rPr>
            </w:r>
            <w:r w:rsidR="007D5C30">
              <w:rPr>
                <w:noProof/>
                <w:webHidden/>
              </w:rPr>
              <w:fldChar w:fldCharType="separate"/>
            </w:r>
            <w:r w:rsidR="008A2AC2">
              <w:rPr>
                <w:noProof/>
                <w:webHidden/>
              </w:rPr>
              <w:t>124</w:t>
            </w:r>
            <w:r w:rsidR="007D5C30">
              <w:rPr>
                <w:noProof/>
                <w:webHidden/>
              </w:rPr>
              <w:fldChar w:fldCharType="end"/>
            </w:r>
          </w:hyperlink>
        </w:p>
        <w:p w14:paraId="14F133AB" w14:textId="77777777" w:rsidR="007D5C30" w:rsidRDefault="00EE2A70">
          <w:pPr>
            <w:pStyle w:val="TOC3"/>
            <w:tabs>
              <w:tab w:val="right" w:leader="dot" w:pos="10456"/>
            </w:tabs>
            <w:rPr>
              <w:noProof/>
            </w:rPr>
          </w:pPr>
          <w:hyperlink w:anchor="_Toc1747309" w:history="1">
            <w:r w:rsidR="007D5C30" w:rsidRPr="008C2D9C">
              <w:rPr>
                <w:rStyle w:val="Hyperlink"/>
                <w:noProof/>
              </w:rPr>
              <w:t>Outbreaks</w:t>
            </w:r>
            <w:r w:rsidR="007D5C30">
              <w:rPr>
                <w:noProof/>
                <w:webHidden/>
              </w:rPr>
              <w:tab/>
            </w:r>
            <w:r w:rsidR="007D5C30">
              <w:rPr>
                <w:noProof/>
                <w:webHidden/>
              </w:rPr>
              <w:fldChar w:fldCharType="begin"/>
            </w:r>
            <w:r w:rsidR="007D5C30">
              <w:rPr>
                <w:noProof/>
                <w:webHidden/>
              </w:rPr>
              <w:instrText xml:space="preserve"> PAGEREF _Toc1747309 \h </w:instrText>
            </w:r>
            <w:r w:rsidR="007D5C30">
              <w:rPr>
                <w:noProof/>
                <w:webHidden/>
              </w:rPr>
            </w:r>
            <w:r w:rsidR="007D5C30">
              <w:rPr>
                <w:noProof/>
                <w:webHidden/>
              </w:rPr>
              <w:fldChar w:fldCharType="separate"/>
            </w:r>
            <w:r w:rsidR="008A2AC2">
              <w:rPr>
                <w:noProof/>
                <w:webHidden/>
              </w:rPr>
              <w:t>124</w:t>
            </w:r>
            <w:r w:rsidR="007D5C30">
              <w:rPr>
                <w:noProof/>
                <w:webHidden/>
              </w:rPr>
              <w:fldChar w:fldCharType="end"/>
            </w:r>
          </w:hyperlink>
        </w:p>
        <w:p w14:paraId="0457F250" w14:textId="77777777" w:rsidR="007D5C30" w:rsidRDefault="00EE2A70">
          <w:pPr>
            <w:pStyle w:val="TOC3"/>
            <w:tabs>
              <w:tab w:val="right" w:leader="dot" w:pos="10456"/>
            </w:tabs>
            <w:rPr>
              <w:noProof/>
            </w:rPr>
          </w:pPr>
          <w:hyperlink w:anchor="_Toc1747310" w:history="1">
            <w:r w:rsidR="007D5C30" w:rsidRPr="008C2D9C">
              <w:rPr>
                <w:rStyle w:val="Hyperlink"/>
                <w:noProof/>
              </w:rPr>
              <w:t>Discussion</w:t>
            </w:r>
            <w:r w:rsidR="007D5C30">
              <w:rPr>
                <w:noProof/>
                <w:webHidden/>
              </w:rPr>
              <w:tab/>
            </w:r>
            <w:r w:rsidR="007D5C30">
              <w:rPr>
                <w:noProof/>
                <w:webHidden/>
              </w:rPr>
              <w:fldChar w:fldCharType="begin"/>
            </w:r>
            <w:r w:rsidR="007D5C30">
              <w:rPr>
                <w:noProof/>
                <w:webHidden/>
              </w:rPr>
              <w:instrText xml:space="preserve"> PAGEREF _Toc1747310 \h </w:instrText>
            </w:r>
            <w:r w:rsidR="007D5C30">
              <w:rPr>
                <w:noProof/>
                <w:webHidden/>
              </w:rPr>
            </w:r>
            <w:r w:rsidR="007D5C30">
              <w:rPr>
                <w:noProof/>
                <w:webHidden/>
              </w:rPr>
              <w:fldChar w:fldCharType="separate"/>
            </w:r>
            <w:r w:rsidR="008A2AC2">
              <w:rPr>
                <w:noProof/>
                <w:webHidden/>
              </w:rPr>
              <w:t>125</w:t>
            </w:r>
            <w:r w:rsidR="007D5C30">
              <w:rPr>
                <w:noProof/>
                <w:webHidden/>
              </w:rPr>
              <w:fldChar w:fldCharType="end"/>
            </w:r>
          </w:hyperlink>
        </w:p>
        <w:p w14:paraId="3CF7A152" w14:textId="77777777" w:rsidR="007D5C30" w:rsidRDefault="00EE2A70">
          <w:pPr>
            <w:pStyle w:val="TOC2"/>
            <w:tabs>
              <w:tab w:val="right" w:leader="dot" w:pos="10456"/>
            </w:tabs>
            <w:rPr>
              <w:b w:val="0"/>
              <w:noProof/>
            </w:rPr>
          </w:pPr>
          <w:hyperlink w:anchor="_Toc1747311" w:history="1">
            <w:r w:rsidR="007D5C30" w:rsidRPr="008C2D9C">
              <w:rPr>
                <w:rStyle w:val="Hyperlink"/>
                <w:noProof/>
              </w:rPr>
              <w:t>Pertussis</w:t>
            </w:r>
            <w:r w:rsidR="007D5C30">
              <w:rPr>
                <w:noProof/>
                <w:webHidden/>
              </w:rPr>
              <w:tab/>
            </w:r>
            <w:r w:rsidR="007D5C30">
              <w:rPr>
                <w:noProof/>
                <w:webHidden/>
              </w:rPr>
              <w:fldChar w:fldCharType="begin"/>
            </w:r>
            <w:r w:rsidR="007D5C30">
              <w:rPr>
                <w:noProof/>
                <w:webHidden/>
              </w:rPr>
              <w:instrText xml:space="preserve"> PAGEREF _Toc1747311 \h </w:instrText>
            </w:r>
            <w:r w:rsidR="007D5C30">
              <w:rPr>
                <w:noProof/>
                <w:webHidden/>
              </w:rPr>
            </w:r>
            <w:r w:rsidR="007D5C30">
              <w:rPr>
                <w:noProof/>
                <w:webHidden/>
              </w:rPr>
              <w:fldChar w:fldCharType="separate"/>
            </w:r>
            <w:r w:rsidR="008A2AC2">
              <w:rPr>
                <w:noProof/>
                <w:webHidden/>
              </w:rPr>
              <w:t>125</w:t>
            </w:r>
            <w:r w:rsidR="007D5C30">
              <w:rPr>
                <w:noProof/>
                <w:webHidden/>
              </w:rPr>
              <w:fldChar w:fldCharType="end"/>
            </w:r>
          </w:hyperlink>
        </w:p>
        <w:p w14:paraId="02F4961B" w14:textId="77777777" w:rsidR="007D5C30" w:rsidRDefault="00EE2A70">
          <w:pPr>
            <w:pStyle w:val="TOC3"/>
            <w:tabs>
              <w:tab w:val="right" w:leader="dot" w:pos="10456"/>
            </w:tabs>
            <w:rPr>
              <w:noProof/>
            </w:rPr>
          </w:pPr>
          <w:hyperlink w:anchor="_Toc1747312" w:history="1">
            <w:r w:rsidR="007D5C30" w:rsidRPr="008C2D9C">
              <w:rPr>
                <w:rStyle w:val="Hyperlink"/>
                <w:noProof/>
              </w:rPr>
              <w:t>Epidemiological situation in 2015</w:t>
            </w:r>
            <w:r w:rsidR="007D5C30">
              <w:rPr>
                <w:noProof/>
                <w:webHidden/>
              </w:rPr>
              <w:tab/>
            </w:r>
            <w:r w:rsidR="007D5C30">
              <w:rPr>
                <w:noProof/>
                <w:webHidden/>
              </w:rPr>
              <w:fldChar w:fldCharType="begin"/>
            </w:r>
            <w:r w:rsidR="007D5C30">
              <w:rPr>
                <w:noProof/>
                <w:webHidden/>
              </w:rPr>
              <w:instrText xml:space="preserve"> PAGEREF _Toc1747312 \h </w:instrText>
            </w:r>
            <w:r w:rsidR="007D5C30">
              <w:rPr>
                <w:noProof/>
                <w:webHidden/>
              </w:rPr>
            </w:r>
            <w:r w:rsidR="007D5C30">
              <w:rPr>
                <w:noProof/>
                <w:webHidden/>
              </w:rPr>
              <w:fldChar w:fldCharType="separate"/>
            </w:r>
            <w:r w:rsidR="008A2AC2">
              <w:rPr>
                <w:noProof/>
                <w:webHidden/>
              </w:rPr>
              <w:t>125</w:t>
            </w:r>
            <w:r w:rsidR="007D5C30">
              <w:rPr>
                <w:noProof/>
                <w:webHidden/>
              </w:rPr>
              <w:fldChar w:fldCharType="end"/>
            </w:r>
          </w:hyperlink>
        </w:p>
        <w:p w14:paraId="7C2F345D" w14:textId="77777777" w:rsidR="007D5C30" w:rsidRDefault="00EE2A70">
          <w:pPr>
            <w:pStyle w:val="TOC3"/>
            <w:tabs>
              <w:tab w:val="right" w:leader="dot" w:pos="10456"/>
            </w:tabs>
            <w:rPr>
              <w:noProof/>
            </w:rPr>
          </w:pPr>
          <w:hyperlink w:anchor="_Toc1747313" w:history="1">
            <w:r w:rsidR="007D5C30" w:rsidRPr="008C2D9C">
              <w:rPr>
                <w:rStyle w:val="Hyperlink"/>
                <w:noProof/>
              </w:rPr>
              <w:t>Geographical distribution</w:t>
            </w:r>
            <w:r w:rsidR="007D5C30">
              <w:rPr>
                <w:noProof/>
                <w:webHidden/>
              </w:rPr>
              <w:tab/>
            </w:r>
            <w:r w:rsidR="007D5C30">
              <w:rPr>
                <w:noProof/>
                <w:webHidden/>
              </w:rPr>
              <w:fldChar w:fldCharType="begin"/>
            </w:r>
            <w:r w:rsidR="007D5C30">
              <w:rPr>
                <w:noProof/>
                <w:webHidden/>
              </w:rPr>
              <w:instrText xml:space="preserve"> PAGEREF _Toc1747313 \h </w:instrText>
            </w:r>
            <w:r w:rsidR="007D5C30">
              <w:rPr>
                <w:noProof/>
                <w:webHidden/>
              </w:rPr>
            </w:r>
            <w:r w:rsidR="007D5C30">
              <w:rPr>
                <w:noProof/>
                <w:webHidden/>
              </w:rPr>
              <w:fldChar w:fldCharType="separate"/>
            </w:r>
            <w:r w:rsidR="008A2AC2">
              <w:rPr>
                <w:noProof/>
                <w:webHidden/>
              </w:rPr>
              <w:t>127</w:t>
            </w:r>
            <w:r w:rsidR="007D5C30">
              <w:rPr>
                <w:noProof/>
                <w:webHidden/>
              </w:rPr>
              <w:fldChar w:fldCharType="end"/>
            </w:r>
          </w:hyperlink>
        </w:p>
        <w:p w14:paraId="39F8DA96" w14:textId="77777777" w:rsidR="007D5C30" w:rsidRDefault="00EE2A70">
          <w:pPr>
            <w:pStyle w:val="TOC3"/>
            <w:tabs>
              <w:tab w:val="right" w:leader="dot" w:pos="10456"/>
            </w:tabs>
            <w:rPr>
              <w:noProof/>
            </w:rPr>
          </w:pPr>
          <w:hyperlink w:anchor="_Toc1747314" w:history="1">
            <w:r w:rsidR="007D5C30" w:rsidRPr="008C2D9C">
              <w:rPr>
                <w:rStyle w:val="Hyperlink"/>
                <w:noProof/>
              </w:rPr>
              <w:t>Age and sex distribution</w:t>
            </w:r>
            <w:r w:rsidR="007D5C30">
              <w:rPr>
                <w:noProof/>
                <w:webHidden/>
              </w:rPr>
              <w:tab/>
            </w:r>
            <w:r w:rsidR="007D5C30">
              <w:rPr>
                <w:noProof/>
                <w:webHidden/>
              </w:rPr>
              <w:fldChar w:fldCharType="begin"/>
            </w:r>
            <w:r w:rsidR="007D5C30">
              <w:rPr>
                <w:noProof/>
                <w:webHidden/>
              </w:rPr>
              <w:instrText xml:space="preserve"> PAGEREF _Toc1747314 \h </w:instrText>
            </w:r>
            <w:r w:rsidR="007D5C30">
              <w:rPr>
                <w:noProof/>
                <w:webHidden/>
              </w:rPr>
            </w:r>
            <w:r w:rsidR="007D5C30">
              <w:rPr>
                <w:noProof/>
                <w:webHidden/>
              </w:rPr>
              <w:fldChar w:fldCharType="separate"/>
            </w:r>
            <w:r w:rsidR="008A2AC2">
              <w:rPr>
                <w:noProof/>
                <w:webHidden/>
              </w:rPr>
              <w:t>127</w:t>
            </w:r>
            <w:r w:rsidR="007D5C30">
              <w:rPr>
                <w:noProof/>
                <w:webHidden/>
              </w:rPr>
              <w:fldChar w:fldCharType="end"/>
            </w:r>
          </w:hyperlink>
        </w:p>
        <w:p w14:paraId="1AE66E35" w14:textId="77777777" w:rsidR="007D5C30" w:rsidRDefault="00EE2A70">
          <w:pPr>
            <w:pStyle w:val="TOC3"/>
            <w:tabs>
              <w:tab w:val="right" w:leader="dot" w:pos="10456"/>
            </w:tabs>
            <w:rPr>
              <w:noProof/>
            </w:rPr>
          </w:pPr>
          <w:hyperlink w:anchor="_Toc1747315" w:history="1">
            <w:r w:rsidR="007D5C30" w:rsidRPr="008C2D9C">
              <w:rPr>
                <w:rStyle w:val="Hyperlink"/>
                <w:noProof/>
              </w:rPr>
              <w:t>Immunisation status</w:t>
            </w:r>
            <w:r w:rsidR="007D5C30">
              <w:rPr>
                <w:noProof/>
                <w:webHidden/>
              </w:rPr>
              <w:tab/>
            </w:r>
            <w:r w:rsidR="007D5C30">
              <w:rPr>
                <w:noProof/>
                <w:webHidden/>
              </w:rPr>
              <w:fldChar w:fldCharType="begin"/>
            </w:r>
            <w:r w:rsidR="007D5C30">
              <w:rPr>
                <w:noProof/>
                <w:webHidden/>
              </w:rPr>
              <w:instrText xml:space="preserve"> PAGEREF _Toc1747315 \h </w:instrText>
            </w:r>
            <w:r w:rsidR="007D5C30">
              <w:rPr>
                <w:noProof/>
                <w:webHidden/>
              </w:rPr>
            </w:r>
            <w:r w:rsidR="007D5C30">
              <w:rPr>
                <w:noProof/>
                <w:webHidden/>
              </w:rPr>
              <w:fldChar w:fldCharType="separate"/>
            </w:r>
            <w:r w:rsidR="008A2AC2">
              <w:rPr>
                <w:noProof/>
                <w:webHidden/>
              </w:rPr>
              <w:t>129</w:t>
            </w:r>
            <w:r w:rsidR="007D5C30">
              <w:rPr>
                <w:noProof/>
                <w:webHidden/>
              </w:rPr>
              <w:fldChar w:fldCharType="end"/>
            </w:r>
          </w:hyperlink>
        </w:p>
        <w:p w14:paraId="151EA632" w14:textId="77777777" w:rsidR="007D5C30" w:rsidRDefault="00EE2A70">
          <w:pPr>
            <w:pStyle w:val="TOC3"/>
            <w:tabs>
              <w:tab w:val="right" w:leader="dot" w:pos="10456"/>
            </w:tabs>
            <w:rPr>
              <w:noProof/>
            </w:rPr>
          </w:pPr>
          <w:hyperlink w:anchor="_Toc1747316" w:history="1">
            <w:r w:rsidR="007D5C30" w:rsidRPr="008C2D9C">
              <w:rPr>
                <w:rStyle w:val="Hyperlink"/>
                <w:noProof/>
              </w:rPr>
              <w:t>Discussion</w:t>
            </w:r>
            <w:r w:rsidR="007D5C30">
              <w:rPr>
                <w:noProof/>
                <w:webHidden/>
              </w:rPr>
              <w:tab/>
            </w:r>
            <w:r w:rsidR="007D5C30">
              <w:rPr>
                <w:noProof/>
                <w:webHidden/>
              </w:rPr>
              <w:fldChar w:fldCharType="begin"/>
            </w:r>
            <w:r w:rsidR="007D5C30">
              <w:rPr>
                <w:noProof/>
                <w:webHidden/>
              </w:rPr>
              <w:instrText xml:space="preserve"> PAGEREF _Toc1747316 \h </w:instrText>
            </w:r>
            <w:r w:rsidR="007D5C30">
              <w:rPr>
                <w:noProof/>
                <w:webHidden/>
              </w:rPr>
            </w:r>
            <w:r w:rsidR="007D5C30">
              <w:rPr>
                <w:noProof/>
                <w:webHidden/>
              </w:rPr>
              <w:fldChar w:fldCharType="separate"/>
            </w:r>
            <w:r w:rsidR="008A2AC2">
              <w:rPr>
                <w:noProof/>
                <w:webHidden/>
              </w:rPr>
              <w:t>130</w:t>
            </w:r>
            <w:r w:rsidR="007D5C30">
              <w:rPr>
                <w:noProof/>
                <w:webHidden/>
              </w:rPr>
              <w:fldChar w:fldCharType="end"/>
            </w:r>
          </w:hyperlink>
        </w:p>
        <w:p w14:paraId="53DA95D1" w14:textId="77777777" w:rsidR="007D5C30" w:rsidRDefault="00EE2A70">
          <w:pPr>
            <w:pStyle w:val="TOC2"/>
            <w:tabs>
              <w:tab w:val="right" w:leader="dot" w:pos="10456"/>
            </w:tabs>
            <w:rPr>
              <w:b w:val="0"/>
              <w:noProof/>
            </w:rPr>
          </w:pPr>
          <w:hyperlink w:anchor="_Toc1747317" w:history="1">
            <w:r w:rsidR="007D5C30" w:rsidRPr="008C2D9C">
              <w:rPr>
                <w:rStyle w:val="Hyperlink"/>
                <w:noProof/>
              </w:rPr>
              <w:t>Pneumococcal disease (invasive)</w:t>
            </w:r>
            <w:r w:rsidR="007D5C30">
              <w:rPr>
                <w:noProof/>
                <w:webHidden/>
              </w:rPr>
              <w:tab/>
            </w:r>
            <w:r w:rsidR="007D5C30">
              <w:rPr>
                <w:noProof/>
                <w:webHidden/>
              </w:rPr>
              <w:fldChar w:fldCharType="begin"/>
            </w:r>
            <w:r w:rsidR="007D5C30">
              <w:rPr>
                <w:noProof/>
                <w:webHidden/>
              </w:rPr>
              <w:instrText xml:space="preserve"> PAGEREF _Toc1747317 \h </w:instrText>
            </w:r>
            <w:r w:rsidR="007D5C30">
              <w:rPr>
                <w:noProof/>
                <w:webHidden/>
              </w:rPr>
            </w:r>
            <w:r w:rsidR="007D5C30">
              <w:rPr>
                <w:noProof/>
                <w:webHidden/>
              </w:rPr>
              <w:fldChar w:fldCharType="separate"/>
            </w:r>
            <w:r w:rsidR="008A2AC2">
              <w:rPr>
                <w:noProof/>
                <w:webHidden/>
              </w:rPr>
              <w:t>130</w:t>
            </w:r>
            <w:r w:rsidR="007D5C30">
              <w:rPr>
                <w:noProof/>
                <w:webHidden/>
              </w:rPr>
              <w:fldChar w:fldCharType="end"/>
            </w:r>
          </w:hyperlink>
        </w:p>
        <w:p w14:paraId="03B261F9" w14:textId="77777777" w:rsidR="007D5C30" w:rsidRDefault="00EE2A70">
          <w:pPr>
            <w:pStyle w:val="TOC3"/>
            <w:tabs>
              <w:tab w:val="right" w:leader="dot" w:pos="10456"/>
            </w:tabs>
            <w:rPr>
              <w:noProof/>
            </w:rPr>
          </w:pPr>
          <w:hyperlink w:anchor="_Toc1747318" w:history="1">
            <w:r w:rsidR="007D5C30" w:rsidRPr="008C2D9C">
              <w:rPr>
                <w:rStyle w:val="Hyperlink"/>
                <w:noProof/>
              </w:rPr>
              <w:t>Epidemiological situation in 2015</w:t>
            </w:r>
            <w:r w:rsidR="007D5C30">
              <w:rPr>
                <w:noProof/>
                <w:webHidden/>
              </w:rPr>
              <w:tab/>
            </w:r>
            <w:r w:rsidR="007D5C30">
              <w:rPr>
                <w:noProof/>
                <w:webHidden/>
              </w:rPr>
              <w:fldChar w:fldCharType="begin"/>
            </w:r>
            <w:r w:rsidR="007D5C30">
              <w:rPr>
                <w:noProof/>
                <w:webHidden/>
              </w:rPr>
              <w:instrText xml:space="preserve"> PAGEREF _Toc1747318 \h </w:instrText>
            </w:r>
            <w:r w:rsidR="007D5C30">
              <w:rPr>
                <w:noProof/>
                <w:webHidden/>
              </w:rPr>
            </w:r>
            <w:r w:rsidR="007D5C30">
              <w:rPr>
                <w:noProof/>
                <w:webHidden/>
              </w:rPr>
              <w:fldChar w:fldCharType="separate"/>
            </w:r>
            <w:r w:rsidR="008A2AC2">
              <w:rPr>
                <w:noProof/>
                <w:webHidden/>
              </w:rPr>
              <w:t>131</w:t>
            </w:r>
            <w:r w:rsidR="007D5C30">
              <w:rPr>
                <w:noProof/>
                <w:webHidden/>
              </w:rPr>
              <w:fldChar w:fldCharType="end"/>
            </w:r>
          </w:hyperlink>
        </w:p>
        <w:p w14:paraId="6D654846" w14:textId="77777777" w:rsidR="007D5C30" w:rsidRDefault="00EE2A70">
          <w:pPr>
            <w:pStyle w:val="TOC3"/>
            <w:tabs>
              <w:tab w:val="right" w:leader="dot" w:pos="10456"/>
            </w:tabs>
            <w:rPr>
              <w:noProof/>
            </w:rPr>
          </w:pPr>
          <w:hyperlink w:anchor="_Toc1747319" w:history="1">
            <w:r w:rsidR="007D5C30" w:rsidRPr="008C2D9C">
              <w:rPr>
                <w:rStyle w:val="Hyperlink"/>
                <w:noProof/>
              </w:rPr>
              <w:t>Geographic distribution</w:t>
            </w:r>
            <w:r w:rsidR="007D5C30">
              <w:rPr>
                <w:noProof/>
                <w:webHidden/>
              </w:rPr>
              <w:tab/>
            </w:r>
            <w:r w:rsidR="007D5C30">
              <w:rPr>
                <w:noProof/>
                <w:webHidden/>
              </w:rPr>
              <w:fldChar w:fldCharType="begin"/>
            </w:r>
            <w:r w:rsidR="007D5C30">
              <w:rPr>
                <w:noProof/>
                <w:webHidden/>
              </w:rPr>
              <w:instrText xml:space="preserve"> PAGEREF _Toc1747319 \h </w:instrText>
            </w:r>
            <w:r w:rsidR="007D5C30">
              <w:rPr>
                <w:noProof/>
                <w:webHidden/>
              </w:rPr>
            </w:r>
            <w:r w:rsidR="007D5C30">
              <w:rPr>
                <w:noProof/>
                <w:webHidden/>
              </w:rPr>
              <w:fldChar w:fldCharType="separate"/>
            </w:r>
            <w:r w:rsidR="008A2AC2">
              <w:rPr>
                <w:noProof/>
                <w:webHidden/>
              </w:rPr>
              <w:t>131</w:t>
            </w:r>
            <w:r w:rsidR="007D5C30">
              <w:rPr>
                <w:noProof/>
                <w:webHidden/>
              </w:rPr>
              <w:fldChar w:fldCharType="end"/>
            </w:r>
          </w:hyperlink>
        </w:p>
        <w:p w14:paraId="619295D2" w14:textId="77777777" w:rsidR="007D5C30" w:rsidRDefault="00EE2A70">
          <w:pPr>
            <w:pStyle w:val="TOC3"/>
            <w:tabs>
              <w:tab w:val="right" w:leader="dot" w:pos="10456"/>
            </w:tabs>
            <w:rPr>
              <w:noProof/>
            </w:rPr>
          </w:pPr>
          <w:hyperlink w:anchor="_Toc1747320" w:history="1">
            <w:r w:rsidR="007D5C30" w:rsidRPr="008C2D9C">
              <w:rPr>
                <w:rStyle w:val="Hyperlink"/>
                <w:noProof/>
              </w:rPr>
              <w:t>Age and sex distribution</w:t>
            </w:r>
            <w:r w:rsidR="007D5C30">
              <w:rPr>
                <w:noProof/>
                <w:webHidden/>
              </w:rPr>
              <w:tab/>
            </w:r>
            <w:r w:rsidR="007D5C30">
              <w:rPr>
                <w:noProof/>
                <w:webHidden/>
              </w:rPr>
              <w:fldChar w:fldCharType="begin"/>
            </w:r>
            <w:r w:rsidR="007D5C30">
              <w:rPr>
                <w:noProof/>
                <w:webHidden/>
              </w:rPr>
              <w:instrText xml:space="preserve"> PAGEREF _Toc1747320 \h </w:instrText>
            </w:r>
            <w:r w:rsidR="007D5C30">
              <w:rPr>
                <w:noProof/>
                <w:webHidden/>
              </w:rPr>
            </w:r>
            <w:r w:rsidR="007D5C30">
              <w:rPr>
                <w:noProof/>
                <w:webHidden/>
              </w:rPr>
              <w:fldChar w:fldCharType="separate"/>
            </w:r>
            <w:r w:rsidR="008A2AC2">
              <w:rPr>
                <w:noProof/>
                <w:webHidden/>
              </w:rPr>
              <w:t>131</w:t>
            </w:r>
            <w:r w:rsidR="007D5C30">
              <w:rPr>
                <w:noProof/>
                <w:webHidden/>
              </w:rPr>
              <w:fldChar w:fldCharType="end"/>
            </w:r>
          </w:hyperlink>
        </w:p>
        <w:p w14:paraId="4F8A84CF" w14:textId="77777777" w:rsidR="007D5C30" w:rsidRDefault="00EE2A70">
          <w:pPr>
            <w:pStyle w:val="TOC3"/>
            <w:tabs>
              <w:tab w:val="right" w:leader="dot" w:pos="10456"/>
            </w:tabs>
            <w:rPr>
              <w:noProof/>
            </w:rPr>
          </w:pPr>
          <w:hyperlink w:anchor="_Toc1747321" w:history="1">
            <w:r w:rsidR="007D5C30" w:rsidRPr="008C2D9C">
              <w:rPr>
                <w:rStyle w:val="Hyperlink"/>
                <w:noProof/>
              </w:rPr>
              <w:t>Seasonality</w:t>
            </w:r>
            <w:r w:rsidR="007D5C30">
              <w:rPr>
                <w:noProof/>
                <w:webHidden/>
              </w:rPr>
              <w:tab/>
            </w:r>
            <w:r w:rsidR="007D5C30">
              <w:rPr>
                <w:noProof/>
                <w:webHidden/>
              </w:rPr>
              <w:fldChar w:fldCharType="begin"/>
            </w:r>
            <w:r w:rsidR="007D5C30">
              <w:rPr>
                <w:noProof/>
                <w:webHidden/>
              </w:rPr>
              <w:instrText xml:space="preserve"> PAGEREF _Toc1747321 \h </w:instrText>
            </w:r>
            <w:r w:rsidR="007D5C30">
              <w:rPr>
                <w:noProof/>
                <w:webHidden/>
              </w:rPr>
            </w:r>
            <w:r w:rsidR="007D5C30">
              <w:rPr>
                <w:noProof/>
                <w:webHidden/>
              </w:rPr>
              <w:fldChar w:fldCharType="separate"/>
            </w:r>
            <w:r w:rsidR="008A2AC2">
              <w:rPr>
                <w:noProof/>
                <w:webHidden/>
              </w:rPr>
              <w:t>133</w:t>
            </w:r>
            <w:r w:rsidR="007D5C30">
              <w:rPr>
                <w:noProof/>
                <w:webHidden/>
              </w:rPr>
              <w:fldChar w:fldCharType="end"/>
            </w:r>
          </w:hyperlink>
        </w:p>
        <w:p w14:paraId="1015EC24" w14:textId="77777777" w:rsidR="007D5C30" w:rsidRDefault="00EE2A70">
          <w:pPr>
            <w:pStyle w:val="TOC3"/>
            <w:tabs>
              <w:tab w:val="right" w:leader="dot" w:pos="10456"/>
            </w:tabs>
            <w:rPr>
              <w:noProof/>
            </w:rPr>
          </w:pPr>
          <w:hyperlink w:anchor="_Toc1747322" w:history="1">
            <w:r w:rsidR="007D5C30" w:rsidRPr="008C2D9C">
              <w:rPr>
                <w:rStyle w:val="Hyperlink"/>
                <w:noProof/>
              </w:rPr>
              <w:t>Indigenous status</w:t>
            </w:r>
            <w:r w:rsidR="007D5C30">
              <w:rPr>
                <w:noProof/>
                <w:webHidden/>
              </w:rPr>
              <w:tab/>
            </w:r>
            <w:r w:rsidR="007D5C30">
              <w:rPr>
                <w:noProof/>
                <w:webHidden/>
              </w:rPr>
              <w:fldChar w:fldCharType="begin"/>
            </w:r>
            <w:r w:rsidR="007D5C30">
              <w:rPr>
                <w:noProof/>
                <w:webHidden/>
              </w:rPr>
              <w:instrText xml:space="preserve"> PAGEREF _Toc1747322 \h </w:instrText>
            </w:r>
            <w:r w:rsidR="007D5C30">
              <w:rPr>
                <w:noProof/>
                <w:webHidden/>
              </w:rPr>
            </w:r>
            <w:r w:rsidR="007D5C30">
              <w:rPr>
                <w:noProof/>
                <w:webHidden/>
              </w:rPr>
              <w:fldChar w:fldCharType="separate"/>
            </w:r>
            <w:r w:rsidR="008A2AC2">
              <w:rPr>
                <w:noProof/>
                <w:webHidden/>
              </w:rPr>
              <w:t>133</w:t>
            </w:r>
            <w:r w:rsidR="007D5C30">
              <w:rPr>
                <w:noProof/>
                <w:webHidden/>
              </w:rPr>
              <w:fldChar w:fldCharType="end"/>
            </w:r>
          </w:hyperlink>
        </w:p>
        <w:p w14:paraId="3410ECFB" w14:textId="77777777" w:rsidR="007D5C30" w:rsidRDefault="00EE2A70">
          <w:pPr>
            <w:pStyle w:val="TOC3"/>
            <w:tabs>
              <w:tab w:val="right" w:leader="dot" w:pos="10456"/>
            </w:tabs>
            <w:rPr>
              <w:noProof/>
            </w:rPr>
          </w:pPr>
          <w:hyperlink w:anchor="_Toc1747323" w:history="1">
            <w:r w:rsidR="007D5C30" w:rsidRPr="008C2D9C">
              <w:rPr>
                <w:rStyle w:val="Hyperlink"/>
                <w:noProof/>
              </w:rPr>
              <w:t>Immunisation status</w:t>
            </w:r>
            <w:r w:rsidR="007D5C30">
              <w:rPr>
                <w:noProof/>
                <w:webHidden/>
              </w:rPr>
              <w:tab/>
            </w:r>
            <w:r w:rsidR="007D5C30">
              <w:rPr>
                <w:noProof/>
                <w:webHidden/>
              </w:rPr>
              <w:fldChar w:fldCharType="begin"/>
            </w:r>
            <w:r w:rsidR="007D5C30">
              <w:rPr>
                <w:noProof/>
                <w:webHidden/>
              </w:rPr>
              <w:instrText xml:space="preserve"> PAGEREF _Toc1747323 \h </w:instrText>
            </w:r>
            <w:r w:rsidR="007D5C30">
              <w:rPr>
                <w:noProof/>
                <w:webHidden/>
              </w:rPr>
            </w:r>
            <w:r w:rsidR="007D5C30">
              <w:rPr>
                <w:noProof/>
                <w:webHidden/>
              </w:rPr>
              <w:fldChar w:fldCharType="separate"/>
            </w:r>
            <w:r w:rsidR="008A2AC2">
              <w:rPr>
                <w:noProof/>
                <w:webHidden/>
              </w:rPr>
              <w:t>134</w:t>
            </w:r>
            <w:r w:rsidR="007D5C30">
              <w:rPr>
                <w:noProof/>
                <w:webHidden/>
              </w:rPr>
              <w:fldChar w:fldCharType="end"/>
            </w:r>
          </w:hyperlink>
        </w:p>
        <w:p w14:paraId="0860331A" w14:textId="77777777" w:rsidR="007D5C30" w:rsidRDefault="00EE2A70">
          <w:pPr>
            <w:pStyle w:val="TOC3"/>
            <w:tabs>
              <w:tab w:val="right" w:leader="dot" w:pos="10456"/>
            </w:tabs>
            <w:rPr>
              <w:noProof/>
            </w:rPr>
          </w:pPr>
          <w:hyperlink w:anchor="_Toc1747324" w:history="1">
            <w:r w:rsidR="007D5C30" w:rsidRPr="008C2D9C">
              <w:rPr>
                <w:rStyle w:val="Hyperlink"/>
                <w:noProof/>
              </w:rPr>
              <w:t>Microbiological trends</w:t>
            </w:r>
            <w:r w:rsidR="007D5C30">
              <w:rPr>
                <w:noProof/>
                <w:webHidden/>
              </w:rPr>
              <w:tab/>
            </w:r>
            <w:r w:rsidR="007D5C30">
              <w:rPr>
                <w:noProof/>
                <w:webHidden/>
              </w:rPr>
              <w:fldChar w:fldCharType="begin"/>
            </w:r>
            <w:r w:rsidR="007D5C30">
              <w:rPr>
                <w:noProof/>
                <w:webHidden/>
              </w:rPr>
              <w:instrText xml:space="preserve"> PAGEREF _Toc1747324 \h </w:instrText>
            </w:r>
            <w:r w:rsidR="007D5C30">
              <w:rPr>
                <w:noProof/>
                <w:webHidden/>
              </w:rPr>
            </w:r>
            <w:r w:rsidR="007D5C30">
              <w:rPr>
                <w:noProof/>
                <w:webHidden/>
              </w:rPr>
              <w:fldChar w:fldCharType="separate"/>
            </w:r>
            <w:r w:rsidR="008A2AC2">
              <w:rPr>
                <w:noProof/>
                <w:webHidden/>
              </w:rPr>
              <w:t>134</w:t>
            </w:r>
            <w:r w:rsidR="007D5C30">
              <w:rPr>
                <w:noProof/>
                <w:webHidden/>
              </w:rPr>
              <w:fldChar w:fldCharType="end"/>
            </w:r>
          </w:hyperlink>
        </w:p>
        <w:p w14:paraId="6D951EB8" w14:textId="77777777" w:rsidR="007D5C30" w:rsidRDefault="00EE2A70">
          <w:pPr>
            <w:pStyle w:val="TOC3"/>
            <w:tabs>
              <w:tab w:val="right" w:leader="dot" w:pos="10456"/>
            </w:tabs>
            <w:rPr>
              <w:noProof/>
            </w:rPr>
          </w:pPr>
          <w:hyperlink w:anchor="_Toc1747325" w:history="1">
            <w:r w:rsidR="007D5C30" w:rsidRPr="008C2D9C">
              <w:rPr>
                <w:rStyle w:val="Hyperlink"/>
                <w:noProof/>
              </w:rPr>
              <w:t>Enhanced surveillance</w:t>
            </w:r>
            <w:r w:rsidR="007D5C30">
              <w:rPr>
                <w:noProof/>
                <w:webHidden/>
              </w:rPr>
              <w:tab/>
            </w:r>
            <w:r w:rsidR="007D5C30">
              <w:rPr>
                <w:noProof/>
                <w:webHidden/>
              </w:rPr>
              <w:fldChar w:fldCharType="begin"/>
            </w:r>
            <w:r w:rsidR="007D5C30">
              <w:rPr>
                <w:noProof/>
                <w:webHidden/>
              </w:rPr>
              <w:instrText xml:space="preserve"> PAGEREF _Toc1747325 \h </w:instrText>
            </w:r>
            <w:r w:rsidR="007D5C30">
              <w:rPr>
                <w:noProof/>
                <w:webHidden/>
              </w:rPr>
            </w:r>
            <w:r w:rsidR="007D5C30">
              <w:rPr>
                <w:noProof/>
                <w:webHidden/>
              </w:rPr>
              <w:fldChar w:fldCharType="separate"/>
            </w:r>
            <w:r w:rsidR="008A2AC2">
              <w:rPr>
                <w:noProof/>
                <w:webHidden/>
              </w:rPr>
              <w:t>135</w:t>
            </w:r>
            <w:r w:rsidR="007D5C30">
              <w:rPr>
                <w:noProof/>
                <w:webHidden/>
              </w:rPr>
              <w:fldChar w:fldCharType="end"/>
            </w:r>
          </w:hyperlink>
        </w:p>
        <w:p w14:paraId="0CC8747B" w14:textId="77777777" w:rsidR="007D5C30" w:rsidRDefault="00EE2A70">
          <w:pPr>
            <w:pStyle w:val="TOC2"/>
            <w:tabs>
              <w:tab w:val="right" w:leader="dot" w:pos="10456"/>
            </w:tabs>
            <w:rPr>
              <w:b w:val="0"/>
              <w:noProof/>
            </w:rPr>
          </w:pPr>
          <w:hyperlink w:anchor="_Toc1747326" w:history="1">
            <w:r w:rsidR="007D5C30" w:rsidRPr="008C2D9C">
              <w:rPr>
                <w:rStyle w:val="Hyperlink"/>
                <w:noProof/>
              </w:rPr>
              <w:t>Poliomyelitis</w:t>
            </w:r>
            <w:r w:rsidR="007D5C30">
              <w:rPr>
                <w:noProof/>
                <w:webHidden/>
              </w:rPr>
              <w:tab/>
            </w:r>
            <w:r w:rsidR="007D5C30">
              <w:rPr>
                <w:noProof/>
                <w:webHidden/>
              </w:rPr>
              <w:fldChar w:fldCharType="begin"/>
            </w:r>
            <w:r w:rsidR="007D5C30">
              <w:rPr>
                <w:noProof/>
                <w:webHidden/>
              </w:rPr>
              <w:instrText xml:space="preserve"> PAGEREF _Toc1747326 \h </w:instrText>
            </w:r>
            <w:r w:rsidR="007D5C30">
              <w:rPr>
                <w:noProof/>
                <w:webHidden/>
              </w:rPr>
            </w:r>
            <w:r w:rsidR="007D5C30">
              <w:rPr>
                <w:noProof/>
                <w:webHidden/>
              </w:rPr>
              <w:fldChar w:fldCharType="separate"/>
            </w:r>
            <w:r w:rsidR="008A2AC2">
              <w:rPr>
                <w:noProof/>
                <w:webHidden/>
              </w:rPr>
              <w:t>135</w:t>
            </w:r>
            <w:r w:rsidR="007D5C30">
              <w:rPr>
                <w:noProof/>
                <w:webHidden/>
              </w:rPr>
              <w:fldChar w:fldCharType="end"/>
            </w:r>
          </w:hyperlink>
        </w:p>
        <w:p w14:paraId="01293B13" w14:textId="77777777" w:rsidR="007D5C30" w:rsidRDefault="00EE2A70">
          <w:pPr>
            <w:pStyle w:val="TOC3"/>
            <w:tabs>
              <w:tab w:val="right" w:leader="dot" w:pos="10456"/>
            </w:tabs>
            <w:rPr>
              <w:noProof/>
            </w:rPr>
          </w:pPr>
          <w:hyperlink w:anchor="_Toc1747327" w:history="1">
            <w:r w:rsidR="007D5C30" w:rsidRPr="008C2D9C">
              <w:rPr>
                <w:rStyle w:val="Hyperlink"/>
                <w:noProof/>
              </w:rPr>
              <w:t>Epidemiological situation in 2015</w:t>
            </w:r>
            <w:r w:rsidR="007D5C30">
              <w:rPr>
                <w:noProof/>
                <w:webHidden/>
              </w:rPr>
              <w:tab/>
            </w:r>
            <w:r w:rsidR="007D5C30">
              <w:rPr>
                <w:noProof/>
                <w:webHidden/>
              </w:rPr>
              <w:fldChar w:fldCharType="begin"/>
            </w:r>
            <w:r w:rsidR="007D5C30">
              <w:rPr>
                <w:noProof/>
                <w:webHidden/>
              </w:rPr>
              <w:instrText xml:space="preserve"> PAGEREF _Toc1747327 \h </w:instrText>
            </w:r>
            <w:r w:rsidR="007D5C30">
              <w:rPr>
                <w:noProof/>
                <w:webHidden/>
              </w:rPr>
            </w:r>
            <w:r w:rsidR="007D5C30">
              <w:rPr>
                <w:noProof/>
                <w:webHidden/>
              </w:rPr>
              <w:fldChar w:fldCharType="separate"/>
            </w:r>
            <w:r w:rsidR="008A2AC2">
              <w:rPr>
                <w:noProof/>
                <w:webHidden/>
              </w:rPr>
              <w:t>136</w:t>
            </w:r>
            <w:r w:rsidR="007D5C30">
              <w:rPr>
                <w:noProof/>
                <w:webHidden/>
              </w:rPr>
              <w:fldChar w:fldCharType="end"/>
            </w:r>
          </w:hyperlink>
        </w:p>
        <w:p w14:paraId="25CBF7B5" w14:textId="77777777" w:rsidR="007D5C30" w:rsidRDefault="00EE2A70">
          <w:pPr>
            <w:pStyle w:val="TOC3"/>
            <w:tabs>
              <w:tab w:val="right" w:leader="dot" w:pos="10456"/>
            </w:tabs>
            <w:rPr>
              <w:noProof/>
            </w:rPr>
          </w:pPr>
          <w:hyperlink w:anchor="_Toc1747328" w:history="1">
            <w:r w:rsidR="007D5C30" w:rsidRPr="008C2D9C">
              <w:rPr>
                <w:rStyle w:val="Hyperlink"/>
                <w:rFonts w:eastAsia="Times New Roman"/>
                <w:noProof/>
              </w:rPr>
              <w:t>Rubella and congenital rubella</w:t>
            </w:r>
            <w:r w:rsidR="007D5C30">
              <w:rPr>
                <w:noProof/>
                <w:webHidden/>
              </w:rPr>
              <w:tab/>
            </w:r>
            <w:r w:rsidR="007D5C30">
              <w:rPr>
                <w:noProof/>
                <w:webHidden/>
              </w:rPr>
              <w:fldChar w:fldCharType="begin"/>
            </w:r>
            <w:r w:rsidR="007D5C30">
              <w:rPr>
                <w:noProof/>
                <w:webHidden/>
              </w:rPr>
              <w:instrText xml:space="preserve"> PAGEREF _Toc1747328 \h </w:instrText>
            </w:r>
            <w:r w:rsidR="007D5C30">
              <w:rPr>
                <w:noProof/>
                <w:webHidden/>
              </w:rPr>
            </w:r>
            <w:r w:rsidR="007D5C30">
              <w:rPr>
                <w:noProof/>
                <w:webHidden/>
              </w:rPr>
              <w:fldChar w:fldCharType="separate"/>
            </w:r>
            <w:r w:rsidR="008A2AC2">
              <w:rPr>
                <w:noProof/>
                <w:webHidden/>
              </w:rPr>
              <w:t>136</w:t>
            </w:r>
            <w:r w:rsidR="007D5C30">
              <w:rPr>
                <w:noProof/>
                <w:webHidden/>
              </w:rPr>
              <w:fldChar w:fldCharType="end"/>
            </w:r>
          </w:hyperlink>
        </w:p>
        <w:p w14:paraId="1CEAB040" w14:textId="77777777" w:rsidR="007D5C30" w:rsidRDefault="00EE2A70">
          <w:pPr>
            <w:pStyle w:val="TOC3"/>
            <w:tabs>
              <w:tab w:val="right" w:leader="dot" w:pos="10456"/>
            </w:tabs>
            <w:rPr>
              <w:noProof/>
            </w:rPr>
          </w:pPr>
          <w:hyperlink w:anchor="_Toc1747329" w:history="1">
            <w:r w:rsidR="007D5C30" w:rsidRPr="008C2D9C">
              <w:rPr>
                <w:rStyle w:val="Hyperlink"/>
                <w:noProof/>
              </w:rPr>
              <w:t>Epidemiological situation in 2015</w:t>
            </w:r>
            <w:r w:rsidR="007D5C30">
              <w:rPr>
                <w:noProof/>
                <w:webHidden/>
              </w:rPr>
              <w:tab/>
            </w:r>
            <w:r w:rsidR="007D5C30">
              <w:rPr>
                <w:noProof/>
                <w:webHidden/>
              </w:rPr>
              <w:fldChar w:fldCharType="begin"/>
            </w:r>
            <w:r w:rsidR="007D5C30">
              <w:rPr>
                <w:noProof/>
                <w:webHidden/>
              </w:rPr>
              <w:instrText xml:space="preserve"> PAGEREF _Toc1747329 \h </w:instrText>
            </w:r>
            <w:r w:rsidR="007D5C30">
              <w:rPr>
                <w:noProof/>
                <w:webHidden/>
              </w:rPr>
            </w:r>
            <w:r w:rsidR="007D5C30">
              <w:rPr>
                <w:noProof/>
                <w:webHidden/>
              </w:rPr>
              <w:fldChar w:fldCharType="separate"/>
            </w:r>
            <w:r w:rsidR="008A2AC2">
              <w:rPr>
                <w:noProof/>
                <w:webHidden/>
              </w:rPr>
              <w:t>137</w:t>
            </w:r>
            <w:r w:rsidR="007D5C30">
              <w:rPr>
                <w:noProof/>
                <w:webHidden/>
              </w:rPr>
              <w:fldChar w:fldCharType="end"/>
            </w:r>
          </w:hyperlink>
        </w:p>
        <w:p w14:paraId="72784FE4" w14:textId="77777777" w:rsidR="007D5C30" w:rsidRDefault="00EE2A70">
          <w:pPr>
            <w:pStyle w:val="TOC3"/>
            <w:tabs>
              <w:tab w:val="right" w:leader="dot" w:pos="10456"/>
            </w:tabs>
            <w:rPr>
              <w:noProof/>
            </w:rPr>
          </w:pPr>
          <w:hyperlink w:anchor="_Toc1747330" w:history="1">
            <w:r w:rsidR="007D5C30" w:rsidRPr="008C2D9C">
              <w:rPr>
                <w:rStyle w:val="Hyperlink"/>
                <w:noProof/>
              </w:rPr>
              <w:t>Age and sex distribution</w:t>
            </w:r>
            <w:r w:rsidR="007D5C30">
              <w:rPr>
                <w:noProof/>
                <w:webHidden/>
              </w:rPr>
              <w:tab/>
            </w:r>
            <w:r w:rsidR="007D5C30">
              <w:rPr>
                <w:noProof/>
                <w:webHidden/>
              </w:rPr>
              <w:fldChar w:fldCharType="begin"/>
            </w:r>
            <w:r w:rsidR="007D5C30">
              <w:rPr>
                <w:noProof/>
                <w:webHidden/>
              </w:rPr>
              <w:instrText xml:space="preserve"> PAGEREF _Toc1747330 \h </w:instrText>
            </w:r>
            <w:r w:rsidR="007D5C30">
              <w:rPr>
                <w:noProof/>
                <w:webHidden/>
              </w:rPr>
            </w:r>
            <w:r w:rsidR="007D5C30">
              <w:rPr>
                <w:noProof/>
                <w:webHidden/>
              </w:rPr>
              <w:fldChar w:fldCharType="separate"/>
            </w:r>
            <w:r w:rsidR="008A2AC2">
              <w:rPr>
                <w:noProof/>
                <w:webHidden/>
              </w:rPr>
              <w:t>137</w:t>
            </w:r>
            <w:r w:rsidR="007D5C30">
              <w:rPr>
                <w:noProof/>
                <w:webHidden/>
              </w:rPr>
              <w:fldChar w:fldCharType="end"/>
            </w:r>
          </w:hyperlink>
        </w:p>
        <w:p w14:paraId="0C9DCEB6" w14:textId="77777777" w:rsidR="007D5C30" w:rsidRDefault="00EE2A70">
          <w:pPr>
            <w:pStyle w:val="TOC3"/>
            <w:tabs>
              <w:tab w:val="right" w:leader="dot" w:pos="10456"/>
            </w:tabs>
            <w:rPr>
              <w:noProof/>
            </w:rPr>
          </w:pPr>
          <w:hyperlink w:anchor="_Toc1747331" w:history="1">
            <w:r w:rsidR="007D5C30" w:rsidRPr="008C2D9C">
              <w:rPr>
                <w:rStyle w:val="Hyperlink"/>
                <w:noProof/>
              </w:rPr>
              <w:t>Immunisation status</w:t>
            </w:r>
            <w:r w:rsidR="007D5C30">
              <w:rPr>
                <w:noProof/>
                <w:webHidden/>
              </w:rPr>
              <w:tab/>
            </w:r>
            <w:r w:rsidR="007D5C30">
              <w:rPr>
                <w:noProof/>
                <w:webHidden/>
              </w:rPr>
              <w:fldChar w:fldCharType="begin"/>
            </w:r>
            <w:r w:rsidR="007D5C30">
              <w:rPr>
                <w:noProof/>
                <w:webHidden/>
              </w:rPr>
              <w:instrText xml:space="preserve"> PAGEREF _Toc1747331 \h </w:instrText>
            </w:r>
            <w:r w:rsidR="007D5C30">
              <w:rPr>
                <w:noProof/>
                <w:webHidden/>
              </w:rPr>
            </w:r>
            <w:r w:rsidR="007D5C30">
              <w:rPr>
                <w:noProof/>
                <w:webHidden/>
              </w:rPr>
              <w:fldChar w:fldCharType="separate"/>
            </w:r>
            <w:r w:rsidR="008A2AC2">
              <w:rPr>
                <w:noProof/>
                <w:webHidden/>
              </w:rPr>
              <w:t>139</w:t>
            </w:r>
            <w:r w:rsidR="007D5C30">
              <w:rPr>
                <w:noProof/>
                <w:webHidden/>
              </w:rPr>
              <w:fldChar w:fldCharType="end"/>
            </w:r>
          </w:hyperlink>
        </w:p>
        <w:p w14:paraId="1D0FD524" w14:textId="77777777" w:rsidR="007D5C30" w:rsidRDefault="00EE2A70">
          <w:pPr>
            <w:pStyle w:val="TOC3"/>
            <w:tabs>
              <w:tab w:val="right" w:leader="dot" w:pos="10456"/>
            </w:tabs>
            <w:rPr>
              <w:noProof/>
            </w:rPr>
          </w:pPr>
          <w:hyperlink w:anchor="_Toc1747332" w:history="1">
            <w:r w:rsidR="007D5C30" w:rsidRPr="008C2D9C">
              <w:rPr>
                <w:rStyle w:val="Hyperlink"/>
                <w:noProof/>
              </w:rPr>
              <w:t>Discussion</w:t>
            </w:r>
            <w:r w:rsidR="007D5C30">
              <w:rPr>
                <w:noProof/>
                <w:webHidden/>
              </w:rPr>
              <w:tab/>
            </w:r>
            <w:r w:rsidR="007D5C30">
              <w:rPr>
                <w:noProof/>
                <w:webHidden/>
              </w:rPr>
              <w:fldChar w:fldCharType="begin"/>
            </w:r>
            <w:r w:rsidR="007D5C30">
              <w:rPr>
                <w:noProof/>
                <w:webHidden/>
              </w:rPr>
              <w:instrText xml:space="preserve"> PAGEREF _Toc1747332 \h </w:instrText>
            </w:r>
            <w:r w:rsidR="007D5C30">
              <w:rPr>
                <w:noProof/>
                <w:webHidden/>
              </w:rPr>
            </w:r>
            <w:r w:rsidR="007D5C30">
              <w:rPr>
                <w:noProof/>
                <w:webHidden/>
              </w:rPr>
              <w:fldChar w:fldCharType="separate"/>
            </w:r>
            <w:r w:rsidR="008A2AC2">
              <w:rPr>
                <w:noProof/>
                <w:webHidden/>
              </w:rPr>
              <w:t>139</w:t>
            </w:r>
            <w:r w:rsidR="007D5C30">
              <w:rPr>
                <w:noProof/>
                <w:webHidden/>
              </w:rPr>
              <w:fldChar w:fldCharType="end"/>
            </w:r>
          </w:hyperlink>
        </w:p>
        <w:p w14:paraId="03708253" w14:textId="77777777" w:rsidR="007D5C30" w:rsidRDefault="00EE2A70">
          <w:pPr>
            <w:pStyle w:val="TOC2"/>
            <w:tabs>
              <w:tab w:val="right" w:leader="dot" w:pos="10456"/>
            </w:tabs>
            <w:rPr>
              <w:b w:val="0"/>
              <w:noProof/>
            </w:rPr>
          </w:pPr>
          <w:hyperlink w:anchor="_Toc1747333" w:history="1">
            <w:r w:rsidR="007D5C30" w:rsidRPr="008C2D9C">
              <w:rPr>
                <w:rStyle w:val="Hyperlink"/>
                <w:noProof/>
              </w:rPr>
              <w:t>Tetanus</w:t>
            </w:r>
            <w:r w:rsidR="007D5C30">
              <w:rPr>
                <w:noProof/>
                <w:webHidden/>
              </w:rPr>
              <w:tab/>
            </w:r>
            <w:r w:rsidR="007D5C30">
              <w:rPr>
                <w:noProof/>
                <w:webHidden/>
              </w:rPr>
              <w:fldChar w:fldCharType="begin"/>
            </w:r>
            <w:r w:rsidR="007D5C30">
              <w:rPr>
                <w:noProof/>
                <w:webHidden/>
              </w:rPr>
              <w:instrText xml:space="preserve"> PAGEREF _Toc1747333 \h </w:instrText>
            </w:r>
            <w:r w:rsidR="007D5C30">
              <w:rPr>
                <w:noProof/>
                <w:webHidden/>
              </w:rPr>
            </w:r>
            <w:r w:rsidR="007D5C30">
              <w:rPr>
                <w:noProof/>
                <w:webHidden/>
              </w:rPr>
              <w:fldChar w:fldCharType="separate"/>
            </w:r>
            <w:r w:rsidR="008A2AC2">
              <w:rPr>
                <w:noProof/>
                <w:webHidden/>
              </w:rPr>
              <w:t>140</w:t>
            </w:r>
            <w:r w:rsidR="007D5C30">
              <w:rPr>
                <w:noProof/>
                <w:webHidden/>
              </w:rPr>
              <w:fldChar w:fldCharType="end"/>
            </w:r>
          </w:hyperlink>
        </w:p>
        <w:p w14:paraId="0E445F21" w14:textId="77777777" w:rsidR="007D5C30" w:rsidRDefault="00EE2A70">
          <w:pPr>
            <w:pStyle w:val="TOC3"/>
            <w:tabs>
              <w:tab w:val="right" w:leader="dot" w:pos="10456"/>
            </w:tabs>
            <w:rPr>
              <w:noProof/>
            </w:rPr>
          </w:pPr>
          <w:hyperlink w:anchor="_Toc1747334" w:history="1">
            <w:r w:rsidR="007D5C30" w:rsidRPr="008C2D9C">
              <w:rPr>
                <w:rStyle w:val="Hyperlink"/>
                <w:noProof/>
              </w:rPr>
              <w:t>Epidemiological situation in 2015</w:t>
            </w:r>
            <w:r w:rsidR="007D5C30">
              <w:rPr>
                <w:noProof/>
                <w:webHidden/>
              </w:rPr>
              <w:tab/>
            </w:r>
            <w:r w:rsidR="007D5C30">
              <w:rPr>
                <w:noProof/>
                <w:webHidden/>
              </w:rPr>
              <w:fldChar w:fldCharType="begin"/>
            </w:r>
            <w:r w:rsidR="007D5C30">
              <w:rPr>
                <w:noProof/>
                <w:webHidden/>
              </w:rPr>
              <w:instrText xml:space="preserve"> PAGEREF _Toc1747334 \h </w:instrText>
            </w:r>
            <w:r w:rsidR="007D5C30">
              <w:rPr>
                <w:noProof/>
                <w:webHidden/>
              </w:rPr>
            </w:r>
            <w:r w:rsidR="007D5C30">
              <w:rPr>
                <w:noProof/>
                <w:webHidden/>
              </w:rPr>
              <w:fldChar w:fldCharType="separate"/>
            </w:r>
            <w:r w:rsidR="008A2AC2">
              <w:rPr>
                <w:noProof/>
                <w:webHidden/>
              </w:rPr>
              <w:t>140</w:t>
            </w:r>
            <w:r w:rsidR="007D5C30">
              <w:rPr>
                <w:noProof/>
                <w:webHidden/>
              </w:rPr>
              <w:fldChar w:fldCharType="end"/>
            </w:r>
          </w:hyperlink>
        </w:p>
        <w:p w14:paraId="70023892" w14:textId="77777777" w:rsidR="007D5C30" w:rsidRDefault="00EE2A70">
          <w:pPr>
            <w:pStyle w:val="TOC3"/>
            <w:tabs>
              <w:tab w:val="right" w:leader="dot" w:pos="10456"/>
            </w:tabs>
            <w:rPr>
              <w:noProof/>
            </w:rPr>
          </w:pPr>
          <w:hyperlink w:anchor="_Toc1747335" w:history="1">
            <w:r w:rsidR="007D5C30" w:rsidRPr="008C2D9C">
              <w:rPr>
                <w:rStyle w:val="Hyperlink"/>
                <w:noProof/>
              </w:rPr>
              <w:t>Immunisation status</w:t>
            </w:r>
            <w:r w:rsidR="007D5C30">
              <w:rPr>
                <w:noProof/>
                <w:webHidden/>
              </w:rPr>
              <w:tab/>
            </w:r>
            <w:r w:rsidR="007D5C30">
              <w:rPr>
                <w:noProof/>
                <w:webHidden/>
              </w:rPr>
              <w:fldChar w:fldCharType="begin"/>
            </w:r>
            <w:r w:rsidR="007D5C30">
              <w:rPr>
                <w:noProof/>
                <w:webHidden/>
              </w:rPr>
              <w:instrText xml:space="preserve"> PAGEREF _Toc1747335 \h </w:instrText>
            </w:r>
            <w:r w:rsidR="007D5C30">
              <w:rPr>
                <w:noProof/>
                <w:webHidden/>
              </w:rPr>
            </w:r>
            <w:r w:rsidR="007D5C30">
              <w:rPr>
                <w:noProof/>
                <w:webHidden/>
              </w:rPr>
              <w:fldChar w:fldCharType="separate"/>
            </w:r>
            <w:r w:rsidR="008A2AC2">
              <w:rPr>
                <w:noProof/>
                <w:webHidden/>
              </w:rPr>
              <w:t>141</w:t>
            </w:r>
            <w:r w:rsidR="007D5C30">
              <w:rPr>
                <w:noProof/>
                <w:webHidden/>
              </w:rPr>
              <w:fldChar w:fldCharType="end"/>
            </w:r>
          </w:hyperlink>
        </w:p>
        <w:p w14:paraId="20413319" w14:textId="77777777" w:rsidR="007D5C30" w:rsidRDefault="00EE2A70">
          <w:pPr>
            <w:pStyle w:val="TOC2"/>
            <w:tabs>
              <w:tab w:val="right" w:leader="dot" w:pos="10456"/>
            </w:tabs>
            <w:rPr>
              <w:b w:val="0"/>
              <w:noProof/>
            </w:rPr>
          </w:pPr>
          <w:hyperlink w:anchor="_Toc1747336" w:history="1">
            <w:r w:rsidR="007D5C30" w:rsidRPr="008C2D9C">
              <w:rPr>
                <w:rStyle w:val="Hyperlink"/>
                <w:noProof/>
              </w:rPr>
              <w:t>Varicella zoster virus</w:t>
            </w:r>
            <w:r w:rsidR="007D5C30">
              <w:rPr>
                <w:noProof/>
                <w:webHidden/>
              </w:rPr>
              <w:tab/>
            </w:r>
            <w:r w:rsidR="007D5C30">
              <w:rPr>
                <w:noProof/>
                <w:webHidden/>
              </w:rPr>
              <w:fldChar w:fldCharType="begin"/>
            </w:r>
            <w:r w:rsidR="007D5C30">
              <w:rPr>
                <w:noProof/>
                <w:webHidden/>
              </w:rPr>
              <w:instrText xml:space="preserve"> PAGEREF _Toc1747336 \h </w:instrText>
            </w:r>
            <w:r w:rsidR="007D5C30">
              <w:rPr>
                <w:noProof/>
                <w:webHidden/>
              </w:rPr>
            </w:r>
            <w:r w:rsidR="007D5C30">
              <w:rPr>
                <w:noProof/>
                <w:webHidden/>
              </w:rPr>
              <w:fldChar w:fldCharType="separate"/>
            </w:r>
            <w:r w:rsidR="008A2AC2">
              <w:rPr>
                <w:noProof/>
                <w:webHidden/>
              </w:rPr>
              <w:t>141</w:t>
            </w:r>
            <w:r w:rsidR="007D5C30">
              <w:rPr>
                <w:noProof/>
                <w:webHidden/>
              </w:rPr>
              <w:fldChar w:fldCharType="end"/>
            </w:r>
          </w:hyperlink>
        </w:p>
        <w:p w14:paraId="00521BE1" w14:textId="77777777" w:rsidR="007D5C30" w:rsidRDefault="00EE2A70">
          <w:pPr>
            <w:pStyle w:val="TOC3"/>
            <w:tabs>
              <w:tab w:val="right" w:leader="dot" w:pos="10456"/>
            </w:tabs>
            <w:rPr>
              <w:noProof/>
            </w:rPr>
          </w:pPr>
          <w:hyperlink w:anchor="_Toc1747337" w:history="1">
            <w:r w:rsidR="007D5C30" w:rsidRPr="008C2D9C">
              <w:rPr>
                <w:rStyle w:val="Hyperlink"/>
                <w:noProof/>
              </w:rPr>
              <w:t>Epidemiological situation in 2015</w:t>
            </w:r>
            <w:r w:rsidR="007D5C30">
              <w:rPr>
                <w:noProof/>
                <w:webHidden/>
              </w:rPr>
              <w:tab/>
            </w:r>
            <w:r w:rsidR="007D5C30">
              <w:rPr>
                <w:noProof/>
                <w:webHidden/>
              </w:rPr>
              <w:fldChar w:fldCharType="begin"/>
            </w:r>
            <w:r w:rsidR="007D5C30">
              <w:rPr>
                <w:noProof/>
                <w:webHidden/>
              </w:rPr>
              <w:instrText xml:space="preserve"> PAGEREF _Toc1747337 \h </w:instrText>
            </w:r>
            <w:r w:rsidR="007D5C30">
              <w:rPr>
                <w:noProof/>
                <w:webHidden/>
              </w:rPr>
            </w:r>
            <w:r w:rsidR="007D5C30">
              <w:rPr>
                <w:noProof/>
                <w:webHidden/>
              </w:rPr>
              <w:fldChar w:fldCharType="separate"/>
            </w:r>
            <w:r w:rsidR="008A2AC2">
              <w:rPr>
                <w:noProof/>
                <w:webHidden/>
              </w:rPr>
              <w:t>141</w:t>
            </w:r>
            <w:r w:rsidR="007D5C30">
              <w:rPr>
                <w:noProof/>
                <w:webHidden/>
              </w:rPr>
              <w:fldChar w:fldCharType="end"/>
            </w:r>
          </w:hyperlink>
        </w:p>
        <w:p w14:paraId="69043963" w14:textId="77777777" w:rsidR="007D5C30" w:rsidRDefault="00EE2A70">
          <w:pPr>
            <w:pStyle w:val="TOC2"/>
            <w:tabs>
              <w:tab w:val="right" w:leader="dot" w:pos="10456"/>
            </w:tabs>
            <w:rPr>
              <w:b w:val="0"/>
              <w:noProof/>
            </w:rPr>
          </w:pPr>
          <w:hyperlink w:anchor="_Toc1747338" w:history="1">
            <w:r w:rsidR="007D5C30" w:rsidRPr="008C2D9C">
              <w:rPr>
                <w:rStyle w:val="Hyperlink"/>
                <w:noProof/>
              </w:rPr>
              <w:t>Varicella zoster virus (unspecified)</w:t>
            </w:r>
            <w:r w:rsidR="007D5C30">
              <w:rPr>
                <w:noProof/>
                <w:webHidden/>
              </w:rPr>
              <w:tab/>
            </w:r>
            <w:r w:rsidR="007D5C30">
              <w:rPr>
                <w:noProof/>
                <w:webHidden/>
              </w:rPr>
              <w:fldChar w:fldCharType="begin"/>
            </w:r>
            <w:r w:rsidR="007D5C30">
              <w:rPr>
                <w:noProof/>
                <w:webHidden/>
              </w:rPr>
              <w:instrText xml:space="preserve"> PAGEREF _Toc1747338 \h </w:instrText>
            </w:r>
            <w:r w:rsidR="007D5C30">
              <w:rPr>
                <w:noProof/>
                <w:webHidden/>
              </w:rPr>
            </w:r>
            <w:r w:rsidR="007D5C30">
              <w:rPr>
                <w:noProof/>
                <w:webHidden/>
              </w:rPr>
              <w:fldChar w:fldCharType="separate"/>
            </w:r>
            <w:r w:rsidR="008A2AC2">
              <w:rPr>
                <w:noProof/>
                <w:webHidden/>
              </w:rPr>
              <w:t>142</w:t>
            </w:r>
            <w:r w:rsidR="007D5C30">
              <w:rPr>
                <w:noProof/>
                <w:webHidden/>
              </w:rPr>
              <w:fldChar w:fldCharType="end"/>
            </w:r>
          </w:hyperlink>
        </w:p>
        <w:p w14:paraId="621A8313" w14:textId="77777777" w:rsidR="007D5C30" w:rsidRDefault="00EE2A70">
          <w:pPr>
            <w:pStyle w:val="TOC3"/>
            <w:tabs>
              <w:tab w:val="right" w:leader="dot" w:pos="10456"/>
            </w:tabs>
            <w:rPr>
              <w:noProof/>
            </w:rPr>
          </w:pPr>
          <w:hyperlink w:anchor="_Toc1747339" w:history="1">
            <w:r w:rsidR="007D5C30" w:rsidRPr="008C2D9C">
              <w:rPr>
                <w:rStyle w:val="Hyperlink"/>
                <w:noProof/>
              </w:rPr>
              <w:t>Epidemiological situation in 2015</w:t>
            </w:r>
            <w:r w:rsidR="007D5C30">
              <w:rPr>
                <w:noProof/>
                <w:webHidden/>
              </w:rPr>
              <w:tab/>
            </w:r>
            <w:r w:rsidR="007D5C30">
              <w:rPr>
                <w:noProof/>
                <w:webHidden/>
              </w:rPr>
              <w:fldChar w:fldCharType="begin"/>
            </w:r>
            <w:r w:rsidR="007D5C30">
              <w:rPr>
                <w:noProof/>
                <w:webHidden/>
              </w:rPr>
              <w:instrText xml:space="preserve"> PAGEREF _Toc1747339 \h </w:instrText>
            </w:r>
            <w:r w:rsidR="007D5C30">
              <w:rPr>
                <w:noProof/>
                <w:webHidden/>
              </w:rPr>
            </w:r>
            <w:r w:rsidR="007D5C30">
              <w:rPr>
                <w:noProof/>
                <w:webHidden/>
              </w:rPr>
              <w:fldChar w:fldCharType="separate"/>
            </w:r>
            <w:r w:rsidR="008A2AC2">
              <w:rPr>
                <w:noProof/>
                <w:webHidden/>
              </w:rPr>
              <w:t>142</w:t>
            </w:r>
            <w:r w:rsidR="007D5C30">
              <w:rPr>
                <w:noProof/>
                <w:webHidden/>
              </w:rPr>
              <w:fldChar w:fldCharType="end"/>
            </w:r>
          </w:hyperlink>
        </w:p>
        <w:p w14:paraId="2E235EA6" w14:textId="77777777" w:rsidR="007D5C30" w:rsidRDefault="00EE2A70">
          <w:pPr>
            <w:pStyle w:val="TOC3"/>
            <w:tabs>
              <w:tab w:val="right" w:leader="dot" w:pos="10456"/>
            </w:tabs>
            <w:rPr>
              <w:noProof/>
            </w:rPr>
          </w:pPr>
          <w:hyperlink w:anchor="_Toc1747340" w:history="1">
            <w:r w:rsidR="007D5C30" w:rsidRPr="008C2D9C">
              <w:rPr>
                <w:rStyle w:val="Hyperlink"/>
                <w:noProof/>
              </w:rPr>
              <w:t>Age and sex distribution</w:t>
            </w:r>
            <w:r w:rsidR="007D5C30">
              <w:rPr>
                <w:noProof/>
                <w:webHidden/>
              </w:rPr>
              <w:tab/>
            </w:r>
            <w:r w:rsidR="007D5C30">
              <w:rPr>
                <w:noProof/>
                <w:webHidden/>
              </w:rPr>
              <w:fldChar w:fldCharType="begin"/>
            </w:r>
            <w:r w:rsidR="007D5C30">
              <w:rPr>
                <w:noProof/>
                <w:webHidden/>
              </w:rPr>
              <w:instrText xml:space="preserve"> PAGEREF _Toc1747340 \h </w:instrText>
            </w:r>
            <w:r w:rsidR="007D5C30">
              <w:rPr>
                <w:noProof/>
                <w:webHidden/>
              </w:rPr>
            </w:r>
            <w:r w:rsidR="007D5C30">
              <w:rPr>
                <w:noProof/>
                <w:webHidden/>
              </w:rPr>
              <w:fldChar w:fldCharType="separate"/>
            </w:r>
            <w:r w:rsidR="008A2AC2">
              <w:rPr>
                <w:noProof/>
                <w:webHidden/>
              </w:rPr>
              <w:t>142</w:t>
            </w:r>
            <w:r w:rsidR="007D5C30">
              <w:rPr>
                <w:noProof/>
                <w:webHidden/>
              </w:rPr>
              <w:fldChar w:fldCharType="end"/>
            </w:r>
          </w:hyperlink>
        </w:p>
        <w:p w14:paraId="1DF2CB9E" w14:textId="77777777" w:rsidR="007D5C30" w:rsidRDefault="00EE2A70">
          <w:pPr>
            <w:pStyle w:val="TOC2"/>
            <w:tabs>
              <w:tab w:val="right" w:leader="dot" w:pos="10456"/>
            </w:tabs>
            <w:rPr>
              <w:b w:val="0"/>
              <w:noProof/>
            </w:rPr>
          </w:pPr>
          <w:hyperlink w:anchor="_Toc1747341" w:history="1">
            <w:r w:rsidR="007D5C30" w:rsidRPr="008C2D9C">
              <w:rPr>
                <w:rStyle w:val="Hyperlink"/>
                <w:noProof/>
              </w:rPr>
              <w:t>Chickenpox</w:t>
            </w:r>
            <w:r w:rsidR="007D5C30">
              <w:rPr>
                <w:noProof/>
                <w:webHidden/>
              </w:rPr>
              <w:tab/>
            </w:r>
            <w:r w:rsidR="007D5C30">
              <w:rPr>
                <w:noProof/>
                <w:webHidden/>
              </w:rPr>
              <w:fldChar w:fldCharType="begin"/>
            </w:r>
            <w:r w:rsidR="007D5C30">
              <w:rPr>
                <w:noProof/>
                <w:webHidden/>
              </w:rPr>
              <w:instrText xml:space="preserve"> PAGEREF _Toc1747341 \h </w:instrText>
            </w:r>
            <w:r w:rsidR="007D5C30">
              <w:rPr>
                <w:noProof/>
                <w:webHidden/>
              </w:rPr>
            </w:r>
            <w:r w:rsidR="007D5C30">
              <w:rPr>
                <w:noProof/>
                <w:webHidden/>
              </w:rPr>
              <w:fldChar w:fldCharType="separate"/>
            </w:r>
            <w:r w:rsidR="008A2AC2">
              <w:rPr>
                <w:noProof/>
                <w:webHidden/>
              </w:rPr>
              <w:t>143</w:t>
            </w:r>
            <w:r w:rsidR="007D5C30">
              <w:rPr>
                <w:noProof/>
                <w:webHidden/>
              </w:rPr>
              <w:fldChar w:fldCharType="end"/>
            </w:r>
          </w:hyperlink>
        </w:p>
        <w:p w14:paraId="067A208D" w14:textId="77777777" w:rsidR="007D5C30" w:rsidRDefault="00EE2A70">
          <w:pPr>
            <w:pStyle w:val="TOC3"/>
            <w:tabs>
              <w:tab w:val="right" w:leader="dot" w:pos="10456"/>
            </w:tabs>
            <w:rPr>
              <w:noProof/>
            </w:rPr>
          </w:pPr>
          <w:hyperlink w:anchor="_Toc1747342" w:history="1">
            <w:r w:rsidR="007D5C30" w:rsidRPr="008C2D9C">
              <w:rPr>
                <w:rStyle w:val="Hyperlink"/>
                <w:noProof/>
              </w:rPr>
              <w:t>Epidemiological situation in 2015</w:t>
            </w:r>
            <w:r w:rsidR="007D5C30">
              <w:rPr>
                <w:noProof/>
                <w:webHidden/>
              </w:rPr>
              <w:tab/>
            </w:r>
            <w:r w:rsidR="007D5C30">
              <w:rPr>
                <w:noProof/>
                <w:webHidden/>
              </w:rPr>
              <w:fldChar w:fldCharType="begin"/>
            </w:r>
            <w:r w:rsidR="007D5C30">
              <w:rPr>
                <w:noProof/>
                <w:webHidden/>
              </w:rPr>
              <w:instrText xml:space="preserve"> PAGEREF _Toc1747342 \h </w:instrText>
            </w:r>
            <w:r w:rsidR="007D5C30">
              <w:rPr>
                <w:noProof/>
                <w:webHidden/>
              </w:rPr>
            </w:r>
            <w:r w:rsidR="007D5C30">
              <w:rPr>
                <w:noProof/>
                <w:webHidden/>
              </w:rPr>
              <w:fldChar w:fldCharType="separate"/>
            </w:r>
            <w:r w:rsidR="008A2AC2">
              <w:rPr>
                <w:noProof/>
                <w:webHidden/>
              </w:rPr>
              <w:t>143</w:t>
            </w:r>
            <w:r w:rsidR="007D5C30">
              <w:rPr>
                <w:noProof/>
                <w:webHidden/>
              </w:rPr>
              <w:fldChar w:fldCharType="end"/>
            </w:r>
          </w:hyperlink>
        </w:p>
        <w:p w14:paraId="163F84E3" w14:textId="77777777" w:rsidR="007D5C30" w:rsidRDefault="00EE2A70">
          <w:pPr>
            <w:pStyle w:val="TOC3"/>
            <w:tabs>
              <w:tab w:val="right" w:leader="dot" w:pos="10456"/>
            </w:tabs>
            <w:rPr>
              <w:noProof/>
            </w:rPr>
          </w:pPr>
          <w:hyperlink w:anchor="_Toc1747343" w:history="1">
            <w:r w:rsidR="007D5C30" w:rsidRPr="008C2D9C">
              <w:rPr>
                <w:rStyle w:val="Hyperlink"/>
                <w:noProof/>
              </w:rPr>
              <w:t>Age and sex distribution</w:t>
            </w:r>
            <w:r w:rsidR="007D5C30">
              <w:rPr>
                <w:noProof/>
                <w:webHidden/>
              </w:rPr>
              <w:tab/>
            </w:r>
            <w:r w:rsidR="007D5C30">
              <w:rPr>
                <w:noProof/>
                <w:webHidden/>
              </w:rPr>
              <w:fldChar w:fldCharType="begin"/>
            </w:r>
            <w:r w:rsidR="007D5C30">
              <w:rPr>
                <w:noProof/>
                <w:webHidden/>
              </w:rPr>
              <w:instrText xml:space="preserve"> PAGEREF _Toc1747343 \h </w:instrText>
            </w:r>
            <w:r w:rsidR="007D5C30">
              <w:rPr>
                <w:noProof/>
                <w:webHidden/>
              </w:rPr>
            </w:r>
            <w:r w:rsidR="007D5C30">
              <w:rPr>
                <w:noProof/>
                <w:webHidden/>
              </w:rPr>
              <w:fldChar w:fldCharType="separate"/>
            </w:r>
            <w:r w:rsidR="008A2AC2">
              <w:rPr>
                <w:noProof/>
                <w:webHidden/>
              </w:rPr>
              <w:t>143</w:t>
            </w:r>
            <w:r w:rsidR="007D5C30">
              <w:rPr>
                <w:noProof/>
                <w:webHidden/>
              </w:rPr>
              <w:fldChar w:fldCharType="end"/>
            </w:r>
          </w:hyperlink>
        </w:p>
        <w:p w14:paraId="1DD9ACC4" w14:textId="77777777" w:rsidR="007D5C30" w:rsidRDefault="00EE2A70">
          <w:pPr>
            <w:pStyle w:val="TOC3"/>
            <w:tabs>
              <w:tab w:val="right" w:leader="dot" w:pos="10456"/>
            </w:tabs>
            <w:rPr>
              <w:noProof/>
            </w:rPr>
          </w:pPr>
          <w:hyperlink w:anchor="_Toc1747344" w:history="1">
            <w:r w:rsidR="007D5C30" w:rsidRPr="008C2D9C">
              <w:rPr>
                <w:rStyle w:val="Hyperlink"/>
                <w:noProof/>
              </w:rPr>
              <w:t>Immunisation</w:t>
            </w:r>
            <w:r w:rsidR="007D5C30">
              <w:rPr>
                <w:noProof/>
                <w:webHidden/>
              </w:rPr>
              <w:tab/>
            </w:r>
            <w:r w:rsidR="007D5C30">
              <w:rPr>
                <w:noProof/>
                <w:webHidden/>
              </w:rPr>
              <w:fldChar w:fldCharType="begin"/>
            </w:r>
            <w:r w:rsidR="007D5C30">
              <w:rPr>
                <w:noProof/>
                <w:webHidden/>
              </w:rPr>
              <w:instrText xml:space="preserve"> PAGEREF _Toc1747344 \h </w:instrText>
            </w:r>
            <w:r w:rsidR="007D5C30">
              <w:rPr>
                <w:noProof/>
                <w:webHidden/>
              </w:rPr>
            </w:r>
            <w:r w:rsidR="007D5C30">
              <w:rPr>
                <w:noProof/>
                <w:webHidden/>
              </w:rPr>
              <w:fldChar w:fldCharType="separate"/>
            </w:r>
            <w:r w:rsidR="008A2AC2">
              <w:rPr>
                <w:noProof/>
                <w:webHidden/>
              </w:rPr>
              <w:t>145</w:t>
            </w:r>
            <w:r w:rsidR="007D5C30">
              <w:rPr>
                <w:noProof/>
                <w:webHidden/>
              </w:rPr>
              <w:fldChar w:fldCharType="end"/>
            </w:r>
          </w:hyperlink>
        </w:p>
        <w:p w14:paraId="42C5ACCD" w14:textId="77777777" w:rsidR="007D5C30" w:rsidRDefault="00EE2A70">
          <w:pPr>
            <w:pStyle w:val="TOC2"/>
            <w:tabs>
              <w:tab w:val="right" w:leader="dot" w:pos="10456"/>
            </w:tabs>
            <w:rPr>
              <w:b w:val="0"/>
              <w:noProof/>
            </w:rPr>
          </w:pPr>
          <w:hyperlink w:anchor="_Toc1747345" w:history="1">
            <w:r w:rsidR="007D5C30" w:rsidRPr="008C2D9C">
              <w:rPr>
                <w:rStyle w:val="Hyperlink"/>
                <w:noProof/>
              </w:rPr>
              <w:t>Shingles</w:t>
            </w:r>
            <w:r w:rsidR="007D5C30">
              <w:rPr>
                <w:noProof/>
                <w:webHidden/>
              </w:rPr>
              <w:tab/>
            </w:r>
            <w:r w:rsidR="007D5C30">
              <w:rPr>
                <w:noProof/>
                <w:webHidden/>
              </w:rPr>
              <w:fldChar w:fldCharType="begin"/>
            </w:r>
            <w:r w:rsidR="007D5C30">
              <w:rPr>
                <w:noProof/>
                <w:webHidden/>
              </w:rPr>
              <w:instrText xml:space="preserve"> PAGEREF _Toc1747345 \h </w:instrText>
            </w:r>
            <w:r w:rsidR="007D5C30">
              <w:rPr>
                <w:noProof/>
                <w:webHidden/>
              </w:rPr>
            </w:r>
            <w:r w:rsidR="007D5C30">
              <w:rPr>
                <w:noProof/>
                <w:webHidden/>
              </w:rPr>
              <w:fldChar w:fldCharType="separate"/>
            </w:r>
            <w:r w:rsidR="008A2AC2">
              <w:rPr>
                <w:noProof/>
                <w:webHidden/>
              </w:rPr>
              <w:t>145</w:t>
            </w:r>
            <w:r w:rsidR="007D5C30">
              <w:rPr>
                <w:noProof/>
                <w:webHidden/>
              </w:rPr>
              <w:fldChar w:fldCharType="end"/>
            </w:r>
          </w:hyperlink>
        </w:p>
        <w:p w14:paraId="348306E5" w14:textId="77777777" w:rsidR="007D5C30" w:rsidRDefault="00EE2A70">
          <w:pPr>
            <w:pStyle w:val="TOC3"/>
            <w:tabs>
              <w:tab w:val="right" w:leader="dot" w:pos="10456"/>
            </w:tabs>
            <w:rPr>
              <w:noProof/>
            </w:rPr>
          </w:pPr>
          <w:hyperlink w:anchor="_Toc1747346" w:history="1">
            <w:r w:rsidR="007D5C30" w:rsidRPr="008C2D9C">
              <w:rPr>
                <w:rStyle w:val="Hyperlink"/>
                <w:noProof/>
              </w:rPr>
              <w:t>Epidemiological situation in 2015</w:t>
            </w:r>
            <w:r w:rsidR="007D5C30">
              <w:rPr>
                <w:noProof/>
                <w:webHidden/>
              </w:rPr>
              <w:tab/>
            </w:r>
            <w:r w:rsidR="007D5C30">
              <w:rPr>
                <w:noProof/>
                <w:webHidden/>
              </w:rPr>
              <w:fldChar w:fldCharType="begin"/>
            </w:r>
            <w:r w:rsidR="007D5C30">
              <w:rPr>
                <w:noProof/>
                <w:webHidden/>
              </w:rPr>
              <w:instrText xml:space="preserve"> PAGEREF _Toc1747346 \h </w:instrText>
            </w:r>
            <w:r w:rsidR="007D5C30">
              <w:rPr>
                <w:noProof/>
                <w:webHidden/>
              </w:rPr>
            </w:r>
            <w:r w:rsidR="007D5C30">
              <w:rPr>
                <w:noProof/>
                <w:webHidden/>
              </w:rPr>
              <w:fldChar w:fldCharType="separate"/>
            </w:r>
            <w:r w:rsidR="008A2AC2">
              <w:rPr>
                <w:noProof/>
                <w:webHidden/>
              </w:rPr>
              <w:t>146</w:t>
            </w:r>
            <w:r w:rsidR="007D5C30">
              <w:rPr>
                <w:noProof/>
                <w:webHidden/>
              </w:rPr>
              <w:fldChar w:fldCharType="end"/>
            </w:r>
          </w:hyperlink>
        </w:p>
        <w:p w14:paraId="21AC518A" w14:textId="77777777" w:rsidR="007D5C30" w:rsidRDefault="00EE2A70">
          <w:pPr>
            <w:pStyle w:val="TOC3"/>
            <w:tabs>
              <w:tab w:val="right" w:leader="dot" w:pos="10456"/>
            </w:tabs>
            <w:rPr>
              <w:noProof/>
            </w:rPr>
          </w:pPr>
          <w:hyperlink w:anchor="_Toc1747347" w:history="1">
            <w:r w:rsidR="007D5C30" w:rsidRPr="008C2D9C">
              <w:rPr>
                <w:rStyle w:val="Hyperlink"/>
                <w:noProof/>
              </w:rPr>
              <w:t>Age and sex distribution</w:t>
            </w:r>
            <w:r w:rsidR="007D5C30">
              <w:rPr>
                <w:noProof/>
                <w:webHidden/>
              </w:rPr>
              <w:tab/>
            </w:r>
            <w:r w:rsidR="007D5C30">
              <w:rPr>
                <w:noProof/>
                <w:webHidden/>
              </w:rPr>
              <w:fldChar w:fldCharType="begin"/>
            </w:r>
            <w:r w:rsidR="007D5C30">
              <w:rPr>
                <w:noProof/>
                <w:webHidden/>
              </w:rPr>
              <w:instrText xml:space="preserve"> PAGEREF _Toc1747347 \h </w:instrText>
            </w:r>
            <w:r w:rsidR="007D5C30">
              <w:rPr>
                <w:noProof/>
                <w:webHidden/>
              </w:rPr>
            </w:r>
            <w:r w:rsidR="007D5C30">
              <w:rPr>
                <w:noProof/>
                <w:webHidden/>
              </w:rPr>
              <w:fldChar w:fldCharType="separate"/>
            </w:r>
            <w:r w:rsidR="008A2AC2">
              <w:rPr>
                <w:noProof/>
                <w:webHidden/>
              </w:rPr>
              <w:t>146</w:t>
            </w:r>
            <w:r w:rsidR="007D5C30">
              <w:rPr>
                <w:noProof/>
                <w:webHidden/>
              </w:rPr>
              <w:fldChar w:fldCharType="end"/>
            </w:r>
          </w:hyperlink>
        </w:p>
        <w:p w14:paraId="6AC0E682" w14:textId="77777777" w:rsidR="007D5C30" w:rsidRDefault="00EE2A70">
          <w:pPr>
            <w:pStyle w:val="TOC1"/>
            <w:tabs>
              <w:tab w:val="right" w:leader="dot" w:pos="10456"/>
            </w:tabs>
            <w:rPr>
              <w:b w:val="0"/>
              <w:caps w:val="0"/>
              <w:noProof/>
            </w:rPr>
          </w:pPr>
          <w:hyperlink w:anchor="_Toc1747348" w:history="1">
            <w:r w:rsidR="007D5C30" w:rsidRPr="008C2D9C">
              <w:rPr>
                <w:rStyle w:val="Hyperlink"/>
                <w:noProof/>
              </w:rPr>
              <w:t>Vectorborne diseases</w:t>
            </w:r>
            <w:r w:rsidR="007D5C30">
              <w:rPr>
                <w:noProof/>
                <w:webHidden/>
              </w:rPr>
              <w:tab/>
            </w:r>
            <w:r w:rsidR="007D5C30">
              <w:rPr>
                <w:noProof/>
                <w:webHidden/>
              </w:rPr>
              <w:fldChar w:fldCharType="begin"/>
            </w:r>
            <w:r w:rsidR="007D5C30">
              <w:rPr>
                <w:noProof/>
                <w:webHidden/>
              </w:rPr>
              <w:instrText xml:space="preserve"> PAGEREF _Toc1747348 \h </w:instrText>
            </w:r>
            <w:r w:rsidR="007D5C30">
              <w:rPr>
                <w:noProof/>
                <w:webHidden/>
              </w:rPr>
            </w:r>
            <w:r w:rsidR="007D5C30">
              <w:rPr>
                <w:noProof/>
                <w:webHidden/>
              </w:rPr>
              <w:fldChar w:fldCharType="separate"/>
            </w:r>
            <w:r w:rsidR="008A2AC2">
              <w:rPr>
                <w:noProof/>
                <w:webHidden/>
              </w:rPr>
              <w:t>147</w:t>
            </w:r>
            <w:r w:rsidR="007D5C30">
              <w:rPr>
                <w:noProof/>
                <w:webHidden/>
              </w:rPr>
              <w:fldChar w:fldCharType="end"/>
            </w:r>
          </w:hyperlink>
        </w:p>
        <w:p w14:paraId="0557FF18" w14:textId="77777777" w:rsidR="007D5C30" w:rsidRDefault="00EE2A70">
          <w:pPr>
            <w:pStyle w:val="TOC2"/>
            <w:tabs>
              <w:tab w:val="right" w:leader="dot" w:pos="10456"/>
            </w:tabs>
            <w:rPr>
              <w:b w:val="0"/>
              <w:noProof/>
            </w:rPr>
          </w:pPr>
          <w:hyperlink w:anchor="_Toc1747349" w:history="1">
            <w:r w:rsidR="007D5C30" w:rsidRPr="008C2D9C">
              <w:rPr>
                <w:rStyle w:val="Hyperlink"/>
                <w:noProof/>
              </w:rPr>
              <w:t>Barmah Forest virus</w:t>
            </w:r>
            <w:r w:rsidR="007D5C30">
              <w:rPr>
                <w:noProof/>
                <w:webHidden/>
              </w:rPr>
              <w:tab/>
            </w:r>
            <w:r w:rsidR="007D5C30">
              <w:rPr>
                <w:noProof/>
                <w:webHidden/>
              </w:rPr>
              <w:fldChar w:fldCharType="begin"/>
            </w:r>
            <w:r w:rsidR="007D5C30">
              <w:rPr>
                <w:noProof/>
                <w:webHidden/>
              </w:rPr>
              <w:instrText xml:space="preserve"> PAGEREF _Toc1747349 \h </w:instrText>
            </w:r>
            <w:r w:rsidR="007D5C30">
              <w:rPr>
                <w:noProof/>
                <w:webHidden/>
              </w:rPr>
            </w:r>
            <w:r w:rsidR="007D5C30">
              <w:rPr>
                <w:noProof/>
                <w:webHidden/>
              </w:rPr>
              <w:fldChar w:fldCharType="separate"/>
            </w:r>
            <w:r w:rsidR="008A2AC2">
              <w:rPr>
                <w:noProof/>
                <w:webHidden/>
              </w:rPr>
              <w:t>148</w:t>
            </w:r>
            <w:r w:rsidR="007D5C30">
              <w:rPr>
                <w:noProof/>
                <w:webHidden/>
              </w:rPr>
              <w:fldChar w:fldCharType="end"/>
            </w:r>
          </w:hyperlink>
        </w:p>
        <w:p w14:paraId="1BE1E47B" w14:textId="77777777" w:rsidR="007D5C30" w:rsidRDefault="00EE2A70">
          <w:pPr>
            <w:pStyle w:val="TOC3"/>
            <w:tabs>
              <w:tab w:val="right" w:leader="dot" w:pos="10456"/>
            </w:tabs>
            <w:rPr>
              <w:noProof/>
            </w:rPr>
          </w:pPr>
          <w:hyperlink w:anchor="_Toc1747350" w:history="1">
            <w:r w:rsidR="007D5C30" w:rsidRPr="008C2D9C">
              <w:rPr>
                <w:rStyle w:val="Hyperlink"/>
                <w:noProof/>
              </w:rPr>
              <w:t>Epidemiological situation in 2015</w:t>
            </w:r>
            <w:r w:rsidR="007D5C30">
              <w:rPr>
                <w:noProof/>
                <w:webHidden/>
              </w:rPr>
              <w:tab/>
            </w:r>
            <w:r w:rsidR="007D5C30">
              <w:rPr>
                <w:noProof/>
                <w:webHidden/>
              </w:rPr>
              <w:fldChar w:fldCharType="begin"/>
            </w:r>
            <w:r w:rsidR="007D5C30">
              <w:rPr>
                <w:noProof/>
                <w:webHidden/>
              </w:rPr>
              <w:instrText xml:space="preserve"> PAGEREF _Toc1747350 \h </w:instrText>
            </w:r>
            <w:r w:rsidR="007D5C30">
              <w:rPr>
                <w:noProof/>
                <w:webHidden/>
              </w:rPr>
            </w:r>
            <w:r w:rsidR="007D5C30">
              <w:rPr>
                <w:noProof/>
                <w:webHidden/>
              </w:rPr>
              <w:fldChar w:fldCharType="separate"/>
            </w:r>
            <w:r w:rsidR="008A2AC2">
              <w:rPr>
                <w:noProof/>
                <w:webHidden/>
              </w:rPr>
              <w:t>150</w:t>
            </w:r>
            <w:r w:rsidR="007D5C30">
              <w:rPr>
                <w:noProof/>
                <w:webHidden/>
              </w:rPr>
              <w:fldChar w:fldCharType="end"/>
            </w:r>
          </w:hyperlink>
        </w:p>
        <w:p w14:paraId="44071554" w14:textId="77777777" w:rsidR="007D5C30" w:rsidRDefault="00EE2A70">
          <w:pPr>
            <w:pStyle w:val="TOC3"/>
            <w:tabs>
              <w:tab w:val="right" w:leader="dot" w:pos="10456"/>
            </w:tabs>
            <w:rPr>
              <w:noProof/>
            </w:rPr>
          </w:pPr>
          <w:hyperlink w:anchor="_Toc1747351" w:history="1">
            <w:r w:rsidR="007D5C30" w:rsidRPr="008C2D9C">
              <w:rPr>
                <w:rStyle w:val="Hyperlink"/>
                <w:noProof/>
              </w:rPr>
              <w:t>Geographical distribution</w:t>
            </w:r>
            <w:r w:rsidR="007D5C30">
              <w:rPr>
                <w:noProof/>
                <w:webHidden/>
              </w:rPr>
              <w:tab/>
            </w:r>
            <w:r w:rsidR="007D5C30">
              <w:rPr>
                <w:noProof/>
                <w:webHidden/>
              </w:rPr>
              <w:fldChar w:fldCharType="begin"/>
            </w:r>
            <w:r w:rsidR="007D5C30">
              <w:rPr>
                <w:noProof/>
                <w:webHidden/>
              </w:rPr>
              <w:instrText xml:space="preserve"> PAGEREF _Toc1747351 \h </w:instrText>
            </w:r>
            <w:r w:rsidR="007D5C30">
              <w:rPr>
                <w:noProof/>
                <w:webHidden/>
              </w:rPr>
            </w:r>
            <w:r w:rsidR="007D5C30">
              <w:rPr>
                <w:noProof/>
                <w:webHidden/>
              </w:rPr>
              <w:fldChar w:fldCharType="separate"/>
            </w:r>
            <w:r w:rsidR="008A2AC2">
              <w:rPr>
                <w:noProof/>
                <w:webHidden/>
              </w:rPr>
              <w:t>150</w:t>
            </w:r>
            <w:r w:rsidR="007D5C30">
              <w:rPr>
                <w:noProof/>
                <w:webHidden/>
              </w:rPr>
              <w:fldChar w:fldCharType="end"/>
            </w:r>
          </w:hyperlink>
        </w:p>
        <w:p w14:paraId="5ECA1EC4" w14:textId="77777777" w:rsidR="007D5C30" w:rsidRDefault="00EE2A70">
          <w:pPr>
            <w:pStyle w:val="TOC3"/>
            <w:tabs>
              <w:tab w:val="right" w:leader="dot" w:pos="10456"/>
            </w:tabs>
            <w:rPr>
              <w:noProof/>
            </w:rPr>
          </w:pPr>
          <w:hyperlink w:anchor="_Toc1747352" w:history="1">
            <w:r w:rsidR="007D5C30" w:rsidRPr="008C2D9C">
              <w:rPr>
                <w:rStyle w:val="Hyperlink"/>
                <w:noProof/>
              </w:rPr>
              <w:t>Age and sex distribution</w:t>
            </w:r>
            <w:r w:rsidR="007D5C30">
              <w:rPr>
                <w:noProof/>
                <w:webHidden/>
              </w:rPr>
              <w:tab/>
            </w:r>
            <w:r w:rsidR="007D5C30">
              <w:rPr>
                <w:noProof/>
                <w:webHidden/>
              </w:rPr>
              <w:fldChar w:fldCharType="begin"/>
            </w:r>
            <w:r w:rsidR="007D5C30">
              <w:rPr>
                <w:noProof/>
                <w:webHidden/>
              </w:rPr>
              <w:instrText xml:space="preserve"> PAGEREF _Toc1747352 \h </w:instrText>
            </w:r>
            <w:r w:rsidR="007D5C30">
              <w:rPr>
                <w:noProof/>
                <w:webHidden/>
              </w:rPr>
            </w:r>
            <w:r w:rsidR="007D5C30">
              <w:rPr>
                <w:noProof/>
                <w:webHidden/>
              </w:rPr>
              <w:fldChar w:fldCharType="separate"/>
            </w:r>
            <w:r w:rsidR="008A2AC2">
              <w:rPr>
                <w:noProof/>
                <w:webHidden/>
              </w:rPr>
              <w:t>150</w:t>
            </w:r>
            <w:r w:rsidR="007D5C30">
              <w:rPr>
                <w:noProof/>
                <w:webHidden/>
              </w:rPr>
              <w:fldChar w:fldCharType="end"/>
            </w:r>
          </w:hyperlink>
        </w:p>
        <w:p w14:paraId="0B0B2A96" w14:textId="77777777" w:rsidR="007D5C30" w:rsidRDefault="00EE2A70">
          <w:pPr>
            <w:pStyle w:val="TOC3"/>
            <w:tabs>
              <w:tab w:val="right" w:leader="dot" w:pos="10456"/>
            </w:tabs>
            <w:rPr>
              <w:noProof/>
            </w:rPr>
          </w:pPr>
          <w:hyperlink w:anchor="_Toc1747353" w:history="1">
            <w:r w:rsidR="007D5C30" w:rsidRPr="008C2D9C">
              <w:rPr>
                <w:rStyle w:val="Hyperlink"/>
                <w:noProof/>
              </w:rPr>
              <w:t>Seasonality</w:t>
            </w:r>
            <w:r w:rsidR="007D5C30">
              <w:rPr>
                <w:noProof/>
                <w:webHidden/>
              </w:rPr>
              <w:tab/>
            </w:r>
            <w:r w:rsidR="007D5C30">
              <w:rPr>
                <w:noProof/>
                <w:webHidden/>
              </w:rPr>
              <w:fldChar w:fldCharType="begin"/>
            </w:r>
            <w:r w:rsidR="007D5C30">
              <w:rPr>
                <w:noProof/>
                <w:webHidden/>
              </w:rPr>
              <w:instrText xml:space="preserve"> PAGEREF _Toc1747353 \h </w:instrText>
            </w:r>
            <w:r w:rsidR="007D5C30">
              <w:rPr>
                <w:noProof/>
                <w:webHidden/>
              </w:rPr>
            </w:r>
            <w:r w:rsidR="007D5C30">
              <w:rPr>
                <w:noProof/>
                <w:webHidden/>
              </w:rPr>
              <w:fldChar w:fldCharType="separate"/>
            </w:r>
            <w:r w:rsidR="008A2AC2">
              <w:rPr>
                <w:noProof/>
                <w:webHidden/>
              </w:rPr>
              <w:t>150</w:t>
            </w:r>
            <w:r w:rsidR="007D5C30">
              <w:rPr>
                <w:noProof/>
                <w:webHidden/>
              </w:rPr>
              <w:fldChar w:fldCharType="end"/>
            </w:r>
          </w:hyperlink>
        </w:p>
        <w:p w14:paraId="466D66C0" w14:textId="77777777" w:rsidR="007D5C30" w:rsidRDefault="00EE2A70">
          <w:pPr>
            <w:pStyle w:val="TOC2"/>
            <w:tabs>
              <w:tab w:val="right" w:leader="dot" w:pos="10456"/>
            </w:tabs>
            <w:rPr>
              <w:b w:val="0"/>
              <w:noProof/>
            </w:rPr>
          </w:pPr>
          <w:hyperlink w:anchor="_Toc1747354" w:history="1">
            <w:r w:rsidR="007D5C30" w:rsidRPr="008C2D9C">
              <w:rPr>
                <w:rStyle w:val="Hyperlink"/>
                <w:noProof/>
              </w:rPr>
              <w:t>Chikungunya virus</w:t>
            </w:r>
            <w:r w:rsidR="007D5C30">
              <w:rPr>
                <w:noProof/>
                <w:webHidden/>
              </w:rPr>
              <w:tab/>
            </w:r>
            <w:r w:rsidR="007D5C30">
              <w:rPr>
                <w:noProof/>
                <w:webHidden/>
              </w:rPr>
              <w:fldChar w:fldCharType="begin"/>
            </w:r>
            <w:r w:rsidR="007D5C30">
              <w:rPr>
                <w:noProof/>
                <w:webHidden/>
              </w:rPr>
              <w:instrText xml:space="preserve"> PAGEREF _Toc1747354 \h </w:instrText>
            </w:r>
            <w:r w:rsidR="007D5C30">
              <w:rPr>
                <w:noProof/>
                <w:webHidden/>
              </w:rPr>
            </w:r>
            <w:r w:rsidR="007D5C30">
              <w:rPr>
                <w:noProof/>
                <w:webHidden/>
              </w:rPr>
              <w:fldChar w:fldCharType="separate"/>
            </w:r>
            <w:r w:rsidR="008A2AC2">
              <w:rPr>
                <w:noProof/>
                <w:webHidden/>
              </w:rPr>
              <w:t>150</w:t>
            </w:r>
            <w:r w:rsidR="007D5C30">
              <w:rPr>
                <w:noProof/>
                <w:webHidden/>
              </w:rPr>
              <w:fldChar w:fldCharType="end"/>
            </w:r>
          </w:hyperlink>
        </w:p>
        <w:p w14:paraId="6E0BBEAC" w14:textId="77777777" w:rsidR="007D5C30" w:rsidRDefault="00EE2A70">
          <w:pPr>
            <w:pStyle w:val="TOC3"/>
            <w:tabs>
              <w:tab w:val="right" w:leader="dot" w:pos="10456"/>
            </w:tabs>
            <w:rPr>
              <w:noProof/>
            </w:rPr>
          </w:pPr>
          <w:hyperlink w:anchor="_Toc1747355" w:history="1">
            <w:r w:rsidR="007D5C30" w:rsidRPr="008C2D9C">
              <w:rPr>
                <w:rStyle w:val="Hyperlink"/>
                <w:noProof/>
              </w:rPr>
              <w:t>Epidemiological situation in 2015</w:t>
            </w:r>
            <w:r w:rsidR="007D5C30">
              <w:rPr>
                <w:noProof/>
                <w:webHidden/>
              </w:rPr>
              <w:tab/>
            </w:r>
            <w:r w:rsidR="007D5C30">
              <w:rPr>
                <w:noProof/>
                <w:webHidden/>
              </w:rPr>
              <w:fldChar w:fldCharType="begin"/>
            </w:r>
            <w:r w:rsidR="007D5C30">
              <w:rPr>
                <w:noProof/>
                <w:webHidden/>
              </w:rPr>
              <w:instrText xml:space="preserve"> PAGEREF _Toc1747355 \h </w:instrText>
            </w:r>
            <w:r w:rsidR="007D5C30">
              <w:rPr>
                <w:noProof/>
                <w:webHidden/>
              </w:rPr>
            </w:r>
            <w:r w:rsidR="007D5C30">
              <w:rPr>
                <w:noProof/>
                <w:webHidden/>
              </w:rPr>
              <w:fldChar w:fldCharType="separate"/>
            </w:r>
            <w:r w:rsidR="008A2AC2">
              <w:rPr>
                <w:noProof/>
                <w:webHidden/>
              </w:rPr>
              <w:t>150</w:t>
            </w:r>
            <w:r w:rsidR="007D5C30">
              <w:rPr>
                <w:noProof/>
                <w:webHidden/>
              </w:rPr>
              <w:fldChar w:fldCharType="end"/>
            </w:r>
          </w:hyperlink>
        </w:p>
        <w:p w14:paraId="539EAE0A" w14:textId="77777777" w:rsidR="007D5C30" w:rsidRDefault="00EE2A70">
          <w:pPr>
            <w:pStyle w:val="TOC3"/>
            <w:tabs>
              <w:tab w:val="right" w:leader="dot" w:pos="10456"/>
            </w:tabs>
            <w:rPr>
              <w:noProof/>
            </w:rPr>
          </w:pPr>
          <w:hyperlink w:anchor="_Toc1747356" w:history="1">
            <w:r w:rsidR="007D5C30" w:rsidRPr="008C2D9C">
              <w:rPr>
                <w:rStyle w:val="Hyperlink"/>
                <w:noProof/>
              </w:rPr>
              <w:t>Geographical distribution</w:t>
            </w:r>
            <w:r w:rsidR="007D5C30">
              <w:rPr>
                <w:noProof/>
                <w:webHidden/>
              </w:rPr>
              <w:tab/>
            </w:r>
            <w:r w:rsidR="007D5C30">
              <w:rPr>
                <w:noProof/>
                <w:webHidden/>
              </w:rPr>
              <w:fldChar w:fldCharType="begin"/>
            </w:r>
            <w:r w:rsidR="007D5C30">
              <w:rPr>
                <w:noProof/>
                <w:webHidden/>
              </w:rPr>
              <w:instrText xml:space="preserve"> PAGEREF _Toc1747356 \h </w:instrText>
            </w:r>
            <w:r w:rsidR="007D5C30">
              <w:rPr>
                <w:noProof/>
                <w:webHidden/>
              </w:rPr>
            </w:r>
            <w:r w:rsidR="007D5C30">
              <w:rPr>
                <w:noProof/>
                <w:webHidden/>
              </w:rPr>
              <w:fldChar w:fldCharType="separate"/>
            </w:r>
            <w:r w:rsidR="008A2AC2">
              <w:rPr>
                <w:noProof/>
                <w:webHidden/>
              </w:rPr>
              <w:t>151</w:t>
            </w:r>
            <w:r w:rsidR="007D5C30">
              <w:rPr>
                <w:noProof/>
                <w:webHidden/>
              </w:rPr>
              <w:fldChar w:fldCharType="end"/>
            </w:r>
          </w:hyperlink>
        </w:p>
        <w:p w14:paraId="0987A2A8" w14:textId="77777777" w:rsidR="007D5C30" w:rsidRDefault="00EE2A70">
          <w:pPr>
            <w:pStyle w:val="TOC3"/>
            <w:tabs>
              <w:tab w:val="right" w:leader="dot" w:pos="10456"/>
            </w:tabs>
            <w:rPr>
              <w:noProof/>
            </w:rPr>
          </w:pPr>
          <w:hyperlink w:anchor="_Toc1747357" w:history="1">
            <w:r w:rsidR="007D5C30" w:rsidRPr="008C2D9C">
              <w:rPr>
                <w:rStyle w:val="Hyperlink"/>
                <w:noProof/>
              </w:rPr>
              <w:t>Age and sex distribution</w:t>
            </w:r>
            <w:r w:rsidR="007D5C30">
              <w:rPr>
                <w:noProof/>
                <w:webHidden/>
              </w:rPr>
              <w:tab/>
            </w:r>
            <w:r w:rsidR="007D5C30">
              <w:rPr>
                <w:noProof/>
                <w:webHidden/>
              </w:rPr>
              <w:fldChar w:fldCharType="begin"/>
            </w:r>
            <w:r w:rsidR="007D5C30">
              <w:rPr>
                <w:noProof/>
                <w:webHidden/>
              </w:rPr>
              <w:instrText xml:space="preserve"> PAGEREF _Toc1747357 \h </w:instrText>
            </w:r>
            <w:r w:rsidR="007D5C30">
              <w:rPr>
                <w:noProof/>
                <w:webHidden/>
              </w:rPr>
            </w:r>
            <w:r w:rsidR="007D5C30">
              <w:rPr>
                <w:noProof/>
                <w:webHidden/>
              </w:rPr>
              <w:fldChar w:fldCharType="separate"/>
            </w:r>
            <w:r w:rsidR="008A2AC2">
              <w:rPr>
                <w:noProof/>
                <w:webHidden/>
              </w:rPr>
              <w:t>153</w:t>
            </w:r>
            <w:r w:rsidR="007D5C30">
              <w:rPr>
                <w:noProof/>
                <w:webHidden/>
              </w:rPr>
              <w:fldChar w:fldCharType="end"/>
            </w:r>
          </w:hyperlink>
        </w:p>
        <w:p w14:paraId="3377C586" w14:textId="77777777" w:rsidR="007D5C30" w:rsidRDefault="00EE2A70">
          <w:pPr>
            <w:pStyle w:val="TOC3"/>
            <w:tabs>
              <w:tab w:val="right" w:leader="dot" w:pos="10456"/>
            </w:tabs>
            <w:rPr>
              <w:noProof/>
            </w:rPr>
          </w:pPr>
          <w:hyperlink w:anchor="_Toc1747358" w:history="1">
            <w:r w:rsidR="007D5C30" w:rsidRPr="008C2D9C">
              <w:rPr>
                <w:rStyle w:val="Hyperlink"/>
                <w:noProof/>
              </w:rPr>
              <w:t>Seasonality</w:t>
            </w:r>
            <w:r w:rsidR="007D5C30">
              <w:rPr>
                <w:noProof/>
                <w:webHidden/>
              </w:rPr>
              <w:tab/>
            </w:r>
            <w:r w:rsidR="007D5C30">
              <w:rPr>
                <w:noProof/>
                <w:webHidden/>
              </w:rPr>
              <w:fldChar w:fldCharType="begin"/>
            </w:r>
            <w:r w:rsidR="007D5C30">
              <w:rPr>
                <w:noProof/>
                <w:webHidden/>
              </w:rPr>
              <w:instrText xml:space="preserve"> PAGEREF _Toc1747358 \h </w:instrText>
            </w:r>
            <w:r w:rsidR="007D5C30">
              <w:rPr>
                <w:noProof/>
                <w:webHidden/>
              </w:rPr>
            </w:r>
            <w:r w:rsidR="007D5C30">
              <w:rPr>
                <w:noProof/>
                <w:webHidden/>
              </w:rPr>
              <w:fldChar w:fldCharType="separate"/>
            </w:r>
            <w:r w:rsidR="008A2AC2">
              <w:rPr>
                <w:noProof/>
                <w:webHidden/>
              </w:rPr>
              <w:t>153</w:t>
            </w:r>
            <w:r w:rsidR="007D5C30">
              <w:rPr>
                <w:noProof/>
                <w:webHidden/>
              </w:rPr>
              <w:fldChar w:fldCharType="end"/>
            </w:r>
          </w:hyperlink>
        </w:p>
        <w:p w14:paraId="14E16BE4" w14:textId="77777777" w:rsidR="007D5C30" w:rsidRDefault="00EE2A70">
          <w:pPr>
            <w:pStyle w:val="TOC2"/>
            <w:tabs>
              <w:tab w:val="right" w:leader="dot" w:pos="10456"/>
            </w:tabs>
            <w:rPr>
              <w:b w:val="0"/>
              <w:noProof/>
            </w:rPr>
          </w:pPr>
          <w:hyperlink w:anchor="_Toc1747359" w:history="1">
            <w:r w:rsidR="007D5C30" w:rsidRPr="008C2D9C">
              <w:rPr>
                <w:rStyle w:val="Hyperlink"/>
                <w:noProof/>
              </w:rPr>
              <w:t>Dengue virus</w:t>
            </w:r>
            <w:r w:rsidR="007D5C30">
              <w:rPr>
                <w:noProof/>
                <w:webHidden/>
              </w:rPr>
              <w:tab/>
            </w:r>
            <w:r w:rsidR="007D5C30">
              <w:rPr>
                <w:noProof/>
                <w:webHidden/>
              </w:rPr>
              <w:fldChar w:fldCharType="begin"/>
            </w:r>
            <w:r w:rsidR="007D5C30">
              <w:rPr>
                <w:noProof/>
                <w:webHidden/>
              </w:rPr>
              <w:instrText xml:space="preserve"> PAGEREF _Toc1747359 \h </w:instrText>
            </w:r>
            <w:r w:rsidR="007D5C30">
              <w:rPr>
                <w:noProof/>
                <w:webHidden/>
              </w:rPr>
            </w:r>
            <w:r w:rsidR="007D5C30">
              <w:rPr>
                <w:noProof/>
                <w:webHidden/>
              </w:rPr>
              <w:fldChar w:fldCharType="separate"/>
            </w:r>
            <w:r w:rsidR="008A2AC2">
              <w:rPr>
                <w:noProof/>
                <w:webHidden/>
              </w:rPr>
              <w:t>153</w:t>
            </w:r>
            <w:r w:rsidR="007D5C30">
              <w:rPr>
                <w:noProof/>
                <w:webHidden/>
              </w:rPr>
              <w:fldChar w:fldCharType="end"/>
            </w:r>
          </w:hyperlink>
        </w:p>
        <w:p w14:paraId="26F4C4E0" w14:textId="77777777" w:rsidR="007D5C30" w:rsidRDefault="00EE2A70">
          <w:pPr>
            <w:pStyle w:val="TOC3"/>
            <w:tabs>
              <w:tab w:val="right" w:leader="dot" w:pos="10456"/>
            </w:tabs>
            <w:rPr>
              <w:noProof/>
            </w:rPr>
          </w:pPr>
          <w:hyperlink w:anchor="_Toc1747360" w:history="1">
            <w:r w:rsidR="007D5C30" w:rsidRPr="008C2D9C">
              <w:rPr>
                <w:rStyle w:val="Hyperlink"/>
                <w:noProof/>
              </w:rPr>
              <w:t>Epidemiological situation in 2015</w:t>
            </w:r>
            <w:r w:rsidR="007D5C30">
              <w:rPr>
                <w:noProof/>
                <w:webHidden/>
              </w:rPr>
              <w:tab/>
            </w:r>
            <w:r w:rsidR="007D5C30">
              <w:rPr>
                <w:noProof/>
                <w:webHidden/>
              </w:rPr>
              <w:fldChar w:fldCharType="begin"/>
            </w:r>
            <w:r w:rsidR="007D5C30">
              <w:rPr>
                <w:noProof/>
                <w:webHidden/>
              </w:rPr>
              <w:instrText xml:space="preserve"> PAGEREF _Toc1747360 \h </w:instrText>
            </w:r>
            <w:r w:rsidR="007D5C30">
              <w:rPr>
                <w:noProof/>
                <w:webHidden/>
              </w:rPr>
            </w:r>
            <w:r w:rsidR="007D5C30">
              <w:rPr>
                <w:noProof/>
                <w:webHidden/>
              </w:rPr>
              <w:fldChar w:fldCharType="separate"/>
            </w:r>
            <w:r w:rsidR="008A2AC2">
              <w:rPr>
                <w:noProof/>
                <w:webHidden/>
              </w:rPr>
              <w:t>154</w:t>
            </w:r>
            <w:r w:rsidR="007D5C30">
              <w:rPr>
                <w:noProof/>
                <w:webHidden/>
              </w:rPr>
              <w:fldChar w:fldCharType="end"/>
            </w:r>
          </w:hyperlink>
        </w:p>
        <w:p w14:paraId="17317DF3" w14:textId="77777777" w:rsidR="007D5C30" w:rsidRDefault="00EE2A70">
          <w:pPr>
            <w:pStyle w:val="TOC3"/>
            <w:tabs>
              <w:tab w:val="right" w:leader="dot" w:pos="10456"/>
            </w:tabs>
            <w:rPr>
              <w:noProof/>
            </w:rPr>
          </w:pPr>
          <w:hyperlink w:anchor="_Toc1747361" w:history="1">
            <w:r w:rsidR="007D5C30" w:rsidRPr="008C2D9C">
              <w:rPr>
                <w:rStyle w:val="Hyperlink"/>
                <w:noProof/>
              </w:rPr>
              <w:t>Geographical distribution</w:t>
            </w:r>
            <w:r w:rsidR="007D5C30">
              <w:rPr>
                <w:noProof/>
                <w:webHidden/>
              </w:rPr>
              <w:tab/>
            </w:r>
            <w:r w:rsidR="007D5C30">
              <w:rPr>
                <w:noProof/>
                <w:webHidden/>
              </w:rPr>
              <w:fldChar w:fldCharType="begin"/>
            </w:r>
            <w:r w:rsidR="007D5C30">
              <w:rPr>
                <w:noProof/>
                <w:webHidden/>
              </w:rPr>
              <w:instrText xml:space="preserve"> PAGEREF _Toc1747361 \h </w:instrText>
            </w:r>
            <w:r w:rsidR="007D5C30">
              <w:rPr>
                <w:noProof/>
                <w:webHidden/>
              </w:rPr>
            </w:r>
            <w:r w:rsidR="007D5C30">
              <w:rPr>
                <w:noProof/>
                <w:webHidden/>
              </w:rPr>
              <w:fldChar w:fldCharType="separate"/>
            </w:r>
            <w:r w:rsidR="008A2AC2">
              <w:rPr>
                <w:noProof/>
                <w:webHidden/>
              </w:rPr>
              <w:t>154</w:t>
            </w:r>
            <w:r w:rsidR="007D5C30">
              <w:rPr>
                <w:noProof/>
                <w:webHidden/>
              </w:rPr>
              <w:fldChar w:fldCharType="end"/>
            </w:r>
          </w:hyperlink>
        </w:p>
        <w:p w14:paraId="60B98C12" w14:textId="77777777" w:rsidR="007D5C30" w:rsidRDefault="00EE2A70">
          <w:pPr>
            <w:pStyle w:val="TOC3"/>
            <w:tabs>
              <w:tab w:val="right" w:leader="dot" w:pos="10456"/>
            </w:tabs>
            <w:rPr>
              <w:noProof/>
            </w:rPr>
          </w:pPr>
          <w:hyperlink w:anchor="_Toc1747362" w:history="1">
            <w:r w:rsidR="007D5C30" w:rsidRPr="008C2D9C">
              <w:rPr>
                <w:rStyle w:val="Hyperlink"/>
                <w:noProof/>
              </w:rPr>
              <w:t>Age and sex distribution</w:t>
            </w:r>
            <w:r w:rsidR="007D5C30">
              <w:rPr>
                <w:noProof/>
                <w:webHidden/>
              </w:rPr>
              <w:tab/>
            </w:r>
            <w:r w:rsidR="007D5C30">
              <w:rPr>
                <w:noProof/>
                <w:webHidden/>
              </w:rPr>
              <w:fldChar w:fldCharType="begin"/>
            </w:r>
            <w:r w:rsidR="007D5C30">
              <w:rPr>
                <w:noProof/>
                <w:webHidden/>
              </w:rPr>
              <w:instrText xml:space="preserve"> PAGEREF _Toc1747362 \h </w:instrText>
            </w:r>
            <w:r w:rsidR="007D5C30">
              <w:rPr>
                <w:noProof/>
                <w:webHidden/>
              </w:rPr>
            </w:r>
            <w:r w:rsidR="007D5C30">
              <w:rPr>
                <w:noProof/>
                <w:webHidden/>
              </w:rPr>
              <w:fldChar w:fldCharType="separate"/>
            </w:r>
            <w:r w:rsidR="008A2AC2">
              <w:rPr>
                <w:noProof/>
                <w:webHidden/>
              </w:rPr>
              <w:t>155</w:t>
            </w:r>
            <w:r w:rsidR="007D5C30">
              <w:rPr>
                <w:noProof/>
                <w:webHidden/>
              </w:rPr>
              <w:fldChar w:fldCharType="end"/>
            </w:r>
          </w:hyperlink>
        </w:p>
        <w:p w14:paraId="493F829A" w14:textId="77777777" w:rsidR="007D5C30" w:rsidRDefault="00EE2A70">
          <w:pPr>
            <w:pStyle w:val="TOC3"/>
            <w:tabs>
              <w:tab w:val="right" w:leader="dot" w:pos="10456"/>
            </w:tabs>
            <w:rPr>
              <w:noProof/>
            </w:rPr>
          </w:pPr>
          <w:hyperlink w:anchor="_Toc1747363" w:history="1">
            <w:r w:rsidR="007D5C30" w:rsidRPr="008C2D9C">
              <w:rPr>
                <w:rStyle w:val="Hyperlink"/>
                <w:noProof/>
              </w:rPr>
              <w:t>Seasonality</w:t>
            </w:r>
            <w:r w:rsidR="007D5C30">
              <w:rPr>
                <w:noProof/>
                <w:webHidden/>
              </w:rPr>
              <w:tab/>
            </w:r>
            <w:r w:rsidR="007D5C30">
              <w:rPr>
                <w:noProof/>
                <w:webHidden/>
              </w:rPr>
              <w:fldChar w:fldCharType="begin"/>
            </w:r>
            <w:r w:rsidR="007D5C30">
              <w:rPr>
                <w:noProof/>
                <w:webHidden/>
              </w:rPr>
              <w:instrText xml:space="preserve"> PAGEREF _Toc1747363 \h </w:instrText>
            </w:r>
            <w:r w:rsidR="007D5C30">
              <w:rPr>
                <w:noProof/>
                <w:webHidden/>
              </w:rPr>
            </w:r>
            <w:r w:rsidR="007D5C30">
              <w:rPr>
                <w:noProof/>
                <w:webHidden/>
              </w:rPr>
              <w:fldChar w:fldCharType="separate"/>
            </w:r>
            <w:r w:rsidR="008A2AC2">
              <w:rPr>
                <w:noProof/>
                <w:webHidden/>
              </w:rPr>
              <w:t>155</w:t>
            </w:r>
            <w:r w:rsidR="007D5C30">
              <w:rPr>
                <w:noProof/>
                <w:webHidden/>
              </w:rPr>
              <w:fldChar w:fldCharType="end"/>
            </w:r>
          </w:hyperlink>
        </w:p>
        <w:p w14:paraId="248235A6" w14:textId="77777777" w:rsidR="007D5C30" w:rsidRDefault="00EE2A70">
          <w:pPr>
            <w:pStyle w:val="TOC3"/>
            <w:tabs>
              <w:tab w:val="right" w:leader="dot" w:pos="10456"/>
            </w:tabs>
            <w:rPr>
              <w:noProof/>
            </w:rPr>
          </w:pPr>
          <w:hyperlink w:anchor="_Toc1747364" w:history="1">
            <w:r w:rsidR="007D5C30" w:rsidRPr="008C2D9C">
              <w:rPr>
                <w:rStyle w:val="Hyperlink"/>
                <w:noProof/>
              </w:rPr>
              <w:t>Locally acquired cases and outbreaks</w:t>
            </w:r>
            <w:r w:rsidR="007D5C30">
              <w:rPr>
                <w:noProof/>
                <w:webHidden/>
              </w:rPr>
              <w:tab/>
            </w:r>
            <w:r w:rsidR="007D5C30">
              <w:rPr>
                <w:noProof/>
                <w:webHidden/>
              </w:rPr>
              <w:fldChar w:fldCharType="begin"/>
            </w:r>
            <w:r w:rsidR="007D5C30">
              <w:rPr>
                <w:noProof/>
                <w:webHidden/>
              </w:rPr>
              <w:instrText xml:space="preserve"> PAGEREF _Toc1747364 \h </w:instrText>
            </w:r>
            <w:r w:rsidR="007D5C30">
              <w:rPr>
                <w:noProof/>
                <w:webHidden/>
              </w:rPr>
            </w:r>
            <w:r w:rsidR="007D5C30">
              <w:rPr>
                <w:noProof/>
                <w:webHidden/>
              </w:rPr>
              <w:fldChar w:fldCharType="separate"/>
            </w:r>
            <w:r w:rsidR="008A2AC2">
              <w:rPr>
                <w:noProof/>
                <w:webHidden/>
              </w:rPr>
              <w:t>157</w:t>
            </w:r>
            <w:r w:rsidR="007D5C30">
              <w:rPr>
                <w:noProof/>
                <w:webHidden/>
              </w:rPr>
              <w:fldChar w:fldCharType="end"/>
            </w:r>
          </w:hyperlink>
        </w:p>
        <w:p w14:paraId="3250E3C4" w14:textId="77777777" w:rsidR="007D5C30" w:rsidRDefault="00EE2A70">
          <w:pPr>
            <w:pStyle w:val="TOC2"/>
            <w:tabs>
              <w:tab w:val="right" w:leader="dot" w:pos="10456"/>
            </w:tabs>
            <w:rPr>
              <w:b w:val="0"/>
              <w:noProof/>
            </w:rPr>
          </w:pPr>
          <w:hyperlink w:anchor="_Toc1747365" w:history="1">
            <w:r w:rsidR="007D5C30" w:rsidRPr="008C2D9C">
              <w:rPr>
                <w:rStyle w:val="Hyperlink"/>
                <w:noProof/>
              </w:rPr>
              <w:t>Flavivirus unspecified (including Zika Virus)</w:t>
            </w:r>
            <w:r w:rsidR="007D5C30">
              <w:rPr>
                <w:noProof/>
                <w:webHidden/>
              </w:rPr>
              <w:tab/>
            </w:r>
            <w:r w:rsidR="007D5C30">
              <w:rPr>
                <w:noProof/>
                <w:webHidden/>
              </w:rPr>
              <w:fldChar w:fldCharType="begin"/>
            </w:r>
            <w:r w:rsidR="007D5C30">
              <w:rPr>
                <w:noProof/>
                <w:webHidden/>
              </w:rPr>
              <w:instrText xml:space="preserve"> PAGEREF _Toc1747365 \h </w:instrText>
            </w:r>
            <w:r w:rsidR="007D5C30">
              <w:rPr>
                <w:noProof/>
                <w:webHidden/>
              </w:rPr>
            </w:r>
            <w:r w:rsidR="007D5C30">
              <w:rPr>
                <w:noProof/>
                <w:webHidden/>
              </w:rPr>
              <w:fldChar w:fldCharType="separate"/>
            </w:r>
            <w:r w:rsidR="008A2AC2">
              <w:rPr>
                <w:noProof/>
                <w:webHidden/>
              </w:rPr>
              <w:t>157</w:t>
            </w:r>
            <w:r w:rsidR="007D5C30">
              <w:rPr>
                <w:noProof/>
                <w:webHidden/>
              </w:rPr>
              <w:fldChar w:fldCharType="end"/>
            </w:r>
          </w:hyperlink>
        </w:p>
        <w:p w14:paraId="643EB476" w14:textId="77777777" w:rsidR="007D5C30" w:rsidRDefault="00EE2A70">
          <w:pPr>
            <w:pStyle w:val="TOC3"/>
            <w:tabs>
              <w:tab w:val="right" w:leader="dot" w:pos="10456"/>
            </w:tabs>
            <w:rPr>
              <w:noProof/>
            </w:rPr>
          </w:pPr>
          <w:hyperlink w:anchor="_Toc1747366" w:history="1">
            <w:r w:rsidR="007D5C30" w:rsidRPr="008C2D9C">
              <w:rPr>
                <w:rStyle w:val="Hyperlink"/>
                <w:noProof/>
              </w:rPr>
              <w:t>Epidemiological situation in 2015</w:t>
            </w:r>
            <w:r w:rsidR="007D5C30">
              <w:rPr>
                <w:noProof/>
                <w:webHidden/>
              </w:rPr>
              <w:tab/>
            </w:r>
            <w:r w:rsidR="007D5C30">
              <w:rPr>
                <w:noProof/>
                <w:webHidden/>
              </w:rPr>
              <w:fldChar w:fldCharType="begin"/>
            </w:r>
            <w:r w:rsidR="007D5C30">
              <w:rPr>
                <w:noProof/>
                <w:webHidden/>
              </w:rPr>
              <w:instrText xml:space="preserve"> PAGEREF _Toc1747366 \h </w:instrText>
            </w:r>
            <w:r w:rsidR="007D5C30">
              <w:rPr>
                <w:noProof/>
                <w:webHidden/>
              </w:rPr>
            </w:r>
            <w:r w:rsidR="007D5C30">
              <w:rPr>
                <w:noProof/>
                <w:webHidden/>
              </w:rPr>
              <w:fldChar w:fldCharType="separate"/>
            </w:r>
            <w:r w:rsidR="008A2AC2">
              <w:rPr>
                <w:noProof/>
                <w:webHidden/>
              </w:rPr>
              <w:t>158</w:t>
            </w:r>
            <w:r w:rsidR="007D5C30">
              <w:rPr>
                <w:noProof/>
                <w:webHidden/>
              </w:rPr>
              <w:fldChar w:fldCharType="end"/>
            </w:r>
          </w:hyperlink>
        </w:p>
        <w:p w14:paraId="549E0009" w14:textId="77777777" w:rsidR="007D5C30" w:rsidRDefault="00EE2A70">
          <w:pPr>
            <w:pStyle w:val="TOC2"/>
            <w:tabs>
              <w:tab w:val="right" w:leader="dot" w:pos="10456"/>
            </w:tabs>
            <w:rPr>
              <w:b w:val="0"/>
              <w:noProof/>
            </w:rPr>
          </w:pPr>
          <w:hyperlink w:anchor="_Toc1747367" w:history="1">
            <w:r w:rsidR="007D5C30" w:rsidRPr="008C2D9C">
              <w:rPr>
                <w:rStyle w:val="Hyperlink"/>
                <w:noProof/>
              </w:rPr>
              <w:t>Japanese encephalitis virus</w:t>
            </w:r>
            <w:r w:rsidR="007D5C30">
              <w:rPr>
                <w:noProof/>
                <w:webHidden/>
              </w:rPr>
              <w:tab/>
            </w:r>
            <w:r w:rsidR="007D5C30">
              <w:rPr>
                <w:noProof/>
                <w:webHidden/>
              </w:rPr>
              <w:fldChar w:fldCharType="begin"/>
            </w:r>
            <w:r w:rsidR="007D5C30">
              <w:rPr>
                <w:noProof/>
                <w:webHidden/>
              </w:rPr>
              <w:instrText xml:space="preserve"> PAGEREF _Toc1747367 \h </w:instrText>
            </w:r>
            <w:r w:rsidR="007D5C30">
              <w:rPr>
                <w:noProof/>
                <w:webHidden/>
              </w:rPr>
            </w:r>
            <w:r w:rsidR="007D5C30">
              <w:rPr>
                <w:noProof/>
                <w:webHidden/>
              </w:rPr>
              <w:fldChar w:fldCharType="separate"/>
            </w:r>
            <w:r w:rsidR="008A2AC2">
              <w:rPr>
                <w:noProof/>
                <w:webHidden/>
              </w:rPr>
              <w:t>160</w:t>
            </w:r>
            <w:r w:rsidR="007D5C30">
              <w:rPr>
                <w:noProof/>
                <w:webHidden/>
              </w:rPr>
              <w:fldChar w:fldCharType="end"/>
            </w:r>
          </w:hyperlink>
        </w:p>
        <w:p w14:paraId="4C744C0F" w14:textId="77777777" w:rsidR="007D5C30" w:rsidRDefault="00EE2A70">
          <w:pPr>
            <w:pStyle w:val="TOC3"/>
            <w:tabs>
              <w:tab w:val="right" w:leader="dot" w:pos="10456"/>
            </w:tabs>
            <w:rPr>
              <w:noProof/>
            </w:rPr>
          </w:pPr>
          <w:hyperlink w:anchor="_Toc1747368" w:history="1">
            <w:r w:rsidR="007D5C30" w:rsidRPr="008C2D9C">
              <w:rPr>
                <w:rStyle w:val="Hyperlink"/>
                <w:noProof/>
              </w:rPr>
              <w:t>Epidemiological situation in 2015</w:t>
            </w:r>
            <w:r w:rsidR="007D5C30">
              <w:rPr>
                <w:noProof/>
                <w:webHidden/>
              </w:rPr>
              <w:tab/>
            </w:r>
            <w:r w:rsidR="007D5C30">
              <w:rPr>
                <w:noProof/>
                <w:webHidden/>
              </w:rPr>
              <w:fldChar w:fldCharType="begin"/>
            </w:r>
            <w:r w:rsidR="007D5C30">
              <w:rPr>
                <w:noProof/>
                <w:webHidden/>
              </w:rPr>
              <w:instrText xml:space="preserve"> PAGEREF _Toc1747368 \h </w:instrText>
            </w:r>
            <w:r w:rsidR="007D5C30">
              <w:rPr>
                <w:noProof/>
                <w:webHidden/>
              </w:rPr>
            </w:r>
            <w:r w:rsidR="007D5C30">
              <w:rPr>
                <w:noProof/>
                <w:webHidden/>
              </w:rPr>
              <w:fldChar w:fldCharType="separate"/>
            </w:r>
            <w:r w:rsidR="008A2AC2">
              <w:rPr>
                <w:noProof/>
                <w:webHidden/>
              </w:rPr>
              <w:t>160</w:t>
            </w:r>
            <w:r w:rsidR="007D5C30">
              <w:rPr>
                <w:noProof/>
                <w:webHidden/>
              </w:rPr>
              <w:fldChar w:fldCharType="end"/>
            </w:r>
          </w:hyperlink>
        </w:p>
        <w:p w14:paraId="2496BFC8" w14:textId="77777777" w:rsidR="007D5C30" w:rsidRDefault="00EE2A70">
          <w:pPr>
            <w:pStyle w:val="TOC2"/>
            <w:tabs>
              <w:tab w:val="right" w:leader="dot" w:pos="10456"/>
            </w:tabs>
            <w:rPr>
              <w:b w:val="0"/>
              <w:noProof/>
            </w:rPr>
          </w:pPr>
          <w:hyperlink w:anchor="_Toc1747369" w:history="1">
            <w:r w:rsidR="007D5C30" w:rsidRPr="008C2D9C">
              <w:rPr>
                <w:rStyle w:val="Hyperlink"/>
                <w:noProof/>
              </w:rPr>
              <w:t>West Nile virus (including Kunjin virus)</w:t>
            </w:r>
            <w:r w:rsidR="007D5C30">
              <w:rPr>
                <w:noProof/>
                <w:webHidden/>
              </w:rPr>
              <w:tab/>
            </w:r>
            <w:r w:rsidR="007D5C30">
              <w:rPr>
                <w:noProof/>
                <w:webHidden/>
              </w:rPr>
              <w:fldChar w:fldCharType="begin"/>
            </w:r>
            <w:r w:rsidR="007D5C30">
              <w:rPr>
                <w:noProof/>
                <w:webHidden/>
              </w:rPr>
              <w:instrText xml:space="preserve"> PAGEREF _Toc1747369 \h </w:instrText>
            </w:r>
            <w:r w:rsidR="007D5C30">
              <w:rPr>
                <w:noProof/>
                <w:webHidden/>
              </w:rPr>
            </w:r>
            <w:r w:rsidR="007D5C30">
              <w:rPr>
                <w:noProof/>
                <w:webHidden/>
              </w:rPr>
              <w:fldChar w:fldCharType="separate"/>
            </w:r>
            <w:r w:rsidR="008A2AC2">
              <w:rPr>
                <w:noProof/>
                <w:webHidden/>
              </w:rPr>
              <w:t>161</w:t>
            </w:r>
            <w:r w:rsidR="007D5C30">
              <w:rPr>
                <w:noProof/>
                <w:webHidden/>
              </w:rPr>
              <w:fldChar w:fldCharType="end"/>
            </w:r>
          </w:hyperlink>
        </w:p>
        <w:p w14:paraId="46481773" w14:textId="77777777" w:rsidR="007D5C30" w:rsidRDefault="00EE2A70">
          <w:pPr>
            <w:pStyle w:val="TOC3"/>
            <w:tabs>
              <w:tab w:val="right" w:leader="dot" w:pos="10456"/>
            </w:tabs>
            <w:rPr>
              <w:noProof/>
            </w:rPr>
          </w:pPr>
          <w:hyperlink w:anchor="_Toc1747370" w:history="1">
            <w:r w:rsidR="007D5C30" w:rsidRPr="008C2D9C">
              <w:rPr>
                <w:rStyle w:val="Hyperlink"/>
                <w:noProof/>
              </w:rPr>
              <w:t>Epidemiological situation in 2015</w:t>
            </w:r>
            <w:r w:rsidR="007D5C30">
              <w:rPr>
                <w:noProof/>
                <w:webHidden/>
              </w:rPr>
              <w:tab/>
            </w:r>
            <w:r w:rsidR="007D5C30">
              <w:rPr>
                <w:noProof/>
                <w:webHidden/>
              </w:rPr>
              <w:fldChar w:fldCharType="begin"/>
            </w:r>
            <w:r w:rsidR="007D5C30">
              <w:rPr>
                <w:noProof/>
                <w:webHidden/>
              </w:rPr>
              <w:instrText xml:space="preserve"> PAGEREF _Toc1747370 \h </w:instrText>
            </w:r>
            <w:r w:rsidR="007D5C30">
              <w:rPr>
                <w:noProof/>
                <w:webHidden/>
              </w:rPr>
            </w:r>
            <w:r w:rsidR="007D5C30">
              <w:rPr>
                <w:noProof/>
                <w:webHidden/>
              </w:rPr>
              <w:fldChar w:fldCharType="separate"/>
            </w:r>
            <w:r w:rsidR="008A2AC2">
              <w:rPr>
                <w:noProof/>
                <w:webHidden/>
              </w:rPr>
              <w:t>161</w:t>
            </w:r>
            <w:r w:rsidR="007D5C30">
              <w:rPr>
                <w:noProof/>
                <w:webHidden/>
              </w:rPr>
              <w:fldChar w:fldCharType="end"/>
            </w:r>
          </w:hyperlink>
        </w:p>
        <w:p w14:paraId="56B86EAB" w14:textId="77777777" w:rsidR="007D5C30" w:rsidRDefault="00EE2A70">
          <w:pPr>
            <w:pStyle w:val="TOC2"/>
            <w:tabs>
              <w:tab w:val="right" w:leader="dot" w:pos="10456"/>
            </w:tabs>
            <w:rPr>
              <w:b w:val="0"/>
              <w:noProof/>
            </w:rPr>
          </w:pPr>
          <w:hyperlink w:anchor="_Toc1747371" w:history="1">
            <w:r w:rsidR="007D5C30" w:rsidRPr="008C2D9C">
              <w:rPr>
                <w:rStyle w:val="Hyperlink"/>
                <w:noProof/>
              </w:rPr>
              <w:t>Malaria</w:t>
            </w:r>
            <w:r w:rsidR="007D5C30">
              <w:rPr>
                <w:noProof/>
                <w:webHidden/>
              </w:rPr>
              <w:tab/>
            </w:r>
            <w:r w:rsidR="007D5C30">
              <w:rPr>
                <w:noProof/>
                <w:webHidden/>
              </w:rPr>
              <w:fldChar w:fldCharType="begin"/>
            </w:r>
            <w:r w:rsidR="007D5C30">
              <w:rPr>
                <w:noProof/>
                <w:webHidden/>
              </w:rPr>
              <w:instrText xml:space="preserve"> PAGEREF _Toc1747371 \h </w:instrText>
            </w:r>
            <w:r w:rsidR="007D5C30">
              <w:rPr>
                <w:noProof/>
                <w:webHidden/>
              </w:rPr>
            </w:r>
            <w:r w:rsidR="007D5C30">
              <w:rPr>
                <w:noProof/>
                <w:webHidden/>
              </w:rPr>
              <w:fldChar w:fldCharType="separate"/>
            </w:r>
            <w:r w:rsidR="008A2AC2">
              <w:rPr>
                <w:noProof/>
                <w:webHidden/>
              </w:rPr>
              <w:t>162</w:t>
            </w:r>
            <w:r w:rsidR="007D5C30">
              <w:rPr>
                <w:noProof/>
                <w:webHidden/>
              </w:rPr>
              <w:fldChar w:fldCharType="end"/>
            </w:r>
          </w:hyperlink>
        </w:p>
        <w:p w14:paraId="7C7A726E" w14:textId="77777777" w:rsidR="007D5C30" w:rsidRDefault="00EE2A70">
          <w:pPr>
            <w:pStyle w:val="TOC3"/>
            <w:tabs>
              <w:tab w:val="right" w:leader="dot" w:pos="10456"/>
            </w:tabs>
            <w:rPr>
              <w:noProof/>
            </w:rPr>
          </w:pPr>
          <w:hyperlink w:anchor="_Toc1747372" w:history="1">
            <w:r w:rsidR="007D5C30" w:rsidRPr="008C2D9C">
              <w:rPr>
                <w:rStyle w:val="Hyperlink"/>
                <w:noProof/>
              </w:rPr>
              <w:t>Epidemiological situation in 2015</w:t>
            </w:r>
            <w:r w:rsidR="007D5C30">
              <w:rPr>
                <w:noProof/>
                <w:webHidden/>
              </w:rPr>
              <w:tab/>
            </w:r>
            <w:r w:rsidR="007D5C30">
              <w:rPr>
                <w:noProof/>
                <w:webHidden/>
              </w:rPr>
              <w:fldChar w:fldCharType="begin"/>
            </w:r>
            <w:r w:rsidR="007D5C30">
              <w:rPr>
                <w:noProof/>
                <w:webHidden/>
              </w:rPr>
              <w:instrText xml:space="preserve"> PAGEREF _Toc1747372 \h </w:instrText>
            </w:r>
            <w:r w:rsidR="007D5C30">
              <w:rPr>
                <w:noProof/>
                <w:webHidden/>
              </w:rPr>
            </w:r>
            <w:r w:rsidR="007D5C30">
              <w:rPr>
                <w:noProof/>
                <w:webHidden/>
              </w:rPr>
              <w:fldChar w:fldCharType="separate"/>
            </w:r>
            <w:r w:rsidR="008A2AC2">
              <w:rPr>
                <w:noProof/>
                <w:webHidden/>
              </w:rPr>
              <w:t>162</w:t>
            </w:r>
            <w:r w:rsidR="007D5C30">
              <w:rPr>
                <w:noProof/>
                <w:webHidden/>
              </w:rPr>
              <w:fldChar w:fldCharType="end"/>
            </w:r>
          </w:hyperlink>
        </w:p>
        <w:p w14:paraId="0084DDC7" w14:textId="77777777" w:rsidR="007D5C30" w:rsidRDefault="00EE2A70">
          <w:pPr>
            <w:pStyle w:val="TOC2"/>
            <w:tabs>
              <w:tab w:val="right" w:leader="dot" w:pos="10456"/>
            </w:tabs>
            <w:rPr>
              <w:b w:val="0"/>
              <w:noProof/>
            </w:rPr>
          </w:pPr>
          <w:hyperlink w:anchor="_Toc1747373" w:history="1">
            <w:r w:rsidR="007D5C30" w:rsidRPr="008C2D9C">
              <w:rPr>
                <w:rStyle w:val="Hyperlink"/>
                <w:noProof/>
              </w:rPr>
              <w:t>Murray Valley encephalitis virus</w:t>
            </w:r>
            <w:r w:rsidR="007D5C30">
              <w:rPr>
                <w:noProof/>
                <w:webHidden/>
              </w:rPr>
              <w:tab/>
            </w:r>
            <w:r w:rsidR="007D5C30">
              <w:rPr>
                <w:noProof/>
                <w:webHidden/>
              </w:rPr>
              <w:fldChar w:fldCharType="begin"/>
            </w:r>
            <w:r w:rsidR="007D5C30">
              <w:rPr>
                <w:noProof/>
                <w:webHidden/>
              </w:rPr>
              <w:instrText xml:space="preserve"> PAGEREF _Toc1747373 \h </w:instrText>
            </w:r>
            <w:r w:rsidR="007D5C30">
              <w:rPr>
                <w:noProof/>
                <w:webHidden/>
              </w:rPr>
            </w:r>
            <w:r w:rsidR="007D5C30">
              <w:rPr>
                <w:noProof/>
                <w:webHidden/>
              </w:rPr>
              <w:fldChar w:fldCharType="separate"/>
            </w:r>
            <w:r w:rsidR="008A2AC2">
              <w:rPr>
                <w:noProof/>
                <w:webHidden/>
              </w:rPr>
              <w:t>165</w:t>
            </w:r>
            <w:r w:rsidR="007D5C30">
              <w:rPr>
                <w:noProof/>
                <w:webHidden/>
              </w:rPr>
              <w:fldChar w:fldCharType="end"/>
            </w:r>
          </w:hyperlink>
        </w:p>
        <w:p w14:paraId="043CB97E" w14:textId="77777777" w:rsidR="007D5C30" w:rsidRDefault="00EE2A70">
          <w:pPr>
            <w:pStyle w:val="TOC3"/>
            <w:tabs>
              <w:tab w:val="right" w:leader="dot" w:pos="10456"/>
            </w:tabs>
            <w:rPr>
              <w:noProof/>
            </w:rPr>
          </w:pPr>
          <w:hyperlink w:anchor="_Toc1747374" w:history="1">
            <w:r w:rsidR="007D5C30" w:rsidRPr="008C2D9C">
              <w:rPr>
                <w:rStyle w:val="Hyperlink"/>
                <w:noProof/>
              </w:rPr>
              <w:t>Epidemiological situation in 2015</w:t>
            </w:r>
            <w:r w:rsidR="007D5C30">
              <w:rPr>
                <w:noProof/>
                <w:webHidden/>
              </w:rPr>
              <w:tab/>
            </w:r>
            <w:r w:rsidR="007D5C30">
              <w:rPr>
                <w:noProof/>
                <w:webHidden/>
              </w:rPr>
              <w:fldChar w:fldCharType="begin"/>
            </w:r>
            <w:r w:rsidR="007D5C30">
              <w:rPr>
                <w:noProof/>
                <w:webHidden/>
              </w:rPr>
              <w:instrText xml:space="preserve"> PAGEREF _Toc1747374 \h </w:instrText>
            </w:r>
            <w:r w:rsidR="007D5C30">
              <w:rPr>
                <w:noProof/>
                <w:webHidden/>
              </w:rPr>
            </w:r>
            <w:r w:rsidR="007D5C30">
              <w:rPr>
                <w:noProof/>
                <w:webHidden/>
              </w:rPr>
              <w:fldChar w:fldCharType="separate"/>
            </w:r>
            <w:r w:rsidR="008A2AC2">
              <w:rPr>
                <w:noProof/>
                <w:webHidden/>
              </w:rPr>
              <w:t>165</w:t>
            </w:r>
            <w:r w:rsidR="007D5C30">
              <w:rPr>
                <w:noProof/>
                <w:webHidden/>
              </w:rPr>
              <w:fldChar w:fldCharType="end"/>
            </w:r>
          </w:hyperlink>
        </w:p>
        <w:p w14:paraId="28A4D1F8" w14:textId="77777777" w:rsidR="007D5C30" w:rsidRDefault="00EE2A70">
          <w:pPr>
            <w:pStyle w:val="TOC2"/>
            <w:tabs>
              <w:tab w:val="right" w:leader="dot" w:pos="10456"/>
            </w:tabs>
            <w:rPr>
              <w:b w:val="0"/>
              <w:noProof/>
            </w:rPr>
          </w:pPr>
          <w:hyperlink w:anchor="_Toc1747375" w:history="1">
            <w:r w:rsidR="007D5C30" w:rsidRPr="008C2D9C">
              <w:rPr>
                <w:rStyle w:val="Hyperlink"/>
                <w:noProof/>
              </w:rPr>
              <w:t>Ross River virus</w:t>
            </w:r>
            <w:r w:rsidR="007D5C30">
              <w:rPr>
                <w:noProof/>
                <w:webHidden/>
              </w:rPr>
              <w:tab/>
            </w:r>
            <w:r w:rsidR="007D5C30">
              <w:rPr>
                <w:noProof/>
                <w:webHidden/>
              </w:rPr>
              <w:fldChar w:fldCharType="begin"/>
            </w:r>
            <w:r w:rsidR="007D5C30">
              <w:rPr>
                <w:noProof/>
                <w:webHidden/>
              </w:rPr>
              <w:instrText xml:space="preserve"> PAGEREF _Toc1747375 \h </w:instrText>
            </w:r>
            <w:r w:rsidR="007D5C30">
              <w:rPr>
                <w:noProof/>
                <w:webHidden/>
              </w:rPr>
            </w:r>
            <w:r w:rsidR="007D5C30">
              <w:rPr>
                <w:noProof/>
                <w:webHidden/>
              </w:rPr>
              <w:fldChar w:fldCharType="separate"/>
            </w:r>
            <w:r w:rsidR="008A2AC2">
              <w:rPr>
                <w:noProof/>
                <w:webHidden/>
              </w:rPr>
              <w:t>166</w:t>
            </w:r>
            <w:r w:rsidR="007D5C30">
              <w:rPr>
                <w:noProof/>
                <w:webHidden/>
              </w:rPr>
              <w:fldChar w:fldCharType="end"/>
            </w:r>
          </w:hyperlink>
        </w:p>
        <w:p w14:paraId="5617E919" w14:textId="77777777" w:rsidR="007D5C30" w:rsidRDefault="00EE2A70">
          <w:pPr>
            <w:pStyle w:val="TOC3"/>
            <w:tabs>
              <w:tab w:val="right" w:leader="dot" w:pos="10456"/>
            </w:tabs>
            <w:rPr>
              <w:noProof/>
            </w:rPr>
          </w:pPr>
          <w:hyperlink w:anchor="_Toc1747376" w:history="1">
            <w:r w:rsidR="007D5C30" w:rsidRPr="008C2D9C">
              <w:rPr>
                <w:rStyle w:val="Hyperlink"/>
                <w:noProof/>
              </w:rPr>
              <w:t>Epidemiological situation in 2015</w:t>
            </w:r>
            <w:r w:rsidR="007D5C30">
              <w:rPr>
                <w:noProof/>
                <w:webHidden/>
              </w:rPr>
              <w:tab/>
            </w:r>
            <w:r w:rsidR="007D5C30">
              <w:rPr>
                <w:noProof/>
                <w:webHidden/>
              </w:rPr>
              <w:fldChar w:fldCharType="begin"/>
            </w:r>
            <w:r w:rsidR="007D5C30">
              <w:rPr>
                <w:noProof/>
                <w:webHidden/>
              </w:rPr>
              <w:instrText xml:space="preserve"> PAGEREF _Toc1747376 \h </w:instrText>
            </w:r>
            <w:r w:rsidR="007D5C30">
              <w:rPr>
                <w:noProof/>
                <w:webHidden/>
              </w:rPr>
            </w:r>
            <w:r w:rsidR="007D5C30">
              <w:rPr>
                <w:noProof/>
                <w:webHidden/>
              </w:rPr>
              <w:fldChar w:fldCharType="separate"/>
            </w:r>
            <w:r w:rsidR="008A2AC2">
              <w:rPr>
                <w:noProof/>
                <w:webHidden/>
              </w:rPr>
              <w:t>167</w:t>
            </w:r>
            <w:r w:rsidR="007D5C30">
              <w:rPr>
                <w:noProof/>
                <w:webHidden/>
              </w:rPr>
              <w:fldChar w:fldCharType="end"/>
            </w:r>
          </w:hyperlink>
        </w:p>
        <w:p w14:paraId="6E564201" w14:textId="77777777" w:rsidR="007D5C30" w:rsidRDefault="00EE2A70">
          <w:pPr>
            <w:pStyle w:val="TOC1"/>
            <w:tabs>
              <w:tab w:val="right" w:leader="dot" w:pos="10456"/>
            </w:tabs>
            <w:rPr>
              <w:b w:val="0"/>
              <w:caps w:val="0"/>
              <w:noProof/>
            </w:rPr>
          </w:pPr>
          <w:hyperlink w:anchor="_Toc1747377" w:history="1">
            <w:r w:rsidR="007D5C30" w:rsidRPr="008C2D9C">
              <w:rPr>
                <w:rStyle w:val="Hyperlink"/>
                <w:noProof/>
              </w:rPr>
              <w:t>Zoonoses</w:t>
            </w:r>
            <w:r w:rsidR="007D5C30">
              <w:rPr>
                <w:noProof/>
                <w:webHidden/>
              </w:rPr>
              <w:tab/>
            </w:r>
            <w:r w:rsidR="007D5C30">
              <w:rPr>
                <w:noProof/>
                <w:webHidden/>
              </w:rPr>
              <w:fldChar w:fldCharType="begin"/>
            </w:r>
            <w:r w:rsidR="007D5C30">
              <w:rPr>
                <w:noProof/>
                <w:webHidden/>
              </w:rPr>
              <w:instrText xml:space="preserve"> PAGEREF _Toc1747377 \h </w:instrText>
            </w:r>
            <w:r w:rsidR="007D5C30">
              <w:rPr>
                <w:noProof/>
                <w:webHidden/>
              </w:rPr>
            </w:r>
            <w:r w:rsidR="007D5C30">
              <w:rPr>
                <w:noProof/>
                <w:webHidden/>
              </w:rPr>
              <w:fldChar w:fldCharType="separate"/>
            </w:r>
            <w:r w:rsidR="008A2AC2">
              <w:rPr>
                <w:noProof/>
                <w:webHidden/>
              </w:rPr>
              <w:t>170</w:t>
            </w:r>
            <w:r w:rsidR="007D5C30">
              <w:rPr>
                <w:noProof/>
                <w:webHidden/>
              </w:rPr>
              <w:fldChar w:fldCharType="end"/>
            </w:r>
          </w:hyperlink>
        </w:p>
        <w:p w14:paraId="7E2F0151" w14:textId="77777777" w:rsidR="007D5C30" w:rsidRDefault="00EE2A70">
          <w:pPr>
            <w:pStyle w:val="TOC2"/>
            <w:tabs>
              <w:tab w:val="right" w:leader="dot" w:pos="10456"/>
            </w:tabs>
            <w:rPr>
              <w:b w:val="0"/>
              <w:noProof/>
            </w:rPr>
          </w:pPr>
          <w:hyperlink w:anchor="_Toc1747378" w:history="1">
            <w:r w:rsidR="007D5C30" w:rsidRPr="008C2D9C">
              <w:rPr>
                <w:rStyle w:val="Hyperlink"/>
                <w:noProof/>
              </w:rPr>
              <w:t>Overview</w:t>
            </w:r>
            <w:r w:rsidR="007D5C30">
              <w:rPr>
                <w:noProof/>
                <w:webHidden/>
              </w:rPr>
              <w:tab/>
            </w:r>
            <w:r w:rsidR="007D5C30">
              <w:rPr>
                <w:noProof/>
                <w:webHidden/>
              </w:rPr>
              <w:fldChar w:fldCharType="begin"/>
            </w:r>
            <w:r w:rsidR="007D5C30">
              <w:rPr>
                <w:noProof/>
                <w:webHidden/>
              </w:rPr>
              <w:instrText xml:space="preserve"> PAGEREF _Toc1747378 \h </w:instrText>
            </w:r>
            <w:r w:rsidR="007D5C30">
              <w:rPr>
                <w:noProof/>
                <w:webHidden/>
              </w:rPr>
            </w:r>
            <w:r w:rsidR="007D5C30">
              <w:rPr>
                <w:noProof/>
                <w:webHidden/>
              </w:rPr>
              <w:fldChar w:fldCharType="separate"/>
            </w:r>
            <w:r w:rsidR="008A2AC2">
              <w:rPr>
                <w:noProof/>
                <w:webHidden/>
              </w:rPr>
              <w:t>170</w:t>
            </w:r>
            <w:r w:rsidR="007D5C30">
              <w:rPr>
                <w:noProof/>
                <w:webHidden/>
              </w:rPr>
              <w:fldChar w:fldCharType="end"/>
            </w:r>
          </w:hyperlink>
        </w:p>
        <w:p w14:paraId="6C52826D" w14:textId="77777777" w:rsidR="007D5C30" w:rsidRDefault="00EE2A70">
          <w:pPr>
            <w:pStyle w:val="TOC2"/>
            <w:tabs>
              <w:tab w:val="right" w:leader="dot" w:pos="10456"/>
            </w:tabs>
            <w:rPr>
              <w:b w:val="0"/>
              <w:noProof/>
            </w:rPr>
          </w:pPr>
          <w:hyperlink w:anchor="_Toc1747379" w:history="1">
            <w:r w:rsidR="007D5C30" w:rsidRPr="008C2D9C">
              <w:rPr>
                <w:rStyle w:val="Hyperlink"/>
                <w:noProof/>
              </w:rPr>
              <w:t>Anthrax</w:t>
            </w:r>
            <w:r w:rsidR="007D5C30">
              <w:rPr>
                <w:noProof/>
                <w:webHidden/>
              </w:rPr>
              <w:tab/>
            </w:r>
            <w:r w:rsidR="007D5C30">
              <w:rPr>
                <w:noProof/>
                <w:webHidden/>
              </w:rPr>
              <w:fldChar w:fldCharType="begin"/>
            </w:r>
            <w:r w:rsidR="007D5C30">
              <w:rPr>
                <w:noProof/>
                <w:webHidden/>
              </w:rPr>
              <w:instrText xml:space="preserve"> PAGEREF _Toc1747379 \h </w:instrText>
            </w:r>
            <w:r w:rsidR="007D5C30">
              <w:rPr>
                <w:noProof/>
                <w:webHidden/>
              </w:rPr>
            </w:r>
            <w:r w:rsidR="007D5C30">
              <w:rPr>
                <w:noProof/>
                <w:webHidden/>
              </w:rPr>
              <w:fldChar w:fldCharType="separate"/>
            </w:r>
            <w:r w:rsidR="008A2AC2">
              <w:rPr>
                <w:noProof/>
                <w:webHidden/>
              </w:rPr>
              <w:t>170</w:t>
            </w:r>
            <w:r w:rsidR="007D5C30">
              <w:rPr>
                <w:noProof/>
                <w:webHidden/>
              </w:rPr>
              <w:fldChar w:fldCharType="end"/>
            </w:r>
          </w:hyperlink>
        </w:p>
        <w:p w14:paraId="34626F22" w14:textId="77777777" w:rsidR="007D5C30" w:rsidRDefault="00EE2A70">
          <w:pPr>
            <w:pStyle w:val="TOC3"/>
            <w:tabs>
              <w:tab w:val="right" w:leader="dot" w:pos="10456"/>
            </w:tabs>
            <w:rPr>
              <w:noProof/>
            </w:rPr>
          </w:pPr>
          <w:hyperlink w:anchor="_Toc1747380" w:history="1">
            <w:r w:rsidR="007D5C30" w:rsidRPr="008C2D9C">
              <w:rPr>
                <w:rStyle w:val="Hyperlink"/>
                <w:noProof/>
              </w:rPr>
              <w:t>Epidemiological situation in 2015</w:t>
            </w:r>
            <w:r w:rsidR="007D5C30">
              <w:rPr>
                <w:noProof/>
                <w:webHidden/>
              </w:rPr>
              <w:tab/>
            </w:r>
            <w:r w:rsidR="007D5C30">
              <w:rPr>
                <w:noProof/>
                <w:webHidden/>
              </w:rPr>
              <w:fldChar w:fldCharType="begin"/>
            </w:r>
            <w:r w:rsidR="007D5C30">
              <w:rPr>
                <w:noProof/>
                <w:webHidden/>
              </w:rPr>
              <w:instrText xml:space="preserve"> PAGEREF _Toc1747380 \h </w:instrText>
            </w:r>
            <w:r w:rsidR="007D5C30">
              <w:rPr>
                <w:noProof/>
                <w:webHidden/>
              </w:rPr>
            </w:r>
            <w:r w:rsidR="007D5C30">
              <w:rPr>
                <w:noProof/>
                <w:webHidden/>
              </w:rPr>
              <w:fldChar w:fldCharType="separate"/>
            </w:r>
            <w:r w:rsidR="008A2AC2">
              <w:rPr>
                <w:noProof/>
                <w:webHidden/>
              </w:rPr>
              <w:t>171</w:t>
            </w:r>
            <w:r w:rsidR="007D5C30">
              <w:rPr>
                <w:noProof/>
                <w:webHidden/>
              </w:rPr>
              <w:fldChar w:fldCharType="end"/>
            </w:r>
          </w:hyperlink>
        </w:p>
        <w:p w14:paraId="3F4E359B" w14:textId="77777777" w:rsidR="007D5C30" w:rsidRDefault="00EE2A70">
          <w:pPr>
            <w:pStyle w:val="TOC2"/>
            <w:tabs>
              <w:tab w:val="right" w:leader="dot" w:pos="10456"/>
            </w:tabs>
            <w:rPr>
              <w:b w:val="0"/>
              <w:noProof/>
            </w:rPr>
          </w:pPr>
          <w:hyperlink w:anchor="_Toc1747381" w:history="1">
            <w:r w:rsidR="007D5C30" w:rsidRPr="008C2D9C">
              <w:rPr>
                <w:rStyle w:val="Hyperlink"/>
                <w:noProof/>
              </w:rPr>
              <w:t>Australian bat lyssavirus and lyssavirus (unspecified)</w:t>
            </w:r>
            <w:r w:rsidR="007D5C30">
              <w:rPr>
                <w:noProof/>
                <w:webHidden/>
              </w:rPr>
              <w:tab/>
            </w:r>
            <w:r w:rsidR="007D5C30">
              <w:rPr>
                <w:noProof/>
                <w:webHidden/>
              </w:rPr>
              <w:fldChar w:fldCharType="begin"/>
            </w:r>
            <w:r w:rsidR="007D5C30">
              <w:rPr>
                <w:noProof/>
                <w:webHidden/>
              </w:rPr>
              <w:instrText xml:space="preserve"> PAGEREF _Toc1747381 \h </w:instrText>
            </w:r>
            <w:r w:rsidR="007D5C30">
              <w:rPr>
                <w:noProof/>
                <w:webHidden/>
              </w:rPr>
            </w:r>
            <w:r w:rsidR="007D5C30">
              <w:rPr>
                <w:noProof/>
                <w:webHidden/>
              </w:rPr>
              <w:fldChar w:fldCharType="separate"/>
            </w:r>
            <w:r w:rsidR="008A2AC2">
              <w:rPr>
                <w:noProof/>
                <w:webHidden/>
              </w:rPr>
              <w:t>171</w:t>
            </w:r>
            <w:r w:rsidR="007D5C30">
              <w:rPr>
                <w:noProof/>
                <w:webHidden/>
              </w:rPr>
              <w:fldChar w:fldCharType="end"/>
            </w:r>
          </w:hyperlink>
        </w:p>
        <w:p w14:paraId="366B5560" w14:textId="77777777" w:rsidR="007D5C30" w:rsidRDefault="00EE2A70">
          <w:pPr>
            <w:pStyle w:val="TOC3"/>
            <w:tabs>
              <w:tab w:val="right" w:leader="dot" w:pos="10456"/>
            </w:tabs>
            <w:rPr>
              <w:noProof/>
            </w:rPr>
          </w:pPr>
          <w:hyperlink w:anchor="_Toc1747382" w:history="1">
            <w:r w:rsidR="007D5C30" w:rsidRPr="008C2D9C">
              <w:rPr>
                <w:rStyle w:val="Hyperlink"/>
                <w:noProof/>
              </w:rPr>
              <w:t>Epidemiological situation in 2015</w:t>
            </w:r>
            <w:r w:rsidR="007D5C30">
              <w:rPr>
                <w:noProof/>
                <w:webHidden/>
              </w:rPr>
              <w:tab/>
            </w:r>
            <w:r w:rsidR="007D5C30">
              <w:rPr>
                <w:noProof/>
                <w:webHidden/>
              </w:rPr>
              <w:fldChar w:fldCharType="begin"/>
            </w:r>
            <w:r w:rsidR="007D5C30">
              <w:rPr>
                <w:noProof/>
                <w:webHidden/>
              </w:rPr>
              <w:instrText xml:space="preserve"> PAGEREF _Toc1747382 \h </w:instrText>
            </w:r>
            <w:r w:rsidR="007D5C30">
              <w:rPr>
                <w:noProof/>
                <w:webHidden/>
              </w:rPr>
            </w:r>
            <w:r w:rsidR="007D5C30">
              <w:rPr>
                <w:noProof/>
                <w:webHidden/>
              </w:rPr>
              <w:fldChar w:fldCharType="separate"/>
            </w:r>
            <w:r w:rsidR="008A2AC2">
              <w:rPr>
                <w:noProof/>
                <w:webHidden/>
              </w:rPr>
              <w:t>171</w:t>
            </w:r>
            <w:r w:rsidR="007D5C30">
              <w:rPr>
                <w:noProof/>
                <w:webHidden/>
              </w:rPr>
              <w:fldChar w:fldCharType="end"/>
            </w:r>
          </w:hyperlink>
        </w:p>
        <w:p w14:paraId="4EB70417" w14:textId="77777777" w:rsidR="007D5C30" w:rsidRDefault="00EE2A70">
          <w:pPr>
            <w:pStyle w:val="TOC2"/>
            <w:tabs>
              <w:tab w:val="right" w:leader="dot" w:pos="10456"/>
            </w:tabs>
            <w:rPr>
              <w:b w:val="0"/>
              <w:noProof/>
            </w:rPr>
          </w:pPr>
          <w:hyperlink w:anchor="_Toc1747383" w:history="1">
            <w:r w:rsidR="007D5C30" w:rsidRPr="008C2D9C">
              <w:rPr>
                <w:rStyle w:val="Hyperlink"/>
                <w:noProof/>
              </w:rPr>
              <w:t>Brucellosis</w:t>
            </w:r>
            <w:r w:rsidR="007D5C30">
              <w:rPr>
                <w:noProof/>
                <w:webHidden/>
              </w:rPr>
              <w:tab/>
            </w:r>
            <w:r w:rsidR="007D5C30">
              <w:rPr>
                <w:noProof/>
                <w:webHidden/>
              </w:rPr>
              <w:fldChar w:fldCharType="begin"/>
            </w:r>
            <w:r w:rsidR="007D5C30">
              <w:rPr>
                <w:noProof/>
                <w:webHidden/>
              </w:rPr>
              <w:instrText xml:space="preserve"> PAGEREF _Toc1747383 \h </w:instrText>
            </w:r>
            <w:r w:rsidR="007D5C30">
              <w:rPr>
                <w:noProof/>
                <w:webHidden/>
              </w:rPr>
            </w:r>
            <w:r w:rsidR="007D5C30">
              <w:rPr>
                <w:noProof/>
                <w:webHidden/>
              </w:rPr>
              <w:fldChar w:fldCharType="separate"/>
            </w:r>
            <w:r w:rsidR="008A2AC2">
              <w:rPr>
                <w:noProof/>
                <w:webHidden/>
              </w:rPr>
              <w:t>172</w:t>
            </w:r>
            <w:r w:rsidR="007D5C30">
              <w:rPr>
                <w:noProof/>
                <w:webHidden/>
              </w:rPr>
              <w:fldChar w:fldCharType="end"/>
            </w:r>
          </w:hyperlink>
        </w:p>
        <w:p w14:paraId="5E24B361" w14:textId="77777777" w:rsidR="007D5C30" w:rsidRDefault="00EE2A70">
          <w:pPr>
            <w:pStyle w:val="TOC3"/>
            <w:tabs>
              <w:tab w:val="right" w:leader="dot" w:pos="10456"/>
            </w:tabs>
            <w:rPr>
              <w:noProof/>
            </w:rPr>
          </w:pPr>
          <w:hyperlink w:anchor="_Toc1747384" w:history="1">
            <w:r w:rsidR="007D5C30" w:rsidRPr="008C2D9C">
              <w:rPr>
                <w:rStyle w:val="Hyperlink"/>
                <w:noProof/>
              </w:rPr>
              <w:t>Epidemiological situation in 2015</w:t>
            </w:r>
            <w:r w:rsidR="007D5C30">
              <w:rPr>
                <w:noProof/>
                <w:webHidden/>
              </w:rPr>
              <w:tab/>
            </w:r>
            <w:r w:rsidR="007D5C30">
              <w:rPr>
                <w:noProof/>
                <w:webHidden/>
              </w:rPr>
              <w:fldChar w:fldCharType="begin"/>
            </w:r>
            <w:r w:rsidR="007D5C30">
              <w:rPr>
                <w:noProof/>
                <w:webHidden/>
              </w:rPr>
              <w:instrText xml:space="preserve"> PAGEREF _Toc1747384 \h </w:instrText>
            </w:r>
            <w:r w:rsidR="007D5C30">
              <w:rPr>
                <w:noProof/>
                <w:webHidden/>
              </w:rPr>
            </w:r>
            <w:r w:rsidR="007D5C30">
              <w:rPr>
                <w:noProof/>
                <w:webHidden/>
              </w:rPr>
              <w:fldChar w:fldCharType="separate"/>
            </w:r>
            <w:r w:rsidR="008A2AC2">
              <w:rPr>
                <w:noProof/>
                <w:webHidden/>
              </w:rPr>
              <w:t>172</w:t>
            </w:r>
            <w:r w:rsidR="007D5C30">
              <w:rPr>
                <w:noProof/>
                <w:webHidden/>
              </w:rPr>
              <w:fldChar w:fldCharType="end"/>
            </w:r>
          </w:hyperlink>
        </w:p>
        <w:p w14:paraId="410285F3" w14:textId="77777777" w:rsidR="007D5C30" w:rsidRDefault="00EE2A70">
          <w:pPr>
            <w:pStyle w:val="TOC3"/>
            <w:tabs>
              <w:tab w:val="right" w:leader="dot" w:pos="10456"/>
            </w:tabs>
            <w:rPr>
              <w:noProof/>
            </w:rPr>
          </w:pPr>
          <w:hyperlink w:anchor="_Toc1747385" w:history="1">
            <w:r w:rsidR="007D5C30" w:rsidRPr="008C2D9C">
              <w:rPr>
                <w:rStyle w:val="Hyperlink"/>
                <w:noProof/>
              </w:rPr>
              <w:t>Geographical distribution</w:t>
            </w:r>
            <w:r w:rsidR="007D5C30">
              <w:rPr>
                <w:noProof/>
                <w:webHidden/>
              </w:rPr>
              <w:tab/>
            </w:r>
            <w:r w:rsidR="007D5C30">
              <w:rPr>
                <w:noProof/>
                <w:webHidden/>
              </w:rPr>
              <w:fldChar w:fldCharType="begin"/>
            </w:r>
            <w:r w:rsidR="007D5C30">
              <w:rPr>
                <w:noProof/>
                <w:webHidden/>
              </w:rPr>
              <w:instrText xml:space="preserve"> PAGEREF _Toc1747385 \h </w:instrText>
            </w:r>
            <w:r w:rsidR="007D5C30">
              <w:rPr>
                <w:noProof/>
                <w:webHidden/>
              </w:rPr>
            </w:r>
            <w:r w:rsidR="007D5C30">
              <w:rPr>
                <w:noProof/>
                <w:webHidden/>
              </w:rPr>
              <w:fldChar w:fldCharType="separate"/>
            </w:r>
            <w:r w:rsidR="008A2AC2">
              <w:rPr>
                <w:noProof/>
                <w:webHidden/>
              </w:rPr>
              <w:t>172</w:t>
            </w:r>
            <w:r w:rsidR="007D5C30">
              <w:rPr>
                <w:noProof/>
                <w:webHidden/>
              </w:rPr>
              <w:fldChar w:fldCharType="end"/>
            </w:r>
          </w:hyperlink>
        </w:p>
        <w:p w14:paraId="18D9A2D5" w14:textId="77777777" w:rsidR="007D5C30" w:rsidRDefault="00EE2A70">
          <w:pPr>
            <w:pStyle w:val="TOC3"/>
            <w:tabs>
              <w:tab w:val="right" w:leader="dot" w:pos="10456"/>
            </w:tabs>
            <w:rPr>
              <w:noProof/>
            </w:rPr>
          </w:pPr>
          <w:hyperlink w:anchor="_Toc1747386" w:history="1">
            <w:r w:rsidR="007D5C30" w:rsidRPr="008C2D9C">
              <w:rPr>
                <w:rStyle w:val="Hyperlink"/>
                <w:noProof/>
              </w:rPr>
              <w:t>Age and sex distribution</w:t>
            </w:r>
            <w:r w:rsidR="007D5C30">
              <w:rPr>
                <w:noProof/>
                <w:webHidden/>
              </w:rPr>
              <w:tab/>
            </w:r>
            <w:r w:rsidR="007D5C30">
              <w:rPr>
                <w:noProof/>
                <w:webHidden/>
              </w:rPr>
              <w:fldChar w:fldCharType="begin"/>
            </w:r>
            <w:r w:rsidR="007D5C30">
              <w:rPr>
                <w:noProof/>
                <w:webHidden/>
              </w:rPr>
              <w:instrText xml:space="preserve"> PAGEREF _Toc1747386 \h </w:instrText>
            </w:r>
            <w:r w:rsidR="007D5C30">
              <w:rPr>
                <w:noProof/>
                <w:webHidden/>
              </w:rPr>
            </w:r>
            <w:r w:rsidR="007D5C30">
              <w:rPr>
                <w:noProof/>
                <w:webHidden/>
              </w:rPr>
              <w:fldChar w:fldCharType="separate"/>
            </w:r>
            <w:r w:rsidR="008A2AC2">
              <w:rPr>
                <w:noProof/>
                <w:webHidden/>
              </w:rPr>
              <w:t>173</w:t>
            </w:r>
            <w:r w:rsidR="007D5C30">
              <w:rPr>
                <w:noProof/>
                <w:webHidden/>
              </w:rPr>
              <w:fldChar w:fldCharType="end"/>
            </w:r>
          </w:hyperlink>
        </w:p>
        <w:p w14:paraId="704879E7" w14:textId="77777777" w:rsidR="007D5C30" w:rsidRDefault="00EE2A70">
          <w:pPr>
            <w:pStyle w:val="TOC3"/>
            <w:tabs>
              <w:tab w:val="right" w:leader="dot" w:pos="10456"/>
            </w:tabs>
            <w:rPr>
              <w:noProof/>
            </w:rPr>
          </w:pPr>
          <w:hyperlink w:anchor="_Toc1747387" w:history="1">
            <w:r w:rsidR="007D5C30" w:rsidRPr="008C2D9C">
              <w:rPr>
                <w:rStyle w:val="Hyperlink"/>
                <w:noProof/>
              </w:rPr>
              <w:t>Microbiological trends</w:t>
            </w:r>
            <w:r w:rsidR="007D5C30">
              <w:rPr>
                <w:noProof/>
                <w:webHidden/>
              </w:rPr>
              <w:tab/>
            </w:r>
            <w:r w:rsidR="007D5C30">
              <w:rPr>
                <w:noProof/>
                <w:webHidden/>
              </w:rPr>
              <w:fldChar w:fldCharType="begin"/>
            </w:r>
            <w:r w:rsidR="007D5C30">
              <w:rPr>
                <w:noProof/>
                <w:webHidden/>
              </w:rPr>
              <w:instrText xml:space="preserve"> PAGEREF _Toc1747387 \h </w:instrText>
            </w:r>
            <w:r w:rsidR="007D5C30">
              <w:rPr>
                <w:noProof/>
                <w:webHidden/>
              </w:rPr>
            </w:r>
            <w:r w:rsidR="007D5C30">
              <w:rPr>
                <w:noProof/>
                <w:webHidden/>
              </w:rPr>
              <w:fldChar w:fldCharType="separate"/>
            </w:r>
            <w:r w:rsidR="008A2AC2">
              <w:rPr>
                <w:noProof/>
                <w:webHidden/>
              </w:rPr>
              <w:t>173</w:t>
            </w:r>
            <w:r w:rsidR="007D5C30">
              <w:rPr>
                <w:noProof/>
                <w:webHidden/>
              </w:rPr>
              <w:fldChar w:fldCharType="end"/>
            </w:r>
          </w:hyperlink>
        </w:p>
        <w:p w14:paraId="2779796C" w14:textId="77777777" w:rsidR="007D5C30" w:rsidRDefault="00EE2A70">
          <w:pPr>
            <w:pStyle w:val="TOC2"/>
            <w:tabs>
              <w:tab w:val="right" w:leader="dot" w:pos="10456"/>
            </w:tabs>
            <w:rPr>
              <w:b w:val="0"/>
              <w:noProof/>
            </w:rPr>
          </w:pPr>
          <w:hyperlink w:anchor="_Toc1747388" w:history="1">
            <w:r w:rsidR="007D5C30" w:rsidRPr="008C2D9C">
              <w:rPr>
                <w:rStyle w:val="Hyperlink"/>
                <w:noProof/>
              </w:rPr>
              <w:t>Leptospirosis</w:t>
            </w:r>
            <w:r w:rsidR="007D5C30">
              <w:rPr>
                <w:noProof/>
                <w:webHidden/>
              </w:rPr>
              <w:tab/>
            </w:r>
            <w:r w:rsidR="007D5C30">
              <w:rPr>
                <w:noProof/>
                <w:webHidden/>
              </w:rPr>
              <w:fldChar w:fldCharType="begin"/>
            </w:r>
            <w:r w:rsidR="007D5C30">
              <w:rPr>
                <w:noProof/>
                <w:webHidden/>
              </w:rPr>
              <w:instrText xml:space="preserve"> PAGEREF _Toc1747388 \h </w:instrText>
            </w:r>
            <w:r w:rsidR="007D5C30">
              <w:rPr>
                <w:noProof/>
                <w:webHidden/>
              </w:rPr>
            </w:r>
            <w:r w:rsidR="007D5C30">
              <w:rPr>
                <w:noProof/>
                <w:webHidden/>
              </w:rPr>
              <w:fldChar w:fldCharType="separate"/>
            </w:r>
            <w:r w:rsidR="008A2AC2">
              <w:rPr>
                <w:noProof/>
                <w:webHidden/>
              </w:rPr>
              <w:t>174</w:t>
            </w:r>
            <w:r w:rsidR="007D5C30">
              <w:rPr>
                <w:noProof/>
                <w:webHidden/>
              </w:rPr>
              <w:fldChar w:fldCharType="end"/>
            </w:r>
          </w:hyperlink>
        </w:p>
        <w:p w14:paraId="7A33EA4A" w14:textId="77777777" w:rsidR="007D5C30" w:rsidRDefault="00EE2A70">
          <w:pPr>
            <w:pStyle w:val="TOC3"/>
            <w:tabs>
              <w:tab w:val="right" w:leader="dot" w:pos="10456"/>
            </w:tabs>
            <w:rPr>
              <w:noProof/>
            </w:rPr>
          </w:pPr>
          <w:hyperlink w:anchor="_Toc1747389" w:history="1">
            <w:r w:rsidR="007D5C30" w:rsidRPr="008C2D9C">
              <w:rPr>
                <w:rStyle w:val="Hyperlink"/>
                <w:noProof/>
              </w:rPr>
              <w:t>Epidemiological situation in 2015</w:t>
            </w:r>
            <w:r w:rsidR="007D5C30">
              <w:rPr>
                <w:noProof/>
                <w:webHidden/>
              </w:rPr>
              <w:tab/>
            </w:r>
            <w:r w:rsidR="007D5C30">
              <w:rPr>
                <w:noProof/>
                <w:webHidden/>
              </w:rPr>
              <w:fldChar w:fldCharType="begin"/>
            </w:r>
            <w:r w:rsidR="007D5C30">
              <w:rPr>
                <w:noProof/>
                <w:webHidden/>
              </w:rPr>
              <w:instrText xml:space="preserve"> PAGEREF _Toc1747389 \h </w:instrText>
            </w:r>
            <w:r w:rsidR="007D5C30">
              <w:rPr>
                <w:noProof/>
                <w:webHidden/>
              </w:rPr>
            </w:r>
            <w:r w:rsidR="007D5C30">
              <w:rPr>
                <w:noProof/>
                <w:webHidden/>
              </w:rPr>
              <w:fldChar w:fldCharType="separate"/>
            </w:r>
            <w:r w:rsidR="008A2AC2">
              <w:rPr>
                <w:noProof/>
                <w:webHidden/>
              </w:rPr>
              <w:t>174</w:t>
            </w:r>
            <w:r w:rsidR="007D5C30">
              <w:rPr>
                <w:noProof/>
                <w:webHidden/>
              </w:rPr>
              <w:fldChar w:fldCharType="end"/>
            </w:r>
          </w:hyperlink>
        </w:p>
        <w:p w14:paraId="34B012B8" w14:textId="77777777" w:rsidR="007D5C30" w:rsidRDefault="00EE2A70">
          <w:pPr>
            <w:pStyle w:val="TOC3"/>
            <w:tabs>
              <w:tab w:val="right" w:leader="dot" w:pos="10456"/>
            </w:tabs>
            <w:rPr>
              <w:noProof/>
            </w:rPr>
          </w:pPr>
          <w:hyperlink w:anchor="_Toc1747390" w:history="1">
            <w:r w:rsidR="007D5C30" w:rsidRPr="008C2D9C">
              <w:rPr>
                <w:rStyle w:val="Hyperlink"/>
                <w:noProof/>
              </w:rPr>
              <w:t>Geographical distribution</w:t>
            </w:r>
            <w:r w:rsidR="007D5C30">
              <w:rPr>
                <w:noProof/>
                <w:webHidden/>
              </w:rPr>
              <w:tab/>
            </w:r>
            <w:r w:rsidR="007D5C30">
              <w:rPr>
                <w:noProof/>
                <w:webHidden/>
              </w:rPr>
              <w:fldChar w:fldCharType="begin"/>
            </w:r>
            <w:r w:rsidR="007D5C30">
              <w:rPr>
                <w:noProof/>
                <w:webHidden/>
              </w:rPr>
              <w:instrText xml:space="preserve"> PAGEREF _Toc1747390 \h </w:instrText>
            </w:r>
            <w:r w:rsidR="007D5C30">
              <w:rPr>
                <w:noProof/>
                <w:webHidden/>
              </w:rPr>
            </w:r>
            <w:r w:rsidR="007D5C30">
              <w:rPr>
                <w:noProof/>
                <w:webHidden/>
              </w:rPr>
              <w:fldChar w:fldCharType="separate"/>
            </w:r>
            <w:r w:rsidR="008A2AC2">
              <w:rPr>
                <w:noProof/>
                <w:webHidden/>
              </w:rPr>
              <w:t>174</w:t>
            </w:r>
            <w:r w:rsidR="007D5C30">
              <w:rPr>
                <w:noProof/>
                <w:webHidden/>
              </w:rPr>
              <w:fldChar w:fldCharType="end"/>
            </w:r>
          </w:hyperlink>
        </w:p>
        <w:p w14:paraId="61CADDCE" w14:textId="77777777" w:rsidR="007D5C30" w:rsidRDefault="00EE2A70">
          <w:pPr>
            <w:pStyle w:val="TOC2"/>
            <w:tabs>
              <w:tab w:val="right" w:leader="dot" w:pos="10456"/>
            </w:tabs>
            <w:rPr>
              <w:b w:val="0"/>
              <w:noProof/>
            </w:rPr>
          </w:pPr>
          <w:hyperlink w:anchor="_Toc1747391" w:history="1">
            <w:r w:rsidR="007D5C30" w:rsidRPr="008C2D9C">
              <w:rPr>
                <w:rStyle w:val="Hyperlink"/>
                <w:noProof/>
              </w:rPr>
              <w:t>Ornithosis</w:t>
            </w:r>
            <w:r w:rsidR="007D5C30">
              <w:rPr>
                <w:noProof/>
                <w:webHidden/>
              </w:rPr>
              <w:tab/>
            </w:r>
            <w:r w:rsidR="007D5C30">
              <w:rPr>
                <w:noProof/>
                <w:webHidden/>
              </w:rPr>
              <w:fldChar w:fldCharType="begin"/>
            </w:r>
            <w:r w:rsidR="007D5C30">
              <w:rPr>
                <w:noProof/>
                <w:webHidden/>
              </w:rPr>
              <w:instrText xml:space="preserve"> PAGEREF _Toc1747391 \h </w:instrText>
            </w:r>
            <w:r w:rsidR="007D5C30">
              <w:rPr>
                <w:noProof/>
                <w:webHidden/>
              </w:rPr>
            </w:r>
            <w:r w:rsidR="007D5C30">
              <w:rPr>
                <w:noProof/>
                <w:webHidden/>
              </w:rPr>
              <w:fldChar w:fldCharType="separate"/>
            </w:r>
            <w:r w:rsidR="008A2AC2">
              <w:rPr>
                <w:noProof/>
                <w:webHidden/>
              </w:rPr>
              <w:t>176</w:t>
            </w:r>
            <w:r w:rsidR="007D5C30">
              <w:rPr>
                <w:noProof/>
                <w:webHidden/>
              </w:rPr>
              <w:fldChar w:fldCharType="end"/>
            </w:r>
          </w:hyperlink>
        </w:p>
        <w:p w14:paraId="3EAC142F" w14:textId="77777777" w:rsidR="007D5C30" w:rsidRDefault="00EE2A70">
          <w:pPr>
            <w:pStyle w:val="TOC3"/>
            <w:tabs>
              <w:tab w:val="right" w:leader="dot" w:pos="10456"/>
            </w:tabs>
            <w:rPr>
              <w:noProof/>
            </w:rPr>
          </w:pPr>
          <w:hyperlink w:anchor="_Toc1747392" w:history="1">
            <w:r w:rsidR="007D5C30" w:rsidRPr="008C2D9C">
              <w:rPr>
                <w:rStyle w:val="Hyperlink"/>
                <w:noProof/>
              </w:rPr>
              <w:t>Epidemiological situation in 2015</w:t>
            </w:r>
            <w:r w:rsidR="007D5C30">
              <w:rPr>
                <w:noProof/>
                <w:webHidden/>
              </w:rPr>
              <w:tab/>
            </w:r>
            <w:r w:rsidR="007D5C30">
              <w:rPr>
                <w:noProof/>
                <w:webHidden/>
              </w:rPr>
              <w:fldChar w:fldCharType="begin"/>
            </w:r>
            <w:r w:rsidR="007D5C30">
              <w:rPr>
                <w:noProof/>
                <w:webHidden/>
              </w:rPr>
              <w:instrText xml:space="preserve"> PAGEREF _Toc1747392 \h </w:instrText>
            </w:r>
            <w:r w:rsidR="007D5C30">
              <w:rPr>
                <w:noProof/>
                <w:webHidden/>
              </w:rPr>
            </w:r>
            <w:r w:rsidR="007D5C30">
              <w:rPr>
                <w:noProof/>
                <w:webHidden/>
              </w:rPr>
              <w:fldChar w:fldCharType="separate"/>
            </w:r>
            <w:r w:rsidR="008A2AC2">
              <w:rPr>
                <w:noProof/>
                <w:webHidden/>
              </w:rPr>
              <w:t>176</w:t>
            </w:r>
            <w:r w:rsidR="007D5C30">
              <w:rPr>
                <w:noProof/>
                <w:webHidden/>
              </w:rPr>
              <w:fldChar w:fldCharType="end"/>
            </w:r>
          </w:hyperlink>
        </w:p>
        <w:p w14:paraId="6A8F1B93" w14:textId="77777777" w:rsidR="007D5C30" w:rsidRDefault="00EE2A70">
          <w:pPr>
            <w:pStyle w:val="TOC3"/>
            <w:tabs>
              <w:tab w:val="right" w:leader="dot" w:pos="10456"/>
            </w:tabs>
            <w:rPr>
              <w:noProof/>
            </w:rPr>
          </w:pPr>
          <w:hyperlink w:anchor="_Toc1747393" w:history="1">
            <w:r w:rsidR="007D5C30" w:rsidRPr="008C2D9C">
              <w:rPr>
                <w:rStyle w:val="Hyperlink"/>
                <w:noProof/>
              </w:rPr>
              <w:t>Geographical distribution</w:t>
            </w:r>
            <w:r w:rsidR="007D5C30">
              <w:rPr>
                <w:noProof/>
                <w:webHidden/>
              </w:rPr>
              <w:tab/>
            </w:r>
            <w:r w:rsidR="007D5C30">
              <w:rPr>
                <w:noProof/>
                <w:webHidden/>
              </w:rPr>
              <w:fldChar w:fldCharType="begin"/>
            </w:r>
            <w:r w:rsidR="007D5C30">
              <w:rPr>
                <w:noProof/>
                <w:webHidden/>
              </w:rPr>
              <w:instrText xml:space="preserve"> PAGEREF _Toc1747393 \h </w:instrText>
            </w:r>
            <w:r w:rsidR="007D5C30">
              <w:rPr>
                <w:noProof/>
                <w:webHidden/>
              </w:rPr>
            </w:r>
            <w:r w:rsidR="007D5C30">
              <w:rPr>
                <w:noProof/>
                <w:webHidden/>
              </w:rPr>
              <w:fldChar w:fldCharType="separate"/>
            </w:r>
            <w:r w:rsidR="008A2AC2">
              <w:rPr>
                <w:noProof/>
                <w:webHidden/>
              </w:rPr>
              <w:t>176</w:t>
            </w:r>
            <w:r w:rsidR="007D5C30">
              <w:rPr>
                <w:noProof/>
                <w:webHidden/>
              </w:rPr>
              <w:fldChar w:fldCharType="end"/>
            </w:r>
          </w:hyperlink>
        </w:p>
        <w:p w14:paraId="0F21C1B4" w14:textId="77777777" w:rsidR="007D5C30" w:rsidRDefault="00EE2A70">
          <w:pPr>
            <w:pStyle w:val="TOC2"/>
            <w:tabs>
              <w:tab w:val="right" w:leader="dot" w:pos="10456"/>
            </w:tabs>
            <w:rPr>
              <w:b w:val="0"/>
              <w:noProof/>
            </w:rPr>
          </w:pPr>
          <w:hyperlink w:anchor="_Toc1747394" w:history="1">
            <w:r w:rsidR="007D5C30" w:rsidRPr="008C2D9C">
              <w:rPr>
                <w:rStyle w:val="Hyperlink"/>
                <w:noProof/>
              </w:rPr>
              <w:t>Q fever</w:t>
            </w:r>
            <w:r w:rsidR="007D5C30">
              <w:rPr>
                <w:noProof/>
                <w:webHidden/>
              </w:rPr>
              <w:tab/>
            </w:r>
            <w:r w:rsidR="007D5C30">
              <w:rPr>
                <w:noProof/>
                <w:webHidden/>
              </w:rPr>
              <w:fldChar w:fldCharType="begin"/>
            </w:r>
            <w:r w:rsidR="007D5C30">
              <w:rPr>
                <w:noProof/>
                <w:webHidden/>
              </w:rPr>
              <w:instrText xml:space="preserve"> PAGEREF _Toc1747394 \h </w:instrText>
            </w:r>
            <w:r w:rsidR="007D5C30">
              <w:rPr>
                <w:noProof/>
                <w:webHidden/>
              </w:rPr>
            </w:r>
            <w:r w:rsidR="007D5C30">
              <w:rPr>
                <w:noProof/>
                <w:webHidden/>
              </w:rPr>
              <w:fldChar w:fldCharType="separate"/>
            </w:r>
            <w:r w:rsidR="008A2AC2">
              <w:rPr>
                <w:noProof/>
                <w:webHidden/>
              </w:rPr>
              <w:t>178</w:t>
            </w:r>
            <w:r w:rsidR="007D5C30">
              <w:rPr>
                <w:noProof/>
                <w:webHidden/>
              </w:rPr>
              <w:fldChar w:fldCharType="end"/>
            </w:r>
          </w:hyperlink>
        </w:p>
        <w:p w14:paraId="1D10CE11" w14:textId="77777777" w:rsidR="007D5C30" w:rsidRDefault="00EE2A70">
          <w:pPr>
            <w:pStyle w:val="TOC3"/>
            <w:tabs>
              <w:tab w:val="right" w:leader="dot" w:pos="10456"/>
            </w:tabs>
            <w:rPr>
              <w:noProof/>
            </w:rPr>
          </w:pPr>
          <w:hyperlink w:anchor="_Toc1747395" w:history="1">
            <w:r w:rsidR="007D5C30" w:rsidRPr="008C2D9C">
              <w:rPr>
                <w:rStyle w:val="Hyperlink"/>
                <w:noProof/>
              </w:rPr>
              <w:t>Epidemiological situation in 2015</w:t>
            </w:r>
            <w:r w:rsidR="007D5C30">
              <w:rPr>
                <w:noProof/>
                <w:webHidden/>
              </w:rPr>
              <w:tab/>
            </w:r>
            <w:r w:rsidR="007D5C30">
              <w:rPr>
                <w:noProof/>
                <w:webHidden/>
              </w:rPr>
              <w:fldChar w:fldCharType="begin"/>
            </w:r>
            <w:r w:rsidR="007D5C30">
              <w:rPr>
                <w:noProof/>
                <w:webHidden/>
              </w:rPr>
              <w:instrText xml:space="preserve"> PAGEREF _Toc1747395 \h </w:instrText>
            </w:r>
            <w:r w:rsidR="007D5C30">
              <w:rPr>
                <w:noProof/>
                <w:webHidden/>
              </w:rPr>
            </w:r>
            <w:r w:rsidR="007D5C30">
              <w:rPr>
                <w:noProof/>
                <w:webHidden/>
              </w:rPr>
              <w:fldChar w:fldCharType="separate"/>
            </w:r>
            <w:r w:rsidR="008A2AC2">
              <w:rPr>
                <w:noProof/>
                <w:webHidden/>
              </w:rPr>
              <w:t>179</w:t>
            </w:r>
            <w:r w:rsidR="007D5C30">
              <w:rPr>
                <w:noProof/>
                <w:webHidden/>
              </w:rPr>
              <w:fldChar w:fldCharType="end"/>
            </w:r>
          </w:hyperlink>
        </w:p>
        <w:p w14:paraId="28BE1414" w14:textId="77777777" w:rsidR="007D5C30" w:rsidRDefault="00EE2A70">
          <w:pPr>
            <w:pStyle w:val="TOC3"/>
            <w:tabs>
              <w:tab w:val="right" w:leader="dot" w:pos="10456"/>
            </w:tabs>
            <w:rPr>
              <w:noProof/>
            </w:rPr>
          </w:pPr>
          <w:hyperlink w:anchor="_Toc1747396" w:history="1">
            <w:r w:rsidR="007D5C30" w:rsidRPr="008C2D9C">
              <w:rPr>
                <w:rStyle w:val="Hyperlink"/>
                <w:noProof/>
              </w:rPr>
              <w:t>Geographical distribution</w:t>
            </w:r>
            <w:r w:rsidR="007D5C30">
              <w:rPr>
                <w:noProof/>
                <w:webHidden/>
              </w:rPr>
              <w:tab/>
            </w:r>
            <w:r w:rsidR="007D5C30">
              <w:rPr>
                <w:noProof/>
                <w:webHidden/>
              </w:rPr>
              <w:fldChar w:fldCharType="begin"/>
            </w:r>
            <w:r w:rsidR="007D5C30">
              <w:rPr>
                <w:noProof/>
                <w:webHidden/>
              </w:rPr>
              <w:instrText xml:space="preserve"> PAGEREF _Toc1747396 \h </w:instrText>
            </w:r>
            <w:r w:rsidR="007D5C30">
              <w:rPr>
                <w:noProof/>
                <w:webHidden/>
              </w:rPr>
            </w:r>
            <w:r w:rsidR="007D5C30">
              <w:rPr>
                <w:noProof/>
                <w:webHidden/>
              </w:rPr>
              <w:fldChar w:fldCharType="separate"/>
            </w:r>
            <w:r w:rsidR="008A2AC2">
              <w:rPr>
                <w:noProof/>
                <w:webHidden/>
              </w:rPr>
              <w:t>179</w:t>
            </w:r>
            <w:r w:rsidR="007D5C30">
              <w:rPr>
                <w:noProof/>
                <w:webHidden/>
              </w:rPr>
              <w:fldChar w:fldCharType="end"/>
            </w:r>
          </w:hyperlink>
        </w:p>
        <w:p w14:paraId="1F151C0F" w14:textId="77777777" w:rsidR="007D5C30" w:rsidRDefault="00EE2A70">
          <w:pPr>
            <w:pStyle w:val="TOC2"/>
            <w:tabs>
              <w:tab w:val="right" w:leader="dot" w:pos="10456"/>
            </w:tabs>
            <w:rPr>
              <w:b w:val="0"/>
              <w:noProof/>
            </w:rPr>
          </w:pPr>
          <w:hyperlink w:anchor="_Toc1747397" w:history="1">
            <w:r w:rsidR="007D5C30" w:rsidRPr="008C2D9C">
              <w:rPr>
                <w:rStyle w:val="Hyperlink"/>
                <w:noProof/>
              </w:rPr>
              <w:t>Tularemia</w:t>
            </w:r>
            <w:r w:rsidR="007D5C30">
              <w:rPr>
                <w:noProof/>
                <w:webHidden/>
              </w:rPr>
              <w:tab/>
            </w:r>
            <w:r w:rsidR="007D5C30">
              <w:rPr>
                <w:noProof/>
                <w:webHidden/>
              </w:rPr>
              <w:fldChar w:fldCharType="begin"/>
            </w:r>
            <w:r w:rsidR="007D5C30">
              <w:rPr>
                <w:noProof/>
                <w:webHidden/>
              </w:rPr>
              <w:instrText xml:space="preserve"> PAGEREF _Toc1747397 \h </w:instrText>
            </w:r>
            <w:r w:rsidR="007D5C30">
              <w:rPr>
                <w:noProof/>
                <w:webHidden/>
              </w:rPr>
            </w:r>
            <w:r w:rsidR="007D5C30">
              <w:rPr>
                <w:noProof/>
                <w:webHidden/>
              </w:rPr>
              <w:fldChar w:fldCharType="separate"/>
            </w:r>
            <w:r w:rsidR="008A2AC2">
              <w:rPr>
                <w:noProof/>
                <w:webHidden/>
              </w:rPr>
              <w:t>181</w:t>
            </w:r>
            <w:r w:rsidR="007D5C30">
              <w:rPr>
                <w:noProof/>
                <w:webHidden/>
              </w:rPr>
              <w:fldChar w:fldCharType="end"/>
            </w:r>
          </w:hyperlink>
        </w:p>
        <w:p w14:paraId="07E2284B" w14:textId="77777777" w:rsidR="007D5C30" w:rsidRDefault="00EE2A70">
          <w:pPr>
            <w:pStyle w:val="TOC3"/>
            <w:tabs>
              <w:tab w:val="right" w:leader="dot" w:pos="10456"/>
            </w:tabs>
            <w:rPr>
              <w:noProof/>
            </w:rPr>
          </w:pPr>
          <w:hyperlink w:anchor="_Toc1747398" w:history="1">
            <w:r w:rsidR="007D5C30" w:rsidRPr="008C2D9C">
              <w:rPr>
                <w:rStyle w:val="Hyperlink"/>
                <w:noProof/>
              </w:rPr>
              <w:t>Epidemiological situation in 2015</w:t>
            </w:r>
            <w:r w:rsidR="007D5C30">
              <w:rPr>
                <w:noProof/>
                <w:webHidden/>
              </w:rPr>
              <w:tab/>
            </w:r>
            <w:r w:rsidR="007D5C30">
              <w:rPr>
                <w:noProof/>
                <w:webHidden/>
              </w:rPr>
              <w:fldChar w:fldCharType="begin"/>
            </w:r>
            <w:r w:rsidR="007D5C30">
              <w:rPr>
                <w:noProof/>
                <w:webHidden/>
              </w:rPr>
              <w:instrText xml:space="preserve"> PAGEREF _Toc1747398 \h </w:instrText>
            </w:r>
            <w:r w:rsidR="007D5C30">
              <w:rPr>
                <w:noProof/>
                <w:webHidden/>
              </w:rPr>
            </w:r>
            <w:r w:rsidR="007D5C30">
              <w:rPr>
                <w:noProof/>
                <w:webHidden/>
              </w:rPr>
              <w:fldChar w:fldCharType="separate"/>
            </w:r>
            <w:r w:rsidR="008A2AC2">
              <w:rPr>
                <w:noProof/>
                <w:webHidden/>
              </w:rPr>
              <w:t>181</w:t>
            </w:r>
            <w:r w:rsidR="007D5C30">
              <w:rPr>
                <w:noProof/>
                <w:webHidden/>
              </w:rPr>
              <w:fldChar w:fldCharType="end"/>
            </w:r>
          </w:hyperlink>
        </w:p>
        <w:p w14:paraId="0A308B9B" w14:textId="77777777" w:rsidR="007D5C30" w:rsidRDefault="00EE2A70">
          <w:pPr>
            <w:pStyle w:val="TOC1"/>
            <w:tabs>
              <w:tab w:val="right" w:leader="dot" w:pos="10456"/>
            </w:tabs>
            <w:rPr>
              <w:b w:val="0"/>
              <w:caps w:val="0"/>
              <w:noProof/>
            </w:rPr>
          </w:pPr>
          <w:hyperlink w:anchor="_Toc1747399" w:history="1">
            <w:r w:rsidR="007D5C30" w:rsidRPr="008C2D9C">
              <w:rPr>
                <w:rStyle w:val="Hyperlink"/>
                <w:noProof/>
              </w:rPr>
              <w:t>Other Bacterial Infections</w:t>
            </w:r>
            <w:r w:rsidR="007D5C30">
              <w:rPr>
                <w:noProof/>
                <w:webHidden/>
              </w:rPr>
              <w:tab/>
            </w:r>
            <w:r w:rsidR="007D5C30">
              <w:rPr>
                <w:noProof/>
                <w:webHidden/>
              </w:rPr>
              <w:fldChar w:fldCharType="begin"/>
            </w:r>
            <w:r w:rsidR="007D5C30">
              <w:rPr>
                <w:noProof/>
                <w:webHidden/>
              </w:rPr>
              <w:instrText xml:space="preserve"> PAGEREF _Toc1747399 \h </w:instrText>
            </w:r>
            <w:r w:rsidR="007D5C30">
              <w:rPr>
                <w:noProof/>
                <w:webHidden/>
              </w:rPr>
            </w:r>
            <w:r w:rsidR="007D5C30">
              <w:rPr>
                <w:noProof/>
                <w:webHidden/>
              </w:rPr>
              <w:fldChar w:fldCharType="separate"/>
            </w:r>
            <w:r w:rsidR="008A2AC2">
              <w:rPr>
                <w:noProof/>
                <w:webHidden/>
              </w:rPr>
              <w:t>181</w:t>
            </w:r>
            <w:r w:rsidR="007D5C30">
              <w:rPr>
                <w:noProof/>
                <w:webHidden/>
              </w:rPr>
              <w:fldChar w:fldCharType="end"/>
            </w:r>
          </w:hyperlink>
        </w:p>
        <w:p w14:paraId="0368824B" w14:textId="77777777" w:rsidR="007D5C30" w:rsidRDefault="00EE2A70">
          <w:pPr>
            <w:pStyle w:val="TOC2"/>
            <w:tabs>
              <w:tab w:val="right" w:leader="dot" w:pos="10456"/>
            </w:tabs>
            <w:rPr>
              <w:b w:val="0"/>
              <w:noProof/>
            </w:rPr>
          </w:pPr>
          <w:hyperlink w:anchor="_Toc1747400" w:history="1">
            <w:r w:rsidR="007D5C30" w:rsidRPr="008C2D9C">
              <w:rPr>
                <w:rStyle w:val="Hyperlink"/>
                <w:noProof/>
              </w:rPr>
              <w:t>Legionellosis</w:t>
            </w:r>
            <w:r w:rsidR="007D5C30">
              <w:rPr>
                <w:noProof/>
                <w:webHidden/>
              </w:rPr>
              <w:tab/>
            </w:r>
            <w:r w:rsidR="007D5C30">
              <w:rPr>
                <w:noProof/>
                <w:webHidden/>
              </w:rPr>
              <w:fldChar w:fldCharType="begin"/>
            </w:r>
            <w:r w:rsidR="007D5C30">
              <w:rPr>
                <w:noProof/>
                <w:webHidden/>
              </w:rPr>
              <w:instrText xml:space="preserve"> PAGEREF _Toc1747400 \h </w:instrText>
            </w:r>
            <w:r w:rsidR="007D5C30">
              <w:rPr>
                <w:noProof/>
                <w:webHidden/>
              </w:rPr>
            </w:r>
            <w:r w:rsidR="007D5C30">
              <w:rPr>
                <w:noProof/>
                <w:webHidden/>
              </w:rPr>
              <w:fldChar w:fldCharType="separate"/>
            </w:r>
            <w:r w:rsidR="008A2AC2">
              <w:rPr>
                <w:noProof/>
                <w:webHidden/>
              </w:rPr>
              <w:t>182</w:t>
            </w:r>
            <w:r w:rsidR="007D5C30">
              <w:rPr>
                <w:noProof/>
                <w:webHidden/>
              </w:rPr>
              <w:fldChar w:fldCharType="end"/>
            </w:r>
          </w:hyperlink>
        </w:p>
        <w:p w14:paraId="5B5B2793" w14:textId="77777777" w:rsidR="007D5C30" w:rsidRDefault="00EE2A70">
          <w:pPr>
            <w:pStyle w:val="TOC3"/>
            <w:tabs>
              <w:tab w:val="right" w:leader="dot" w:pos="10456"/>
            </w:tabs>
            <w:rPr>
              <w:noProof/>
            </w:rPr>
          </w:pPr>
          <w:hyperlink w:anchor="_Toc1747401" w:history="1">
            <w:r w:rsidR="007D5C30" w:rsidRPr="008C2D9C">
              <w:rPr>
                <w:rStyle w:val="Hyperlink"/>
                <w:noProof/>
              </w:rPr>
              <w:t>Epidemiological situation in 2015</w:t>
            </w:r>
            <w:r w:rsidR="007D5C30">
              <w:rPr>
                <w:noProof/>
                <w:webHidden/>
              </w:rPr>
              <w:tab/>
            </w:r>
            <w:r w:rsidR="007D5C30">
              <w:rPr>
                <w:noProof/>
                <w:webHidden/>
              </w:rPr>
              <w:fldChar w:fldCharType="begin"/>
            </w:r>
            <w:r w:rsidR="007D5C30">
              <w:rPr>
                <w:noProof/>
                <w:webHidden/>
              </w:rPr>
              <w:instrText xml:space="preserve"> PAGEREF _Toc1747401 \h </w:instrText>
            </w:r>
            <w:r w:rsidR="007D5C30">
              <w:rPr>
                <w:noProof/>
                <w:webHidden/>
              </w:rPr>
            </w:r>
            <w:r w:rsidR="007D5C30">
              <w:rPr>
                <w:noProof/>
                <w:webHidden/>
              </w:rPr>
              <w:fldChar w:fldCharType="separate"/>
            </w:r>
            <w:r w:rsidR="008A2AC2">
              <w:rPr>
                <w:noProof/>
                <w:webHidden/>
              </w:rPr>
              <w:t>182</w:t>
            </w:r>
            <w:r w:rsidR="007D5C30">
              <w:rPr>
                <w:noProof/>
                <w:webHidden/>
              </w:rPr>
              <w:fldChar w:fldCharType="end"/>
            </w:r>
          </w:hyperlink>
        </w:p>
        <w:p w14:paraId="530A124F" w14:textId="77777777" w:rsidR="007D5C30" w:rsidRDefault="00EE2A70">
          <w:pPr>
            <w:pStyle w:val="TOC2"/>
            <w:tabs>
              <w:tab w:val="right" w:leader="dot" w:pos="10456"/>
            </w:tabs>
            <w:rPr>
              <w:b w:val="0"/>
              <w:noProof/>
            </w:rPr>
          </w:pPr>
          <w:hyperlink w:anchor="_Toc1747402" w:history="1">
            <w:r w:rsidR="007D5C30" w:rsidRPr="008C2D9C">
              <w:rPr>
                <w:rStyle w:val="Hyperlink"/>
                <w:noProof/>
              </w:rPr>
              <w:t>Leprosy</w:t>
            </w:r>
            <w:r w:rsidR="007D5C30">
              <w:rPr>
                <w:noProof/>
                <w:webHidden/>
              </w:rPr>
              <w:tab/>
            </w:r>
            <w:r w:rsidR="007D5C30">
              <w:rPr>
                <w:noProof/>
                <w:webHidden/>
              </w:rPr>
              <w:fldChar w:fldCharType="begin"/>
            </w:r>
            <w:r w:rsidR="007D5C30">
              <w:rPr>
                <w:noProof/>
                <w:webHidden/>
              </w:rPr>
              <w:instrText xml:space="preserve"> PAGEREF _Toc1747402 \h </w:instrText>
            </w:r>
            <w:r w:rsidR="007D5C30">
              <w:rPr>
                <w:noProof/>
                <w:webHidden/>
              </w:rPr>
            </w:r>
            <w:r w:rsidR="007D5C30">
              <w:rPr>
                <w:noProof/>
                <w:webHidden/>
              </w:rPr>
              <w:fldChar w:fldCharType="separate"/>
            </w:r>
            <w:r w:rsidR="008A2AC2">
              <w:rPr>
                <w:noProof/>
                <w:webHidden/>
              </w:rPr>
              <w:t>187</w:t>
            </w:r>
            <w:r w:rsidR="007D5C30">
              <w:rPr>
                <w:noProof/>
                <w:webHidden/>
              </w:rPr>
              <w:fldChar w:fldCharType="end"/>
            </w:r>
          </w:hyperlink>
        </w:p>
        <w:p w14:paraId="446D4DB8" w14:textId="77777777" w:rsidR="007D5C30" w:rsidRDefault="00EE2A70">
          <w:pPr>
            <w:pStyle w:val="TOC3"/>
            <w:tabs>
              <w:tab w:val="right" w:leader="dot" w:pos="10456"/>
            </w:tabs>
            <w:rPr>
              <w:noProof/>
            </w:rPr>
          </w:pPr>
          <w:hyperlink w:anchor="_Toc1747403" w:history="1">
            <w:r w:rsidR="007D5C30" w:rsidRPr="008C2D9C">
              <w:rPr>
                <w:rStyle w:val="Hyperlink"/>
                <w:noProof/>
              </w:rPr>
              <w:t>Epidemiological situation in 2015</w:t>
            </w:r>
            <w:r w:rsidR="007D5C30">
              <w:rPr>
                <w:noProof/>
                <w:webHidden/>
              </w:rPr>
              <w:tab/>
            </w:r>
            <w:r w:rsidR="007D5C30">
              <w:rPr>
                <w:noProof/>
                <w:webHidden/>
              </w:rPr>
              <w:fldChar w:fldCharType="begin"/>
            </w:r>
            <w:r w:rsidR="007D5C30">
              <w:rPr>
                <w:noProof/>
                <w:webHidden/>
              </w:rPr>
              <w:instrText xml:space="preserve"> PAGEREF _Toc1747403 \h </w:instrText>
            </w:r>
            <w:r w:rsidR="007D5C30">
              <w:rPr>
                <w:noProof/>
                <w:webHidden/>
              </w:rPr>
            </w:r>
            <w:r w:rsidR="007D5C30">
              <w:rPr>
                <w:noProof/>
                <w:webHidden/>
              </w:rPr>
              <w:fldChar w:fldCharType="separate"/>
            </w:r>
            <w:r w:rsidR="008A2AC2">
              <w:rPr>
                <w:noProof/>
                <w:webHidden/>
              </w:rPr>
              <w:t>187</w:t>
            </w:r>
            <w:r w:rsidR="007D5C30">
              <w:rPr>
                <w:noProof/>
                <w:webHidden/>
              </w:rPr>
              <w:fldChar w:fldCharType="end"/>
            </w:r>
          </w:hyperlink>
        </w:p>
        <w:p w14:paraId="304B70B3" w14:textId="77777777" w:rsidR="007D5C30" w:rsidRDefault="00EE2A70">
          <w:pPr>
            <w:pStyle w:val="TOC2"/>
            <w:tabs>
              <w:tab w:val="right" w:leader="dot" w:pos="10456"/>
            </w:tabs>
            <w:rPr>
              <w:b w:val="0"/>
              <w:noProof/>
            </w:rPr>
          </w:pPr>
          <w:hyperlink w:anchor="_Toc1747404" w:history="1">
            <w:r w:rsidR="007D5C30" w:rsidRPr="008C2D9C">
              <w:rPr>
                <w:rStyle w:val="Hyperlink"/>
                <w:noProof/>
              </w:rPr>
              <w:t>Meningococcal Disease (invasive)</w:t>
            </w:r>
            <w:r w:rsidR="007D5C30">
              <w:rPr>
                <w:noProof/>
                <w:webHidden/>
              </w:rPr>
              <w:tab/>
            </w:r>
            <w:r w:rsidR="007D5C30">
              <w:rPr>
                <w:noProof/>
                <w:webHidden/>
              </w:rPr>
              <w:fldChar w:fldCharType="begin"/>
            </w:r>
            <w:r w:rsidR="007D5C30">
              <w:rPr>
                <w:noProof/>
                <w:webHidden/>
              </w:rPr>
              <w:instrText xml:space="preserve"> PAGEREF _Toc1747404 \h </w:instrText>
            </w:r>
            <w:r w:rsidR="007D5C30">
              <w:rPr>
                <w:noProof/>
                <w:webHidden/>
              </w:rPr>
            </w:r>
            <w:r w:rsidR="007D5C30">
              <w:rPr>
                <w:noProof/>
                <w:webHidden/>
              </w:rPr>
              <w:fldChar w:fldCharType="separate"/>
            </w:r>
            <w:r w:rsidR="008A2AC2">
              <w:rPr>
                <w:noProof/>
                <w:webHidden/>
              </w:rPr>
              <w:t>188</w:t>
            </w:r>
            <w:r w:rsidR="007D5C30">
              <w:rPr>
                <w:noProof/>
                <w:webHidden/>
              </w:rPr>
              <w:fldChar w:fldCharType="end"/>
            </w:r>
          </w:hyperlink>
        </w:p>
        <w:p w14:paraId="592F493C" w14:textId="77777777" w:rsidR="007D5C30" w:rsidRDefault="00EE2A70">
          <w:pPr>
            <w:pStyle w:val="TOC3"/>
            <w:tabs>
              <w:tab w:val="right" w:leader="dot" w:pos="10456"/>
            </w:tabs>
            <w:rPr>
              <w:noProof/>
            </w:rPr>
          </w:pPr>
          <w:hyperlink w:anchor="_Toc1747405" w:history="1">
            <w:r w:rsidR="007D5C30" w:rsidRPr="008C2D9C">
              <w:rPr>
                <w:rStyle w:val="Hyperlink"/>
                <w:noProof/>
              </w:rPr>
              <w:t>Epidemiological situation in 2015</w:t>
            </w:r>
            <w:r w:rsidR="007D5C30">
              <w:rPr>
                <w:noProof/>
                <w:webHidden/>
              </w:rPr>
              <w:tab/>
            </w:r>
            <w:r w:rsidR="007D5C30">
              <w:rPr>
                <w:noProof/>
                <w:webHidden/>
              </w:rPr>
              <w:fldChar w:fldCharType="begin"/>
            </w:r>
            <w:r w:rsidR="007D5C30">
              <w:rPr>
                <w:noProof/>
                <w:webHidden/>
              </w:rPr>
              <w:instrText xml:space="preserve"> PAGEREF _Toc1747405 \h </w:instrText>
            </w:r>
            <w:r w:rsidR="007D5C30">
              <w:rPr>
                <w:noProof/>
                <w:webHidden/>
              </w:rPr>
            </w:r>
            <w:r w:rsidR="007D5C30">
              <w:rPr>
                <w:noProof/>
                <w:webHidden/>
              </w:rPr>
              <w:fldChar w:fldCharType="separate"/>
            </w:r>
            <w:r w:rsidR="008A2AC2">
              <w:rPr>
                <w:noProof/>
                <w:webHidden/>
              </w:rPr>
              <w:t>188</w:t>
            </w:r>
            <w:r w:rsidR="007D5C30">
              <w:rPr>
                <w:noProof/>
                <w:webHidden/>
              </w:rPr>
              <w:fldChar w:fldCharType="end"/>
            </w:r>
          </w:hyperlink>
        </w:p>
        <w:p w14:paraId="06196435" w14:textId="77777777" w:rsidR="007D5C30" w:rsidRDefault="00EE2A70">
          <w:pPr>
            <w:pStyle w:val="TOC3"/>
            <w:tabs>
              <w:tab w:val="right" w:leader="dot" w:pos="10456"/>
            </w:tabs>
            <w:rPr>
              <w:noProof/>
            </w:rPr>
          </w:pPr>
          <w:hyperlink w:anchor="_Toc1747406" w:history="1">
            <w:r w:rsidR="007D5C30" w:rsidRPr="008C2D9C">
              <w:rPr>
                <w:rStyle w:val="Hyperlink"/>
                <w:noProof/>
              </w:rPr>
              <w:t>Discussion</w:t>
            </w:r>
            <w:r w:rsidR="007D5C30">
              <w:rPr>
                <w:noProof/>
                <w:webHidden/>
              </w:rPr>
              <w:tab/>
            </w:r>
            <w:r w:rsidR="007D5C30">
              <w:rPr>
                <w:noProof/>
                <w:webHidden/>
              </w:rPr>
              <w:fldChar w:fldCharType="begin"/>
            </w:r>
            <w:r w:rsidR="007D5C30">
              <w:rPr>
                <w:noProof/>
                <w:webHidden/>
              </w:rPr>
              <w:instrText xml:space="preserve"> PAGEREF _Toc1747406 \h </w:instrText>
            </w:r>
            <w:r w:rsidR="007D5C30">
              <w:rPr>
                <w:noProof/>
                <w:webHidden/>
              </w:rPr>
            </w:r>
            <w:r w:rsidR="007D5C30">
              <w:rPr>
                <w:noProof/>
                <w:webHidden/>
              </w:rPr>
              <w:fldChar w:fldCharType="separate"/>
            </w:r>
            <w:r w:rsidR="008A2AC2">
              <w:rPr>
                <w:noProof/>
                <w:webHidden/>
              </w:rPr>
              <w:t>194</w:t>
            </w:r>
            <w:r w:rsidR="007D5C30">
              <w:rPr>
                <w:noProof/>
                <w:webHidden/>
              </w:rPr>
              <w:fldChar w:fldCharType="end"/>
            </w:r>
          </w:hyperlink>
        </w:p>
        <w:p w14:paraId="1725FDD4" w14:textId="77777777" w:rsidR="007D5C30" w:rsidRDefault="00EE2A70">
          <w:pPr>
            <w:pStyle w:val="TOC2"/>
            <w:tabs>
              <w:tab w:val="right" w:leader="dot" w:pos="10456"/>
            </w:tabs>
            <w:rPr>
              <w:b w:val="0"/>
              <w:noProof/>
            </w:rPr>
          </w:pPr>
          <w:hyperlink w:anchor="_Toc1747407" w:history="1">
            <w:r w:rsidR="007D5C30" w:rsidRPr="008C2D9C">
              <w:rPr>
                <w:rStyle w:val="Hyperlink"/>
                <w:noProof/>
              </w:rPr>
              <w:t>Tuberculosis</w:t>
            </w:r>
            <w:r w:rsidR="007D5C30">
              <w:rPr>
                <w:noProof/>
                <w:webHidden/>
              </w:rPr>
              <w:tab/>
            </w:r>
            <w:r w:rsidR="007D5C30">
              <w:rPr>
                <w:noProof/>
                <w:webHidden/>
              </w:rPr>
              <w:fldChar w:fldCharType="begin"/>
            </w:r>
            <w:r w:rsidR="007D5C30">
              <w:rPr>
                <w:noProof/>
                <w:webHidden/>
              </w:rPr>
              <w:instrText xml:space="preserve"> PAGEREF _Toc1747407 \h </w:instrText>
            </w:r>
            <w:r w:rsidR="007D5C30">
              <w:rPr>
                <w:noProof/>
                <w:webHidden/>
              </w:rPr>
            </w:r>
            <w:r w:rsidR="007D5C30">
              <w:rPr>
                <w:noProof/>
                <w:webHidden/>
              </w:rPr>
              <w:fldChar w:fldCharType="separate"/>
            </w:r>
            <w:r w:rsidR="008A2AC2">
              <w:rPr>
                <w:noProof/>
                <w:webHidden/>
              </w:rPr>
              <w:t>194</w:t>
            </w:r>
            <w:r w:rsidR="007D5C30">
              <w:rPr>
                <w:noProof/>
                <w:webHidden/>
              </w:rPr>
              <w:fldChar w:fldCharType="end"/>
            </w:r>
          </w:hyperlink>
        </w:p>
        <w:p w14:paraId="278766D0" w14:textId="77777777" w:rsidR="007D5C30" w:rsidRDefault="00EE2A70">
          <w:pPr>
            <w:pStyle w:val="TOC3"/>
            <w:tabs>
              <w:tab w:val="right" w:leader="dot" w:pos="10456"/>
            </w:tabs>
            <w:rPr>
              <w:noProof/>
            </w:rPr>
          </w:pPr>
          <w:hyperlink w:anchor="_Toc1747408" w:history="1">
            <w:r w:rsidR="007D5C30" w:rsidRPr="008C2D9C">
              <w:rPr>
                <w:rStyle w:val="Hyperlink"/>
                <w:noProof/>
              </w:rPr>
              <w:t>Epidemiological situation in 2015</w:t>
            </w:r>
            <w:r w:rsidR="007D5C30">
              <w:rPr>
                <w:noProof/>
                <w:webHidden/>
              </w:rPr>
              <w:tab/>
            </w:r>
            <w:r w:rsidR="007D5C30">
              <w:rPr>
                <w:noProof/>
                <w:webHidden/>
              </w:rPr>
              <w:fldChar w:fldCharType="begin"/>
            </w:r>
            <w:r w:rsidR="007D5C30">
              <w:rPr>
                <w:noProof/>
                <w:webHidden/>
              </w:rPr>
              <w:instrText xml:space="preserve"> PAGEREF _Toc1747408 \h </w:instrText>
            </w:r>
            <w:r w:rsidR="007D5C30">
              <w:rPr>
                <w:noProof/>
                <w:webHidden/>
              </w:rPr>
            </w:r>
            <w:r w:rsidR="007D5C30">
              <w:rPr>
                <w:noProof/>
                <w:webHidden/>
              </w:rPr>
              <w:fldChar w:fldCharType="separate"/>
            </w:r>
            <w:r w:rsidR="008A2AC2">
              <w:rPr>
                <w:noProof/>
                <w:webHidden/>
              </w:rPr>
              <w:t>194</w:t>
            </w:r>
            <w:r w:rsidR="007D5C30">
              <w:rPr>
                <w:noProof/>
                <w:webHidden/>
              </w:rPr>
              <w:fldChar w:fldCharType="end"/>
            </w:r>
          </w:hyperlink>
        </w:p>
        <w:p w14:paraId="10800744" w14:textId="77777777" w:rsidR="007D5C30" w:rsidRDefault="00EE2A70">
          <w:pPr>
            <w:pStyle w:val="TOC3"/>
            <w:tabs>
              <w:tab w:val="right" w:leader="dot" w:pos="10456"/>
            </w:tabs>
            <w:rPr>
              <w:noProof/>
            </w:rPr>
          </w:pPr>
          <w:hyperlink w:anchor="_Toc1747409" w:history="1">
            <w:r w:rsidR="007D5C30" w:rsidRPr="008C2D9C">
              <w:rPr>
                <w:rStyle w:val="Hyperlink"/>
                <w:noProof/>
              </w:rPr>
              <w:t>Geographic distribution</w:t>
            </w:r>
            <w:r w:rsidR="007D5C30">
              <w:rPr>
                <w:noProof/>
                <w:webHidden/>
              </w:rPr>
              <w:tab/>
            </w:r>
            <w:r w:rsidR="007D5C30">
              <w:rPr>
                <w:noProof/>
                <w:webHidden/>
              </w:rPr>
              <w:fldChar w:fldCharType="begin"/>
            </w:r>
            <w:r w:rsidR="007D5C30">
              <w:rPr>
                <w:noProof/>
                <w:webHidden/>
              </w:rPr>
              <w:instrText xml:space="preserve"> PAGEREF _Toc1747409 \h </w:instrText>
            </w:r>
            <w:r w:rsidR="007D5C30">
              <w:rPr>
                <w:noProof/>
                <w:webHidden/>
              </w:rPr>
            </w:r>
            <w:r w:rsidR="007D5C30">
              <w:rPr>
                <w:noProof/>
                <w:webHidden/>
              </w:rPr>
              <w:fldChar w:fldCharType="separate"/>
            </w:r>
            <w:r w:rsidR="008A2AC2">
              <w:rPr>
                <w:noProof/>
                <w:webHidden/>
              </w:rPr>
              <w:t>195</w:t>
            </w:r>
            <w:r w:rsidR="007D5C30">
              <w:rPr>
                <w:noProof/>
                <w:webHidden/>
              </w:rPr>
              <w:fldChar w:fldCharType="end"/>
            </w:r>
          </w:hyperlink>
        </w:p>
        <w:p w14:paraId="1AA37D0B" w14:textId="77777777" w:rsidR="007D5C30" w:rsidRDefault="00EE2A70">
          <w:pPr>
            <w:pStyle w:val="TOC1"/>
            <w:tabs>
              <w:tab w:val="right" w:leader="dot" w:pos="10456"/>
            </w:tabs>
            <w:rPr>
              <w:b w:val="0"/>
              <w:caps w:val="0"/>
              <w:noProof/>
            </w:rPr>
          </w:pPr>
          <w:hyperlink w:anchor="_Toc1747410" w:history="1">
            <w:r w:rsidR="007D5C30" w:rsidRPr="008C2D9C">
              <w:rPr>
                <w:rStyle w:val="Hyperlink"/>
                <w:noProof/>
              </w:rPr>
              <w:t>Appendices</w:t>
            </w:r>
            <w:r w:rsidR="007D5C30">
              <w:rPr>
                <w:noProof/>
                <w:webHidden/>
              </w:rPr>
              <w:tab/>
            </w:r>
            <w:r w:rsidR="007D5C30">
              <w:rPr>
                <w:noProof/>
                <w:webHidden/>
              </w:rPr>
              <w:fldChar w:fldCharType="begin"/>
            </w:r>
            <w:r w:rsidR="007D5C30">
              <w:rPr>
                <w:noProof/>
                <w:webHidden/>
              </w:rPr>
              <w:instrText xml:space="preserve"> PAGEREF _Toc1747410 \h </w:instrText>
            </w:r>
            <w:r w:rsidR="007D5C30">
              <w:rPr>
                <w:noProof/>
                <w:webHidden/>
              </w:rPr>
            </w:r>
            <w:r w:rsidR="007D5C30">
              <w:rPr>
                <w:noProof/>
                <w:webHidden/>
              </w:rPr>
              <w:fldChar w:fldCharType="separate"/>
            </w:r>
            <w:r w:rsidR="008A2AC2">
              <w:rPr>
                <w:noProof/>
                <w:webHidden/>
              </w:rPr>
              <w:t>197</w:t>
            </w:r>
            <w:r w:rsidR="007D5C30">
              <w:rPr>
                <w:noProof/>
                <w:webHidden/>
              </w:rPr>
              <w:fldChar w:fldCharType="end"/>
            </w:r>
          </w:hyperlink>
        </w:p>
        <w:p w14:paraId="0D00D176" w14:textId="77777777" w:rsidR="007D5C30" w:rsidRDefault="00EE2A70">
          <w:pPr>
            <w:pStyle w:val="TOC2"/>
            <w:tabs>
              <w:tab w:val="right" w:leader="dot" w:pos="10456"/>
            </w:tabs>
            <w:rPr>
              <w:b w:val="0"/>
              <w:noProof/>
            </w:rPr>
          </w:pPr>
          <w:hyperlink w:anchor="_Toc1747411" w:history="1">
            <w:r w:rsidR="007D5C30" w:rsidRPr="008C2D9C">
              <w:rPr>
                <w:rStyle w:val="Hyperlink"/>
                <w:noProof/>
              </w:rPr>
              <w:t>Appendix 1</w:t>
            </w:r>
            <w:r w:rsidR="007D5C30">
              <w:rPr>
                <w:noProof/>
                <w:webHidden/>
              </w:rPr>
              <w:tab/>
            </w:r>
            <w:r w:rsidR="007D5C30">
              <w:rPr>
                <w:noProof/>
                <w:webHidden/>
              </w:rPr>
              <w:fldChar w:fldCharType="begin"/>
            </w:r>
            <w:r w:rsidR="007D5C30">
              <w:rPr>
                <w:noProof/>
                <w:webHidden/>
              </w:rPr>
              <w:instrText xml:space="preserve"> PAGEREF _Toc1747411 \h </w:instrText>
            </w:r>
            <w:r w:rsidR="007D5C30">
              <w:rPr>
                <w:noProof/>
                <w:webHidden/>
              </w:rPr>
            </w:r>
            <w:r w:rsidR="007D5C30">
              <w:rPr>
                <w:noProof/>
                <w:webHidden/>
              </w:rPr>
              <w:fldChar w:fldCharType="separate"/>
            </w:r>
            <w:r w:rsidR="008A2AC2">
              <w:rPr>
                <w:noProof/>
                <w:webHidden/>
              </w:rPr>
              <w:t>197</w:t>
            </w:r>
            <w:r w:rsidR="007D5C30">
              <w:rPr>
                <w:noProof/>
                <w:webHidden/>
              </w:rPr>
              <w:fldChar w:fldCharType="end"/>
            </w:r>
          </w:hyperlink>
        </w:p>
        <w:p w14:paraId="737053C3" w14:textId="77777777" w:rsidR="007D5C30" w:rsidRDefault="00EE2A70">
          <w:pPr>
            <w:pStyle w:val="TOC2"/>
            <w:tabs>
              <w:tab w:val="right" w:leader="dot" w:pos="10456"/>
            </w:tabs>
            <w:rPr>
              <w:b w:val="0"/>
              <w:noProof/>
            </w:rPr>
          </w:pPr>
          <w:hyperlink w:anchor="_Toc1747412" w:history="1">
            <w:r w:rsidR="007D5C30" w:rsidRPr="008C2D9C">
              <w:rPr>
                <w:rStyle w:val="Hyperlink"/>
                <w:noProof/>
              </w:rPr>
              <w:t>Appendix 2</w:t>
            </w:r>
            <w:r w:rsidR="007D5C30">
              <w:rPr>
                <w:noProof/>
                <w:webHidden/>
              </w:rPr>
              <w:tab/>
            </w:r>
            <w:r w:rsidR="007D5C30">
              <w:rPr>
                <w:noProof/>
                <w:webHidden/>
              </w:rPr>
              <w:fldChar w:fldCharType="begin"/>
            </w:r>
            <w:r w:rsidR="007D5C30">
              <w:rPr>
                <w:noProof/>
                <w:webHidden/>
              </w:rPr>
              <w:instrText xml:space="preserve"> PAGEREF _Toc1747412 \h </w:instrText>
            </w:r>
            <w:r w:rsidR="007D5C30">
              <w:rPr>
                <w:noProof/>
                <w:webHidden/>
              </w:rPr>
            </w:r>
            <w:r w:rsidR="007D5C30">
              <w:rPr>
                <w:noProof/>
                <w:webHidden/>
              </w:rPr>
              <w:fldChar w:fldCharType="separate"/>
            </w:r>
            <w:r w:rsidR="008A2AC2">
              <w:rPr>
                <w:noProof/>
                <w:webHidden/>
              </w:rPr>
              <w:t>197</w:t>
            </w:r>
            <w:r w:rsidR="007D5C30">
              <w:rPr>
                <w:noProof/>
                <w:webHidden/>
              </w:rPr>
              <w:fldChar w:fldCharType="end"/>
            </w:r>
          </w:hyperlink>
        </w:p>
        <w:p w14:paraId="374A4D03" w14:textId="77777777" w:rsidR="007D5C30" w:rsidRDefault="00EE2A70">
          <w:pPr>
            <w:pStyle w:val="TOC2"/>
            <w:tabs>
              <w:tab w:val="right" w:leader="dot" w:pos="10456"/>
            </w:tabs>
            <w:rPr>
              <w:b w:val="0"/>
              <w:noProof/>
            </w:rPr>
          </w:pPr>
          <w:hyperlink w:anchor="_Toc1747413" w:history="1">
            <w:r w:rsidR="007D5C30" w:rsidRPr="008C2D9C">
              <w:rPr>
                <w:rStyle w:val="Hyperlink"/>
                <w:noProof/>
              </w:rPr>
              <w:t>Appendix 3</w:t>
            </w:r>
            <w:r w:rsidR="007D5C30">
              <w:rPr>
                <w:noProof/>
                <w:webHidden/>
              </w:rPr>
              <w:tab/>
            </w:r>
            <w:r w:rsidR="007D5C30">
              <w:rPr>
                <w:noProof/>
                <w:webHidden/>
              </w:rPr>
              <w:fldChar w:fldCharType="begin"/>
            </w:r>
            <w:r w:rsidR="007D5C30">
              <w:rPr>
                <w:noProof/>
                <w:webHidden/>
              </w:rPr>
              <w:instrText xml:space="preserve"> PAGEREF _Toc1747413 \h </w:instrText>
            </w:r>
            <w:r w:rsidR="007D5C30">
              <w:rPr>
                <w:noProof/>
                <w:webHidden/>
              </w:rPr>
            </w:r>
            <w:r w:rsidR="007D5C30">
              <w:rPr>
                <w:noProof/>
                <w:webHidden/>
              </w:rPr>
              <w:fldChar w:fldCharType="separate"/>
            </w:r>
            <w:r w:rsidR="008A2AC2">
              <w:rPr>
                <w:noProof/>
                <w:webHidden/>
              </w:rPr>
              <w:t>199</w:t>
            </w:r>
            <w:r w:rsidR="007D5C30">
              <w:rPr>
                <w:noProof/>
                <w:webHidden/>
              </w:rPr>
              <w:fldChar w:fldCharType="end"/>
            </w:r>
          </w:hyperlink>
        </w:p>
        <w:p w14:paraId="38793898" w14:textId="77777777" w:rsidR="007D5C30" w:rsidRDefault="00EE2A70">
          <w:pPr>
            <w:pStyle w:val="TOC1"/>
            <w:tabs>
              <w:tab w:val="right" w:leader="dot" w:pos="10456"/>
            </w:tabs>
            <w:rPr>
              <w:b w:val="0"/>
              <w:caps w:val="0"/>
              <w:noProof/>
            </w:rPr>
          </w:pPr>
          <w:hyperlink w:anchor="_Toc1747414" w:history="1">
            <w:r w:rsidR="007D5C30" w:rsidRPr="008C2D9C">
              <w:rPr>
                <w:rStyle w:val="Hyperlink"/>
                <w:noProof/>
              </w:rPr>
              <w:t>Abbreviations</w:t>
            </w:r>
            <w:r w:rsidR="007D5C30">
              <w:rPr>
                <w:noProof/>
                <w:webHidden/>
              </w:rPr>
              <w:tab/>
            </w:r>
            <w:r w:rsidR="007D5C30">
              <w:rPr>
                <w:noProof/>
                <w:webHidden/>
              </w:rPr>
              <w:fldChar w:fldCharType="begin"/>
            </w:r>
            <w:r w:rsidR="007D5C30">
              <w:rPr>
                <w:noProof/>
                <w:webHidden/>
              </w:rPr>
              <w:instrText xml:space="preserve"> PAGEREF _Toc1747414 \h </w:instrText>
            </w:r>
            <w:r w:rsidR="007D5C30">
              <w:rPr>
                <w:noProof/>
                <w:webHidden/>
              </w:rPr>
            </w:r>
            <w:r w:rsidR="007D5C30">
              <w:rPr>
                <w:noProof/>
                <w:webHidden/>
              </w:rPr>
              <w:fldChar w:fldCharType="separate"/>
            </w:r>
            <w:r w:rsidR="008A2AC2">
              <w:rPr>
                <w:noProof/>
                <w:webHidden/>
              </w:rPr>
              <w:t>203</w:t>
            </w:r>
            <w:r w:rsidR="007D5C30">
              <w:rPr>
                <w:noProof/>
                <w:webHidden/>
              </w:rPr>
              <w:fldChar w:fldCharType="end"/>
            </w:r>
          </w:hyperlink>
        </w:p>
        <w:p w14:paraId="1D7CE428" w14:textId="77777777" w:rsidR="007D5C30" w:rsidRDefault="00EE2A70">
          <w:pPr>
            <w:pStyle w:val="TOC1"/>
            <w:tabs>
              <w:tab w:val="right" w:leader="dot" w:pos="10456"/>
            </w:tabs>
            <w:rPr>
              <w:b w:val="0"/>
              <w:caps w:val="0"/>
              <w:noProof/>
            </w:rPr>
          </w:pPr>
          <w:hyperlink w:anchor="_Toc1747415" w:history="1">
            <w:r w:rsidR="007D5C30" w:rsidRPr="008C2D9C">
              <w:rPr>
                <w:rStyle w:val="Hyperlink"/>
                <w:noProof/>
              </w:rPr>
              <w:t>Acknowledgements</w:t>
            </w:r>
            <w:r w:rsidR="007D5C30">
              <w:rPr>
                <w:noProof/>
                <w:webHidden/>
              </w:rPr>
              <w:tab/>
            </w:r>
            <w:r w:rsidR="007D5C30">
              <w:rPr>
                <w:noProof/>
                <w:webHidden/>
              </w:rPr>
              <w:fldChar w:fldCharType="begin"/>
            </w:r>
            <w:r w:rsidR="007D5C30">
              <w:rPr>
                <w:noProof/>
                <w:webHidden/>
              </w:rPr>
              <w:instrText xml:space="preserve"> PAGEREF _Toc1747415 \h </w:instrText>
            </w:r>
            <w:r w:rsidR="007D5C30">
              <w:rPr>
                <w:noProof/>
                <w:webHidden/>
              </w:rPr>
            </w:r>
            <w:r w:rsidR="007D5C30">
              <w:rPr>
                <w:noProof/>
                <w:webHidden/>
              </w:rPr>
              <w:fldChar w:fldCharType="separate"/>
            </w:r>
            <w:r w:rsidR="008A2AC2">
              <w:rPr>
                <w:noProof/>
                <w:webHidden/>
              </w:rPr>
              <w:t>205</w:t>
            </w:r>
            <w:r w:rsidR="007D5C30">
              <w:rPr>
                <w:noProof/>
                <w:webHidden/>
              </w:rPr>
              <w:fldChar w:fldCharType="end"/>
            </w:r>
          </w:hyperlink>
        </w:p>
        <w:p w14:paraId="5B498A34" w14:textId="77777777" w:rsidR="007D5C30" w:rsidRDefault="00EE2A70">
          <w:pPr>
            <w:pStyle w:val="TOC1"/>
            <w:tabs>
              <w:tab w:val="right" w:leader="dot" w:pos="10456"/>
            </w:tabs>
            <w:rPr>
              <w:b w:val="0"/>
              <w:caps w:val="0"/>
              <w:noProof/>
            </w:rPr>
          </w:pPr>
          <w:hyperlink w:anchor="_Toc1747416" w:history="1">
            <w:r w:rsidR="007D5C30" w:rsidRPr="008C2D9C">
              <w:rPr>
                <w:rStyle w:val="Hyperlink"/>
                <w:noProof/>
              </w:rPr>
              <w:t>Author details</w:t>
            </w:r>
            <w:r w:rsidR="007D5C30">
              <w:rPr>
                <w:noProof/>
                <w:webHidden/>
              </w:rPr>
              <w:tab/>
            </w:r>
            <w:r w:rsidR="007D5C30">
              <w:rPr>
                <w:noProof/>
                <w:webHidden/>
              </w:rPr>
              <w:fldChar w:fldCharType="begin"/>
            </w:r>
            <w:r w:rsidR="007D5C30">
              <w:rPr>
                <w:noProof/>
                <w:webHidden/>
              </w:rPr>
              <w:instrText xml:space="preserve"> PAGEREF _Toc1747416 \h </w:instrText>
            </w:r>
            <w:r w:rsidR="007D5C30">
              <w:rPr>
                <w:noProof/>
                <w:webHidden/>
              </w:rPr>
            </w:r>
            <w:r w:rsidR="007D5C30">
              <w:rPr>
                <w:noProof/>
                <w:webHidden/>
              </w:rPr>
              <w:fldChar w:fldCharType="separate"/>
            </w:r>
            <w:r w:rsidR="008A2AC2">
              <w:rPr>
                <w:noProof/>
                <w:webHidden/>
              </w:rPr>
              <w:t>205</w:t>
            </w:r>
            <w:r w:rsidR="007D5C30">
              <w:rPr>
                <w:noProof/>
                <w:webHidden/>
              </w:rPr>
              <w:fldChar w:fldCharType="end"/>
            </w:r>
          </w:hyperlink>
        </w:p>
        <w:p w14:paraId="2F47C528" w14:textId="77777777" w:rsidR="007D5C30" w:rsidRDefault="00EE2A70">
          <w:pPr>
            <w:pStyle w:val="TOC2"/>
            <w:tabs>
              <w:tab w:val="right" w:leader="dot" w:pos="10456"/>
            </w:tabs>
            <w:rPr>
              <w:b w:val="0"/>
              <w:noProof/>
            </w:rPr>
          </w:pPr>
          <w:hyperlink w:anchor="_Toc1747417" w:history="1">
            <w:r w:rsidR="007D5C30" w:rsidRPr="008C2D9C">
              <w:rPr>
                <w:rStyle w:val="Hyperlink"/>
                <w:noProof/>
              </w:rPr>
              <w:t>With contributions from:</w:t>
            </w:r>
            <w:r w:rsidR="007D5C30">
              <w:rPr>
                <w:noProof/>
                <w:webHidden/>
              </w:rPr>
              <w:tab/>
            </w:r>
            <w:r w:rsidR="007D5C30">
              <w:rPr>
                <w:noProof/>
                <w:webHidden/>
              </w:rPr>
              <w:fldChar w:fldCharType="begin"/>
            </w:r>
            <w:r w:rsidR="007D5C30">
              <w:rPr>
                <w:noProof/>
                <w:webHidden/>
              </w:rPr>
              <w:instrText xml:space="preserve"> PAGEREF _Toc1747417 \h </w:instrText>
            </w:r>
            <w:r w:rsidR="007D5C30">
              <w:rPr>
                <w:noProof/>
                <w:webHidden/>
              </w:rPr>
            </w:r>
            <w:r w:rsidR="007D5C30">
              <w:rPr>
                <w:noProof/>
                <w:webHidden/>
              </w:rPr>
              <w:fldChar w:fldCharType="separate"/>
            </w:r>
            <w:r w:rsidR="008A2AC2">
              <w:rPr>
                <w:noProof/>
                <w:webHidden/>
              </w:rPr>
              <w:t>205</w:t>
            </w:r>
            <w:r w:rsidR="007D5C30">
              <w:rPr>
                <w:noProof/>
                <w:webHidden/>
              </w:rPr>
              <w:fldChar w:fldCharType="end"/>
            </w:r>
          </w:hyperlink>
        </w:p>
        <w:p w14:paraId="6F636852" w14:textId="77777777" w:rsidR="007D5C30" w:rsidRDefault="00EE2A70">
          <w:pPr>
            <w:pStyle w:val="TOC3"/>
            <w:tabs>
              <w:tab w:val="right" w:leader="dot" w:pos="10456"/>
            </w:tabs>
            <w:rPr>
              <w:noProof/>
            </w:rPr>
          </w:pPr>
          <w:hyperlink w:anchor="_Toc1747418" w:history="1">
            <w:r w:rsidR="007D5C30" w:rsidRPr="008C2D9C">
              <w:rPr>
                <w:rStyle w:val="Hyperlink"/>
                <w:noProof/>
              </w:rPr>
              <w:t>National organisations</w:t>
            </w:r>
            <w:r w:rsidR="007D5C30">
              <w:rPr>
                <w:noProof/>
                <w:webHidden/>
              </w:rPr>
              <w:tab/>
            </w:r>
            <w:r w:rsidR="007D5C30">
              <w:rPr>
                <w:noProof/>
                <w:webHidden/>
              </w:rPr>
              <w:fldChar w:fldCharType="begin"/>
            </w:r>
            <w:r w:rsidR="007D5C30">
              <w:rPr>
                <w:noProof/>
                <w:webHidden/>
              </w:rPr>
              <w:instrText xml:space="preserve"> PAGEREF _Toc1747418 \h </w:instrText>
            </w:r>
            <w:r w:rsidR="007D5C30">
              <w:rPr>
                <w:noProof/>
                <w:webHidden/>
              </w:rPr>
            </w:r>
            <w:r w:rsidR="007D5C30">
              <w:rPr>
                <w:noProof/>
                <w:webHidden/>
              </w:rPr>
              <w:fldChar w:fldCharType="separate"/>
            </w:r>
            <w:r w:rsidR="008A2AC2">
              <w:rPr>
                <w:noProof/>
                <w:webHidden/>
              </w:rPr>
              <w:t>205</w:t>
            </w:r>
            <w:r w:rsidR="007D5C30">
              <w:rPr>
                <w:noProof/>
                <w:webHidden/>
              </w:rPr>
              <w:fldChar w:fldCharType="end"/>
            </w:r>
          </w:hyperlink>
        </w:p>
        <w:p w14:paraId="53A5F4FE" w14:textId="77777777" w:rsidR="007D5C30" w:rsidRDefault="00EE2A70">
          <w:pPr>
            <w:pStyle w:val="TOC1"/>
            <w:tabs>
              <w:tab w:val="right" w:leader="dot" w:pos="10456"/>
            </w:tabs>
            <w:rPr>
              <w:b w:val="0"/>
              <w:caps w:val="0"/>
              <w:noProof/>
            </w:rPr>
          </w:pPr>
          <w:hyperlink w:anchor="_Toc1747419" w:history="1">
            <w:r w:rsidR="007D5C30" w:rsidRPr="008C2D9C">
              <w:rPr>
                <w:rStyle w:val="Hyperlink"/>
                <w:noProof/>
              </w:rPr>
              <w:t>References</w:t>
            </w:r>
            <w:r w:rsidR="007D5C30">
              <w:rPr>
                <w:noProof/>
                <w:webHidden/>
              </w:rPr>
              <w:tab/>
            </w:r>
            <w:r w:rsidR="007D5C30">
              <w:rPr>
                <w:noProof/>
                <w:webHidden/>
              </w:rPr>
              <w:fldChar w:fldCharType="begin"/>
            </w:r>
            <w:r w:rsidR="007D5C30">
              <w:rPr>
                <w:noProof/>
                <w:webHidden/>
              </w:rPr>
              <w:instrText xml:space="preserve"> PAGEREF _Toc1747419 \h </w:instrText>
            </w:r>
            <w:r w:rsidR="007D5C30">
              <w:rPr>
                <w:noProof/>
                <w:webHidden/>
              </w:rPr>
            </w:r>
            <w:r w:rsidR="007D5C30">
              <w:rPr>
                <w:noProof/>
                <w:webHidden/>
              </w:rPr>
              <w:fldChar w:fldCharType="separate"/>
            </w:r>
            <w:r w:rsidR="008A2AC2">
              <w:rPr>
                <w:noProof/>
                <w:webHidden/>
              </w:rPr>
              <w:t>206</w:t>
            </w:r>
            <w:r w:rsidR="007D5C30">
              <w:rPr>
                <w:noProof/>
                <w:webHidden/>
              </w:rPr>
              <w:fldChar w:fldCharType="end"/>
            </w:r>
          </w:hyperlink>
        </w:p>
        <w:p w14:paraId="20B4A0FF" w14:textId="77777777" w:rsidR="00F019BE" w:rsidRDefault="004C4D4F">
          <w:r>
            <w:rPr>
              <w:b/>
              <w:bCs/>
              <w:caps/>
              <w:noProof/>
            </w:rPr>
            <w:fldChar w:fldCharType="end"/>
          </w:r>
        </w:p>
      </w:sdtContent>
    </w:sdt>
    <w:p w14:paraId="4C911F9E" w14:textId="77777777" w:rsidR="00F019BE" w:rsidRDefault="00F019BE" w:rsidP="00F019BE">
      <w:pPr>
        <w:rPr>
          <w:rFonts w:ascii="Myriad Pro Cond" w:eastAsiaTheme="majorEastAsia" w:hAnsi="Myriad Pro Cond" w:cstheme="majorBidi"/>
          <w:spacing w:val="5"/>
          <w:sz w:val="52"/>
          <w:szCs w:val="52"/>
        </w:rPr>
      </w:pPr>
      <w:r>
        <w:br w:type="page"/>
      </w:r>
    </w:p>
    <w:p w14:paraId="7676C716" w14:textId="77777777" w:rsidR="00E07A10" w:rsidRPr="004148E4" w:rsidRDefault="00BE61A2" w:rsidP="004148E4">
      <w:pPr>
        <w:pStyle w:val="Title"/>
      </w:pPr>
      <w:r w:rsidRPr="004148E4">
        <w:lastRenderedPageBreak/>
        <w:t>Australia’s n</w:t>
      </w:r>
      <w:r w:rsidR="00E07A10" w:rsidRPr="004148E4">
        <w:t>otifiable disease status, 2015:</w:t>
      </w:r>
    </w:p>
    <w:p w14:paraId="45C09D43" w14:textId="77777777" w:rsidR="00BE61A2" w:rsidRPr="004148E4" w:rsidRDefault="00BE61A2" w:rsidP="004148E4">
      <w:pPr>
        <w:pStyle w:val="Title"/>
      </w:pPr>
      <w:r w:rsidRPr="004148E4">
        <w:t>Annual report of the National Notifiable Diseases Surveillance</w:t>
      </w:r>
      <w:r w:rsidR="00AD273E" w:rsidRPr="004148E4">
        <w:t> </w:t>
      </w:r>
      <w:r w:rsidRPr="004148E4">
        <w:t>System</w:t>
      </w:r>
    </w:p>
    <w:p w14:paraId="095E005D" w14:textId="77777777" w:rsidR="00BE61A2" w:rsidRPr="00AE2F1B" w:rsidRDefault="00BE61A2" w:rsidP="0010296C">
      <w:r w:rsidRPr="00AE2F1B">
        <w:t>NNDSS Annual Report Working Group</w:t>
      </w:r>
    </w:p>
    <w:p w14:paraId="7640AE46" w14:textId="77777777" w:rsidR="00BE61A2" w:rsidRPr="00095AA3" w:rsidRDefault="00BE61A2" w:rsidP="00095AA3">
      <w:pPr>
        <w:pStyle w:val="Heading1"/>
      </w:pPr>
      <w:bookmarkStart w:id="0" w:name="_Toc1747154"/>
      <w:r w:rsidRPr="00095AA3">
        <w:t>Abstract</w:t>
      </w:r>
      <w:bookmarkEnd w:id="0"/>
    </w:p>
    <w:p w14:paraId="2A6AA001" w14:textId="77777777" w:rsidR="00BE61A2" w:rsidRDefault="00BE61A2" w:rsidP="00C171C9">
      <w:pPr>
        <w:jc w:val="both"/>
      </w:pPr>
      <w:r w:rsidRPr="00AE2F1B">
        <w:t xml:space="preserve">In 2015, 67 diseases and conditions were nationally notifiable in Australia. States and territories reported a total of 320,480 notifications of communicable diseases to the National Notifiable Diseases Surveillance System, an increase of 16% on the number of notifications in 2014. In 2015, the most frequently notified diseases were vaccine preventable diseases (147,569 notifications, 46% of total notifications), sexually transmissible infections (95,468 notifications, 30% of total notifications), and gastrointestinal diseases (45,326 notifications, 14% of total notifications). There were 17,337 notifications of bloodborne diseases; 12,253 notifications of </w:t>
      </w:r>
      <w:proofErr w:type="spellStart"/>
      <w:r w:rsidRPr="00AE2F1B">
        <w:t>vectorborne</w:t>
      </w:r>
      <w:proofErr w:type="spellEnd"/>
      <w:r w:rsidRPr="00AE2F1B">
        <w:t xml:space="preserve"> diseases; 1,815 notifications of other bacterial infections; 710 notifications of zoonoses and 2 notifications of quarantinable</w:t>
      </w:r>
      <w:r w:rsidR="008D29F9">
        <w:t> </w:t>
      </w:r>
      <w:r w:rsidRPr="00AE2F1B">
        <w:t>diseases.</w:t>
      </w:r>
    </w:p>
    <w:p w14:paraId="5789017B" w14:textId="77777777" w:rsidR="00BE61A2" w:rsidRPr="00095AA3" w:rsidRDefault="00BE61A2" w:rsidP="00095AA3">
      <w:pPr>
        <w:pStyle w:val="Heading1"/>
      </w:pPr>
      <w:bookmarkStart w:id="1" w:name="_Toc1747155"/>
      <w:r w:rsidRPr="00095AA3">
        <w:t>Introduction</w:t>
      </w:r>
      <w:bookmarkEnd w:id="1"/>
    </w:p>
    <w:p w14:paraId="3E0AB196" w14:textId="77777777" w:rsidR="00BE61A2" w:rsidRPr="00AE2F1B" w:rsidRDefault="00BE61A2" w:rsidP="00AE2F1B">
      <w:r w:rsidRPr="00AE2F1B">
        <w:t xml:space="preserve">Australia’s notifiable diseases status, 2015, is an annual surveillance report of nationally notifiable communicable diseases. Communicable disease surveillance in Australia operates at the national, </w:t>
      </w:r>
      <w:proofErr w:type="gramStart"/>
      <w:r w:rsidRPr="00AE2F1B">
        <w:t>jurisdictional</w:t>
      </w:r>
      <w:proofErr w:type="gramEnd"/>
      <w:r w:rsidRPr="00AE2F1B">
        <w:t xml:space="preserve"> and local levels. Primary responsibility for public health action lies with the state and territory health departments. The role of communicable disease surveillance at the national level includes:</w:t>
      </w:r>
    </w:p>
    <w:p w14:paraId="3B4BA288" w14:textId="77777777" w:rsidR="00BE61A2" w:rsidRPr="00C759E2" w:rsidRDefault="00BE61A2" w:rsidP="00D762CF">
      <w:pPr>
        <w:pStyle w:val="ListParagraph"/>
        <w:numPr>
          <w:ilvl w:val="0"/>
          <w:numId w:val="4"/>
        </w:numPr>
        <w:rPr>
          <w:rFonts w:eastAsia="Times New Roman"/>
        </w:rPr>
      </w:pPr>
      <w:r w:rsidRPr="00C759E2">
        <w:rPr>
          <w:rFonts w:eastAsia="Times New Roman"/>
        </w:rPr>
        <w:t xml:space="preserve">identifying national </w:t>
      </w:r>
      <w:proofErr w:type="gramStart"/>
      <w:r w:rsidRPr="00C759E2">
        <w:rPr>
          <w:rFonts w:eastAsia="Times New Roman"/>
        </w:rPr>
        <w:t>trends;</w:t>
      </w:r>
      <w:proofErr w:type="gramEnd"/>
      <w:r w:rsidRPr="00C759E2">
        <w:rPr>
          <w:rFonts w:eastAsia="Times New Roman"/>
        </w:rPr>
        <w:t xml:space="preserve"> </w:t>
      </w:r>
    </w:p>
    <w:p w14:paraId="5FA7097B" w14:textId="77777777" w:rsidR="00BE61A2" w:rsidRPr="00C759E2" w:rsidRDefault="00BE61A2" w:rsidP="00D762CF">
      <w:pPr>
        <w:pStyle w:val="ListParagraph"/>
        <w:numPr>
          <w:ilvl w:val="0"/>
          <w:numId w:val="4"/>
        </w:numPr>
        <w:rPr>
          <w:rFonts w:eastAsia="Times New Roman"/>
        </w:rPr>
      </w:pPr>
      <w:r w:rsidRPr="00C759E2">
        <w:rPr>
          <w:rFonts w:eastAsia="Times New Roman"/>
        </w:rPr>
        <w:t xml:space="preserve">providing guidance for policy development and resource allocation at the national </w:t>
      </w:r>
      <w:proofErr w:type="gramStart"/>
      <w:r w:rsidRPr="00C759E2">
        <w:rPr>
          <w:rFonts w:eastAsia="Times New Roman"/>
        </w:rPr>
        <w:t>level;</w:t>
      </w:r>
      <w:proofErr w:type="gramEnd"/>
      <w:r w:rsidRPr="00C759E2">
        <w:rPr>
          <w:rFonts w:eastAsia="Times New Roman"/>
        </w:rPr>
        <w:t xml:space="preserve"> </w:t>
      </w:r>
    </w:p>
    <w:p w14:paraId="262397DD" w14:textId="77777777" w:rsidR="00BE61A2" w:rsidRPr="00C759E2" w:rsidRDefault="00BE61A2" w:rsidP="00D762CF">
      <w:pPr>
        <w:pStyle w:val="ListParagraph"/>
        <w:numPr>
          <w:ilvl w:val="0"/>
          <w:numId w:val="4"/>
        </w:numPr>
        <w:rPr>
          <w:rFonts w:eastAsia="Times New Roman"/>
        </w:rPr>
      </w:pPr>
      <w:r w:rsidRPr="00C759E2">
        <w:rPr>
          <w:rFonts w:eastAsia="Times New Roman"/>
        </w:rPr>
        <w:t xml:space="preserve">monitoring the need for and impact of national </w:t>
      </w:r>
    </w:p>
    <w:p w14:paraId="3E85CD81" w14:textId="77777777" w:rsidR="00BE61A2" w:rsidRPr="00AE2F1B" w:rsidRDefault="00BE61A2" w:rsidP="00D762CF">
      <w:pPr>
        <w:pStyle w:val="ListParagraph"/>
        <w:numPr>
          <w:ilvl w:val="0"/>
          <w:numId w:val="4"/>
        </w:numPr>
      </w:pPr>
      <w:r w:rsidRPr="00AE2F1B">
        <w:t xml:space="preserve">disease control </w:t>
      </w:r>
      <w:proofErr w:type="gramStart"/>
      <w:r w:rsidRPr="00AE2F1B">
        <w:t>programs;</w:t>
      </w:r>
      <w:proofErr w:type="gramEnd"/>
    </w:p>
    <w:p w14:paraId="2E29ADFF" w14:textId="77777777" w:rsidR="00BE61A2" w:rsidRPr="00C759E2" w:rsidRDefault="00BE61A2" w:rsidP="00D762CF">
      <w:pPr>
        <w:pStyle w:val="ListParagraph"/>
        <w:numPr>
          <w:ilvl w:val="0"/>
          <w:numId w:val="4"/>
        </w:numPr>
        <w:rPr>
          <w:rFonts w:eastAsia="Times New Roman"/>
        </w:rPr>
      </w:pPr>
      <w:r w:rsidRPr="00C759E2">
        <w:rPr>
          <w:rFonts w:eastAsia="Times New Roman"/>
        </w:rPr>
        <w:t xml:space="preserve">informing the response to national or multi-jurisdictional </w:t>
      </w:r>
      <w:proofErr w:type="gramStart"/>
      <w:r w:rsidRPr="00C759E2">
        <w:rPr>
          <w:rFonts w:eastAsia="Times New Roman"/>
        </w:rPr>
        <w:t>outbreaks;</w:t>
      </w:r>
      <w:proofErr w:type="gramEnd"/>
      <w:r w:rsidRPr="00C759E2">
        <w:rPr>
          <w:rFonts w:eastAsia="Times New Roman"/>
        </w:rPr>
        <w:t xml:space="preserve"> </w:t>
      </w:r>
    </w:p>
    <w:p w14:paraId="1004EB34" w14:textId="77777777" w:rsidR="00BE61A2" w:rsidRPr="00C759E2" w:rsidRDefault="00BE61A2" w:rsidP="00D762CF">
      <w:pPr>
        <w:pStyle w:val="ListParagraph"/>
        <w:numPr>
          <w:ilvl w:val="0"/>
          <w:numId w:val="4"/>
        </w:numPr>
        <w:rPr>
          <w:rFonts w:eastAsia="Times New Roman"/>
        </w:rPr>
      </w:pPr>
      <w:r w:rsidRPr="00C759E2">
        <w:rPr>
          <w:rFonts w:eastAsia="Times New Roman"/>
        </w:rPr>
        <w:t xml:space="preserve">describing the national epidemiology of communicable </w:t>
      </w:r>
      <w:proofErr w:type="gramStart"/>
      <w:r w:rsidRPr="00C759E2">
        <w:rPr>
          <w:rFonts w:eastAsia="Times New Roman"/>
        </w:rPr>
        <w:t>diseases;</w:t>
      </w:r>
      <w:proofErr w:type="gramEnd"/>
      <w:r w:rsidRPr="00C759E2">
        <w:rPr>
          <w:rFonts w:eastAsia="Times New Roman"/>
        </w:rPr>
        <w:t xml:space="preserve"> </w:t>
      </w:r>
    </w:p>
    <w:p w14:paraId="27BFDC05" w14:textId="77777777" w:rsidR="00BE61A2" w:rsidRPr="00C759E2" w:rsidRDefault="00BE61A2" w:rsidP="00D762CF">
      <w:pPr>
        <w:pStyle w:val="ListParagraph"/>
        <w:numPr>
          <w:ilvl w:val="0"/>
          <w:numId w:val="4"/>
        </w:numPr>
        <w:rPr>
          <w:rFonts w:eastAsia="Times New Roman"/>
        </w:rPr>
      </w:pPr>
      <w:r w:rsidRPr="00C759E2">
        <w:rPr>
          <w:rFonts w:eastAsia="Times New Roman"/>
        </w:rPr>
        <w:t xml:space="preserve">meeting international reporting requirements, such as providing disease statistics to the World Health Organization (WHO); and </w:t>
      </w:r>
    </w:p>
    <w:p w14:paraId="06687327" w14:textId="77777777" w:rsidR="00BE61A2" w:rsidRPr="00C759E2" w:rsidRDefault="00BE61A2" w:rsidP="00D762CF">
      <w:pPr>
        <w:pStyle w:val="ListParagraph"/>
        <w:numPr>
          <w:ilvl w:val="0"/>
          <w:numId w:val="4"/>
        </w:numPr>
        <w:rPr>
          <w:rFonts w:eastAsia="Times New Roman"/>
        </w:rPr>
      </w:pPr>
      <w:r w:rsidRPr="00C759E2">
        <w:rPr>
          <w:rFonts w:eastAsia="Times New Roman"/>
        </w:rPr>
        <w:t xml:space="preserve">supporting quarantine activities, which are the responsibility of the Australian government. </w:t>
      </w:r>
    </w:p>
    <w:p w14:paraId="70164FA5" w14:textId="77777777" w:rsidR="00BE61A2" w:rsidRPr="00095AA3" w:rsidRDefault="00BE61A2" w:rsidP="00095AA3">
      <w:pPr>
        <w:pStyle w:val="Heading1"/>
        <w:rPr>
          <w:rFonts w:eastAsiaTheme="minorEastAsia"/>
        </w:rPr>
      </w:pPr>
      <w:bookmarkStart w:id="2" w:name="_Toc1747156"/>
      <w:r w:rsidRPr="00095AA3">
        <w:t>Methods</w:t>
      </w:r>
      <w:bookmarkEnd w:id="2"/>
    </w:p>
    <w:p w14:paraId="22FA5ACA" w14:textId="77777777" w:rsidR="00BE61A2" w:rsidRPr="00AE2F1B" w:rsidRDefault="00BE61A2" w:rsidP="00AE2F1B">
      <w:r w:rsidRPr="00AE2F1B">
        <w:t xml:space="preserve">Australia is a federation of 6 states (New South Wales, Queensland, South Australia, Tasmania, </w:t>
      </w:r>
      <w:proofErr w:type="gramStart"/>
      <w:r w:rsidRPr="00AE2F1B">
        <w:t>Victoria</w:t>
      </w:r>
      <w:proofErr w:type="gramEnd"/>
      <w:r w:rsidRPr="00AE2F1B">
        <w:t xml:space="preserve"> and Western Australia) and 2 territories (the Australian Capital Territory and the Northern Territory).</w:t>
      </w:r>
    </w:p>
    <w:p w14:paraId="7979B5F2" w14:textId="77777777" w:rsidR="00BE61A2" w:rsidRPr="00AE2F1B" w:rsidRDefault="00BE61A2" w:rsidP="00AE2F1B">
      <w:r w:rsidRPr="00AE2F1B">
        <w:t xml:space="preserve">State and territory health departments collect notifications of communicable diseases under their respective public health legislations. In September 2007, the </w:t>
      </w:r>
      <w:r w:rsidRPr="00DF12AB">
        <w:rPr>
          <w:rStyle w:val="Emphasis"/>
          <w:b w:val="0"/>
        </w:rPr>
        <w:t>National Health Security Act 2007</w:t>
      </w:r>
      <w:r w:rsidRPr="00AE2F1B">
        <w:rPr>
          <w:vertAlign w:val="superscript"/>
        </w:rPr>
        <w:t>1</w:t>
      </w:r>
      <w:r w:rsidRPr="00AE2F1B">
        <w:t xml:space="preserve"> (the “Act”) received royal assent. This Act provides a legislative basis for and authorises the exchange of health information, including personal information, between jurisdictions and the Australian Government. The Act provides for the establishment of the </w:t>
      </w:r>
      <w:r w:rsidRPr="00AE2F1B">
        <w:lastRenderedPageBreak/>
        <w:t xml:space="preserve">National Notifiable Diseases </w:t>
      </w:r>
      <w:r w:rsidR="007843B0" w:rsidRPr="00AE2F1B">
        <w:t>List</w:t>
      </w:r>
      <w:r w:rsidR="007843B0" w:rsidRPr="00AE2F1B">
        <w:rPr>
          <w:vertAlign w:val="superscript"/>
        </w:rPr>
        <w:t>2</w:t>
      </w:r>
      <w:r w:rsidR="007843B0" w:rsidRPr="00AE2F1B">
        <w:t>,</w:t>
      </w:r>
      <w:r w:rsidRPr="00AE2F1B">
        <w:t xml:space="preserve"> which specifies the diseases about which personal information can be provided. The </w:t>
      </w:r>
      <w:r w:rsidRPr="00DF12AB">
        <w:rPr>
          <w:rStyle w:val="Emphasis"/>
          <w:b w:val="0"/>
        </w:rPr>
        <w:t xml:space="preserve">National Health Security </w:t>
      </w:r>
      <w:r w:rsidR="007843B0" w:rsidRPr="00DF12AB">
        <w:rPr>
          <w:rStyle w:val="Emphasis"/>
          <w:b w:val="0"/>
        </w:rPr>
        <w:t>Agreement</w:t>
      </w:r>
      <w:r w:rsidR="007843B0" w:rsidRPr="00AE2F1B">
        <w:rPr>
          <w:vertAlign w:val="superscript"/>
        </w:rPr>
        <w:t>3</w:t>
      </w:r>
      <w:r w:rsidR="007843B0" w:rsidRPr="00AE2F1B">
        <w:t>,</w:t>
      </w:r>
      <w:r w:rsidRPr="00AE2F1B">
        <w:t xml:space="preserve"> (the </w:t>
      </w:r>
      <w:r w:rsidR="007843B0" w:rsidRPr="00AE2F1B">
        <w:t>“Agreement”) which</w:t>
      </w:r>
      <w:r w:rsidRPr="00AE2F1B">
        <w:t xml:space="preserve"> was signed by Health Ministers in April 2008, establishes the operational arrangements to formalise and enhance existing surveillance and reporting systems, an important objective of the Act. Under the Agreement, in 2015, states and territories forwarded de-identified notification data on 67 communicable diseases to the Australian Government Department of Health for the purposes of national communicable disease surveillance, although not all 67 diseases were notifiable in each jurisdiction. Data were electronically updated daily from states and territories. The system was complemented by other surveillance systems, which provided information on various diseases, including 4 that are not reported to the National Notifiable Diseases Surveillance System (NNDSS): human immunodeficiency virus (HIV), acquired immune deficiency syndrome (AIDS) and the classical and variant forms of Creutzfeldt-Jakob disease (CJD).</w:t>
      </w:r>
    </w:p>
    <w:p w14:paraId="4D45F874" w14:textId="77777777" w:rsidR="00BE61A2" w:rsidRPr="00AE2F1B" w:rsidRDefault="00BE61A2" w:rsidP="00AE2F1B">
      <w:r w:rsidRPr="00AE2F1B">
        <w:t xml:space="preserve">The NNDSS core dataset requires the following mandatory data fields: unique record reference number; notifying state or territory; disease code; confirmation status; and the date when the jurisdictional health department was notified (notification received date). In addition, the following data fields were supplied where available: date of birth; age at onset; sex; Indigenous status; postcode of residence; disease onset date; date when the pathology service authorised a report or a medical practitioner signed the notification form (notification date); death status; date of specimen collection; and outbreak reference number (to identify cases linked to an outbreak). Where relevant, information on the species, serogroups/subtypes and phage types of organisms isolated, and on the immunisation status of the case, were collected and reported to NNDSS. Data quality was monitored by the Office of Health Protection and the National Surveillance Committee (NSC), and there was a continual process of improving the national consistency of communicable disease surveillance through the daily, </w:t>
      </w:r>
      <w:proofErr w:type="gramStart"/>
      <w:r w:rsidRPr="00AE2F1B">
        <w:t>fortnightly</w:t>
      </w:r>
      <w:proofErr w:type="gramEnd"/>
      <w:r w:rsidRPr="00AE2F1B">
        <w:t xml:space="preserve"> and quarterly review of these data. </w:t>
      </w:r>
    </w:p>
    <w:p w14:paraId="10595794" w14:textId="77777777" w:rsidR="00BE61A2" w:rsidRPr="00AE2F1B" w:rsidRDefault="00BE61A2" w:rsidP="00AE2F1B">
      <w:r w:rsidRPr="00AE2F1B">
        <w:t xml:space="preserve">While not included in the core national dataset, enhanced surveillance information for some diseases (invasive pneumococcal disease, hepatitis B, hepatitis </w:t>
      </w:r>
      <w:r w:rsidR="001C2959" w:rsidRPr="00AE2F1B">
        <w:t>C,</w:t>
      </w:r>
      <w:r w:rsidRPr="00AE2F1B">
        <w:t xml:space="preserve"> tuberculosis, donovanosis, gonococcal </w:t>
      </w:r>
      <w:proofErr w:type="gramStart"/>
      <w:r w:rsidRPr="00AE2F1B">
        <w:t>infection</w:t>
      </w:r>
      <w:proofErr w:type="gramEnd"/>
      <w:r w:rsidRPr="00AE2F1B">
        <w:t xml:space="preserve"> and syphilis &lt;2 years duration) were reported from states and territories to NNDSS. With the exception of hepatitis B and hepatitis C these enhanced data are not included in this report. These data, along with influenza enhanced data, are reported in separate (disease-specific) annual reports. Additional information concerning mortality and specific health risk factors for some diseases were obtained from states and territories and included in this annual report. </w:t>
      </w:r>
    </w:p>
    <w:p w14:paraId="4E818FA6" w14:textId="77777777" w:rsidR="00BE61A2" w:rsidRPr="00AE2F1B" w:rsidRDefault="00BE61A2" w:rsidP="00AE2F1B">
      <w:r w:rsidRPr="00AE2F1B">
        <w:t>Newly diagnosed HIV infection and AIDS were notifiable conditions in each state or territory health jurisdiction in 2015. These data are forwarded directly to the Kirby Institute for Infection and Immunity in Society (Kirby Institute) by states and territories. Further information can be found in the Kirby Institute’s annual surveillance report.</w:t>
      </w:r>
      <w:r w:rsidRPr="00AE2F1B">
        <w:rPr>
          <w:vertAlign w:val="superscript"/>
        </w:rPr>
        <w:t>4</w:t>
      </w:r>
      <w:r w:rsidRPr="00AE2F1B">
        <w:t xml:space="preserve"> </w:t>
      </w:r>
    </w:p>
    <w:p w14:paraId="5B70A6B3" w14:textId="77777777" w:rsidR="00BE61A2" w:rsidRPr="00AE2F1B" w:rsidRDefault="00BE61A2" w:rsidP="00AE2F1B">
      <w:r w:rsidRPr="00AE2F1B">
        <w:t>Surveillance for the classical and variant forms of CJD in Australia has been conducted through the Australian National Creutzfeldt-Jakob Disease Registry (ANCJDR) since its establishment in October 2003. CJD is a nationally notifiable disease, and by June 2006 CJD was notifiable in all states and territories. Further surveillance information on CJD can be found in surveillance reports from the ANCJDR.</w:t>
      </w:r>
      <w:r w:rsidRPr="00AE2F1B">
        <w:rPr>
          <w:vertAlign w:val="superscript"/>
        </w:rPr>
        <w:t>5</w:t>
      </w:r>
      <w:r w:rsidRPr="00AE2F1B">
        <w:t xml:space="preserve"> </w:t>
      </w:r>
    </w:p>
    <w:p w14:paraId="0BB8013D" w14:textId="3C3D54F8" w:rsidR="00BE61A2" w:rsidRPr="00AE2F1B" w:rsidRDefault="00BE61A2" w:rsidP="00AE2F1B">
      <w:r w:rsidRPr="00AE2F1B">
        <w:t>Information on communicable disease surveillance is communicated through several avenues. The most up-to-date information on topics of interest is provided at the fortnightly teleconferences of the Communicable Diseases Network Australia (CDNA). A summary of these reports is available online from the CDNA web site (</w:t>
      </w:r>
      <w:hyperlink r:id="rId9" w:tooltip="http://www.health.gov.au/internet/main/publishing.nsf/Content/cdnareport.htm" w:history="1">
        <w:r w:rsidR="001047AB" w:rsidRPr="009928CF">
          <w:rPr>
            <w:rStyle w:val="Hyperlink"/>
          </w:rPr>
          <w:t>http://www.health.gov.au/internet/main/publishing.nsf/Content/cdnareport.htm).</w:t>
        </w:r>
        <w:r w:rsidR="001047AB" w:rsidRPr="009928CF">
          <w:rPr>
            <w:rStyle w:val="Hyperlink"/>
            <w:vertAlign w:val="superscript"/>
          </w:rPr>
          <w:t>6</w:t>
        </w:r>
      </w:hyperlink>
      <w:r w:rsidRPr="00AE2F1B">
        <w:t xml:space="preserve"> </w:t>
      </w:r>
    </w:p>
    <w:p w14:paraId="2D143D54" w14:textId="77777777" w:rsidR="00BE61A2" w:rsidRPr="00AE2F1B" w:rsidRDefault="00BE61A2" w:rsidP="00AE2F1B">
      <w:r w:rsidRPr="00AE2F1B">
        <w:t xml:space="preserve">The </w:t>
      </w:r>
      <w:r w:rsidRPr="00DF12AB">
        <w:rPr>
          <w:rStyle w:val="Emphasis"/>
          <w:b w:val="0"/>
        </w:rPr>
        <w:t>Communicable Diseases Intelligence</w:t>
      </w:r>
      <w:r w:rsidRPr="00AE2F1B">
        <w:t xml:space="preserve"> (CDI) journal publishes surveillance data, annual surveillance reports, short reports, and articles on the epidemiology and control of communicable diseases in Australia.</w:t>
      </w:r>
    </w:p>
    <w:p w14:paraId="7C8193E2" w14:textId="77777777" w:rsidR="00BE61A2" w:rsidRPr="00AE2F1B" w:rsidRDefault="00BE61A2" w:rsidP="00AE2F1B">
      <w:r w:rsidRPr="00AE2F1B">
        <w:t>Notification rates for each notifiable disease were calculated using the estimated 2015 December resident population supplied by the Australian Bureau of Statistics (ABS) (Appendix 1 and Appendix 2).</w:t>
      </w:r>
      <w:r w:rsidRPr="00AE2F1B">
        <w:rPr>
          <w:vertAlign w:val="superscript"/>
        </w:rPr>
        <w:t>7</w:t>
      </w:r>
      <w:r w:rsidRPr="00AE2F1B">
        <w:t xml:space="preserve"> Where diseases were </w:t>
      </w:r>
      <w:r w:rsidRPr="00AE2F1B">
        <w:lastRenderedPageBreak/>
        <w:t>not notifiable in a state or territory, national rates were adjusted by excluding the population of that jurisdiction from the denominator. For some diseases, age adjusted rates were calculated using the direct method of standardisation, with 2011 census data as the standard population. All rates are represented as the rate per 100,000 population unless stated otherwise.</w:t>
      </w:r>
    </w:p>
    <w:p w14:paraId="1213332D" w14:textId="77777777" w:rsidR="00BE61A2" w:rsidRPr="00AE2F1B" w:rsidRDefault="00BE61A2" w:rsidP="00AE2F1B">
      <w:r w:rsidRPr="00AE2F1B">
        <w:t xml:space="preserve">Direct age-standardised notification rates, using the method described by the Australian Institute of Health and </w:t>
      </w:r>
      <w:r w:rsidR="00293FCD" w:rsidRPr="00AE2F1B">
        <w:t>Welfare</w:t>
      </w:r>
      <w:r w:rsidR="00293FCD" w:rsidRPr="00AE2F1B">
        <w:rPr>
          <w:vertAlign w:val="superscript"/>
        </w:rPr>
        <w:t>8</w:t>
      </w:r>
      <w:r w:rsidR="00293FCD" w:rsidRPr="00AE2F1B">
        <w:t>,</w:t>
      </w:r>
      <w:r w:rsidRPr="00AE2F1B">
        <w:t xml:space="preserve"> were calculated for Aboriginal and Torres Strait Islander and non-Indigenous notifications for relevant sexually transmissible infections (STIs) for jurisdictions that had Indigenous status data completed for more than 50% of notifications over the period from 2010 to 2015. Where the Indigenous status of a notification was not completed, these notifications were counted as non-Indigenous in the analyses. These data, however, should be interpreted with caution, as STI screening may occur predominantly in specific high risk groups, including in remote Aboriginal and Torres Strait Islander populations. Recent studies have suggested that higher rates in Aboriginal and Torres Strait Islander populations may be attributable to higher prevalence and reinfection rates, while others have suggested that they may be due to increased testing and contact tracing.</w:t>
      </w:r>
      <w:r w:rsidRPr="00AE2F1B">
        <w:rPr>
          <w:vertAlign w:val="superscript"/>
        </w:rPr>
        <w:t>9</w:t>
      </w:r>
      <w:r w:rsidRPr="00AE2F1B">
        <w:t xml:space="preserve"> </w:t>
      </w:r>
    </w:p>
    <w:p w14:paraId="059EF262" w14:textId="77777777" w:rsidR="00BE61A2" w:rsidRPr="00AE2F1B" w:rsidRDefault="00BE61A2" w:rsidP="00AE2F1B">
      <w:r w:rsidRPr="00AE2F1B">
        <w:t xml:space="preserve">In the national case definitions for chlamydial infection, gonococcal infection and syphilis, the mode of transmission cannot be inferred from the site of infection. Infections in children may be acquired </w:t>
      </w:r>
      <w:r w:rsidR="00745B29" w:rsidRPr="00AE2F1B">
        <w:t>prenatally</w:t>
      </w:r>
      <w:r w:rsidRPr="00AE2F1B">
        <w:t xml:space="preserve"> (e.g. congenital chlamydia).</w:t>
      </w:r>
      <w:r w:rsidRPr="00AE2F1B">
        <w:rPr>
          <w:vertAlign w:val="superscript"/>
        </w:rPr>
        <w:t>10</w:t>
      </w:r>
      <w:r w:rsidRPr="00AE2F1B">
        <w:t xml:space="preserve"> As such, notifications of chlamydial, gonococcal and non-congenital syphilis infections were excluded from analysis of age and sex distribution where the case was aged less than 13 </w:t>
      </w:r>
      <w:proofErr w:type="gramStart"/>
      <w:r w:rsidRPr="00AE2F1B">
        <w:t>years</w:t>
      </w:r>
      <w:proofErr w:type="gramEnd"/>
      <w:r w:rsidRPr="00AE2F1B">
        <w:t xml:space="preserve"> and the infection was determined by public health follow-up to be non-sexually acquired.</w:t>
      </w:r>
    </w:p>
    <w:p w14:paraId="3DC55372" w14:textId="77777777" w:rsidR="00BE61A2" w:rsidRPr="00095AA3" w:rsidRDefault="00BE61A2" w:rsidP="00095AA3">
      <w:pPr>
        <w:pStyle w:val="Heading1"/>
      </w:pPr>
      <w:bookmarkStart w:id="3" w:name="_Toc1747157"/>
      <w:r w:rsidRPr="00095AA3">
        <w:rPr>
          <w:rStyle w:val="Heading1Char"/>
          <w:b/>
        </w:rPr>
        <w:t>Notes on interpretation</w:t>
      </w:r>
      <w:bookmarkEnd w:id="3"/>
    </w:p>
    <w:p w14:paraId="561F1EF2" w14:textId="77777777" w:rsidR="00BE61A2" w:rsidRPr="00AE2F1B" w:rsidRDefault="00BE61A2" w:rsidP="00AE2F1B">
      <w:r w:rsidRPr="00AE2F1B">
        <w:t>This report is based on 2015 data from each state and territory, agreed upon in July 2016, and represents a snapshot of the year after duplicate records and incorrect or incomplete data were removed. Totals in this report may vary slightly from the totals reported in CDI quarterly publications and state and territory reports.</w:t>
      </w:r>
    </w:p>
    <w:p w14:paraId="02F2FE4A" w14:textId="77777777" w:rsidR="00BE61A2" w:rsidRPr="00AE2F1B" w:rsidRDefault="00BE61A2" w:rsidP="00AE2F1B">
      <w:r w:rsidRPr="00AE2F1B">
        <w:t>Analyses in this report were based on the date of disease diagnosis in an attempt to estimate disease activity within the reporting period. The date of diagnosis for most diseases is the onset date or, where the onset date was not known, the earliest of the following dates: the specimen collection date, the notification date, or the notification received date. However, for the chronic diseases hepatitis B (unspecified), hepatitis C (unspecified), leprosy, syphilis (unspecified) and tuberculosis, the diagnosis date is derived from the notification received date.</w:t>
      </w:r>
    </w:p>
    <w:p w14:paraId="3F11FE3A" w14:textId="77777777" w:rsidR="00BE61A2" w:rsidRDefault="00BE61A2" w:rsidP="00AE2F1B">
      <w:r w:rsidRPr="00AE2F1B">
        <w:t xml:space="preserve">When referring to NNDSS notification data throughout the report, the terms ‘cases’ and ‘notified cases’ are used to identify individuals for whom ‘notification’ of a condition has been received by NNDSS. These notifications can only represent a proportion (the ‘notified fraction’) of the total incidence (Figure 1), and this has to be </w:t>
      </w:r>
      <w:proofErr w:type="gramStart"/>
      <w:r w:rsidRPr="00AE2F1B">
        <w:t>taken into account</w:t>
      </w:r>
      <w:proofErr w:type="gramEnd"/>
      <w:r w:rsidRPr="00AE2F1B">
        <w:t xml:space="preserve"> when interpreting NNDSS data. Moreover, the notified fraction varies by jurisdiction, over time and by disease. This caveat is particularly relevant to STIs, many or most of which are identified through screening programs (Figure 1, dashed line).</w:t>
      </w:r>
    </w:p>
    <w:p w14:paraId="3052CA65" w14:textId="77777777" w:rsidR="00887069" w:rsidRDefault="00887069">
      <w:pPr>
        <w:rPr>
          <w:b/>
        </w:rPr>
      </w:pPr>
      <w:r>
        <w:br w:type="page"/>
      </w:r>
    </w:p>
    <w:p w14:paraId="732B4E91" w14:textId="77777777" w:rsidR="00410088" w:rsidRDefault="00410088" w:rsidP="00410088">
      <w:pPr>
        <w:pStyle w:val="CDIFigures"/>
      </w:pPr>
      <w:r w:rsidRPr="00410088">
        <w:lastRenderedPageBreak/>
        <w:t>Figure 1: Communicable diseases notifiable fraction</w:t>
      </w:r>
    </w:p>
    <w:p w14:paraId="5F72149F" w14:textId="77777777" w:rsidR="00FD1DB8" w:rsidRPr="00AE2F1B" w:rsidRDefault="0021477A" w:rsidP="00410088">
      <w:pPr>
        <w:pStyle w:val="CDIFigures"/>
      </w:pPr>
      <w:r>
        <w:pict w14:anchorId="656874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his figure shows the notifiable fraction of communicable disease notifications to the National Notifiable Disease Surveillance System. The number of notifications does not equal the number of cases, in general, the more serious the condition, the more likely it is to be notified and the larger the notifiable fraction. This figure demonstrates how notified cases only represent a small portion of the total incidence of disease." style="width:520.2pt;height:295.8pt">
            <v:imagedata r:id="rId10" o:title="f1"/>
          </v:shape>
        </w:pict>
      </w:r>
    </w:p>
    <w:p w14:paraId="368E1305" w14:textId="77777777" w:rsidR="00BE61A2" w:rsidRPr="00AE2F1B" w:rsidRDefault="00BE61A2" w:rsidP="00AE2F1B">
      <w:r w:rsidRPr="00AE2F1B">
        <w:t>A survey of jurisdictional public health departments was conducted in 2015 to ascertain the source of each notification (Table 1). While most jurisdictions have data on laboratory notifications, the percentages of notifications attributed to doctor only and to both laboratory and doctor for each state and territory are based on estimates deduced from the data that are available, noting that fields for these data may be incomplete.</w:t>
      </w:r>
    </w:p>
    <w:p w14:paraId="037C78F1" w14:textId="77777777" w:rsidR="00C622BF" w:rsidRDefault="00C622BF" w:rsidP="00305912">
      <w:pPr>
        <w:pStyle w:val="CDIFigures"/>
        <w:sectPr w:rsidR="00C622BF" w:rsidSect="00656427">
          <w:headerReference w:type="default" r:id="rId11"/>
          <w:footerReference w:type="default" r:id="rId12"/>
          <w:footerReference w:type="first" r:id="rId13"/>
          <w:pgSz w:w="11906" w:h="16838"/>
          <w:pgMar w:top="720" w:right="720" w:bottom="1134" w:left="720" w:header="709" w:footer="284" w:gutter="0"/>
          <w:pgNumType w:start="1"/>
          <w:cols w:space="708"/>
          <w:titlePg/>
          <w:docGrid w:linePitch="360"/>
        </w:sectPr>
      </w:pPr>
    </w:p>
    <w:p w14:paraId="59386C06" w14:textId="77777777" w:rsidR="00BE61A2" w:rsidRPr="00AE2F1B" w:rsidRDefault="00BE61A2" w:rsidP="00305912">
      <w:pPr>
        <w:pStyle w:val="CDIFigures"/>
      </w:pPr>
      <w:r w:rsidRPr="00AE2F1B">
        <w:lastRenderedPageBreak/>
        <w:t>Table 1: Percentage of notified cases from different sources in each jurisdiction, 2015</w:t>
      </w:r>
      <w:r w:rsidR="00E30591" w:rsidRPr="007A1DC5">
        <w:rPr>
          <w:vertAlign w:val="superscript"/>
        </w:rPr>
        <w:t>*</w:t>
      </w:r>
      <w:r w:rsidRPr="00AE2F1B">
        <w:t xml:space="preserve"> </w:t>
      </w:r>
    </w:p>
    <w:tbl>
      <w:tblPr>
        <w:tblStyle w:val="CDI-StandardTable"/>
        <w:tblW w:w="0" w:type="auto"/>
        <w:tblCellMar>
          <w:top w:w="142" w:type="dxa"/>
          <w:left w:w="142" w:type="dxa"/>
          <w:bottom w:w="142" w:type="dxa"/>
        </w:tblCellMar>
        <w:tblLook w:val="04A0" w:firstRow="1" w:lastRow="0" w:firstColumn="1" w:lastColumn="0" w:noHBand="0" w:noVBand="1"/>
        <w:tblDescription w:val="This table shows the percentage of notifications broken down by laboratory only, doctor only and laboratory and doctor by jurisdictions.&#10;"/>
      </w:tblPr>
      <w:tblGrid>
        <w:gridCol w:w="1528"/>
        <w:gridCol w:w="1446"/>
        <w:gridCol w:w="1135"/>
        <w:gridCol w:w="1937"/>
      </w:tblGrid>
      <w:tr w:rsidR="00BE61A2" w:rsidRPr="00374CC9" w14:paraId="0F0648DA" w14:textId="77777777" w:rsidTr="000A4FFE">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6494FE0A"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State or territory</w:t>
            </w:r>
          </w:p>
        </w:tc>
        <w:tc>
          <w:tcPr>
            <w:tcW w:w="0" w:type="auto"/>
            <w:gridSpan w:val="3"/>
            <w:hideMark/>
          </w:tcPr>
          <w:p w14:paraId="42E2B9FF"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Source of notifications</w:t>
            </w:r>
          </w:p>
        </w:tc>
      </w:tr>
      <w:tr w:rsidR="00BE61A2" w:rsidRPr="00374CC9" w14:paraId="2AA27586" w14:textId="77777777" w:rsidTr="000A4FFE">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7F25852B" w14:textId="77777777" w:rsidR="00BE61A2" w:rsidRPr="007D1C35" w:rsidRDefault="00BE61A2">
            <w:pPr>
              <w:rPr>
                <w:rFonts w:eastAsia="Times New Roman"/>
                <w:color w:val="FFFFFF" w:themeColor="background1"/>
                <w:sz w:val="18"/>
                <w:szCs w:val="18"/>
              </w:rPr>
            </w:pPr>
          </w:p>
        </w:tc>
        <w:tc>
          <w:tcPr>
            <w:tcW w:w="0" w:type="auto"/>
            <w:hideMark/>
          </w:tcPr>
          <w:p w14:paraId="5D72C8BE"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Laboratory only</w:t>
            </w:r>
          </w:p>
        </w:tc>
        <w:tc>
          <w:tcPr>
            <w:tcW w:w="0" w:type="auto"/>
            <w:hideMark/>
          </w:tcPr>
          <w:p w14:paraId="178C0043"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Doctor only</w:t>
            </w:r>
          </w:p>
        </w:tc>
        <w:tc>
          <w:tcPr>
            <w:tcW w:w="0" w:type="auto"/>
            <w:hideMark/>
          </w:tcPr>
          <w:p w14:paraId="70F2B8A5"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Laboratory and doctor</w:t>
            </w:r>
          </w:p>
        </w:tc>
      </w:tr>
      <w:tr w:rsidR="00BE61A2" w:rsidRPr="00374CC9" w14:paraId="715F6E5D" w14:textId="77777777" w:rsidTr="000A4FFE">
        <w:tblPrEx>
          <w:tblCellMar>
            <w:right w:w="108" w:type="dxa"/>
          </w:tblCellMar>
        </w:tblPrEx>
        <w:tc>
          <w:tcPr>
            <w:tcW w:w="0" w:type="auto"/>
            <w:hideMark/>
          </w:tcPr>
          <w:p w14:paraId="3583589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ACT</w:t>
            </w:r>
          </w:p>
        </w:tc>
        <w:tc>
          <w:tcPr>
            <w:tcW w:w="0" w:type="auto"/>
            <w:hideMark/>
          </w:tcPr>
          <w:p w14:paraId="0AEA7A9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97</w:t>
            </w:r>
          </w:p>
        </w:tc>
        <w:tc>
          <w:tcPr>
            <w:tcW w:w="0" w:type="auto"/>
            <w:hideMark/>
          </w:tcPr>
          <w:p w14:paraId="606CBAC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&lt;1</w:t>
            </w:r>
          </w:p>
        </w:tc>
        <w:tc>
          <w:tcPr>
            <w:tcW w:w="0" w:type="auto"/>
            <w:hideMark/>
          </w:tcPr>
          <w:p w14:paraId="4645732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&lt;1</w:t>
            </w:r>
          </w:p>
        </w:tc>
      </w:tr>
      <w:tr w:rsidR="00BE61A2" w:rsidRPr="00374CC9" w14:paraId="7688A0E6"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519E5C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NSW</w:t>
            </w:r>
          </w:p>
        </w:tc>
        <w:tc>
          <w:tcPr>
            <w:tcW w:w="0" w:type="auto"/>
            <w:hideMark/>
          </w:tcPr>
          <w:p w14:paraId="7D904CF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99</w:t>
            </w:r>
          </w:p>
        </w:tc>
        <w:tc>
          <w:tcPr>
            <w:tcW w:w="0" w:type="auto"/>
            <w:hideMark/>
          </w:tcPr>
          <w:p w14:paraId="23E5ABE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&lt;1</w:t>
            </w:r>
          </w:p>
        </w:tc>
        <w:tc>
          <w:tcPr>
            <w:tcW w:w="0" w:type="auto"/>
            <w:hideMark/>
          </w:tcPr>
          <w:p w14:paraId="3D0150E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&lt;1</w:t>
            </w:r>
          </w:p>
        </w:tc>
      </w:tr>
      <w:tr w:rsidR="00BE61A2" w:rsidRPr="00374CC9" w14:paraId="3D149AF5" w14:textId="77777777" w:rsidTr="000A4FFE">
        <w:tblPrEx>
          <w:tblCellMar>
            <w:right w:w="108" w:type="dxa"/>
          </w:tblCellMar>
        </w:tblPrEx>
        <w:tc>
          <w:tcPr>
            <w:tcW w:w="0" w:type="auto"/>
            <w:hideMark/>
          </w:tcPr>
          <w:p w14:paraId="72919D9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NT</w:t>
            </w:r>
          </w:p>
        </w:tc>
        <w:tc>
          <w:tcPr>
            <w:tcW w:w="0" w:type="auto"/>
            <w:hideMark/>
          </w:tcPr>
          <w:p w14:paraId="5757F52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98</w:t>
            </w:r>
          </w:p>
        </w:tc>
        <w:tc>
          <w:tcPr>
            <w:tcW w:w="0" w:type="auto"/>
            <w:hideMark/>
          </w:tcPr>
          <w:p w14:paraId="6464119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6E047BF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r>
      <w:tr w:rsidR="00BE61A2" w:rsidRPr="00374CC9" w14:paraId="712C5592"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A8975F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Qld</w:t>
            </w:r>
          </w:p>
        </w:tc>
        <w:tc>
          <w:tcPr>
            <w:tcW w:w="0" w:type="auto"/>
            <w:hideMark/>
          </w:tcPr>
          <w:p w14:paraId="667F006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0" w:type="auto"/>
            <w:hideMark/>
          </w:tcPr>
          <w:p w14:paraId="313E9B4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&lt;1</w:t>
            </w:r>
          </w:p>
        </w:tc>
        <w:tc>
          <w:tcPr>
            <w:tcW w:w="0" w:type="auto"/>
            <w:hideMark/>
          </w:tcPr>
          <w:p w14:paraId="49D7A6F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&lt;1</w:t>
            </w:r>
          </w:p>
        </w:tc>
      </w:tr>
      <w:tr w:rsidR="00BE61A2" w:rsidRPr="00374CC9" w14:paraId="5126B6C7" w14:textId="77777777" w:rsidTr="000A4FFE">
        <w:tblPrEx>
          <w:tblCellMar>
            <w:right w:w="108" w:type="dxa"/>
          </w:tblCellMar>
        </w:tblPrEx>
        <w:tc>
          <w:tcPr>
            <w:tcW w:w="0" w:type="auto"/>
            <w:hideMark/>
          </w:tcPr>
          <w:p w14:paraId="4CDBC31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SA</w:t>
            </w:r>
          </w:p>
        </w:tc>
        <w:tc>
          <w:tcPr>
            <w:tcW w:w="0" w:type="auto"/>
            <w:hideMark/>
          </w:tcPr>
          <w:p w14:paraId="25D734E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w:t>
            </w:r>
          </w:p>
        </w:tc>
        <w:tc>
          <w:tcPr>
            <w:tcW w:w="0" w:type="auto"/>
            <w:hideMark/>
          </w:tcPr>
          <w:p w14:paraId="4C16221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0826BCD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89</w:t>
            </w:r>
          </w:p>
        </w:tc>
      </w:tr>
      <w:tr w:rsidR="00BE61A2" w:rsidRPr="00374CC9" w14:paraId="411691C6"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53EDF1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Tas.</w:t>
            </w:r>
          </w:p>
        </w:tc>
        <w:tc>
          <w:tcPr>
            <w:tcW w:w="0" w:type="auto"/>
            <w:hideMark/>
          </w:tcPr>
          <w:p w14:paraId="680227C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98</w:t>
            </w:r>
          </w:p>
        </w:tc>
        <w:tc>
          <w:tcPr>
            <w:tcW w:w="0" w:type="auto"/>
            <w:hideMark/>
          </w:tcPr>
          <w:p w14:paraId="35BE2CF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&lt;1</w:t>
            </w:r>
          </w:p>
        </w:tc>
        <w:tc>
          <w:tcPr>
            <w:tcW w:w="0" w:type="auto"/>
            <w:hideMark/>
          </w:tcPr>
          <w:p w14:paraId="5BCF770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r>
      <w:tr w:rsidR="00BE61A2" w:rsidRPr="00374CC9" w14:paraId="2928DC65" w14:textId="77777777" w:rsidTr="000A4FFE">
        <w:tblPrEx>
          <w:tblCellMar>
            <w:right w:w="108" w:type="dxa"/>
          </w:tblCellMar>
        </w:tblPrEx>
        <w:tc>
          <w:tcPr>
            <w:tcW w:w="0" w:type="auto"/>
            <w:hideMark/>
          </w:tcPr>
          <w:p w14:paraId="19E33C4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Vic.</w:t>
            </w:r>
          </w:p>
        </w:tc>
        <w:tc>
          <w:tcPr>
            <w:tcW w:w="0" w:type="auto"/>
            <w:hideMark/>
          </w:tcPr>
          <w:p w14:paraId="3D8C90D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49</w:t>
            </w:r>
          </w:p>
        </w:tc>
        <w:tc>
          <w:tcPr>
            <w:tcW w:w="0" w:type="auto"/>
            <w:hideMark/>
          </w:tcPr>
          <w:p w14:paraId="549C62A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w:t>
            </w:r>
          </w:p>
        </w:tc>
        <w:tc>
          <w:tcPr>
            <w:tcW w:w="0" w:type="auto"/>
            <w:hideMark/>
          </w:tcPr>
          <w:p w14:paraId="0E81EB3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45</w:t>
            </w:r>
          </w:p>
        </w:tc>
      </w:tr>
      <w:tr w:rsidR="00BE61A2" w:rsidRPr="00374CC9" w14:paraId="2174873F"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F9BD28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WA</w:t>
            </w:r>
          </w:p>
        </w:tc>
        <w:tc>
          <w:tcPr>
            <w:tcW w:w="0" w:type="auto"/>
            <w:hideMark/>
          </w:tcPr>
          <w:p w14:paraId="37E7611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34</w:t>
            </w:r>
          </w:p>
        </w:tc>
        <w:tc>
          <w:tcPr>
            <w:tcW w:w="0" w:type="auto"/>
            <w:hideMark/>
          </w:tcPr>
          <w:p w14:paraId="4284EBC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0056EAA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64</w:t>
            </w:r>
          </w:p>
        </w:tc>
      </w:tr>
    </w:tbl>
    <w:p w14:paraId="0E75446C" w14:textId="77777777" w:rsidR="003510F3" w:rsidRDefault="003510F3" w:rsidP="00745B29">
      <w:pPr>
        <w:pStyle w:val="CDIfootnotes"/>
        <w:ind w:left="720" w:hanging="720"/>
      </w:pPr>
      <w:r w:rsidRPr="00AE2F1B">
        <w:rPr>
          <w:vertAlign w:val="superscript"/>
        </w:rPr>
        <w:t>*</w:t>
      </w:r>
      <w:r>
        <w:rPr>
          <w:vertAlign w:val="superscript"/>
        </w:rPr>
        <w:tab/>
      </w:r>
      <w:r w:rsidRPr="00AE2F1B">
        <w:t>Not all percentages add up to 100% due to other sources of notifications and/or incomplete data for laboratory and medical notification fields.</w:t>
      </w:r>
    </w:p>
    <w:p w14:paraId="43CE9E81" w14:textId="77777777" w:rsidR="00BE61A2" w:rsidRPr="00AE2F1B" w:rsidRDefault="00BE61A2" w:rsidP="00AE2F1B">
      <w:r w:rsidRPr="00AE2F1B">
        <w:t xml:space="preserve">Methods of surveillance vary between states and territories, each having different requirements for notification by medical practitioners, </w:t>
      </w:r>
      <w:proofErr w:type="gramStart"/>
      <w:r w:rsidRPr="00AE2F1B">
        <w:t>laboratories</w:t>
      </w:r>
      <w:proofErr w:type="gramEnd"/>
      <w:r w:rsidRPr="00AE2F1B">
        <w:t xml:space="preserve"> and hospitals. Although the National Notifiable Diseases List</w:t>
      </w:r>
      <w:r w:rsidRPr="00AE2F1B">
        <w:rPr>
          <w:vertAlign w:val="superscript"/>
        </w:rPr>
        <w:t>2</w:t>
      </w:r>
      <w:r w:rsidRPr="00AE2F1B">
        <w:t xml:space="preserve"> was established, some diseases are not notifiable in all 8 jurisdictions (Table 2).</w:t>
      </w:r>
    </w:p>
    <w:p w14:paraId="68A38856" w14:textId="77777777" w:rsidR="00BE61A2" w:rsidRPr="00AE2F1B" w:rsidRDefault="00BE61A2" w:rsidP="00305912">
      <w:pPr>
        <w:pStyle w:val="CDIFigures"/>
      </w:pPr>
      <w:r w:rsidRPr="00AE2F1B">
        <w:t xml:space="preserve">Table 2: Diseases notified to the National Notifiable Diseases Surveillance System, Australia 2015 </w:t>
      </w:r>
    </w:p>
    <w:tbl>
      <w:tblPr>
        <w:tblStyle w:val="CDI-StandardTable"/>
        <w:tblW w:w="0" w:type="auto"/>
        <w:tblCellMar>
          <w:top w:w="142" w:type="dxa"/>
          <w:left w:w="142" w:type="dxa"/>
          <w:bottom w:w="142" w:type="dxa"/>
        </w:tblCellMar>
        <w:tblLook w:val="04A0" w:firstRow="1" w:lastRow="0" w:firstColumn="1" w:lastColumn="0" w:noHBand="0" w:noVBand="1"/>
        <w:tblDescription w:val="This table shows the diseases by category that are sent to the National Notifiable Disease Surveillance System and which jurisdictions sends which disease."/>
      </w:tblPr>
      <w:tblGrid>
        <w:gridCol w:w="4962"/>
        <w:gridCol w:w="5386"/>
      </w:tblGrid>
      <w:tr w:rsidR="007D1C35" w:rsidRPr="007D1C35" w14:paraId="0DB811AA" w14:textId="77777777" w:rsidTr="004379DE">
        <w:trPr>
          <w:cnfStyle w:val="100000000000" w:firstRow="1" w:lastRow="0" w:firstColumn="0" w:lastColumn="0" w:oddVBand="0" w:evenVBand="0" w:oddHBand="0" w:evenHBand="0" w:firstRowFirstColumn="0" w:firstRowLastColumn="0" w:lastRowFirstColumn="0" w:lastRowLastColumn="0"/>
          <w:tblHeader/>
        </w:trPr>
        <w:tc>
          <w:tcPr>
            <w:tcW w:w="4962" w:type="dxa"/>
            <w:hideMark/>
          </w:tcPr>
          <w:p w14:paraId="64B24466"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Disease</w:t>
            </w:r>
          </w:p>
        </w:tc>
        <w:tc>
          <w:tcPr>
            <w:tcW w:w="5386" w:type="dxa"/>
            <w:hideMark/>
          </w:tcPr>
          <w:p w14:paraId="25F6F23F"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Data received from</w:t>
            </w:r>
          </w:p>
        </w:tc>
      </w:tr>
      <w:tr w:rsidR="00BE61A2" w:rsidRPr="00374CC9" w14:paraId="29C2F457" w14:textId="77777777" w:rsidTr="004379DE">
        <w:tblPrEx>
          <w:tblCellMar>
            <w:right w:w="108" w:type="dxa"/>
          </w:tblCellMar>
        </w:tblPrEx>
        <w:tc>
          <w:tcPr>
            <w:tcW w:w="4962" w:type="dxa"/>
            <w:shd w:val="clear" w:color="auto" w:fill="BFBFBF" w:themeFill="background1" w:themeFillShade="BF"/>
            <w:hideMark/>
          </w:tcPr>
          <w:p w14:paraId="698A51C4" w14:textId="77777777" w:rsidR="00BE61A2" w:rsidRPr="00910B52" w:rsidRDefault="00BE61A2">
            <w:pPr>
              <w:rPr>
                <w:rFonts w:asciiTheme="minorHAnsi" w:eastAsia="Times New Roman" w:hAnsiTheme="minorHAnsi"/>
                <w:b/>
                <w:sz w:val="18"/>
                <w:szCs w:val="18"/>
              </w:rPr>
            </w:pPr>
            <w:r w:rsidRPr="00910B52">
              <w:rPr>
                <w:rFonts w:asciiTheme="minorHAnsi" w:eastAsia="Times New Roman" w:hAnsiTheme="minorHAnsi"/>
                <w:b/>
                <w:sz w:val="18"/>
                <w:szCs w:val="18"/>
              </w:rPr>
              <w:t>Bloodborne diseases</w:t>
            </w:r>
          </w:p>
        </w:tc>
        <w:tc>
          <w:tcPr>
            <w:tcW w:w="5386" w:type="dxa"/>
            <w:shd w:val="clear" w:color="auto" w:fill="BFBFBF" w:themeFill="background1" w:themeFillShade="BF"/>
            <w:hideMark/>
          </w:tcPr>
          <w:p w14:paraId="7A6FB014" w14:textId="77777777" w:rsidR="00BE61A2" w:rsidRPr="00374CC9" w:rsidRDefault="00BE61A2">
            <w:pPr>
              <w:rPr>
                <w:rFonts w:asciiTheme="minorHAnsi" w:eastAsia="Times New Roman" w:hAnsiTheme="minorHAnsi"/>
                <w:sz w:val="18"/>
                <w:szCs w:val="18"/>
              </w:rPr>
            </w:pPr>
          </w:p>
        </w:tc>
      </w:tr>
      <w:tr w:rsidR="00BE61A2" w:rsidRPr="00374CC9" w14:paraId="485A0620" w14:textId="77777777" w:rsidTr="004379D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4962" w:type="dxa"/>
            <w:hideMark/>
          </w:tcPr>
          <w:p w14:paraId="372477D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Hepatitis B (newly acquired)</w:t>
            </w:r>
          </w:p>
        </w:tc>
        <w:tc>
          <w:tcPr>
            <w:tcW w:w="5386" w:type="dxa"/>
            <w:hideMark/>
          </w:tcPr>
          <w:p w14:paraId="0D170CF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w:t>
            </w:r>
          </w:p>
        </w:tc>
      </w:tr>
      <w:tr w:rsidR="00BE61A2" w:rsidRPr="00374CC9" w14:paraId="6C0AB500" w14:textId="77777777" w:rsidTr="004379DE">
        <w:tblPrEx>
          <w:tblCellMar>
            <w:right w:w="108" w:type="dxa"/>
          </w:tblCellMar>
        </w:tblPrEx>
        <w:tc>
          <w:tcPr>
            <w:tcW w:w="4962" w:type="dxa"/>
            <w:hideMark/>
          </w:tcPr>
          <w:p w14:paraId="40A9C6A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Hepatitis B (unspecified)</w:t>
            </w:r>
          </w:p>
        </w:tc>
        <w:tc>
          <w:tcPr>
            <w:tcW w:w="5386" w:type="dxa"/>
            <w:hideMark/>
          </w:tcPr>
          <w:p w14:paraId="4C36C40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w:t>
            </w:r>
          </w:p>
        </w:tc>
      </w:tr>
      <w:tr w:rsidR="00BE61A2" w:rsidRPr="00374CC9" w14:paraId="07764D1F" w14:textId="77777777" w:rsidTr="004379D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4962" w:type="dxa"/>
            <w:hideMark/>
          </w:tcPr>
          <w:p w14:paraId="71CEC24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Hepatitis C (newly acquired)</w:t>
            </w:r>
          </w:p>
        </w:tc>
        <w:tc>
          <w:tcPr>
            <w:tcW w:w="5386" w:type="dxa"/>
            <w:hideMark/>
          </w:tcPr>
          <w:p w14:paraId="23FEF7D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 except Qld</w:t>
            </w:r>
          </w:p>
        </w:tc>
      </w:tr>
      <w:tr w:rsidR="00BE61A2" w:rsidRPr="00374CC9" w14:paraId="1483D269" w14:textId="77777777" w:rsidTr="004379DE">
        <w:tblPrEx>
          <w:tblCellMar>
            <w:right w:w="108" w:type="dxa"/>
          </w:tblCellMar>
        </w:tblPrEx>
        <w:tc>
          <w:tcPr>
            <w:tcW w:w="4962" w:type="dxa"/>
            <w:hideMark/>
          </w:tcPr>
          <w:p w14:paraId="60794E3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Hepatitis C (unspecified)</w:t>
            </w:r>
          </w:p>
        </w:tc>
        <w:tc>
          <w:tcPr>
            <w:tcW w:w="5386" w:type="dxa"/>
            <w:hideMark/>
          </w:tcPr>
          <w:p w14:paraId="28BA776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w:t>
            </w:r>
          </w:p>
        </w:tc>
      </w:tr>
      <w:tr w:rsidR="00BE61A2" w:rsidRPr="00374CC9" w14:paraId="06632461" w14:textId="77777777" w:rsidTr="004379D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4962" w:type="dxa"/>
            <w:hideMark/>
          </w:tcPr>
          <w:p w14:paraId="202BC2C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Hepatitis D</w:t>
            </w:r>
          </w:p>
        </w:tc>
        <w:tc>
          <w:tcPr>
            <w:tcW w:w="5386" w:type="dxa"/>
            <w:hideMark/>
          </w:tcPr>
          <w:p w14:paraId="49DB8AA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w:t>
            </w:r>
          </w:p>
        </w:tc>
      </w:tr>
      <w:tr w:rsidR="00BE61A2" w:rsidRPr="00910B52" w14:paraId="4BF573CA" w14:textId="77777777" w:rsidTr="004379DE">
        <w:tblPrEx>
          <w:tblCellMar>
            <w:right w:w="108" w:type="dxa"/>
          </w:tblCellMar>
        </w:tblPrEx>
        <w:tc>
          <w:tcPr>
            <w:tcW w:w="4962" w:type="dxa"/>
            <w:shd w:val="clear" w:color="auto" w:fill="BFBFBF" w:themeFill="background1" w:themeFillShade="BF"/>
            <w:hideMark/>
          </w:tcPr>
          <w:p w14:paraId="24774C72" w14:textId="77777777" w:rsidR="00BE61A2" w:rsidRPr="00910B52" w:rsidRDefault="00BE61A2">
            <w:pPr>
              <w:rPr>
                <w:rFonts w:asciiTheme="minorHAnsi" w:eastAsia="Times New Roman" w:hAnsiTheme="minorHAnsi"/>
                <w:b/>
                <w:sz w:val="18"/>
                <w:szCs w:val="18"/>
              </w:rPr>
            </w:pPr>
            <w:r w:rsidRPr="00910B52">
              <w:rPr>
                <w:rFonts w:asciiTheme="minorHAnsi" w:eastAsia="Times New Roman" w:hAnsiTheme="minorHAnsi"/>
                <w:b/>
                <w:sz w:val="18"/>
                <w:szCs w:val="18"/>
              </w:rPr>
              <w:t>Gastrointestinal diseases</w:t>
            </w:r>
          </w:p>
        </w:tc>
        <w:tc>
          <w:tcPr>
            <w:tcW w:w="5386" w:type="dxa"/>
            <w:shd w:val="clear" w:color="auto" w:fill="BFBFBF" w:themeFill="background1" w:themeFillShade="BF"/>
            <w:hideMark/>
          </w:tcPr>
          <w:p w14:paraId="0FBC7587" w14:textId="77777777" w:rsidR="00BE61A2" w:rsidRPr="00910B52" w:rsidRDefault="00BE61A2">
            <w:pPr>
              <w:rPr>
                <w:rFonts w:asciiTheme="minorHAnsi" w:eastAsia="Times New Roman" w:hAnsiTheme="minorHAnsi"/>
                <w:b/>
                <w:sz w:val="18"/>
                <w:szCs w:val="18"/>
              </w:rPr>
            </w:pPr>
          </w:p>
        </w:tc>
      </w:tr>
      <w:tr w:rsidR="00BE61A2" w:rsidRPr="00374CC9" w14:paraId="73B52CC1" w14:textId="77777777" w:rsidTr="004379D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4962" w:type="dxa"/>
            <w:hideMark/>
          </w:tcPr>
          <w:p w14:paraId="2267EB9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Botulism</w:t>
            </w:r>
          </w:p>
        </w:tc>
        <w:tc>
          <w:tcPr>
            <w:tcW w:w="5386" w:type="dxa"/>
            <w:hideMark/>
          </w:tcPr>
          <w:p w14:paraId="07C6E11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w:t>
            </w:r>
          </w:p>
        </w:tc>
      </w:tr>
      <w:tr w:rsidR="00BE61A2" w:rsidRPr="00374CC9" w14:paraId="551EC509" w14:textId="77777777" w:rsidTr="004379DE">
        <w:tblPrEx>
          <w:tblCellMar>
            <w:right w:w="108" w:type="dxa"/>
          </w:tblCellMar>
        </w:tblPrEx>
        <w:tc>
          <w:tcPr>
            <w:tcW w:w="4962" w:type="dxa"/>
            <w:hideMark/>
          </w:tcPr>
          <w:p w14:paraId="0882D15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Campylobacteriosis</w:t>
            </w:r>
          </w:p>
        </w:tc>
        <w:tc>
          <w:tcPr>
            <w:tcW w:w="5386" w:type="dxa"/>
            <w:hideMark/>
          </w:tcPr>
          <w:p w14:paraId="1DA4C4C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 except NSW</w:t>
            </w:r>
          </w:p>
        </w:tc>
      </w:tr>
      <w:tr w:rsidR="00BE61A2" w:rsidRPr="00374CC9" w14:paraId="069447B8" w14:textId="77777777" w:rsidTr="004379D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4962" w:type="dxa"/>
            <w:hideMark/>
          </w:tcPr>
          <w:p w14:paraId="1879DEF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Cryptosporidiosis</w:t>
            </w:r>
          </w:p>
        </w:tc>
        <w:tc>
          <w:tcPr>
            <w:tcW w:w="5386" w:type="dxa"/>
            <w:hideMark/>
          </w:tcPr>
          <w:p w14:paraId="166A498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w:t>
            </w:r>
          </w:p>
        </w:tc>
      </w:tr>
      <w:tr w:rsidR="00BE61A2" w:rsidRPr="00374CC9" w14:paraId="1824A370" w14:textId="77777777" w:rsidTr="004379DE">
        <w:tblPrEx>
          <w:tblCellMar>
            <w:right w:w="108" w:type="dxa"/>
          </w:tblCellMar>
        </w:tblPrEx>
        <w:tc>
          <w:tcPr>
            <w:tcW w:w="4962" w:type="dxa"/>
            <w:hideMark/>
          </w:tcPr>
          <w:p w14:paraId="019018B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Haemolytic uraemic syndrome</w:t>
            </w:r>
          </w:p>
        </w:tc>
        <w:tc>
          <w:tcPr>
            <w:tcW w:w="5386" w:type="dxa"/>
            <w:hideMark/>
          </w:tcPr>
          <w:p w14:paraId="1011DBA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w:t>
            </w:r>
          </w:p>
        </w:tc>
      </w:tr>
      <w:tr w:rsidR="00BE61A2" w:rsidRPr="00374CC9" w14:paraId="52F493D6" w14:textId="77777777" w:rsidTr="004379D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4962" w:type="dxa"/>
            <w:hideMark/>
          </w:tcPr>
          <w:p w14:paraId="509EB1C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lastRenderedPageBreak/>
              <w:t>Hepatitis A</w:t>
            </w:r>
          </w:p>
        </w:tc>
        <w:tc>
          <w:tcPr>
            <w:tcW w:w="5386" w:type="dxa"/>
            <w:hideMark/>
          </w:tcPr>
          <w:p w14:paraId="7316F65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w:t>
            </w:r>
          </w:p>
        </w:tc>
      </w:tr>
      <w:tr w:rsidR="00BE61A2" w:rsidRPr="00374CC9" w14:paraId="5BE980CC" w14:textId="77777777" w:rsidTr="004379DE">
        <w:tblPrEx>
          <w:tblCellMar>
            <w:right w:w="108" w:type="dxa"/>
          </w:tblCellMar>
        </w:tblPrEx>
        <w:tc>
          <w:tcPr>
            <w:tcW w:w="4962" w:type="dxa"/>
            <w:hideMark/>
          </w:tcPr>
          <w:p w14:paraId="0BD84FE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Hepatitis E</w:t>
            </w:r>
          </w:p>
        </w:tc>
        <w:tc>
          <w:tcPr>
            <w:tcW w:w="5386" w:type="dxa"/>
            <w:hideMark/>
          </w:tcPr>
          <w:p w14:paraId="047D747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w:t>
            </w:r>
          </w:p>
        </w:tc>
      </w:tr>
      <w:tr w:rsidR="00BE61A2" w:rsidRPr="00374CC9" w14:paraId="792A6C50" w14:textId="77777777" w:rsidTr="004379D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4962" w:type="dxa"/>
            <w:hideMark/>
          </w:tcPr>
          <w:p w14:paraId="27FEF93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Listeriosis</w:t>
            </w:r>
          </w:p>
        </w:tc>
        <w:tc>
          <w:tcPr>
            <w:tcW w:w="5386" w:type="dxa"/>
            <w:hideMark/>
          </w:tcPr>
          <w:p w14:paraId="7BAB640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w:t>
            </w:r>
          </w:p>
        </w:tc>
      </w:tr>
      <w:tr w:rsidR="00BE61A2" w:rsidRPr="00374CC9" w14:paraId="1710CF24" w14:textId="77777777" w:rsidTr="004379DE">
        <w:tblPrEx>
          <w:tblCellMar>
            <w:right w:w="108" w:type="dxa"/>
          </w:tblCellMar>
        </w:tblPrEx>
        <w:tc>
          <w:tcPr>
            <w:tcW w:w="4962" w:type="dxa"/>
            <w:hideMark/>
          </w:tcPr>
          <w:p w14:paraId="6B8A236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Paratyphoid</w:t>
            </w:r>
          </w:p>
        </w:tc>
        <w:tc>
          <w:tcPr>
            <w:tcW w:w="5386" w:type="dxa"/>
            <w:hideMark/>
          </w:tcPr>
          <w:p w14:paraId="2D7C5D3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w:t>
            </w:r>
          </w:p>
        </w:tc>
      </w:tr>
      <w:tr w:rsidR="00BE61A2" w:rsidRPr="00374CC9" w14:paraId="13E1BFED" w14:textId="77777777" w:rsidTr="004379D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4962" w:type="dxa"/>
            <w:hideMark/>
          </w:tcPr>
          <w:p w14:paraId="7AE7487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Salmonellosis</w:t>
            </w:r>
          </w:p>
        </w:tc>
        <w:tc>
          <w:tcPr>
            <w:tcW w:w="5386" w:type="dxa"/>
            <w:hideMark/>
          </w:tcPr>
          <w:p w14:paraId="15D47D9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w:t>
            </w:r>
          </w:p>
        </w:tc>
      </w:tr>
      <w:tr w:rsidR="00BE61A2" w:rsidRPr="00374CC9" w14:paraId="5468C881" w14:textId="77777777" w:rsidTr="004379DE">
        <w:tblPrEx>
          <w:tblCellMar>
            <w:right w:w="108" w:type="dxa"/>
          </w:tblCellMar>
        </w:tblPrEx>
        <w:tc>
          <w:tcPr>
            <w:tcW w:w="4962" w:type="dxa"/>
            <w:hideMark/>
          </w:tcPr>
          <w:p w14:paraId="568CACE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Shigellosis</w:t>
            </w:r>
          </w:p>
        </w:tc>
        <w:tc>
          <w:tcPr>
            <w:tcW w:w="5386" w:type="dxa"/>
            <w:hideMark/>
          </w:tcPr>
          <w:p w14:paraId="6DD30B6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w:t>
            </w:r>
          </w:p>
        </w:tc>
      </w:tr>
      <w:tr w:rsidR="00BE61A2" w:rsidRPr="00374CC9" w14:paraId="485FDEF4" w14:textId="77777777" w:rsidTr="004379D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4962" w:type="dxa"/>
            <w:hideMark/>
          </w:tcPr>
          <w:p w14:paraId="52E0DA4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Shiga toxin producing Escherichia coli</w:t>
            </w:r>
          </w:p>
        </w:tc>
        <w:tc>
          <w:tcPr>
            <w:tcW w:w="5386" w:type="dxa"/>
            <w:hideMark/>
          </w:tcPr>
          <w:p w14:paraId="172382D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w:t>
            </w:r>
          </w:p>
        </w:tc>
      </w:tr>
      <w:tr w:rsidR="00BE61A2" w:rsidRPr="00374CC9" w14:paraId="6AB37527" w14:textId="77777777" w:rsidTr="004379DE">
        <w:tblPrEx>
          <w:tblCellMar>
            <w:right w:w="108" w:type="dxa"/>
          </w:tblCellMar>
        </w:tblPrEx>
        <w:tc>
          <w:tcPr>
            <w:tcW w:w="4962" w:type="dxa"/>
            <w:hideMark/>
          </w:tcPr>
          <w:p w14:paraId="20F916D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Typhoid fever</w:t>
            </w:r>
          </w:p>
        </w:tc>
        <w:tc>
          <w:tcPr>
            <w:tcW w:w="5386" w:type="dxa"/>
            <w:hideMark/>
          </w:tcPr>
          <w:p w14:paraId="0EEE655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w:t>
            </w:r>
          </w:p>
        </w:tc>
      </w:tr>
      <w:tr w:rsidR="00BE61A2" w:rsidRPr="00910B52" w14:paraId="4498C1ED" w14:textId="77777777" w:rsidTr="004379D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4962" w:type="dxa"/>
            <w:shd w:val="clear" w:color="auto" w:fill="BFBFBF" w:themeFill="background1" w:themeFillShade="BF"/>
            <w:hideMark/>
          </w:tcPr>
          <w:p w14:paraId="01A2473E" w14:textId="77777777" w:rsidR="00BE61A2" w:rsidRPr="00910B52" w:rsidRDefault="00BE61A2">
            <w:pPr>
              <w:rPr>
                <w:rFonts w:asciiTheme="minorHAnsi" w:eastAsia="Times New Roman" w:hAnsiTheme="minorHAnsi"/>
                <w:b/>
                <w:sz w:val="18"/>
                <w:szCs w:val="18"/>
              </w:rPr>
            </w:pPr>
            <w:r w:rsidRPr="00910B52">
              <w:rPr>
                <w:rFonts w:asciiTheme="minorHAnsi" w:eastAsia="Times New Roman" w:hAnsiTheme="minorHAnsi"/>
                <w:b/>
                <w:sz w:val="18"/>
                <w:szCs w:val="18"/>
              </w:rPr>
              <w:t>Quarantinable diseases</w:t>
            </w:r>
          </w:p>
        </w:tc>
        <w:tc>
          <w:tcPr>
            <w:tcW w:w="5386" w:type="dxa"/>
            <w:shd w:val="clear" w:color="auto" w:fill="BFBFBF" w:themeFill="background1" w:themeFillShade="BF"/>
            <w:hideMark/>
          </w:tcPr>
          <w:p w14:paraId="4993C27B" w14:textId="77777777" w:rsidR="00BE61A2" w:rsidRPr="00910B52" w:rsidRDefault="00BE61A2">
            <w:pPr>
              <w:rPr>
                <w:rFonts w:asciiTheme="minorHAnsi" w:eastAsia="Times New Roman" w:hAnsiTheme="minorHAnsi"/>
                <w:b/>
                <w:sz w:val="18"/>
                <w:szCs w:val="18"/>
              </w:rPr>
            </w:pPr>
          </w:p>
        </w:tc>
      </w:tr>
      <w:tr w:rsidR="00BE61A2" w:rsidRPr="00374CC9" w14:paraId="6F467FDD" w14:textId="77777777" w:rsidTr="004379DE">
        <w:tblPrEx>
          <w:tblCellMar>
            <w:right w:w="108" w:type="dxa"/>
          </w:tblCellMar>
        </w:tblPrEx>
        <w:tc>
          <w:tcPr>
            <w:tcW w:w="4962" w:type="dxa"/>
            <w:hideMark/>
          </w:tcPr>
          <w:p w14:paraId="33546CD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Cholera</w:t>
            </w:r>
          </w:p>
        </w:tc>
        <w:tc>
          <w:tcPr>
            <w:tcW w:w="5386" w:type="dxa"/>
            <w:hideMark/>
          </w:tcPr>
          <w:p w14:paraId="48E0B32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w:t>
            </w:r>
          </w:p>
        </w:tc>
      </w:tr>
      <w:tr w:rsidR="00BE61A2" w:rsidRPr="00374CC9" w14:paraId="40E0E2DB" w14:textId="77777777" w:rsidTr="004379D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4962" w:type="dxa"/>
            <w:hideMark/>
          </w:tcPr>
          <w:p w14:paraId="7EA43C2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Highly pathogenic avian influenza in humans</w:t>
            </w:r>
          </w:p>
        </w:tc>
        <w:tc>
          <w:tcPr>
            <w:tcW w:w="5386" w:type="dxa"/>
            <w:hideMark/>
          </w:tcPr>
          <w:p w14:paraId="7DA5134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w:t>
            </w:r>
          </w:p>
        </w:tc>
      </w:tr>
      <w:tr w:rsidR="00BE61A2" w:rsidRPr="00374CC9" w14:paraId="58B08D76" w14:textId="77777777" w:rsidTr="004379DE">
        <w:tblPrEx>
          <w:tblCellMar>
            <w:right w:w="108" w:type="dxa"/>
          </w:tblCellMar>
        </w:tblPrEx>
        <w:tc>
          <w:tcPr>
            <w:tcW w:w="4962" w:type="dxa"/>
            <w:hideMark/>
          </w:tcPr>
          <w:p w14:paraId="0E6BCC9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Middle East respiratory syndrome coronavirus</w:t>
            </w:r>
          </w:p>
        </w:tc>
        <w:tc>
          <w:tcPr>
            <w:tcW w:w="5386" w:type="dxa"/>
            <w:hideMark/>
          </w:tcPr>
          <w:p w14:paraId="58949F4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w:t>
            </w:r>
          </w:p>
        </w:tc>
      </w:tr>
      <w:tr w:rsidR="00BE61A2" w:rsidRPr="00374CC9" w14:paraId="13C5B375" w14:textId="77777777" w:rsidTr="004379D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4962" w:type="dxa"/>
            <w:hideMark/>
          </w:tcPr>
          <w:p w14:paraId="082FDA1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Plague</w:t>
            </w:r>
          </w:p>
        </w:tc>
        <w:tc>
          <w:tcPr>
            <w:tcW w:w="5386" w:type="dxa"/>
            <w:hideMark/>
          </w:tcPr>
          <w:p w14:paraId="2ECD446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w:t>
            </w:r>
          </w:p>
        </w:tc>
      </w:tr>
      <w:tr w:rsidR="00BE61A2" w:rsidRPr="00374CC9" w14:paraId="0BAC262B" w14:textId="77777777" w:rsidTr="004379DE">
        <w:tblPrEx>
          <w:tblCellMar>
            <w:right w:w="108" w:type="dxa"/>
          </w:tblCellMar>
        </w:tblPrEx>
        <w:tc>
          <w:tcPr>
            <w:tcW w:w="4962" w:type="dxa"/>
            <w:hideMark/>
          </w:tcPr>
          <w:p w14:paraId="22823E0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Rabies</w:t>
            </w:r>
          </w:p>
        </w:tc>
        <w:tc>
          <w:tcPr>
            <w:tcW w:w="5386" w:type="dxa"/>
            <w:hideMark/>
          </w:tcPr>
          <w:p w14:paraId="7992B16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w:t>
            </w:r>
          </w:p>
        </w:tc>
      </w:tr>
      <w:tr w:rsidR="00BE61A2" w:rsidRPr="00374CC9" w14:paraId="7EA77570" w14:textId="77777777" w:rsidTr="004379D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4962" w:type="dxa"/>
            <w:hideMark/>
          </w:tcPr>
          <w:p w14:paraId="6640F53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Severe acute respiratory syndrome</w:t>
            </w:r>
          </w:p>
        </w:tc>
        <w:tc>
          <w:tcPr>
            <w:tcW w:w="5386" w:type="dxa"/>
            <w:hideMark/>
          </w:tcPr>
          <w:p w14:paraId="650B542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w:t>
            </w:r>
          </w:p>
        </w:tc>
      </w:tr>
      <w:tr w:rsidR="00BE61A2" w:rsidRPr="00374CC9" w14:paraId="3930B09B" w14:textId="77777777" w:rsidTr="004379DE">
        <w:tblPrEx>
          <w:tblCellMar>
            <w:right w:w="108" w:type="dxa"/>
          </w:tblCellMar>
        </w:tblPrEx>
        <w:tc>
          <w:tcPr>
            <w:tcW w:w="4962" w:type="dxa"/>
            <w:hideMark/>
          </w:tcPr>
          <w:p w14:paraId="795148C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Smallpox</w:t>
            </w:r>
          </w:p>
        </w:tc>
        <w:tc>
          <w:tcPr>
            <w:tcW w:w="5386" w:type="dxa"/>
            <w:hideMark/>
          </w:tcPr>
          <w:p w14:paraId="3E61637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w:t>
            </w:r>
          </w:p>
        </w:tc>
      </w:tr>
      <w:tr w:rsidR="00BE61A2" w:rsidRPr="00374CC9" w14:paraId="422731B0" w14:textId="77777777" w:rsidTr="004379D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4962" w:type="dxa"/>
            <w:hideMark/>
          </w:tcPr>
          <w:p w14:paraId="1BF3F9E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Viral haemorrhagic fever</w:t>
            </w:r>
          </w:p>
        </w:tc>
        <w:tc>
          <w:tcPr>
            <w:tcW w:w="5386" w:type="dxa"/>
            <w:hideMark/>
          </w:tcPr>
          <w:p w14:paraId="79C6293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w:t>
            </w:r>
          </w:p>
        </w:tc>
      </w:tr>
      <w:tr w:rsidR="00BE61A2" w:rsidRPr="00374CC9" w14:paraId="2A69E627" w14:textId="77777777" w:rsidTr="004379DE">
        <w:tblPrEx>
          <w:tblCellMar>
            <w:right w:w="108" w:type="dxa"/>
          </w:tblCellMar>
        </w:tblPrEx>
        <w:tc>
          <w:tcPr>
            <w:tcW w:w="4962" w:type="dxa"/>
            <w:hideMark/>
          </w:tcPr>
          <w:p w14:paraId="74AA148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Yellow fever</w:t>
            </w:r>
          </w:p>
        </w:tc>
        <w:tc>
          <w:tcPr>
            <w:tcW w:w="5386" w:type="dxa"/>
            <w:hideMark/>
          </w:tcPr>
          <w:p w14:paraId="3BE3BA2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w:t>
            </w:r>
          </w:p>
        </w:tc>
      </w:tr>
      <w:tr w:rsidR="00BE61A2" w:rsidRPr="004379DE" w14:paraId="6E19166C" w14:textId="77777777" w:rsidTr="004379D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4962" w:type="dxa"/>
            <w:shd w:val="clear" w:color="auto" w:fill="BFBFBF" w:themeFill="background1" w:themeFillShade="BF"/>
            <w:hideMark/>
          </w:tcPr>
          <w:p w14:paraId="3BAF3A8A" w14:textId="77777777" w:rsidR="00BE61A2" w:rsidRPr="004379DE" w:rsidRDefault="00BE61A2">
            <w:pPr>
              <w:rPr>
                <w:rFonts w:asciiTheme="minorHAnsi" w:eastAsia="Times New Roman" w:hAnsiTheme="minorHAnsi"/>
                <w:b/>
                <w:sz w:val="18"/>
                <w:szCs w:val="18"/>
              </w:rPr>
            </w:pPr>
            <w:r w:rsidRPr="004379DE">
              <w:rPr>
                <w:rFonts w:asciiTheme="minorHAnsi" w:eastAsia="Times New Roman" w:hAnsiTheme="minorHAnsi"/>
                <w:b/>
                <w:sz w:val="18"/>
                <w:szCs w:val="18"/>
              </w:rPr>
              <w:t>Sexually transmissible infections</w:t>
            </w:r>
          </w:p>
        </w:tc>
        <w:tc>
          <w:tcPr>
            <w:tcW w:w="5386" w:type="dxa"/>
            <w:shd w:val="clear" w:color="auto" w:fill="BFBFBF" w:themeFill="background1" w:themeFillShade="BF"/>
            <w:hideMark/>
          </w:tcPr>
          <w:p w14:paraId="4C6587D7" w14:textId="77777777" w:rsidR="00BE61A2" w:rsidRPr="004379DE" w:rsidRDefault="00BE61A2">
            <w:pPr>
              <w:rPr>
                <w:rFonts w:asciiTheme="minorHAnsi" w:eastAsia="Times New Roman" w:hAnsiTheme="minorHAnsi"/>
                <w:b/>
                <w:sz w:val="18"/>
                <w:szCs w:val="18"/>
              </w:rPr>
            </w:pPr>
          </w:p>
        </w:tc>
      </w:tr>
      <w:tr w:rsidR="00BE61A2" w:rsidRPr="00374CC9" w14:paraId="2FD17A8F" w14:textId="77777777" w:rsidTr="004379DE">
        <w:tblPrEx>
          <w:tblCellMar>
            <w:right w:w="108" w:type="dxa"/>
          </w:tblCellMar>
        </w:tblPrEx>
        <w:tc>
          <w:tcPr>
            <w:tcW w:w="4962" w:type="dxa"/>
            <w:hideMark/>
          </w:tcPr>
          <w:p w14:paraId="537E2CD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Chlamydial infections</w:t>
            </w:r>
          </w:p>
        </w:tc>
        <w:tc>
          <w:tcPr>
            <w:tcW w:w="5386" w:type="dxa"/>
            <w:hideMark/>
          </w:tcPr>
          <w:p w14:paraId="2A8AF47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w:t>
            </w:r>
          </w:p>
        </w:tc>
      </w:tr>
      <w:tr w:rsidR="00BE61A2" w:rsidRPr="00374CC9" w14:paraId="681905CF" w14:textId="77777777" w:rsidTr="004379D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4962" w:type="dxa"/>
            <w:hideMark/>
          </w:tcPr>
          <w:p w14:paraId="1257870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Donovanosis</w:t>
            </w:r>
          </w:p>
        </w:tc>
        <w:tc>
          <w:tcPr>
            <w:tcW w:w="5386" w:type="dxa"/>
            <w:hideMark/>
          </w:tcPr>
          <w:p w14:paraId="42E50C6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w:t>
            </w:r>
          </w:p>
        </w:tc>
      </w:tr>
      <w:tr w:rsidR="00BE61A2" w:rsidRPr="00374CC9" w14:paraId="4AD45667" w14:textId="77777777" w:rsidTr="004379DE">
        <w:tblPrEx>
          <w:tblCellMar>
            <w:right w:w="108" w:type="dxa"/>
          </w:tblCellMar>
        </w:tblPrEx>
        <w:tc>
          <w:tcPr>
            <w:tcW w:w="4962" w:type="dxa"/>
            <w:hideMark/>
          </w:tcPr>
          <w:p w14:paraId="2300B9D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Gonococcal infection</w:t>
            </w:r>
          </w:p>
        </w:tc>
        <w:tc>
          <w:tcPr>
            <w:tcW w:w="5386" w:type="dxa"/>
            <w:hideMark/>
          </w:tcPr>
          <w:p w14:paraId="6DE6D05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w:t>
            </w:r>
          </w:p>
        </w:tc>
      </w:tr>
      <w:tr w:rsidR="00BE61A2" w:rsidRPr="00374CC9" w14:paraId="03668303" w14:textId="77777777" w:rsidTr="004379D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4962" w:type="dxa"/>
            <w:hideMark/>
          </w:tcPr>
          <w:p w14:paraId="4F03865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Syphilis &lt; 2 years duration</w:t>
            </w:r>
          </w:p>
        </w:tc>
        <w:tc>
          <w:tcPr>
            <w:tcW w:w="5386" w:type="dxa"/>
            <w:hideMark/>
          </w:tcPr>
          <w:p w14:paraId="5546423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w:t>
            </w:r>
          </w:p>
        </w:tc>
      </w:tr>
      <w:tr w:rsidR="00BE61A2" w:rsidRPr="00374CC9" w14:paraId="6705823A" w14:textId="77777777" w:rsidTr="004379DE">
        <w:tblPrEx>
          <w:tblCellMar>
            <w:right w:w="108" w:type="dxa"/>
          </w:tblCellMar>
        </w:tblPrEx>
        <w:tc>
          <w:tcPr>
            <w:tcW w:w="4962" w:type="dxa"/>
            <w:hideMark/>
          </w:tcPr>
          <w:p w14:paraId="0EBCAD7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Syphilis &gt; 2 years or unspecified duration</w:t>
            </w:r>
          </w:p>
        </w:tc>
        <w:tc>
          <w:tcPr>
            <w:tcW w:w="5386" w:type="dxa"/>
            <w:hideMark/>
          </w:tcPr>
          <w:p w14:paraId="7757312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w:t>
            </w:r>
          </w:p>
        </w:tc>
      </w:tr>
      <w:tr w:rsidR="00BE61A2" w:rsidRPr="00374CC9" w14:paraId="55869323" w14:textId="77777777" w:rsidTr="004379D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4962" w:type="dxa"/>
            <w:hideMark/>
          </w:tcPr>
          <w:p w14:paraId="5961DBF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Syphilis – congenital</w:t>
            </w:r>
          </w:p>
        </w:tc>
        <w:tc>
          <w:tcPr>
            <w:tcW w:w="5386" w:type="dxa"/>
            <w:hideMark/>
          </w:tcPr>
          <w:p w14:paraId="1A41487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w:t>
            </w:r>
          </w:p>
        </w:tc>
      </w:tr>
      <w:tr w:rsidR="00BE61A2" w:rsidRPr="00910B52" w14:paraId="03E0DBE6" w14:textId="77777777" w:rsidTr="004379DE">
        <w:tblPrEx>
          <w:tblCellMar>
            <w:right w:w="108" w:type="dxa"/>
          </w:tblCellMar>
        </w:tblPrEx>
        <w:tc>
          <w:tcPr>
            <w:tcW w:w="4962" w:type="dxa"/>
            <w:shd w:val="clear" w:color="auto" w:fill="BFBFBF" w:themeFill="background1" w:themeFillShade="BF"/>
            <w:hideMark/>
          </w:tcPr>
          <w:p w14:paraId="26C79A9B" w14:textId="77777777" w:rsidR="00BE61A2" w:rsidRPr="00910B52" w:rsidRDefault="00BE61A2">
            <w:pPr>
              <w:rPr>
                <w:rFonts w:asciiTheme="minorHAnsi" w:eastAsia="Times New Roman" w:hAnsiTheme="minorHAnsi"/>
                <w:b/>
                <w:sz w:val="18"/>
                <w:szCs w:val="18"/>
              </w:rPr>
            </w:pPr>
            <w:r w:rsidRPr="00910B52">
              <w:rPr>
                <w:rFonts w:asciiTheme="minorHAnsi" w:eastAsia="Times New Roman" w:hAnsiTheme="minorHAnsi"/>
                <w:b/>
                <w:sz w:val="18"/>
                <w:szCs w:val="18"/>
              </w:rPr>
              <w:t>Vaccine preventable diseases</w:t>
            </w:r>
          </w:p>
        </w:tc>
        <w:tc>
          <w:tcPr>
            <w:tcW w:w="5386" w:type="dxa"/>
            <w:shd w:val="clear" w:color="auto" w:fill="BFBFBF" w:themeFill="background1" w:themeFillShade="BF"/>
            <w:hideMark/>
          </w:tcPr>
          <w:p w14:paraId="5282ED92" w14:textId="77777777" w:rsidR="00BE61A2" w:rsidRPr="00910B52" w:rsidRDefault="00BE61A2">
            <w:pPr>
              <w:rPr>
                <w:rFonts w:asciiTheme="minorHAnsi" w:eastAsia="Times New Roman" w:hAnsiTheme="minorHAnsi"/>
                <w:b/>
                <w:sz w:val="18"/>
                <w:szCs w:val="18"/>
              </w:rPr>
            </w:pPr>
          </w:p>
        </w:tc>
      </w:tr>
      <w:tr w:rsidR="00BE61A2" w:rsidRPr="00374CC9" w14:paraId="1E71ACB1" w14:textId="77777777" w:rsidTr="004379D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4962" w:type="dxa"/>
            <w:hideMark/>
          </w:tcPr>
          <w:p w14:paraId="6460C29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Diphtheria</w:t>
            </w:r>
          </w:p>
        </w:tc>
        <w:tc>
          <w:tcPr>
            <w:tcW w:w="5386" w:type="dxa"/>
            <w:hideMark/>
          </w:tcPr>
          <w:p w14:paraId="6F1547D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w:t>
            </w:r>
          </w:p>
        </w:tc>
      </w:tr>
      <w:tr w:rsidR="00BE61A2" w:rsidRPr="00374CC9" w14:paraId="78C643A2" w14:textId="77777777" w:rsidTr="004379DE">
        <w:tblPrEx>
          <w:tblCellMar>
            <w:right w:w="108" w:type="dxa"/>
          </w:tblCellMar>
        </w:tblPrEx>
        <w:tc>
          <w:tcPr>
            <w:tcW w:w="4962" w:type="dxa"/>
            <w:hideMark/>
          </w:tcPr>
          <w:p w14:paraId="09FAD4F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lastRenderedPageBreak/>
              <w:t>Haemophilus influenzae type b</w:t>
            </w:r>
          </w:p>
        </w:tc>
        <w:tc>
          <w:tcPr>
            <w:tcW w:w="5386" w:type="dxa"/>
            <w:hideMark/>
          </w:tcPr>
          <w:p w14:paraId="76C82F2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w:t>
            </w:r>
          </w:p>
        </w:tc>
      </w:tr>
      <w:tr w:rsidR="00BE61A2" w:rsidRPr="00374CC9" w14:paraId="60AC6513" w14:textId="77777777" w:rsidTr="004379D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4962" w:type="dxa"/>
            <w:hideMark/>
          </w:tcPr>
          <w:p w14:paraId="691D94E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Influenza (laboratory confirmed)</w:t>
            </w:r>
          </w:p>
        </w:tc>
        <w:tc>
          <w:tcPr>
            <w:tcW w:w="5386" w:type="dxa"/>
            <w:hideMark/>
          </w:tcPr>
          <w:p w14:paraId="2EE6A09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w:t>
            </w:r>
          </w:p>
        </w:tc>
      </w:tr>
      <w:tr w:rsidR="00BE61A2" w:rsidRPr="00374CC9" w14:paraId="6F4284BF" w14:textId="77777777" w:rsidTr="004379DE">
        <w:tblPrEx>
          <w:tblCellMar>
            <w:right w:w="108" w:type="dxa"/>
          </w:tblCellMar>
        </w:tblPrEx>
        <w:tc>
          <w:tcPr>
            <w:tcW w:w="4962" w:type="dxa"/>
            <w:hideMark/>
          </w:tcPr>
          <w:p w14:paraId="50AE730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Measles</w:t>
            </w:r>
          </w:p>
        </w:tc>
        <w:tc>
          <w:tcPr>
            <w:tcW w:w="5386" w:type="dxa"/>
            <w:hideMark/>
          </w:tcPr>
          <w:p w14:paraId="4F7FA75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w:t>
            </w:r>
          </w:p>
        </w:tc>
      </w:tr>
      <w:tr w:rsidR="00BE61A2" w:rsidRPr="00374CC9" w14:paraId="5AAF24D1" w14:textId="77777777" w:rsidTr="004379D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4962" w:type="dxa"/>
            <w:hideMark/>
          </w:tcPr>
          <w:p w14:paraId="65EB87A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Mumps</w:t>
            </w:r>
          </w:p>
        </w:tc>
        <w:tc>
          <w:tcPr>
            <w:tcW w:w="5386" w:type="dxa"/>
            <w:hideMark/>
          </w:tcPr>
          <w:p w14:paraId="17C0CE1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w:t>
            </w:r>
          </w:p>
        </w:tc>
      </w:tr>
      <w:tr w:rsidR="00BE61A2" w:rsidRPr="00374CC9" w14:paraId="68F4EDAC" w14:textId="77777777" w:rsidTr="004379DE">
        <w:tblPrEx>
          <w:tblCellMar>
            <w:right w:w="108" w:type="dxa"/>
          </w:tblCellMar>
        </w:tblPrEx>
        <w:tc>
          <w:tcPr>
            <w:tcW w:w="4962" w:type="dxa"/>
            <w:hideMark/>
          </w:tcPr>
          <w:p w14:paraId="0C24455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Pertussis</w:t>
            </w:r>
          </w:p>
        </w:tc>
        <w:tc>
          <w:tcPr>
            <w:tcW w:w="5386" w:type="dxa"/>
            <w:hideMark/>
          </w:tcPr>
          <w:p w14:paraId="6683CA4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w:t>
            </w:r>
          </w:p>
        </w:tc>
      </w:tr>
      <w:tr w:rsidR="00BE61A2" w:rsidRPr="00374CC9" w14:paraId="42864489" w14:textId="77777777" w:rsidTr="004379D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4962" w:type="dxa"/>
            <w:hideMark/>
          </w:tcPr>
          <w:p w14:paraId="174EC97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Pneumococcal disease (invasive)</w:t>
            </w:r>
          </w:p>
        </w:tc>
        <w:tc>
          <w:tcPr>
            <w:tcW w:w="5386" w:type="dxa"/>
            <w:hideMark/>
          </w:tcPr>
          <w:p w14:paraId="44927B0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w:t>
            </w:r>
          </w:p>
        </w:tc>
      </w:tr>
      <w:tr w:rsidR="00BE61A2" w:rsidRPr="00374CC9" w14:paraId="18A2ABBB" w14:textId="77777777" w:rsidTr="004379DE">
        <w:tblPrEx>
          <w:tblCellMar>
            <w:right w:w="108" w:type="dxa"/>
          </w:tblCellMar>
        </w:tblPrEx>
        <w:tc>
          <w:tcPr>
            <w:tcW w:w="4962" w:type="dxa"/>
            <w:hideMark/>
          </w:tcPr>
          <w:p w14:paraId="34000DD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Poliomyelitis</w:t>
            </w:r>
          </w:p>
        </w:tc>
        <w:tc>
          <w:tcPr>
            <w:tcW w:w="5386" w:type="dxa"/>
            <w:hideMark/>
          </w:tcPr>
          <w:p w14:paraId="011EE0C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w:t>
            </w:r>
          </w:p>
        </w:tc>
      </w:tr>
      <w:tr w:rsidR="00BE61A2" w:rsidRPr="00374CC9" w14:paraId="7584944D" w14:textId="77777777" w:rsidTr="004379D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4962" w:type="dxa"/>
            <w:hideMark/>
          </w:tcPr>
          <w:p w14:paraId="33A2F29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Rubella</w:t>
            </w:r>
          </w:p>
        </w:tc>
        <w:tc>
          <w:tcPr>
            <w:tcW w:w="5386" w:type="dxa"/>
            <w:hideMark/>
          </w:tcPr>
          <w:p w14:paraId="0D40443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w:t>
            </w:r>
          </w:p>
        </w:tc>
      </w:tr>
      <w:tr w:rsidR="00BE61A2" w:rsidRPr="00374CC9" w14:paraId="2F481395" w14:textId="77777777" w:rsidTr="004379DE">
        <w:tblPrEx>
          <w:tblCellMar>
            <w:right w:w="108" w:type="dxa"/>
          </w:tblCellMar>
        </w:tblPrEx>
        <w:tc>
          <w:tcPr>
            <w:tcW w:w="4962" w:type="dxa"/>
            <w:hideMark/>
          </w:tcPr>
          <w:p w14:paraId="7A3A52A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Rubella – congenital</w:t>
            </w:r>
          </w:p>
        </w:tc>
        <w:tc>
          <w:tcPr>
            <w:tcW w:w="5386" w:type="dxa"/>
            <w:hideMark/>
          </w:tcPr>
          <w:p w14:paraId="2A80EE7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w:t>
            </w:r>
          </w:p>
        </w:tc>
      </w:tr>
      <w:tr w:rsidR="00BE61A2" w:rsidRPr="00374CC9" w14:paraId="475780EE" w14:textId="77777777" w:rsidTr="004379D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4962" w:type="dxa"/>
            <w:hideMark/>
          </w:tcPr>
          <w:p w14:paraId="7B240D3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Tetanus</w:t>
            </w:r>
          </w:p>
        </w:tc>
        <w:tc>
          <w:tcPr>
            <w:tcW w:w="5386" w:type="dxa"/>
            <w:hideMark/>
          </w:tcPr>
          <w:p w14:paraId="311D2D1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w:t>
            </w:r>
          </w:p>
        </w:tc>
      </w:tr>
      <w:tr w:rsidR="00BE61A2" w:rsidRPr="00374CC9" w14:paraId="77E0E370" w14:textId="77777777" w:rsidTr="004379DE">
        <w:tblPrEx>
          <w:tblCellMar>
            <w:right w:w="108" w:type="dxa"/>
          </w:tblCellMar>
        </w:tblPrEx>
        <w:tc>
          <w:tcPr>
            <w:tcW w:w="4962" w:type="dxa"/>
            <w:hideMark/>
          </w:tcPr>
          <w:p w14:paraId="02F9FF6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Varicella zoster (chickenpox)</w:t>
            </w:r>
          </w:p>
        </w:tc>
        <w:tc>
          <w:tcPr>
            <w:tcW w:w="5386" w:type="dxa"/>
            <w:hideMark/>
          </w:tcPr>
          <w:p w14:paraId="4BC8F80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 except NSW</w:t>
            </w:r>
          </w:p>
        </w:tc>
      </w:tr>
      <w:tr w:rsidR="00BE61A2" w:rsidRPr="00374CC9" w14:paraId="0FD03B8D" w14:textId="77777777" w:rsidTr="004379D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4962" w:type="dxa"/>
            <w:hideMark/>
          </w:tcPr>
          <w:p w14:paraId="098232E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Varicella zoster (shingles)</w:t>
            </w:r>
          </w:p>
        </w:tc>
        <w:tc>
          <w:tcPr>
            <w:tcW w:w="5386" w:type="dxa"/>
            <w:hideMark/>
          </w:tcPr>
          <w:p w14:paraId="62E8960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 except NSW</w:t>
            </w:r>
          </w:p>
        </w:tc>
      </w:tr>
      <w:tr w:rsidR="00BE61A2" w:rsidRPr="00374CC9" w14:paraId="42FB0302" w14:textId="77777777" w:rsidTr="004379DE">
        <w:tblPrEx>
          <w:tblCellMar>
            <w:right w:w="108" w:type="dxa"/>
          </w:tblCellMar>
        </w:tblPrEx>
        <w:tc>
          <w:tcPr>
            <w:tcW w:w="4962" w:type="dxa"/>
            <w:hideMark/>
          </w:tcPr>
          <w:p w14:paraId="42893BC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Varicella zoster (unspecified)</w:t>
            </w:r>
          </w:p>
        </w:tc>
        <w:tc>
          <w:tcPr>
            <w:tcW w:w="5386" w:type="dxa"/>
            <w:hideMark/>
          </w:tcPr>
          <w:p w14:paraId="25C6496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 except NSW</w:t>
            </w:r>
          </w:p>
        </w:tc>
      </w:tr>
      <w:tr w:rsidR="00BE61A2" w:rsidRPr="004379DE" w14:paraId="407961A3" w14:textId="77777777" w:rsidTr="004379D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4962" w:type="dxa"/>
            <w:shd w:val="clear" w:color="auto" w:fill="BFBFBF" w:themeFill="background1" w:themeFillShade="BF"/>
            <w:hideMark/>
          </w:tcPr>
          <w:p w14:paraId="32AF309B" w14:textId="77777777" w:rsidR="00BE61A2" w:rsidRPr="004379DE" w:rsidRDefault="00BE61A2">
            <w:pPr>
              <w:rPr>
                <w:rFonts w:asciiTheme="minorHAnsi" w:eastAsia="Times New Roman" w:hAnsiTheme="minorHAnsi"/>
                <w:b/>
                <w:sz w:val="18"/>
                <w:szCs w:val="18"/>
              </w:rPr>
            </w:pPr>
            <w:r w:rsidRPr="004379DE">
              <w:rPr>
                <w:rFonts w:asciiTheme="minorHAnsi" w:eastAsia="Times New Roman" w:hAnsiTheme="minorHAnsi"/>
                <w:b/>
                <w:sz w:val="18"/>
                <w:szCs w:val="18"/>
              </w:rPr>
              <w:t>Vectorborne diseases</w:t>
            </w:r>
          </w:p>
        </w:tc>
        <w:tc>
          <w:tcPr>
            <w:tcW w:w="5386" w:type="dxa"/>
            <w:shd w:val="clear" w:color="auto" w:fill="BFBFBF" w:themeFill="background1" w:themeFillShade="BF"/>
            <w:hideMark/>
          </w:tcPr>
          <w:p w14:paraId="05E86BBA" w14:textId="77777777" w:rsidR="00BE61A2" w:rsidRPr="004379DE" w:rsidRDefault="00BE61A2">
            <w:pPr>
              <w:rPr>
                <w:rFonts w:asciiTheme="minorHAnsi" w:eastAsia="Times New Roman" w:hAnsiTheme="minorHAnsi"/>
                <w:b/>
                <w:sz w:val="18"/>
                <w:szCs w:val="18"/>
              </w:rPr>
            </w:pPr>
          </w:p>
        </w:tc>
      </w:tr>
      <w:tr w:rsidR="00BE61A2" w:rsidRPr="00374CC9" w14:paraId="3741396E" w14:textId="77777777" w:rsidTr="004379DE">
        <w:tblPrEx>
          <w:tblCellMar>
            <w:right w:w="108" w:type="dxa"/>
          </w:tblCellMar>
        </w:tblPrEx>
        <w:tc>
          <w:tcPr>
            <w:tcW w:w="4962" w:type="dxa"/>
            <w:hideMark/>
          </w:tcPr>
          <w:p w14:paraId="0BA3845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Barmah Forest virus infection</w:t>
            </w:r>
          </w:p>
        </w:tc>
        <w:tc>
          <w:tcPr>
            <w:tcW w:w="5386" w:type="dxa"/>
            <w:hideMark/>
          </w:tcPr>
          <w:p w14:paraId="1B195E3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w:t>
            </w:r>
          </w:p>
        </w:tc>
      </w:tr>
      <w:tr w:rsidR="00BE61A2" w:rsidRPr="00374CC9" w14:paraId="29D48998" w14:textId="77777777" w:rsidTr="004379D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4962" w:type="dxa"/>
            <w:hideMark/>
          </w:tcPr>
          <w:p w14:paraId="5C4500A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Chikungunya virus infection</w:t>
            </w:r>
          </w:p>
        </w:tc>
        <w:tc>
          <w:tcPr>
            <w:tcW w:w="5386" w:type="dxa"/>
            <w:hideMark/>
          </w:tcPr>
          <w:p w14:paraId="5E381D9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 except ACT</w:t>
            </w:r>
          </w:p>
        </w:tc>
      </w:tr>
      <w:tr w:rsidR="00BE61A2" w:rsidRPr="00374CC9" w14:paraId="339E386C" w14:textId="77777777" w:rsidTr="004379DE">
        <w:tblPrEx>
          <w:tblCellMar>
            <w:right w:w="108" w:type="dxa"/>
          </w:tblCellMar>
        </w:tblPrEx>
        <w:tc>
          <w:tcPr>
            <w:tcW w:w="4962" w:type="dxa"/>
            <w:hideMark/>
          </w:tcPr>
          <w:p w14:paraId="59AF4E3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Dengue virus infection</w:t>
            </w:r>
          </w:p>
        </w:tc>
        <w:tc>
          <w:tcPr>
            <w:tcW w:w="5386" w:type="dxa"/>
            <w:hideMark/>
          </w:tcPr>
          <w:p w14:paraId="3559083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w:t>
            </w:r>
          </w:p>
        </w:tc>
      </w:tr>
      <w:tr w:rsidR="00BE61A2" w:rsidRPr="00374CC9" w14:paraId="71DB58A4" w14:textId="77777777" w:rsidTr="004379D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4962" w:type="dxa"/>
            <w:hideMark/>
          </w:tcPr>
          <w:p w14:paraId="57E7516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Flavivirus infection (unspecified)</w:t>
            </w:r>
          </w:p>
        </w:tc>
        <w:tc>
          <w:tcPr>
            <w:tcW w:w="5386" w:type="dxa"/>
            <w:hideMark/>
          </w:tcPr>
          <w:p w14:paraId="602B229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w:t>
            </w:r>
          </w:p>
        </w:tc>
      </w:tr>
      <w:tr w:rsidR="00BE61A2" w:rsidRPr="00374CC9" w14:paraId="5C4B0805" w14:textId="77777777" w:rsidTr="004379DE">
        <w:tblPrEx>
          <w:tblCellMar>
            <w:right w:w="108" w:type="dxa"/>
          </w:tblCellMar>
        </w:tblPrEx>
        <w:tc>
          <w:tcPr>
            <w:tcW w:w="4962" w:type="dxa"/>
            <w:hideMark/>
          </w:tcPr>
          <w:p w14:paraId="06E47E9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Japanese encephalitis virus infection</w:t>
            </w:r>
          </w:p>
        </w:tc>
        <w:tc>
          <w:tcPr>
            <w:tcW w:w="5386" w:type="dxa"/>
            <w:hideMark/>
          </w:tcPr>
          <w:p w14:paraId="06D9602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w:t>
            </w:r>
          </w:p>
        </w:tc>
      </w:tr>
      <w:tr w:rsidR="00BE61A2" w:rsidRPr="00374CC9" w14:paraId="1FDB1500" w14:textId="77777777" w:rsidTr="004379D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4962" w:type="dxa"/>
            <w:hideMark/>
          </w:tcPr>
          <w:p w14:paraId="457F7CB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Malaria</w:t>
            </w:r>
          </w:p>
        </w:tc>
        <w:tc>
          <w:tcPr>
            <w:tcW w:w="5386" w:type="dxa"/>
            <w:hideMark/>
          </w:tcPr>
          <w:p w14:paraId="46E0243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w:t>
            </w:r>
          </w:p>
        </w:tc>
      </w:tr>
      <w:tr w:rsidR="00BE61A2" w:rsidRPr="00374CC9" w14:paraId="75711DB5" w14:textId="77777777" w:rsidTr="004379DE">
        <w:tblPrEx>
          <w:tblCellMar>
            <w:right w:w="108" w:type="dxa"/>
          </w:tblCellMar>
        </w:tblPrEx>
        <w:tc>
          <w:tcPr>
            <w:tcW w:w="4962" w:type="dxa"/>
            <w:hideMark/>
          </w:tcPr>
          <w:p w14:paraId="32C1568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Murray Valley encephalitis virus infection</w:t>
            </w:r>
          </w:p>
        </w:tc>
        <w:tc>
          <w:tcPr>
            <w:tcW w:w="5386" w:type="dxa"/>
            <w:hideMark/>
          </w:tcPr>
          <w:p w14:paraId="3E203A8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w:t>
            </w:r>
          </w:p>
        </w:tc>
      </w:tr>
      <w:tr w:rsidR="00BE61A2" w:rsidRPr="00374CC9" w14:paraId="5C18B04B" w14:textId="77777777" w:rsidTr="004379D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4962" w:type="dxa"/>
            <w:hideMark/>
          </w:tcPr>
          <w:p w14:paraId="0F8DA77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Ross River virus infection</w:t>
            </w:r>
          </w:p>
        </w:tc>
        <w:tc>
          <w:tcPr>
            <w:tcW w:w="5386" w:type="dxa"/>
            <w:hideMark/>
          </w:tcPr>
          <w:p w14:paraId="485E135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w:t>
            </w:r>
          </w:p>
        </w:tc>
      </w:tr>
      <w:tr w:rsidR="00BE61A2" w:rsidRPr="00374CC9" w14:paraId="35BEE910" w14:textId="77777777" w:rsidTr="004379DE">
        <w:tblPrEx>
          <w:tblCellMar>
            <w:right w:w="108" w:type="dxa"/>
          </w:tblCellMar>
        </w:tblPrEx>
        <w:tc>
          <w:tcPr>
            <w:tcW w:w="4962" w:type="dxa"/>
            <w:hideMark/>
          </w:tcPr>
          <w:p w14:paraId="3A30163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 xml:space="preserve">West Nile / </w:t>
            </w:r>
            <w:proofErr w:type="spellStart"/>
            <w:r w:rsidRPr="00374CC9">
              <w:rPr>
                <w:rFonts w:asciiTheme="minorHAnsi" w:eastAsia="Times New Roman" w:hAnsiTheme="minorHAnsi"/>
                <w:sz w:val="18"/>
                <w:szCs w:val="18"/>
              </w:rPr>
              <w:t>Kunjin</w:t>
            </w:r>
            <w:proofErr w:type="spellEnd"/>
            <w:r w:rsidRPr="00374CC9">
              <w:rPr>
                <w:rFonts w:asciiTheme="minorHAnsi" w:eastAsia="Times New Roman" w:hAnsiTheme="minorHAnsi"/>
                <w:sz w:val="18"/>
                <w:szCs w:val="18"/>
              </w:rPr>
              <w:t xml:space="preserve"> virus infection</w:t>
            </w:r>
          </w:p>
        </w:tc>
        <w:tc>
          <w:tcPr>
            <w:tcW w:w="5386" w:type="dxa"/>
            <w:hideMark/>
          </w:tcPr>
          <w:p w14:paraId="61D14E8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w:t>
            </w:r>
          </w:p>
        </w:tc>
      </w:tr>
      <w:tr w:rsidR="00BE61A2" w:rsidRPr="00910B52" w14:paraId="08AB778D" w14:textId="77777777" w:rsidTr="004379D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4962" w:type="dxa"/>
            <w:shd w:val="clear" w:color="auto" w:fill="BFBFBF" w:themeFill="background1" w:themeFillShade="BF"/>
            <w:hideMark/>
          </w:tcPr>
          <w:p w14:paraId="77FFD7FC" w14:textId="77777777" w:rsidR="00BE61A2" w:rsidRPr="00910B52" w:rsidRDefault="00BE61A2">
            <w:pPr>
              <w:rPr>
                <w:rFonts w:asciiTheme="minorHAnsi" w:eastAsia="Times New Roman" w:hAnsiTheme="minorHAnsi"/>
                <w:b/>
                <w:sz w:val="18"/>
                <w:szCs w:val="18"/>
              </w:rPr>
            </w:pPr>
            <w:r w:rsidRPr="00910B52">
              <w:rPr>
                <w:rFonts w:asciiTheme="minorHAnsi" w:eastAsia="Times New Roman" w:hAnsiTheme="minorHAnsi"/>
                <w:b/>
                <w:sz w:val="18"/>
                <w:szCs w:val="18"/>
              </w:rPr>
              <w:t>Zoonoses</w:t>
            </w:r>
          </w:p>
        </w:tc>
        <w:tc>
          <w:tcPr>
            <w:tcW w:w="5386" w:type="dxa"/>
            <w:shd w:val="clear" w:color="auto" w:fill="BFBFBF" w:themeFill="background1" w:themeFillShade="BF"/>
            <w:hideMark/>
          </w:tcPr>
          <w:p w14:paraId="2D0DE233" w14:textId="77777777" w:rsidR="00BE61A2" w:rsidRPr="00910B52" w:rsidRDefault="00BE61A2">
            <w:pPr>
              <w:rPr>
                <w:rFonts w:asciiTheme="minorHAnsi" w:eastAsia="Times New Roman" w:hAnsiTheme="minorHAnsi"/>
                <w:b/>
                <w:sz w:val="18"/>
                <w:szCs w:val="18"/>
              </w:rPr>
            </w:pPr>
          </w:p>
        </w:tc>
      </w:tr>
      <w:tr w:rsidR="00BE61A2" w:rsidRPr="00374CC9" w14:paraId="69796C9F" w14:textId="77777777" w:rsidTr="004379DE">
        <w:tblPrEx>
          <w:tblCellMar>
            <w:right w:w="108" w:type="dxa"/>
          </w:tblCellMar>
        </w:tblPrEx>
        <w:tc>
          <w:tcPr>
            <w:tcW w:w="4962" w:type="dxa"/>
            <w:hideMark/>
          </w:tcPr>
          <w:p w14:paraId="3516187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Anthrax</w:t>
            </w:r>
          </w:p>
        </w:tc>
        <w:tc>
          <w:tcPr>
            <w:tcW w:w="5386" w:type="dxa"/>
            <w:hideMark/>
          </w:tcPr>
          <w:p w14:paraId="2BB5689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w:t>
            </w:r>
          </w:p>
        </w:tc>
      </w:tr>
      <w:tr w:rsidR="00BE61A2" w:rsidRPr="00374CC9" w14:paraId="6BB685C5" w14:textId="77777777" w:rsidTr="004379D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4962" w:type="dxa"/>
            <w:hideMark/>
          </w:tcPr>
          <w:p w14:paraId="724909D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Australian bat lyssavirus</w:t>
            </w:r>
          </w:p>
        </w:tc>
        <w:tc>
          <w:tcPr>
            <w:tcW w:w="5386" w:type="dxa"/>
            <w:hideMark/>
          </w:tcPr>
          <w:p w14:paraId="770A930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w:t>
            </w:r>
          </w:p>
        </w:tc>
      </w:tr>
      <w:tr w:rsidR="00BE61A2" w:rsidRPr="00374CC9" w14:paraId="2122FC1C" w14:textId="77777777" w:rsidTr="004379DE">
        <w:tblPrEx>
          <w:tblCellMar>
            <w:right w:w="108" w:type="dxa"/>
          </w:tblCellMar>
        </w:tblPrEx>
        <w:tc>
          <w:tcPr>
            <w:tcW w:w="4962" w:type="dxa"/>
            <w:hideMark/>
          </w:tcPr>
          <w:p w14:paraId="5436D2D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Brucellosis</w:t>
            </w:r>
          </w:p>
        </w:tc>
        <w:tc>
          <w:tcPr>
            <w:tcW w:w="5386" w:type="dxa"/>
            <w:hideMark/>
          </w:tcPr>
          <w:p w14:paraId="56449C0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w:t>
            </w:r>
          </w:p>
        </w:tc>
      </w:tr>
      <w:tr w:rsidR="00BE61A2" w:rsidRPr="00374CC9" w14:paraId="6A9AB59E" w14:textId="77777777" w:rsidTr="004379D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4962" w:type="dxa"/>
            <w:hideMark/>
          </w:tcPr>
          <w:p w14:paraId="562E74C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lastRenderedPageBreak/>
              <w:t>Leptospirosis</w:t>
            </w:r>
          </w:p>
        </w:tc>
        <w:tc>
          <w:tcPr>
            <w:tcW w:w="5386" w:type="dxa"/>
            <w:hideMark/>
          </w:tcPr>
          <w:p w14:paraId="4F43798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w:t>
            </w:r>
          </w:p>
        </w:tc>
      </w:tr>
      <w:tr w:rsidR="00BE61A2" w:rsidRPr="00374CC9" w14:paraId="076C0DC2" w14:textId="77777777" w:rsidTr="004379DE">
        <w:tblPrEx>
          <w:tblCellMar>
            <w:right w:w="108" w:type="dxa"/>
          </w:tblCellMar>
        </w:tblPrEx>
        <w:tc>
          <w:tcPr>
            <w:tcW w:w="4962" w:type="dxa"/>
            <w:hideMark/>
          </w:tcPr>
          <w:p w14:paraId="4C364C5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Lyssavirus (NEC)</w:t>
            </w:r>
          </w:p>
        </w:tc>
        <w:tc>
          <w:tcPr>
            <w:tcW w:w="5386" w:type="dxa"/>
            <w:hideMark/>
          </w:tcPr>
          <w:p w14:paraId="5A1C36B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w:t>
            </w:r>
          </w:p>
        </w:tc>
      </w:tr>
      <w:tr w:rsidR="00BE61A2" w:rsidRPr="00374CC9" w14:paraId="6D180154" w14:textId="77777777" w:rsidTr="004379D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4962" w:type="dxa"/>
            <w:hideMark/>
          </w:tcPr>
          <w:p w14:paraId="575887F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Ornithosis</w:t>
            </w:r>
          </w:p>
        </w:tc>
        <w:tc>
          <w:tcPr>
            <w:tcW w:w="5386" w:type="dxa"/>
            <w:hideMark/>
          </w:tcPr>
          <w:p w14:paraId="7A6418C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w:t>
            </w:r>
          </w:p>
        </w:tc>
      </w:tr>
      <w:tr w:rsidR="00BE61A2" w:rsidRPr="00374CC9" w14:paraId="5395536E" w14:textId="77777777" w:rsidTr="004379DE">
        <w:tblPrEx>
          <w:tblCellMar>
            <w:right w:w="108" w:type="dxa"/>
          </w:tblCellMar>
        </w:tblPrEx>
        <w:tc>
          <w:tcPr>
            <w:tcW w:w="4962" w:type="dxa"/>
            <w:hideMark/>
          </w:tcPr>
          <w:p w14:paraId="4CF7EEC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Q fever</w:t>
            </w:r>
          </w:p>
        </w:tc>
        <w:tc>
          <w:tcPr>
            <w:tcW w:w="5386" w:type="dxa"/>
            <w:hideMark/>
          </w:tcPr>
          <w:p w14:paraId="5E8FF42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w:t>
            </w:r>
          </w:p>
        </w:tc>
      </w:tr>
      <w:tr w:rsidR="00BE61A2" w:rsidRPr="00374CC9" w14:paraId="71374DE4" w14:textId="77777777" w:rsidTr="004379D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4962" w:type="dxa"/>
            <w:hideMark/>
          </w:tcPr>
          <w:p w14:paraId="22AE7AB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Tularaemia</w:t>
            </w:r>
          </w:p>
        </w:tc>
        <w:tc>
          <w:tcPr>
            <w:tcW w:w="5386" w:type="dxa"/>
            <w:hideMark/>
          </w:tcPr>
          <w:p w14:paraId="1AA619C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w:t>
            </w:r>
          </w:p>
        </w:tc>
      </w:tr>
      <w:tr w:rsidR="00BE61A2" w:rsidRPr="00910B52" w14:paraId="11B2B97D" w14:textId="77777777" w:rsidTr="004379DE">
        <w:tblPrEx>
          <w:tblCellMar>
            <w:right w:w="108" w:type="dxa"/>
          </w:tblCellMar>
        </w:tblPrEx>
        <w:tc>
          <w:tcPr>
            <w:tcW w:w="4962" w:type="dxa"/>
            <w:shd w:val="clear" w:color="auto" w:fill="BFBFBF" w:themeFill="background1" w:themeFillShade="BF"/>
            <w:hideMark/>
          </w:tcPr>
          <w:p w14:paraId="71B40DED" w14:textId="77777777" w:rsidR="00BE61A2" w:rsidRPr="00910B52" w:rsidRDefault="00BE61A2">
            <w:pPr>
              <w:rPr>
                <w:rFonts w:asciiTheme="minorHAnsi" w:eastAsia="Times New Roman" w:hAnsiTheme="minorHAnsi"/>
                <w:b/>
                <w:sz w:val="18"/>
                <w:szCs w:val="18"/>
              </w:rPr>
            </w:pPr>
            <w:r w:rsidRPr="00910B52">
              <w:rPr>
                <w:rFonts w:asciiTheme="minorHAnsi" w:eastAsia="Times New Roman" w:hAnsiTheme="minorHAnsi"/>
                <w:b/>
                <w:sz w:val="18"/>
                <w:szCs w:val="18"/>
              </w:rPr>
              <w:t>Other bacterial infections</w:t>
            </w:r>
          </w:p>
        </w:tc>
        <w:tc>
          <w:tcPr>
            <w:tcW w:w="5386" w:type="dxa"/>
            <w:shd w:val="clear" w:color="auto" w:fill="BFBFBF" w:themeFill="background1" w:themeFillShade="BF"/>
            <w:hideMark/>
          </w:tcPr>
          <w:p w14:paraId="23871EBB" w14:textId="77777777" w:rsidR="00BE61A2" w:rsidRPr="00910B52" w:rsidRDefault="00BE61A2">
            <w:pPr>
              <w:rPr>
                <w:rFonts w:asciiTheme="minorHAnsi" w:eastAsia="Times New Roman" w:hAnsiTheme="minorHAnsi"/>
                <w:b/>
                <w:sz w:val="18"/>
                <w:szCs w:val="18"/>
              </w:rPr>
            </w:pPr>
          </w:p>
        </w:tc>
      </w:tr>
      <w:tr w:rsidR="00BE61A2" w:rsidRPr="00374CC9" w14:paraId="067C6738" w14:textId="77777777" w:rsidTr="004379D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4962" w:type="dxa"/>
            <w:hideMark/>
          </w:tcPr>
          <w:p w14:paraId="1082A3D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Legionellosis</w:t>
            </w:r>
          </w:p>
        </w:tc>
        <w:tc>
          <w:tcPr>
            <w:tcW w:w="5386" w:type="dxa"/>
            <w:hideMark/>
          </w:tcPr>
          <w:p w14:paraId="7ED32D4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w:t>
            </w:r>
          </w:p>
        </w:tc>
      </w:tr>
      <w:tr w:rsidR="00BE61A2" w:rsidRPr="00374CC9" w14:paraId="558C1F66" w14:textId="77777777" w:rsidTr="004379DE">
        <w:tblPrEx>
          <w:tblCellMar>
            <w:right w:w="108" w:type="dxa"/>
          </w:tblCellMar>
        </w:tblPrEx>
        <w:tc>
          <w:tcPr>
            <w:tcW w:w="4962" w:type="dxa"/>
            <w:hideMark/>
          </w:tcPr>
          <w:p w14:paraId="6D9076D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Leprosy</w:t>
            </w:r>
          </w:p>
        </w:tc>
        <w:tc>
          <w:tcPr>
            <w:tcW w:w="5386" w:type="dxa"/>
            <w:hideMark/>
          </w:tcPr>
          <w:p w14:paraId="5A2B98A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w:t>
            </w:r>
          </w:p>
        </w:tc>
      </w:tr>
      <w:tr w:rsidR="00BE61A2" w:rsidRPr="00374CC9" w14:paraId="6FA218DE" w14:textId="77777777" w:rsidTr="004379D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4962" w:type="dxa"/>
            <w:hideMark/>
          </w:tcPr>
          <w:p w14:paraId="7B9D78F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Meningococcal disease (invasive)</w:t>
            </w:r>
          </w:p>
        </w:tc>
        <w:tc>
          <w:tcPr>
            <w:tcW w:w="5386" w:type="dxa"/>
            <w:hideMark/>
          </w:tcPr>
          <w:p w14:paraId="6337D2E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w:t>
            </w:r>
          </w:p>
        </w:tc>
      </w:tr>
      <w:tr w:rsidR="00BE61A2" w:rsidRPr="00374CC9" w14:paraId="6CB66B5A" w14:textId="77777777" w:rsidTr="004379DE">
        <w:tblPrEx>
          <w:tblCellMar>
            <w:right w:w="108" w:type="dxa"/>
          </w:tblCellMar>
        </w:tblPrEx>
        <w:tc>
          <w:tcPr>
            <w:tcW w:w="4962" w:type="dxa"/>
            <w:hideMark/>
          </w:tcPr>
          <w:p w14:paraId="38A0E4A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Tuberculosis</w:t>
            </w:r>
          </w:p>
        </w:tc>
        <w:tc>
          <w:tcPr>
            <w:tcW w:w="5386" w:type="dxa"/>
            <w:hideMark/>
          </w:tcPr>
          <w:p w14:paraId="0F7092A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All jurisdictions</w:t>
            </w:r>
          </w:p>
        </w:tc>
      </w:tr>
    </w:tbl>
    <w:p w14:paraId="2D414A5E" w14:textId="77777777" w:rsidR="00143E4F" w:rsidRDefault="00C214DA" w:rsidP="00C214DA">
      <w:pPr>
        <w:pStyle w:val="CDIfootnotes"/>
      </w:pPr>
      <w:r w:rsidRPr="00AE2F1B">
        <w:t>NEC</w:t>
      </w:r>
      <w:r w:rsidRPr="00AE2F1B">
        <w:tab/>
        <w:t>Not elsewhere classified.</w:t>
      </w:r>
    </w:p>
    <w:p w14:paraId="3CCEB690" w14:textId="77777777" w:rsidR="00BE61A2" w:rsidRPr="00AE2F1B" w:rsidRDefault="00BE61A2" w:rsidP="00AE2F1B">
      <w:r w:rsidRPr="00AE2F1B">
        <w:t xml:space="preserve">Changes in surveillance practices may have been introduced in some jurisdictions and not in </w:t>
      </w:r>
      <w:proofErr w:type="gramStart"/>
      <w:r w:rsidRPr="00AE2F1B">
        <w:t>others, and</w:t>
      </w:r>
      <w:proofErr w:type="gramEnd"/>
      <w:r w:rsidRPr="00AE2F1B">
        <w:t xml:space="preserve"> must be taken into consideration when comparing data between jurisdictions. In this report, some additional information was obtained from states and territories to assist in the interpretation of the 2015 data. These include changes in surveillance practices, screening practices, laboratory practices, and major disease control or prevention initiatives.</w:t>
      </w:r>
    </w:p>
    <w:p w14:paraId="613E97EA" w14:textId="77777777" w:rsidR="00BE61A2" w:rsidRPr="00AE2F1B" w:rsidRDefault="00BE61A2" w:rsidP="00AE2F1B">
      <w:r w:rsidRPr="00AE2F1B">
        <w:t xml:space="preserve">Postcode information reflects the residential location of the case, but this does not necessarily represent the place where the disease was acquired. </w:t>
      </w:r>
    </w:p>
    <w:p w14:paraId="3956D189" w14:textId="77777777" w:rsidR="00BE61A2" w:rsidRPr="00AE2F1B" w:rsidRDefault="00BE61A2" w:rsidP="00AE2F1B">
      <w:r w:rsidRPr="00AE2F1B">
        <w:t xml:space="preserve">Data completeness was assessed for cases’ Indigenous status and place of </w:t>
      </w:r>
      <w:proofErr w:type="gramStart"/>
      <w:r w:rsidRPr="00AE2F1B">
        <w:t>acquisition, and</w:t>
      </w:r>
      <w:proofErr w:type="gramEnd"/>
      <w:r w:rsidRPr="00AE2F1B">
        <w:t xml:space="preserve"> reported as the proportion of complete notifications. The completeness of data in this report is summarised in the ‘Results’ section.</w:t>
      </w:r>
    </w:p>
    <w:p w14:paraId="52B15354" w14:textId="77777777" w:rsidR="00BE61A2" w:rsidRPr="00AE2F1B" w:rsidRDefault="00BE61A2" w:rsidP="00AE2F1B">
      <w:r w:rsidRPr="00AE2F1B">
        <w:t xml:space="preserve">The percentage of data completeness was defined as: </w:t>
      </w:r>
    </w:p>
    <w:p w14:paraId="77D6A031" w14:textId="77777777" w:rsidR="00BE61A2" w:rsidRPr="00AE2F1B" w:rsidRDefault="00BE61A2" w:rsidP="00FF7D7C">
      <w:pPr>
        <w:pStyle w:val="NoSpacing"/>
        <w:ind w:left="720"/>
      </w:pPr>
      <w:r w:rsidRPr="00AE2F1B">
        <w:t>Percentage of data completeness = (total notifications – missing or unknown) / total notifications x 100</w:t>
      </w:r>
    </w:p>
    <w:p w14:paraId="7FCC8077" w14:textId="77777777" w:rsidR="00BE61A2" w:rsidRPr="00AE2F1B" w:rsidRDefault="00BE61A2" w:rsidP="00FF7D7C">
      <w:pPr>
        <w:pStyle w:val="NoSpacing"/>
        <w:ind w:left="720"/>
      </w:pPr>
      <w:r w:rsidRPr="00AE2F1B">
        <w:t>The Indigenous status was defined by the following nationally accepted criteria</w:t>
      </w:r>
      <w:r w:rsidR="00B84514" w:rsidRPr="00AE2F1B">
        <w:t>:</w:t>
      </w:r>
      <w:r w:rsidR="00B84514" w:rsidRPr="00AE2F1B">
        <w:rPr>
          <w:vertAlign w:val="superscript"/>
        </w:rPr>
        <w:t xml:space="preserve"> </w:t>
      </w:r>
      <w:proofErr w:type="gramStart"/>
      <w:r w:rsidR="00B84514" w:rsidRPr="00AE2F1B">
        <w:rPr>
          <w:vertAlign w:val="superscript"/>
        </w:rPr>
        <w:t>11</w:t>
      </w:r>
      <w:proofErr w:type="gramEnd"/>
      <w:r w:rsidRPr="00AE2F1B">
        <w:t xml:space="preserve"> </w:t>
      </w:r>
    </w:p>
    <w:p w14:paraId="6369616B" w14:textId="77777777" w:rsidR="00BE61A2" w:rsidRPr="00AE2F1B" w:rsidRDefault="00BE61A2" w:rsidP="00FF7D7C">
      <w:pPr>
        <w:pStyle w:val="NoSpacing"/>
        <w:ind w:left="720"/>
      </w:pPr>
      <w:r w:rsidRPr="00AE2F1B">
        <w:t>1=Indigenous (Aboriginal but not Torres Strait Islander origin</w:t>
      </w:r>
      <w:proofErr w:type="gramStart"/>
      <w:r w:rsidRPr="00AE2F1B">
        <w:t>);</w:t>
      </w:r>
      <w:proofErr w:type="gramEnd"/>
    </w:p>
    <w:p w14:paraId="5CCB4061" w14:textId="77777777" w:rsidR="00BE61A2" w:rsidRPr="00AE2F1B" w:rsidRDefault="00BE61A2" w:rsidP="00FF7D7C">
      <w:pPr>
        <w:pStyle w:val="NoSpacing"/>
        <w:ind w:left="720"/>
      </w:pPr>
      <w:r w:rsidRPr="00AE2F1B">
        <w:t>2=Indigenous (Torres Strait Islander but not Aboriginal origin</w:t>
      </w:r>
      <w:proofErr w:type="gramStart"/>
      <w:r w:rsidRPr="00AE2F1B">
        <w:t>);</w:t>
      </w:r>
      <w:proofErr w:type="gramEnd"/>
    </w:p>
    <w:p w14:paraId="7C71A266" w14:textId="77777777" w:rsidR="00BE61A2" w:rsidRPr="00AE2F1B" w:rsidRDefault="00BE61A2" w:rsidP="00FF7D7C">
      <w:pPr>
        <w:pStyle w:val="NoSpacing"/>
        <w:ind w:left="720"/>
      </w:pPr>
      <w:r w:rsidRPr="00AE2F1B">
        <w:t>3=Indigenous (Aboriginal and Torres Strait Islander origin</w:t>
      </w:r>
      <w:proofErr w:type="gramStart"/>
      <w:r w:rsidRPr="00AE2F1B">
        <w:t>);</w:t>
      </w:r>
      <w:proofErr w:type="gramEnd"/>
    </w:p>
    <w:p w14:paraId="2E70291A" w14:textId="77777777" w:rsidR="00BE61A2" w:rsidRPr="00AE2F1B" w:rsidRDefault="00BE61A2" w:rsidP="00FF7D7C">
      <w:pPr>
        <w:pStyle w:val="NoSpacing"/>
        <w:ind w:left="720"/>
      </w:pPr>
      <w:r w:rsidRPr="00AE2F1B">
        <w:t>4=Not Indigenous (not Aboriginal or Torres Strait Islander origin</w:t>
      </w:r>
      <w:proofErr w:type="gramStart"/>
      <w:r w:rsidRPr="00AE2F1B">
        <w:t>);</w:t>
      </w:r>
      <w:proofErr w:type="gramEnd"/>
    </w:p>
    <w:p w14:paraId="1FE5A2A3" w14:textId="77777777" w:rsidR="00BE61A2" w:rsidRDefault="00BE61A2" w:rsidP="00FF7D7C">
      <w:pPr>
        <w:pStyle w:val="NoSpacing"/>
        <w:ind w:left="720"/>
      </w:pPr>
      <w:r w:rsidRPr="00AE2F1B">
        <w:t>9=Not stated.</w:t>
      </w:r>
    </w:p>
    <w:p w14:paraId="479D1909" w14:textId="77777777" w:rsidR="00FF7D7C" w:rsidRPr="00AE2F1B" w:rsidRDefault="00FF7D7C" w:rsidP="00FF7D7C">
      <w:pPr>
        <w:pStyle w:val="NoSpacing"/>
        <w:ind w:left="720"/>
      </w:pPr>
    </w:p>
    <w:p w14:paraId="70D65598" w14:textId="77777777" w:rsidR="00BE61A2" w:rsidRPr="00AE2F1B" w:rsidRDefault="00BE61A2" w:rsidP="00AE2F1B">
      <w:r w:rsidRPr="00AE2F1B">
        <w:t>For the purposes of this report, an Indigenous person includes responses 1, 2 or 3, with non-Indigenous including response 4 only.</w:t>
      </w:r>
    </w:p>
    <w:p w14:paraId="699E9490" w14:textId="77777777" w:rsidR="00BE61A2" w:rsidRPr="00AE2F1B" w:rsidRDefault="00BE61A2" w:rsidP="00AE2F1B">
      <w:r w:rsidRPr="00AE2F1B">
        <w:t>Place of acquisition is where the disease is believed to have been acquired, either locally or overseas. The country of acquisition is determined by the Standard Australian Classification of Countries (SACC) from the ABS.</w:t>
      </w:r>
      <w:r w:rsidRPr="00AE2F1B">
        <w:rPr>
          <w:vertAlign w:val="superscript"/>
        </w:rPr>
        <w:t>12</w:t>
      </w:r>
      <w:r w:rsidRPr="00AE2F1B">
        <w:t xml:space="preserve"> A notification is complete if a valid value from the SACC is entered.</w:t>
      </w:r>
    </w:p>
    <w:p w14:paraId="03B64B55" w14:textId="77777777" w:rsidR="00BE61A2" w:rsidRPr="00AE2F1B" w:rsidRDefault="00BE61A2" w:rsidP="00AE2F1B">
      <w:r w:rsidRPr="00AE2F1B">
        <w:lastRenderedPageBreak/>
        <w:t>In interpreting STI notification data it is important to note that changes in notifications over time may not solely reflect changes in disease prevalence as changes in screening programs,</w:t>
      </w:r>
      <w:r w:rsidRPr="00AE2F1B">
        <w:rPr>
          <w:vertAlign w:val="superscript"/>
        </w:rPr>
        <w:t>13,14</w:t>
      </w:r>
      <w:r w:rsidRPr="00AE2F1B">
        <w:t xml:space="preserve"> the use of less invasive and more sensitive diagnostic tests</w:t>
      </w:r>
      <w:r w:rsidRPr="00AE2F1B">
        <w:rPr>
          <w:vertAlign w:val="superscript"/>
        </w:rPr>
        <w:t>15</w:t>
      </w:r>
      <w:r w:rsidRPr="00AE2F1B">
        <w:t xml:space="preserve"> and periodic public awareness campaigns</w:t>
      </w:r>
      <w:r w:rsidRPr="00AE2F1B">
        <w:rPr>
          <w:vertAlign w:val="superscript"/>
        </w:rPr>
        <w:t>16</w:t>
      </w:r>
      <w:r w:rsidRPr="00AE2F1B">
        <w:t xml:space="preserve"> may influence the number of notifications that occur over time. Rates for STIs are particularly susceptible to overall rates of testing, with low testing rates resulting in an underestimation of disease and increased testing potentially causing an increase in notifications.</w:t>
      </w:r>
      <w:r w:rsidRPr="00AE2F1B">
        <w:rPr>
          <w:vertAlign w:val="superscript"/>
        </w:rPr>
        <w:t>17</w:t>
      </w:r>
      <w:r w:rsidRPr="00AE2F1B">
        <w:t xml:space="preserve"> </w:t>
      </w:r>
    </w:p>
    <w:p w14:paraId="0374A864" w14:textId="77777777" w:rsidR="00BE61A2" w:rsidRPr="00AE2F1B" w:rsidRDefault="00BE61A2" w:rsidP="00AE2F1B">
      <w:r w:rsidRPr="00AE2F1B">
        <w:t>The differences in rates between females and males for STIs should be interpreted with caution, as rates of testing, symptom status, health care-seeking behaviours, and partner notification differ between the sexes.</w:t>
      </w:r>
      <w:r w:rsidRPr="00AE2F1B">
        <w:rPr>
          <w:vertAlign w:val="superscript"/>
        </w:rPr>
        <w:t>18</w:t>
      </w:r>
      <w:r w:rsidRPr="00AE2F1B">
        <w:t xml:space="preserve"> </w:t>
      </w:r>
    </w:p>
    <w:p w14:paraId="2D6CB3C2" w14:textId="77777777" w:rsidR="00BE61A2" w:rsidRPr="00095AA3" w:rsidRDefault="00BE61A2" w:rsidP="00095AA3">
      <w:pPr>
        <w:pStyle w:val="Heading1"/>
      </w:pPr>
      <w:bookmarkStart w:id="4" w:name="_Toc1747158"/>
      <w:r w:rsidRPr="00095AA3">
        <w:rPr>
          <w:rStyle w:val="Heading1Char"/>
          <w:b/>
        </w:rPr>
        <w:t>Notes on case definitions</w:t>
      </w:r>
      <w:bookmarkEnd w:id="4"/>
    </w:p>
    <w:p w14:paraId="3E38F27E" w14:textId="77777777" w:rsidR="00BE61A2" w:rsidRPr="00AE2F1B" w:rsidRDefault="00BE61A2" w:rsidP="00AE2F1B">
      <w:r w:rsidRPr="00AE2F1B">
        <w:t>Each notifiable disease is governed by a national surveillance case definition for reporting to the NNDSS. These case definitions were agreed by CDNA and implemented nationally in January 2004 and were used by all jurisdictions for the first time in 2005. These case definitions are reviewed by the Case Definitions Working Group (CDWG) as required. In 2015, the following case definitions were updated:</w:t>
      </w:r>
    </w:p>
    <w:p w14:paraId="29BB9D86" w14:textId="77777777" w:rsidR="00BE61A2" w:rsidRPr="00103B78" w:rsidRDefault="00BE61A2" w:rsidP="00103B78">
      <w:pPr>
        <w:pStyle w:val="ListParagraph"/>
        <w:numPr>
          <w:ilvl w:val="0"/>
          <w:numId w:val="4"/>
        </w:numPr>
        <w:rPr>
          <w:rFonts w:eastAsia="Times New Roman"/>
        </w:rPr>
      </w:pPr>
      <w:r w:rsidRPr="00103B78">
        <w:rPr>
          <w:rFonts w:eastAsia="Times New Roman"/>
        </w:rPr>
        <w:t xml:space="preserve">hepatitis C (newly acquired) </w:t>
      </w:r>
    </w:p>
    <w:p w14:paraId="1D96D7AD" w14:textId="77777777" w:rsidR="00BE61A2" w:rsidRPr="00103B78" w:rsidRDefault="00BE61A2" w:rsidP="00103B78">
      <w:pPr>
        <w:pStyle w:val="ListParagraph"/>
        <w:numPr>
          <w:ilvl w:val="0"/>
          <w:numId w:val="4"/>
        </w:numPr>
        <w:rPr>
          <w:rFonts w:eastAsia="Times New Roman"/>
        </w:rPr>
      </w:pPr>
      <w:r w:rsidRPr="00103B78">
        <w:rPr>
          <w:rFonts w:eastAsia="Times New Roman"/>
        </w:rPr>
        <w:t xml:space="preserve">avian influenza in humans </w:t>
      </w:r>
    </w:p>
    <w:p w14:paraId="3EDCD1F4" w14:textId="77777777" w:rsidR="00BE61A2" w:rsidRPr="00103B78" w:rsidRDefault="00BE61A2" w:rsidP="00103B78">
      <w:pPr>
        <w:pStyle w:val="ListParagraph"/>
        <w:numPr>
          <w:ilvl w:val="0"/>
          <w:numId w:val="4"/>
        </w:numPr>
        <w:rPr>
          <w:rFonts w:eastAsia="Times New Roman"/>
        </w:rPr>
      </w:pPr>
      <w:r w:rsidRPr="00103B78">
        <w:rPr>
          <w:rFonts w:eastAsia="Times New Roman"/>
        </w:rPr>
        <w:t xml:space="preserve">hepatitis B (newly acquired) </w:t>
      </w:r>
    </w:p>
    <w:p w14:paraId="386F49C5" w14:textId="77777777" w:rsidR="00BE61A2" w:rsidRPr="00103B78" w:rsidRDefault="00BE61A2" w:rsidP="00103B78">
      <w:pPr>
        <w:pStyle w:val="ListParagraph"/>
        <w:numPr>
          <w:ilvl w:val="0"/>
          <w:numId w:val="4"/>
        </w:numPr>
        <w:rPr>
          <w:rFonts w:eastAsia="Times New Roman"/>
        </w:rPr>
      </w:pPr>
      <w:r w:rsidRPr="00103B78">
        <w:rPr>
          <w:rFonts w:eastAsia="Times New Roman"/>
        </w:rPr>
        <w:t xml:space="preserve">hepatitis B (unspecified) </w:t>
      </w:r>
    </w:p>
    <w:p w14:paraId="206DD306" w14:textId="77777777" w:rsidR="00BE61A2" w:rsidRPr="00103B78" w:rsidRDefault="00BE61A2" w:rsidP="00103B78">
      <w:pPr>
        <w:pStyle w:val="ListParagraph"/>
        <w:numPr>
          <w:ilvl w:val="0"/>
          <w:numId w:val="4"/>
        </w:numPr>
        <w:rPr>
          <w:rFonts w:eastAsia="Times New Roman"/>
        </w:rPr>
      </w:pPr>
      <w:r w:rsidRPr="00103B78">
        <w:rPr>
          <w:rFonts w:eastAsia="Times New Roman"/>
        </w:rPr>
        <w:t xml:space="preserve">hepatitis E </w:t>
      </w:r>
    </w:p>
    <w:p w14:paraId="30455975" w14:textId="77777777" w:rsidR="00BE61A2" w:rsidRPr="00103B78" w:rsidRDefault="00BE61A2" w:rsidP="00103B78">
      <w:pPr>
        <w:pStyle w:val="ListParagraph"/>
        <w:numPr>
          <w:ilvl w:val="0"/>
          <w:numId w:val="4"/>
        </w:numPr>
        <w:rPr>
          <w:rFonts w:eastAsia="Times New Roman"/>
        </w:rPr>
      </w:pPr>
      <w:r w:rsidRPr="00103B78">
        <w:rPr>
          <w:rFonts w:eastAsia="Times New Roman"/>
        </w:rPr>
        <w:t xml:space="preserve">syphilis </w:t>
      </w:r>
    </w:p>
    <w:p w14:paraId="6F85B3E5" w14:textId="77777777" w:rsidR="00BE61A2" w:rsidRPr="00103B78" w:rsidRDefault="00BE61A2" w:rsidP="00103B78">
      <w:pPr>
        <w:pStyle w:val="ListParagraph"/>
        <w:numPr>
          <w:ilvl w:val="0"/>
          <w:numId w:val="4"/>
        </w:numPr>
        <w:rPr>
          <w:rFonts w:eastAsia="Times New Roman"/>
        </w:rPr>
      </w:pPr>
      <w:r w:rsidRPr="00103B78">
        <w:rPr>
          <w:rFonts w:eastAsia="Times New Roman"/>
        </w:rPr>
        <w:t xml:space="preserve">congenital syphilis </w:t>
      </w:r>
    </w:p>
    <w:p w14:paraId="77534296" w14:textId="77777777" w:rsidR="00BE61A2" w:rsidRPr="00AE2F1B" w:rsidRDefault="00BE61A2" w:rsidP="00AE2F1B">
      <w:r w:rsidRPr="00AE2F1B">
        <w:t>In addition to the above, a change was made to the salmonella case definition and a paratyphoid case definition was created. From 1 January 2016, paratyphoid notifications were separated from salmonellosis notifications. Paratyphoid is reported for the first time in this annual report as all paratyphoid data in the NNDSS was retrospectively updated.</w:t>
      </w:r>
    </w:p>
    <w:p w14:paraId="502E71FF" w14:textId="0F8FF05A" w:rsidR="00BE61A2" w:rsidRPr="00AE2F1B" w:rsidRDefault="00BE61A2" w:rsidP="00AE2F1B">
      <w:r w:rsidRPr="00AE2F1B">
        <w:t>The national surveillance case definitions and their review status are available from the Australian Government Department of Health web site (</w:t>
      </w:r>
      <w:hyperlink r:id="rId14" w:tooltip="http://www.health.gov.au/casedefinitions" w:history="1">
        <w:r w:rsidR="001047AB" w:rsidRPr="009928CF">
          <w:rPr>
            <w:rStyle w:val="Hyperlink"/>
          </w:rPr>
          <w:t>http://www.health.gov.au/casedefinitions</w:t>
        </w:r>
      </w:hyperlink>
      <w:r w:rsidRPr="00AE2F1B">
        <w:t xml:space="preserve">). </w:t>
      </w:r>
    </w:p>
    <w:p w14:paraId="20D82712" w14:textId="77777777" w:rsidR="00BE61A2" w:rsidRPr="00095AA3" w:rsidRDefault="00BE61A2" w:rsidP="00095AA3">
      <w:pPr>
        <w:pStyle w:val="Heading1"/>
      </w:pPr>
      <w:bookmarkStart w:id="5" w:name="_Toc1747159"/>
      <w:r w:rsidRPr="00095AA3">
        <w:rPr>
          <w:rStyle w:val="Heading1Char"/>
          <w:b/>
        </w:rPr>
        <w:t>Results</w:t>
      </w:r>
      <w:bookmarkEnd w:id="5"/>
    </w:p>
    <w:p w14:paraId="1F5F9271" w14:textId="77777777" w:rsidR="00BE61A2" w:rsidRPr="00AE2F1B" w:rsidRDefault="00BE61A2" w:rsidP="00AE2F1B">
      <w:r w:rsidRPr="00AE2F1B">
        <w:t>There were 320,480 communicable disease notifications received by NNDSS in 2015 (Table 3).</w:t>
      </w:r>
    </w:p>
    <w:p w14:paraId="3081B5AB" w14:textId="77777777" w:rsidR="00BB4C6B" w:rsidRDefault="00BB4C6B">
      <w:pPr>
        <w:rPr>
          <w:rFonts w:eastAsia="Times New Roman"/>
          <w:b/>
        </w:rPr>
      </w:pPr>
      <w:r>
        <w:rPr>
          <w:rFonts w:eastAsia="Times New Roman"/>
        </w:rPr>
        <w:br w:type="page"/>
      </w:r>
    </w:p>
    <w:p w14:paraId="7B2338EF" w14:textId="77777777" w:rsidR="00BE61A2" w:rsidRPr="00AE2F1B" w:rsidRDefault="00BE61A2" w:rsidP="00B657E0">
      <w:pPr>
        <w:pStyle w:val="CDIFigures"/>
        <w:rPr>
          <w:rFonts w:eastAsia="Times New Roman"/>
        </w:rPr>
      </w:pPr>
      <w:r w:rsidRPr="00AE2F1B">
        <w:rPr>
          <w:rFonts w:eastAsia="Times New Roman"/>
        </w:rPr>
        <w:lastRenderedPageBreak/>
        <w:t xml:space="preserve">Table 3: Notifications to the National Notifiable Diseases Surveillance System, Australia, 2015, by disease category rank order </w:t>
      </w:r>
    </w:p>
    <w:tbl>
      <w:tblPr>
        <w:tblStyle w:val="CDI-StandardTable"/>
        <w:tblW w:w="0" w:type="auto"/>
        <w:tblCellMar>
          <w:top w:w="142" w:type="dxa"/>
          <w:left w:w="142" w:type="dxa"/>
          <w:bottom w:w="142" w:type="dxa"/>
        </w:tblCellMar>
        <w:tblLook w:val="04A0" w:firstRow="1" w:lastRow="0" w:firstColumn="1" w:lastColumn="0" w:noHBand="0" w:noVBand="1"/>
        <w:tblDescription w:val="This table shows the number and percentage of notifications by disease category from highest to lowest."/>
      </w:tblPr>
      <w:tblGrid>
        <w:gridCol w:w="3402"/>
        <w:gridCol w:w="1843"/>
        <w:gridCol w:w="5195"/>
      </w:tblGrid>
      <w:tr w:rsidR="007D1C35" w:rsidRPr="007D1C35" w14:paraId="79E01E75" w14:textId="77777777" w:rsidTr="0062522E">
        <w:trPr>
          <w:cnfStyle w:val="100000000000" w:firstRow="1" w:lastRow="0" w:firstColumn="0" w:lastColumn="0" w:oddVBand="0" w:evenVBand="0" w:oddHBand="0" w:evenHBand="0" w:firstRowFirstColumn="0" w:firstRowLastColumn="0" w:lastRowFirstColumn="0" w:lastRowLastColumn="0"/>
          <w:tblHeader/>
        </w:trPr>
        <w:tc>
          <w:tcPr>
            <w:tcW w:w="3402" w:type="dxa"/>
            <w:hideMark/>
          </w:tcPr>
          <w:p w14:paraId="114C2489" w14:textId="77777777" w:rsidR="00BE61A2" w:rsidRPr="007D1C35" w:rsidRDefault="00BE61A2" w:rsidP="00E2722B">
            <w:pPr>
              <w:ind w:left="2160" w:hanging="2160"/>
              <w:rPr>
                <w:rFonts w:eastAsia="Times New Roman"/>
                <w:color w:val="FFFFFF" w:themeColor="background1"/>
                <w:sz w:val="18"/>
                <w:szCs w:val="18"/>
              </w:rPr>
            </w:pPr>
            <w:r w:rsidRPr="007D1C35">
              <w:rPr>
                <w:rFonts w:eastAsia="Times New Roman"/>
                <w:color w:val="FFFFFF" w:themeColor="background1"/>
                <w:sz w:val="18"/>
                <w:szCs w:val="18"/>
              </w:rPr>
              <w:t>Disease category</w:t>
            </w:r>
          </w:p>
        </w:tc>
        <w:tc>
          <w:tcPr>
            <w:tcW w:w="1843" w:type="dxa"/>
            <w:hideMark/>
          </w:tcPr>
          <w:p w14:paraId="31224B0D" w14:textId="77777777" w:rsidR="00BE61A2" w:rsidRPr="007D1C35" w:rsidRDefault="00BE61A2" w:rsidP="00E2722B">
            <w:pPr>
              <w:ind w:left="2160" w:hanging="2160"/>
              <w:rPr>
                <w:rFonts w:eastAsia="Times New Roman"/>
                <w:color w:val="FFFFFF" w:themeColor="background1"/>
                <w:sz w:val="18"/>
                <w:szCs w:val="18"/>
              </w:rPr>
            </w:pPr>
            <w:r w:rsidRPr="007D1C35">
              <w:rPr>
                <w:rFonts w:eastAsia="Times New Roman"/>
                <w:color w:val="FFFFFF" w:themeColor="background1"/>
                <w:sz w:val="18"/>
                <w:szCs w:val="18"/>
              </w:rPr>
              <w:t>Number</w:t>
            </w:r>
          </w:p>
        </w:tc>
        <w:tc>
          <w:tcPr>
            <w:tcW w:w="5195" w:type="dxa"/>
            <w:hideMark/>
          </w:tcPr>
          <w:p w14:paraId="0BA5FCCE" w14:textId="77777777" w:rsidR="00BE61A2" w:rsidRPr="007D1C35" w:rsidRDefault="00BE61A2" w:rsidP="00E2722B">
            <w:pPr>
              <w:ind w:left="2160" w:hanging="2160"/>
              <w:rPr>
                <w:rFonts w:eastAsia="Times New Roman"/>
                <w:color w:val="FFFFFF" w:themeColor="background1"/>
                <w:sz w:val="18"/>
                <w:szCs w:val="18"/>
              </w:rPr>
            </w:pPr>
            <w:r w:rsidRPr="007D1C35">
              <w:rPr>
                <w:rFonts w:eastAsia="Times New Roman"/>
                <w:color w:val="FFFFFF" w:themeColor="background1"/>
                <w:sz w:val="18"/>
                <w:szCs w:val="18"/>
              </w:rPr>
              <w:t>%</w:t>
            </w:r>
          </w:p>
        </w:tc>
      </w:tr>
      <w:tr w:rsidR="00BE61A2" w:rsidRPr="00374CC9" w14:paraId="4BC0ECBF" w14:textId="77777777" w:rsidTr="0062522E">
        <w:tblPrEx>
          <w:tblCellMar>
            <w:right w:w="108" w:type="dxa"/>
          </w:tblCellMar>
        </w:tblPrEx>
        <w:tc>
          <w:tcPr>
            <w:tcW w:w="3402" w:type="dxa"/>
            <w:hideMark/>
          </w:tcPr>
          <w:p w14:paraId="25FD747A" w14:textId="77777777" w:rsidR="00BE61A2" w:rsidRPr="00374CC9" w:rsidRDefault="00BE61A2" w:rsidP="00E2722B">
            <w:pPr>
              <w:ind w:left="2160" w:hanging="2160"/>
              <w:rPr>
                <w:rFonts w:asciiTheme="minorHAnsi" w:eastAsia="Times New Roman" w:hAnsiTheme="minorHAnsi"/>
                <w:sz w:val="18"/>
                <w:szCs w:val="18"/>
              </w:rPr>
            </w:pPr>
            <w:r w:rsidRPr="00374CC9">
              <w:rPr>
                <w:rFonts w:asciiTheme="minorHAnsi" w:eastAsia="Times New Roman" w:hAnsiTheme="minorHAnsi"/>
                <w:sz w:val="18"/>
                <w:szCs w:val="18"/>
              </w:rPr>
              <w:t>Vaccine preventable diseases</w:t>
            </w:r>
          </w:p>
        </w:tc>
        <w:tc>
          <w:tcPr>
            <w:tcW w:w="1843" w:type="dxa"/>
            <w:hideMark/>
          </w:tcPr>
          <w:p w14:paraId="076A3D79" w14:textId="77777777" w:rsidR="00BE61A2" w:rsidRPr="00374CC9" w:rsidRDefault="00BE61A2" w:rsidP="00E2722B">
            <w:pPr>
              <w:ind w:left="2160" w:hanging="2160"/>
              <w:rPr>
                <w:rFonts w:asciiTheme="minorHAnsi" w:eastAsia="Times New Roman" w:hAnsiTheme="minorHAnsi"/>
                <w:sz w:val="18"/>
                <w:szCs w:val="18"/>
              </w:rPr>
            </w:pPr>
            <w:r w:rsidRPr="00374CC9">
              <w:rPr>
                <w:rFonts w:asciiTheme="minorHAnsi" w:eastAsia="Times New Roman" w:hAnsiTheme="minorHAnsi"/>
                <w:sz w:val="18"/>
                <w:szCs w:val="18"/>
              </w:rPr>
              <w:t>147,569</w:t>
            </w:r>
          </w:p>
        </w:tc>
        <w:tc>
          <w:tcPr>
            <w:tcW w:w="5195" w:type="dxa"/>
            <w:hideMark/>
          </w:tcPr>
          <w:p w14:paraId="11C4F392" w14:textId="77777777" w:rsidR="00BE61A2" w:rsidRPr="00374CC9" w:rsidRDefault="00BE61A2" w:rsidP="00E2722B">
            <w:pPr>
              <w:ind w:left="2160" w:hanging="2160"/>
              <w:rPr>
                <w:rFonts w:asciiTheme="minorHAnsi" w:eastAsia="Times New Roman" w:hAnsiTheme="minorHAnsi"/>
                <w:sz w:val="18"/>
                <w:szCs w:val="18"/>
              </w:rPr>
            </w:pPr>
            <w:r w:rsidRPr="00374CC9">
              <w:rPr>
                <w:rFonts w:asciiTheme="minorHAnsi" w:eastAsia="Times New Roman" w:hAnsiTheme="minorHAnsi"/>
                <w:sz w:val="18"/>
                <w:szCs w:val="18"/>
              </w:rPr>
              <w:t>46</w:t>
            </w:r>
          </w:p>
        </w:tc>
      </w:tr>
      <w:tr w:rsidR="00BE61A2" w:rsidRPr="00374CC9" w14:paraId="181B2056" w14:textId="77777777" w:rsidTr="0062522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3402" w:type="dxa"/>
            <w:hideMark/>
          </w:tcPr>
          <w:p w14:paraId="43474AE1" w14:textId="77777777" w:rsidR="00BE61A2" w:rsidRPr="00374CC9" w:rsidRDefault="00BE61A2" w:rsidP="00E2722B">
            <w:pPr>
              <w:ind w:left="2160" w:hanging="2160"/>
              <w:rPr>
                <w:rFonts w:asciiTheme="minorHAnsi" w:eastAsia="Times New Roman" w:hAnsiTheme="minorHAnsi"/>
                <w:sz w:val="18"/>
                <w:szCs w:val="18"/>
              </w:rPr>
            </w:pPr>
            <w:r w:rsidRPr="00374CC9">
              <w:rPr>
                <w:rFonts w:asciiTheme="minorHAnsi" w:eastAsia="Times New Roman" w:hAnsiTheme="minorHAnsi"/>
                <w:sz w:val="18"/>
                <w:szCs w:val="18"/>
              </w:rPr>
              <w:t>Sexually transmitted infections</w:t>
            </w:r>
          </w:p>
        </w:tc>
        <w:tc>
          <w:tcPr>
            <w:tcW w:w="1843" w:type="dxa"/>
            <w:hideMark/>
          </w:tcPr>
          <w:p w14:paraId="21107E5F" w14:textId="77777777" w:rsidR="00BE61A2" w:rsidRPr="00374CC9" w:rsidRDefault="00BE61A2" w:rsidP="00E2722B">
            <w:pPr>
              <w:ind w:left="2160" w:hanging="2160"/>
              <w:rPr>
                <w:rFonts w:asciiTheme="minorHAnsi" w:eastAsia="Times New Roman" w:hAnsiTheme="minorHAnsi"/>
                <w:sz w:val="18"/>
                <w:szCs w:val="18"/>
              </w:rPr>
            </w:pPr>
            <w:r w:rsidRPr="00374CC9">
              <w:rPr>
                <w:rFonts w:asciiTheme="minorHAnsi" w:eastAsia="Times New Roman" w:hAnsiTheme="minorHAnsi"/>
                <w:sz w:val="18"/>
                <w:szCs w:val="18"/>
              </w:rPr>
              <w:t>95,468</w:t>
            </w:r>
          </w:p>
        </w:tc>
        <w:tc>
          <w:tcPr>
            <w:tcW w:w="5195" w:type="dxa"/>
            <w:hideMark/>
          </w:tcPr>
          <w:p w14:paraId="10CCB3D1" w14:textId="77777777" w:rsidR="00BE61A2" w:rsidRPr="00374CC9" w:rsidRDefault="00BE61A2" w:rsidP="00E2722B">
            <w:pPr>
              <w:ind w:left="2160" w:hanging="2160"/>
              <w:rPr>
                <w:rFonts w:asciiTheme="minorHAnsi" w:eastAsia="Times New Roman" w:hAnsiTheme="minorHAnsi"/>
                <w:sz w:val="18"/>
                <w:szCs w:val="18"/>
              </w:rPr>
            </w:pPr>
            <w:r w:rsidRPr="00374CC9">
              <w:rPr>
                <w:rFonts w:asciiTheme="minorHAnsi" w:eastAsia="Times New Roman" w:hAnsiTheme="minorHAnsi"/>
                <w:sz w:val="18"/>
                <w:szCs w:val="18"/>
              </w:rPr>
              <w:t>30</w:t>
            </w:r>
          </w:p>
        </w:tc>
      </w:tr>
      <w:tr w:rsidR="00BE61A2" w:rsidRPr="00374CC9" w14:paraId="7BE6A7F0" w14:textId="77777777" w:rsidTr="0062522E">
        <w:tblPrEx>
          <w:tblCellMar>
            <w:right w:w="108" w:type="dxa"/>
          </w:tblCellMar>
        </w:tblPrEx>
        <w:tc>
          <w:tcPr>
            <w:tcW w:w="3402" w:type="dxa"/>
            <w:hideMark/>
          </w:tcPr>
          <w:p w14:paraId="63B43AB0" w14:textId="77777777" w:rsidR="00BE61A2" w:rsidRPr="00374CC9" w:rsidRDefault="00BE61A2" w:rsidP="00E2722B">
            <w:pPr>
              <w:ind w:left="2160" w:hanging="2160"/>
              <w:rPr>
                <w:rFonts w:asciiTheme="minorHAnsi" w:eastAsia="Times New Roman" w:hAnsiTheme="minorHAnsi"/>
                <w:sz w:val="18"/>
                <w:szCs w:val="18"/>
              </w:rPr>
            </w:pPr>
            <w:r w:rsidRPr="00374CC9">
              <w:rPr>
                <w:rFonts w:asciiTheme="minorHAnsi" w:eastAsia="Times New Roman" w:hAnsiTheme="minorHAnsi"/>
                <w:sz w:val="18"/>
                <w:szCs w:val="18"/>
              </w:rPr>
              <w:t>Gastrointestinal diseases</w:t>
            </w:r>
          </w:p>
        </w:tc>
        <w:tc>
          <w:tcPr>
            <w:tcW w:w="1843" w:type="dxa"/>
            <w:hideMark/>
          </w:tcPr>
          <w:p w14:paraId="143C5BAA" w14:textId="77777777" w:rsidR="00BE61A2" w:rsidRPr="00374CC9" w:rsidRDefault="00BE61A2" w:rsidP="00E2722B">
            <w:pPr>
              <w:ind w:left="2160" w:hanging="2160"/>
              <w:rPr>
                <w:rFonts w:asciiTheme="minorHAnsi" w:eastAsia="Times New Roman" w:hAnsiTheme="minorHAnsi"/>
                <w:sz w:val="18"/>
                <w:szCs w:val="18"/>
              </w:rPr>
            </w:pPr>
            <w:r w:rsidRPr="00374CC9">
              <w:rPr>
                <w:rFonts w:asciiTheme="minorHAnsi" w:eastAsia="Times New Roman" w:hAnsiTheme="minorHAnsi"/>
                <w:sz w:val="18"/>
                <w:szCs w:val="18"/>
              </w:rPr>
              <w:t>45,326</w:t>
            </w:r>
          </w:p>
        </w:tc>
        <w:tc>
          <w:tcPr>
            <w:tcW w:w="5195" w:type="dxa"/>
            <w:hideMark/>
          </w:tcPr>
          <w:p w14:paraId="6A95478C" w14:textId="77777777" w:rsidR="00BE61A2" w:rsidRPr="00374CC9" w:rsidRDefault="00BE61A2" w:rsidP="00E2722B">
            <w:pPr>
              <w:ind w:left="2160" w:hanging="2160"/>
              <w:rPr>
                <w:rFonts w:asciiTheme="minorHAnsi" w:eastAsia="Times New Roman" w:hAnsiTheme="minorHAnsi"/>
                <w:sz w:val="18"/>
                <w:szCs w:val="18"/>
              </w:rPr>
            </w:pPr>
            <w:r w:rsidRPr="00374CC9">
              <w:rPr>
                <w:rFonts w:asciiTheme="minorHAnsi" w:eastAsia="Times New Roman" w:hAnsiTheme="minorHAnsi"/>
                <w:sz w:val="18"/>
                <w:szCs w:val="18"/>
              </w:rPr>
              <w:t>14</w:t>
            </w:r>
          </w:p>
        </w:tc>
      </w:tr>
      <w:tr w:rsidR="00BE61A2" w:rsidRPr="00374CC9" w14:paraId="02DA3F6E" w14:textId="77777777" w:rsidTr="0062522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3402" w:type="dxa"/>
            <w:hideMark/>
          </w:tcPr>
          <w:p w14:paraId="5AC59979" w14:textId="77777777" w:rsidR="00BE61A2" w:rsidRPr="00374CC9" w:rsidRDefault="00BE61A2" w:rsidP="00E2722B">
            <w:pPr>
              <w:ind w:left="2160" w:hanging="2160"/>
              <w:rPr>
                <w:rFonts w:asciiTheme="minorHAnsi" w:eastAsia="Times New Roman" w:hAnsiTheme="minorHAnsi"/>
                <w:sz w:val="18"/>
                <w:szCs w:val="18"/>
              </w:rPr>
            </w:pPr>
            <w:r w:rsidRPr="00374CC9">
              <w:rPr>
                <w:rFonts w:asciiTheme="minorHAnsi" w:eastAsia="Times New Roman" w:hAnsiTheme="minorHAnsi"/>
                <w:sz w:val="18"/>
                <w:szCs w:val="18"/>
              </w:rPr>
              <w:t>Bloodborne diseases</w:t>
            </w:r>
          </w:p>
        </w:tc>
        <w:tc>
          <w:tcPr>
            <w:tcW w:w="1843" w:type="dxa"/>
            <w:hideMark/>
          </w:tcPr>
          <w:p w14:paraId="699D9763" w14:textId="77777777" w:rsidR="00BE61A2" w:rsidRPr="00374CC9" w:rsidRDefault="00BE61A2" w:rsidP="00E2722B">
            <w:pPr>
              <w:ind w:left="2160" w:hanging="2160"/>
              <w:rPr>
                <w:rFonts w:asciiTheme="minorHAnsi" w:eastAsia="Times New Roman" w:hAnsiTheme="minorHAnsi"/>
                <w:sz w:val="18"/>
                <w:szCs w:val="18"/>
              </w:rPr>
            </w:pPr>
            <w:r w:rsidRPr="00374CC9">
              <w:rPr>
                <w:rFonts w:asciiTheme="minorHAnsi" w:eastAsia="Times New Roman" w:hAnsiTheme="minorHAnsi"/>
                <w:sz w:val="18"/>
                <w:szCs w:val="18"/>
              </w:rPr>
              <w:t>17,337</w:t>
            </w:r>
          </w:p>
        </w:tc>
        <w:tc>
          <w:tcPr>
            <w:tcW w:w="5195" w:type="dxa"/>
            <w:hideMark/>
          </w:tcPr>
          <w:p w14:paraId="5DC5A866" w14:textId="77777777" w:rsidR="00BE61A2" w:rsidRPr="00374CC9" w:rsidRDefault="00BE61A2" w:rsidP="00E2722B">
            <w:pPr>
              <w:ind w:left="2160" w:hanging="2160"/>
              <w:rPr>
                <w:rFonts w:asciiTheme="minorHAnsi" w:eastAsia="Times New Roman" w:hAnsiTheme="minorHAnsi"/>
                <w:sz w:val="18"/>
                <w:szCs w:val="18"/>
              </w:rPr>
            </w:pPr>
            <w:r w:rsidRPr="00374CC9">
              <w:rPr>
                <w:rFonts w:asciiTheme="minorHAnsi" w:eastAsia="Times New Roman" w:hAnsiTheme="minorHAnsi"/>
                <w:sz w:val="18"/>
                <w:szCs w:val="18"/>
              </w:rPr>
              <w:t>5</w:t>
            </w:r>
          </w:p>
        </w:tc>
      </w:tr>
      <w:tr w:rsidR="00BE61A2" w:rsidRPr="00374CC9" w14:paraId="1E6C1616" w14:textId="77777777" w:rsidTr="0062522E">
        <w:tblPrEx>
          <w:tblCellMar>
            <w:right w:w="108" w:type="dxa"/>
          </w:tblCellMar>
        </w:tblPrEx>
        <w:tc>
          <w:tcPr>
            <w:tcW w:w="3402" w:type="dxa"/>
            <w:hideMark/>
          </w:tcPr>
          <w:p w14:paraId="09C0016E" w14:textId="77777777" w:rsidR="00BE61A2" w:rsidRPr="00374CC9" w:rsidRDefault="00BE61A2" w:rsidP="00E2722B">
            <w:pPr>
              <w:ind w:left="2160" w:hanging="2160"/>
              <w:rPr>
                <w:rFonts w:asciiTheme="minorHAnsi" w:eastAsia="Times New Roman" w:hAnsiTheme="minorHAnsi"/>
                <w:sz w:val="18"/>
                <w:szCs w:val="18"/>
              </w:rPr>
            </w:pPr>
            <w:r w:rsidRPr="00374CC9">
              <w:rPr>
                <w:rFonts w:asciiTheme="minorHAnsi" w:eastAsia="Times New Roman" w:hAnsiTheme="minorHAnsi"/>
                <w:sz w:val="18"/>
                <w:szCs w:val="18"/>
              </w:rPr>
              <w:t>Vectorborne diseases</w:t>
            </w:r>
          </w:p>
        </w:tc>
        <w:tc>
          <w:tcPr>
            <w:tcW w:w="1843" w:type="dxa"/>
            <w:hideMark/>
          </w:tcPr>
          <w:p w14:paraId="2603A1B8" w14:textId="77777777" w:rsidR="00BE61A2" w:rsidRPr="00374CC9" w:rsidRDefault="00BE61A2" w:rsidP="00E2722B">
            <w:pPr>
              <w:ind w:left="2160" w:hanging="2160"/>
              <w:rPr>
                <w:rFonts w:asciiTheme="minorHAnsi" w:eastAsia="Times New Roman" w:hAnsiTheme="minorHAnsi"/>
                <w:sz w:val="18"/>
                <w:szCs w:val="18"/>
              </w:rPr>
            </w:pPr>
            <w:r w:rsidRPr="00374CC9">
              <w:rPr>
                <w:rFonts w:asciiTheme="minorHAnsi" w:eastAsia="Times New Roman" w:hAnsiTheme="minorHAnsi"/>
                <w:sz w:val="18"/>
                <w:szCs w:val="18"/>
              </w:rPr>
              <w:t>12,253</w:t>
            </w:r>
          </w:p>
        </w:tc>
        <w:tc>
          <w:tcPr>
            <w:tcW w:w="5195" w:type="dxa"/>
            <w:hideMark/>
          </w:tcPr>
          <w:p w14:paraId="745FE89F" w14:textId="77777777" w:rsidR="00BE61A2" w:rsidRPr="00374CC9" w:rsidRDefault="00BE61A2" w:rsidP="00E2722B">
            <w:pPr>
              <w:ind w:left="2160" w:hanging="2160"/>
              <w:rPr>
                <w:rFonts w:asciiTheme="minorHAnsi" w:eastAsia="Times New Roman" w:hAnsiTheme="minorHAnsi"/>
                <w:sz w:val="18"/>
                <w:szCs w:val="18"/>
              </w:rPr>
            </w:pPr>
            <w:r w:rsidRPr="00374CC9">
              <w:rPr>
                <w:rFonts w:asciiTheme="minorHAnsi" w:eastAsia="Times New Roman" w:hAnsiTheme="minorHAnsi"/>
                <w:sz w:val="18"/>
                <w:szCs w:val="18"/>
              </w:rPr>
              <w:t>4</w:t>
            </w:r>
          </w:p>
        </w:tc>
      </w:tr>
      <w:tr w:rsidR="00BE61A2" w:rsidRPr="00374CC9" w14:paraId="54D7F230" w14:textId="77777777" w:rsidTr="0062522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3402" w:type="dxa"/>
            <w:hideMark/>
          </w:tcPr>
          <w:p w14:paraId="3397FEAB" w14:textId="77777777" w:rsidR="00BE61A2" w:rsidRPr="00374CC9" w:rsidRDefault="00BE61A2" w:rsidP="00E2722B">
            <w:pPr>
              <w:ind w:left="2160" w:hanging="2160"/>
              <w:rPr>
                <w:rFonts w:asciiTheme="minorHAnsi" w:eastAsia="Times New Roman" w:hAnsiTheme="minorHAnsi"/>
                <w:sz w:val="18"/>
                <w:szCs w:val="18"/>
              </w:rPr>
            </w:pPr>
            <w:r w:rsidRPr="00374CC9">
              <w:rPr>
                <w:rFonts w:asciiTheme="minorHAnsi" w:eastAsia="Times New Roman" w:hAnsiTheme="minorHAnsi"/>
                <w:sz w:val="18"/>
                <w:szCs w:val="18"/>
              </w:rPr>
              <w:t>Other bacterial diseases</w:t>
            </w:r>
          </w:p>
        </w:tc>
        <w:tc>
          <w:tcPr>
            <w:tcW w:w="1843" w:type="dxa"/>
            <w:hideMark/>
          </w:tcPr>
          <w:p w14:paraId="6911B432" w14:textId="77777777" w:rsidR="00BE61A2" w:rsidRPr="00374CC9" w:rsidRDefault="00BE61A2" w:rsidP="00E2722B">
            <w:pPr>
              <w:ind w:left="2160" w:hanging="2160"/>
              <w:rPr>
                <w:rFonts w:asciiTheme="minorHAnsi" w:eastAsia="Times New Roman" w:hAnsiTheme="minorHAnsi"/>
                <w:sz w:val="18"/>
                <w:szCs w:val="18"/>
              </w:rPr>
            </w:pPr>
            <w:r w:rsidRPr="00374CC9">
              <w:rPr>
                <w:rFonts w:asciiTheme="minorHAnsi" w:eastAsia="Times New Roman" w:hAnsiTheme="minorHAnsi"/>
                <w:sz w:val="18"/>
                <w:szCs w:val="18"/>
              </w:rPr>
              <w:t>1,815</w:t>
            </w:r>
          </w:p>
        </w:tc>
        <w:tc>
          <w:tcPr>
            <w:tcW w:w="5195" w:type="dxa"/>
            <w:hideMark/>
          </w:tcPr>
          <w:p w14:paraId="673AC657" w14:textId="77777777" w:rsidR="00BE61A2" w:rsidRPr="00374CC9" w:rsidRDefault="00BE61A2" w:rsidP="00E2722B">
            <w:pPr>
              <w:ind w:left="2160" w:hanging="2160"/>
              <w:rPr>
                <w:rFonts w:asciiTheme="minorHAnsi" w:eastAsia="Times New Roman" w:hAnsiTheme="minorHAnsi"/>
                <w:sz w:val="18"/>
                <w:szCs w:val="18"/>
              </w:rPr>
            </w:pPr>
            <w:r w:rsidRPr="00374CC9">
              <w:rPr>
                <w:rFonts w:asciiTheme="minorHAnsi" w:eastAsia="Times New Roman" w:hAnsiTheme="minorHAnsi"/>
                <w:sz w:val="18"/>
                <w:szCs w:val="18"/>
              </w:rPr>
              <w:t>1</w:t>
            </w:r>
          </w:p>
        </w:tc>
      </w:tr>
      <w:tr w:rsidR="00BE61A2" w:rsidRPr="00374CC9" w14:paraId="21A08EC3" w14:textId="77777777" w:rsidTr="0062522E">
        <w:tblPrEx>
          <w:tblCellMar>
            <w:right w:w="108" w:type="dxa"/>
          </w:tblCellMar>
        </w:tblPrEx>
        <w:tc>
          <w:tcPr>
            <w:tcW w:w="3402" w:type="dxa"/>
            <w:hideMark/>
          </w:tcPr>
          <w:p w14:paraId="7B72FB91" w14:textId="77777777" w:rsidR="00BE61A2" w:rsidRPr="00374CC9" w:rsidRDefault="00BE61A2" w:rsidP="00E2722B">
            <w:pPr>
              <w:ind w:left="2160" w:hanging="2160"/>
              <w:rPr>
                <w:rFonts w:asciiTheme="minorHAnsi" w:eastAsia="Times New Roman" w:hAnsiTheme="minorHAnsi"/>
                <w:sz w:val="18"/>
                <w:szCs w:val="18"/>
              </w:rPr>
            </w:pPr>
            <w:r w:rsidRPr="00374CC9">
              <w:rPr>
                <w:rFonts w:asciiTheme="minorHAnsi" w:eastAsia="Times New Roman" w:hAnsiTheme="minorHAnsi"/>
                <w:sz w:val="18"/>
                <w:szCs w:val="18"/>
              </w:rPr>
              <w:t>Zoonoses</w:t>
            </w:r>
          </w:p>
        </w:tc>
        <w:tc>
          <w:tcPr>
            <w:tcW w:w="1843" w:type="dxa"/>
            <w:hideMark/>
          </w:tcPr>
          <w:p w14:paraId="0529EB9B" w14:textId="77777777" w:rsidR="00BE61A2" w:rsidRPr="00374CC9" w:rsidRDefault="00BE61A2" w:rsidP="00E2722B">
            <w:pPr>
              <w:ind w:left="2160" w:hanging="2160"/>
              <w:rPr>
                <w:rFonts w:asciiTheme="minorHAnsi" w:eastAsia="Times New Roman" w:hAnsiTheme="minorHAnsi"/>
                <w:sz w:val="18"/>
                <w:szCs w:val="18"/>
              </w:rPr>
            </w:pPr>
            <w:r w:rsidRPr="00374CC9">
              <w:rPr>
                <w:rFonts w:asciiTheme="minorHAnsi" w:eastAsia="Times New Roman" w:hAnsiTheme="minorHAnsi"/>
                <w:sz w:val="18"/>
                <w:szCs w:val="18"/>
              </w:rPr>
              <w:t>710</w:t>
            </w:r>
          </w:p>
        </w:tc>
        <w:tc>
          <w:tcPr>
            <w:tcW w:w="5195" w:type="dxa"/>
            <w:hideMark/>
          </w:tcPr>
          <w:p w14:paraId="34404B96" w14:textId="77777777" w:rsidR="00BE61A2" w:rsidRPr="00374CC9" w:rsidRDefault="00BE61A2" w:rsidP="00E2722B">
            <w:pPr>
              <w:ind w:left="2160" w:hanging="2160"/>
              <w:rPr>
                <w:rFonts w:asciiTheme="minorHAnsi" w:eastAsia="Times New Roman" w:hAnsiTheme="minorHAnsi"/>
                <w:sz w:val="18"/>
                <w:szCs w:val="18"/>
              </w:rPr>
            </w:pPr>
            <w:r w:rsidRPr="00374CC9">
              <w:rPr>
                <w:rFonts w:asciiTheme="minorHAnsi" w:eastAsia="Times New Roman" w:hAnsiTheme="minorHAnsi"/>
                <w:sz w:val="18"/>
                <w:szCs w:val="18"/>
              </w:rPr>
              <w:t>&lt;1</w:t>
            </w:r>
          </w:p>
        </w:tc>
      </w:tr>
      <w:tr w:rsidR="00BE61A2" w:rsidRPr="00374CC9" w14:paraId="28807896" w14:textId="77777777" w:rsidTr="0062522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3402" w:type="dxa"/>
            <w:hideMark/>
          </w:tcPr>
          <w:p w14:paraId="27919D71" w14:textId="77777777" w:rsidR="00BE61A2" w:rsidRPr="00374CC9" w:rsidRDefault="00BE61A2" w:rsidP="00E2722B">
            <w:pPr>
              <w:ind w:left="2160" w:hanging="2160"/>
              <w:rPr>
                <w:rFonts w:asciiTheme="minorHAnsi" w:eastAsia="Times New Roman" w:hAnsiTheme="minorHAnsi"/>
                <w:sz w:val="18"/>
                <w:szCs w:val="18"/>
              </w:rPr>
            </w:pPr>
            <w:r w:rsidRPr="00374CC9">
              <w:rPr>
                <w:rFonts w:asciiTheme="minorHAnsi" w:eastAsia="Times New Roman" w:hAnsiTheme="minorHAnsi"/>
                <w:sz w:val="18"/>
                <w:szCs w:val="18"/>
              </w:rPr>
              <w:t>Quarantinable diseases</w:t>
            </w:r>
          </w:p>
        </w:tc>
        <w:tc>
          <w:tcPr>
            <w:tcW w:w="1843" w:type="dxa"/>
            <w:hideMark/>
          </w:tcPr>
          <w:p w14:paraId="1851C049" w14:textId="77777777" w:rsidR="00BE61A2" w:rsidRPr="00374CC9" w:rsidRDefault="00BE61A2" w:rsidP="00E2722B">
            <w:pPr>
              <w:ind w:left="2160" w:hanging="2160"/>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5195" w:type="dxa"/>
            <w:hideMark/>
          </w:tcPr>
          <w:p w14:paraId="134A67E5" w14:textId="77777777" w:rsidR="00BE61A2" w:rsidRPr="00374CC9" w:rsidRDefault="00BE61A2" w:rsidP="00E2722B">
            <w:pPr>
              <w:ind w:left="2160" w:hanging="2160"/>
              <w:rPr>
                <w:rFonts w:asciiTheme="minorHAnsi" w:eastAsia="Times New Roman" w:hAnsiTheme="minorHAnsi"/>
                <w:sz w:val="18"/>
                <w:szCs w:val="18"/>
              </w:rPr>
            </w:pPr>
            <w:r w:rsidRPr="00374CC9">
              <w:rPr>
                <w:rFonts w:asciiTheme="minorHAnsi" w:eastAsia="Times New Roman" w:hAnsiTheme="minorHAnsi"/>
                <w:sz w:val="18"/>
                <w:szCs w:val="18"/>
              </w:rPr>
              <w:t>&lt;1</w:t>
            </w:r>
          </w:p>
        </w:tc>
      </w:tr>
      <w:tr w:rsidR="00BE61A2" w:rsidRPr="009D0CD2" w14:paraId="45C16337" w14:textId="77777777" w:rsidTr="005C63F2">
        <w:tblPrEx>
          <w:tblCellMar>
            <w:right w:w="108" w:type="dxa"/>
          </w:tblCellMar>
        </w:tblPrEx>
        <w:tc>
          <w:tcPr>
            <w:tcW w:w="3402" w:type="dxa"/>
            <w:shd w:val="clear" w:color="auto" w:fill="FDE9D9" w:themeFill="accent6" w:themeFillTint="33"/>
            <w:hideMark/>
          </w:tcPr>
          <w:p w14:paraId="639ED567" w14:textId="77777777" w:rsidR="00BE61A2" w:rsidRPr="009D0CD2" w:rsidRDefault="00BE61A2" w:rsidP="00E2722B">
            <w:pPr>
              <w:ind w:left="2160" w:hanging="2160"/>
              <w:rPr>
                <w:rFonts w:asciiTheme="minorHAnsi" w:eastAsia="Times New Roman" w:hAnsiTheme="minorHAnsi"/>
                <w:b/>
                <w:sz w:val="18"/>
                <w:szCs w:val="18"/>
              </w:rPr>
            </w:pPr>
            <w:r w:rsidRPr="009D0CD2">
              <w:rPr>
                <w:rFonts w:asciiTheme="minorHAnsi" w:eastAsia="Times New Roman" w:hAnsiTheme="minorHAnsi"/>
                <w:b/>
                <w:sz w:val="18"/>
                <w:szCs w:val="18"/>
              </w:rPr>
              <w:t>Total</w:t>
            </w:r>
          </w:p>
        </w:tc>
        <w:tc>
          <w:tcPr>
            <w:tcW w:w="1843" w:type="dxa"/>
            <w:shd w:val="clear" w:color="auto" w:fill="FDE9D9" w:themeFill="accent6" w:themeFillTint="33"/>
            <w:hideMark/>
          </w:tcPr>
          <w:p w14:paraId="5F6DB21F" w14:textId="77777777" w:rsidR="00BE61A2" w:rsidRPr="009D0CD2" w:rsidRDefault="00BE61A2" w:rsidP="00E2722B">
            <w:pPr>
              <w:ind w:left="2160" w:hanging="2160"/>
              <w:rPr>
                <w:rFonts w:asciiTheme="minorHAnsi" w:eastAsia="Times New Roman" w:hAnsiTheme="minorHAnsi"/>
                <w:b/>
                <w:sz w:val="18"/>
                <w:szCs w:val="18"/>
              </w:rPr>
            </w:pPr>
            <w:r w:rsidRPr="009D0CD2">
              <w:rPr>
                <w:rFonts w:asciiTheme="minorHAnsi" w:eastAsia="Times New Roman" w:hAnsiTheme="minorHAnsi"/>
                <w:b/>
                <w:sz w:val="18"/>
                <w:szCs w:val="18"/>
              </w:rPr>
              <w:t>320,480</w:t>
            </w:r>
          </w:p>
        </w:tc>
        <w:tc>
          <w:tcPr>
            <w:tcW w:w="5195" w:type="dxa"/>
            <w:shd w:val="clear" w:color="auto" w:fill="FDE9D9" w:themeFill="accent6" w:themeFillTint="33"/>
            <w:hideMark/>
          </w:tcPr>
          <w:p w14:paraId="0E574A13" w14:textId="77777777" w:rsidR="00BE61A2" w:rsidRPr="009D0CD2" w:rsidRDefault="00BE61A2" w:rsidP="00E2722B">
            <w:pPr>
              <w:ind w:left="2160" w:hanging="2160"/>
              <w:rPr>
                <w:rFonts w:asciiTheme="minorHAnsi" w:eastAsia="Times New Roman" w:hAnsiTheme="minorHAnsi"/>
                <w:b/>
                <w:sz w:val="18"/>
                <w:szCs w:val="18"/>
              </w:rPr>
            </w:pPr>
            <w:r w:rsidRPr="009D0CD2">
              <w:rPr>
                <w:rFonts w:asciiTheme="minorHAnsi" w:eastAsia="Times New Roman" w:hAnsiTheme="minorHAnsi"/>
                <w:b/>
                <w:sz w:val="18"/>
                <w:szCs w:val="18"/>
              </w:rPr>
              <w:t>100</w:t>
            </w:r>
          </w:p>
        </w:tc>
      </w:tr>
    </w:tbl>
    <w:p w14:paraId="2708042E" w14:textId="77777777" w:rsidR="005C63F2" w:rsidRDefault="005C63F2" w:rsidP="00AE2F1B"/>
    <w:p w14:paraId="79953252" w14:textId="77777777" w:rsidR="00BE61A2" w:rsidRPr="00AE2F1B" w:rsidRDefault="00BE61A2" w:rsidP="00AE2F1B">
      <w:r w:rsidRPr="00AE2F1B">
        <w:t xml:space="preserve">In 2015, the most frequently notified diseases were vaccine preventable diseases (147,569 notifications, 46% of total notifications), sexually transmissible infections (95,468 notifications, 30% of total notifications), and gastrointestinal diseases (45,326 notifications, 14% of total notifications). </w:t>
      </w:r>
    </w:p>
    <w:p w14:paraId="6BB87D48" w14:textId="77777777" w:rsidR="007A144B" w:rsidRDefault="00BE61A2">
      <w:pPr>
        <w:rPr>
          <w:b/>
        </w:rPr>
      </w:pPr>
      <w:r w:rsidRPr="00AE2F1B">
        <w:t>There was an increase of 16% compared with the total number of notifications in 2014 (276,188) (Figure 2). The increase can largely be attributed to the seasonal increase in influenza notifications for 2015, which reached a higher peak than in previous seasons.</w:t>
      </w:r>
    </w:p>
    <w:p w14:paraId="1FAB18FC" w14:textId="77777777" w:rsidR="00BB4C6B" w:rsidRDefault="00BB4C6B">
      <w:pPr>
        <w:rPr>
          <w:b/>
        </w:rPr>
      </w:pPr>
      <w:r>
        <w:br w:type="page"/>
      </w:r>
    </w:p>
    <w:p w14:paraId="01EA4FB2" w14:textId="77777777" w:rsidR="009A5E10" w:rsidRDefault="009A5E10" w:rsidP="009A5E10">
      <w:pPr>
        <w:pStyle w:val="CDIFigures"/>
      </w:pPr>
      <w:r>
        <w:lastRenderedPageBreak/>
        <w:t>Figure 2: Trends in notifications received by the National Notifiable Diseases Surveillance System, Australia, 1991 to 2015</w:t>
      </w:r>
    </w:p>
    <w:p w14:paraId="15001278" w14:textId="77777777" w:rsidR="007A144B" w:rsidRPr="00AE2F1B" w:rsidRDefault="00B731E4" w:rsidP="009A5E10">
      <w:pPr>
        <w:pStyle w:val="CDIFigures"/>
      </w:pPr>
      <w:r>
        <w:rPr>
          <w:noProof/>
        </w:rPr>
        <w:drawing>
          <wp:inline distT="0" distB="0" distL="0" distR="0" wp14:anchorId="7348F7EE" wp14:editId="5D49C811">
            <wp:extent cx="6644976" cy="4027937"/>
            <wp:effectExtent l="0" t="0" r="0" b="0"/>
            <wp:docPr id="1" name="Picture 1" descr="This figure shows the trend of notifications received by the National Notifiable Disease Surveillance System from 1991 to 2015. The figure demonstrates a gradual increase over time from 43,719 notifications in 1991 to 159,266 notifications in 2008. In 2009 notifications peaked at 238,401 decreased slightly in 2010 to 211,124 and peaked again in 2011 and 2012 with 239,611 and 245,610 notifications respectively. In 2013, notifications decreased by 8 per cent compared to 2012 which until 2014 had the highest year total of notifications since 1991. In 2014, notifications increased by 22% to 275,581 compared to 2013. In 2015, notifications continued to increase to 320,480 which was a 16% increase on 2014.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Introduction figure 2 .jpg"/>
                    <pic:cNvPicPr/>
                  </pic:nvPicPr>
                  <pic:blipFill rotWithShape="1">
                    <a:blip r:embed="rId15" cstate="print">
                      <a:extLst>
                        <a:ext uri="{28A0092B-C50C-407E-A947-70E740481C1C}">
                          <a14:useLocalDpi xmlns:a14="http://schemas.microsoft.com/office/drawing/2010/main"/>
                        </a:ext>
                      </a:extLst>
                    </a:blip>
                    <a:srcRect/>
                    <a:stretch/>
                  </pic:blipFill>
                  <pic:spPr bwMode="auto">
                    <a:xfrm>
                      <a:off x="0" y="0"/>
                      <a:ext cx="6644976" cy="4027937"/>
                    </a:xfrm>
                    <a:prstGeom prst="rect">
                      <a:avLst/>
                    </a:prstGeom>
                    <a:ln>
                      <a:noFill/>
                    </a:ln>
                    <a:extLst>
                      <a:ext uri="{53640926-AAD7-44D8-BBD7-CCE9431645EC}">
                        <a14:shadowObscured xmlns:a14="http://schemas.microsoft.com/office/drawing/2010/main"/>
                      </a:ext>
                    </a:extLst>
                  </pic:spPr>
                </pic:pic>
              </a:graphicData>
            </a:graphic>
          </wp:inline>
        </w:drawing>
      </w:r>
    </w:p>
    <w:p w14:paraId="3ED13EEB" w14:textId="77777777" w:rsidR="00BE61A2" w:rsidRPr="00AE2F1B" w:rsidRDefault="00BE61A2" w:rsidP="00AE2F1B">
      <w:r w:rsidRPr="00AE2F1B">
        <w:t xml:space="preserve">Number of notifications and notification rates per 100,000 for each disease by state or territory in 2015, are shown in Table 4 and Table 5 respectively. Notifications and rates per 100,000 for the period 2010 to 2015 are shown in Table 6. </w:t>
      </w:r>
    </w:p>
    <w:p w14:paraId="7C678620" w14:textId="77777777" w:rsidR="00BB4C6B" w:rsidRDefault="00BB4C6B">
      <w:pPr>
        <w:rPr>
          <w:b/>
        </w:rPr>
      </w:pPr>
      <w:r>
        <w:br w:type="page"/>
      </w:r>
    </w:p>
    <w:p w14:paraId="2A9161C7" w14:textId="77777777" w:rsidR="00BE61A2" w:rsidRPr="00AE2F1B" w:rsidRDefault="00BE61A2" w:rsidP="00103B78">
      <w:pPr>
        <w:pStyle w:val="CDIFigures"/>
      </w:pPr>
      <w:r w:rsidRPr="00AE2F1B">
        <w:lastRenderedPageBreak/>
        <w:t xml:space="preserve">Table 4: Notified cases of communicable diseases, Australia, 2015, by state or territory </w:t>
      </w:r>
    </w:p>
    <w:tbl>
      <w:tblPr>
        <w:tblStyle w:val="CDI-StandardTable"/>
        <w:tblW w:w="0" w:type="auto"/>
        <w:tblCellMar>
          <w:top w:w="142" w:type="dxa"/>
          <w:left w:w="142" w:type="dxa"/>
          <w:bottom w:w="142" w:type="dxa"/>
        </w:tblCellMar>
        <w:tblLook w:val="04A0" w:firstRow="1" w:lastRow="0" w:firstColumn="1" w:lastColumn="0" w:noHBand="0" w:noVBand="1"/>
        <w:tblDescription w:val="This table shows the number of notified diseases by disease category for each state or territory and the total for Australia for 2015.&#10;"/>
      </w:tblPr>
      <w:tblGrid>
        <w:gridCol w:w="3632"/>
        <w:gridCol w:w="660"/>
        <w:gridCol w:w="752"/>
        <w:gridCol w:w="660"/>
        <w:gridCol w:w="752"/>
        <w:gridCol w:w="752"/>
        <w:gridCol w:w="660"/>
        <w:gridCol w:w="752"/>
        <w:gridCol w:w="752"/>
        <w:gridCol w:w="843"/>
      </w:tblGrid>
      <w:tr w:rsidR="00BE61A2" w:rsidRPr="00374CC9" w14:paraId="2487A3D0" w14:textId="77777777" w:rsidTr="000A4FFE">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2660D55A"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Disease</w:t>
            </w:r>
          </w:p>
        </w:tc>
        <w:tc>
          <w:tcPr>
            <w:tcW w:w="0" w:type="auto"/>
            <w:gridSpan w:val="8"/>
            <w:hideMark/>
          </w:tcPr>
          <w:p w14:paraId="6BE5B12A" w14:textId="77777777" w:rsidR="00BE61A2" w:rsidRPr="007D1C35" w:rsidRDefault="00BE61A2" w:rsidP="001B4567">
            <w:pPr>
              <w:jc w:val="center"/>
              <w:rPr>
                <w:rFonts w:eastAsia="Times New Roman"/>
                <w:color w:val="FFFFFF" w:themeColor="background1"/>
                <w:sz w:val="18"/>
                <w:szCs w:val="18"/>
              </w:rPr>
            </w:pPr>
            <w:r w:rsidRPr="007D1C35">
              <w:rPr>
                <w:rFonts w:eastAsia="Times New Roman"/>
                <w:color w:val="FFFFFF" w:themeColor="background1"/>
                <w:sz w:val="18"/>
                <w:szCs w:val="18"/>
              </w:rPr>
              <w:t>State or Territory</w:t>
            </w:r>
          </w:p>
        </w:tc>
        <w:tc>
          <w:tcPr>
            <w:tcW w:w="0" w:type="auto"/>
            <w:vMerge w:val="restart"/>
            <w:hideMark/>
          </w:tcPr>
          <w:p w14:paraId="65CA7F6F" w14:textId="77777777" w:rsidR="00BE61A2" w:rsidRPr="00374CC9" w:rsidRDefault="00BE61A2">
            <w:pPr>
              <w:rPr>
                <w:rFonts w:eastAsia="Times New Roman"/>
                <w:sz w:val="18"/>
                <w:szCs w:val="18"/>
              </w:rPr>
            </w:pPr>
            <w:r w:rsidRPr="007D1C35">
              <w:rPr>
                <w:rFonts w:eastAsia="Times New Roman"/>
                <w:color w:val="FFFFFF" w:themeColor="background1"/>
                <w:sz w:val="18"/>
                <w:szCs w:val="18"/>
              </w:rPr>
              <w:t>Aust</w:t>
            </w:r>
          </w:p>
        </w:tc>
      </w:tr>
      <w:tr w:rsidR="00BE61A2" w:rsidRPr="00374CC9" w14:paraId="0CC05091" w14:textId="77777777" w:rsidTr="000A4FFE">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02A417EA" w14:textId="77777777" w:rsidR="00BE61A2" w:rsidRPr="007D1C35" w:rsidRDefault="00BE61A2">
            <w:pPr>
              <w:rPr>
                <w:rFonts w:eastAsia="Times New Roman"/>
                <w:color w:val="FFFFFF" w:themeColor="background1"/>
                <w:sz w:val="18"/>
                <w:szCs w:val="18"/>
              </w:rPr>
            </w:pPr>
          </w:p>
        </w:tc>
        <w:tc>
          <w:tcPr>
            <w:tcW w:w="0" w:type="auto"/>
            <w:hideMark/>
          </w:tcPr>
          <w:p w14:paraId="6C362C12" w14:textId="77777777" w:rsidR="00BE61A2" w:rsidRPr="007D1C35" w:rsidRDefault="00BE61A2" w:rsidP="001B4567">
            <w:pPr>
              <w:jc w:val="center"/>
              <w:rPr>
                <w:rFonts w:eastAsia="Times New Roman"/>
                <w:color w:val="FFFFFF" w:themeColor="background1"/>
                <w:sz w:val="18"/>
                <w:szCs w:val="18"/>
              </w:rPr>
            </w:pPr>
            <w:r w:rsidRPr="007D1C35">
              <w:rPr>
                <w:rFonts w:eastAsia="Times New Roman"/>
                <w:color w:val="FFFFFF" w:themeColor="background1"/>
                <w:sz w:val="18"/>
                <w:szCs w:val="18"/>
              </w:rPr>
              <w:t>ACT</w:t>
            </w:r>
          </w:p>
        </w:tc>
        <w:tc>
          <w:tcPr>
            <w:tcW w:w="0" w:type="auto"/>
            <w:hideMark/>
          </w:tcPr>
          <w:p w14:paraId="754593FE" w14:textId="77777777" w:rsidR="00BE61A2" w:rsidRPr="007D1C35" w:rsidRDefault="00BE61A2" w:rsidP="001B4567">
            <w:pPr>
              <w:jc w:val="center"/>
              <w:rPr>
                <w:rFonts w:eastAsia="Times New Roman"/>
                <w:color w:val="FFFFFF" w:themeColor="background1"/>
                <w:sz w:val="18"/>
                <w:szCs w:val="18"/>
              </w:rPr>
            </w:pPr>
            <w:r w:rsidRPr="007D1C35">
              <w:rPr>
                <w:rFonts w:eastAsia="Times New Roman"/>
                <w:color w:val="FFFFFF" w:themeColor="background1"/>
                <w:sz w:val="18"/>
                <w:szCs w:val="18"/>
              </w:rPr>
              <w:t>NSW</w:t>
            </w:r>
          </w:p>
        </w:tc>
        <w:tc>
          <w:tcPr>
            <w:tcW w:w="0" w:type="auto"/>
            <w:hideMark/>
          </w:tcPr>
          <w:p w14:paraId="094B65F2" w14:textId="77777777" w:rsidR="00BE61A2" w:rsidRPr="007D1C35" w:rsidRDefault="00BE61A2" w:rsidP="001B4567">
            <w:pPr>
              <w:jc w:val="center"/>
              <w:rPr>
                <w:rFonts w:eastAsia="Times New Roman"/>
                <w:color w:val="FFFFFF" w:themeColor="background1"/>
                <w:sz w:val="18"/>
                <w:szCs w:val="18"/>
              </w:rPr>
            </w:pPr>
            <w:r w:rsidRPr="007D1C35">
              <w:rPr>
                <w:rFonts w:eastAsia="Times New Roman"/>
                <w:color w:val="FFFFFF" w:themeColor="background1"/>
                <w:sz w:val="18"/>
                <w:szCs w:val="18"/>
              </w:rPr>
              <w:t>NT</w:t>
            </w:r>
          </w:p>
        </w:tc>
        <w:tc>
          <w:tcPr>
            <w:tcW w:w="0" w:type="auto"/>
            <w:hideMark/>
          </w:tcPr>
          <w:p w14:paraId="2C92B355" w14:textId="77777777" w:rsidR="00BE61A2" w:rsidRPr="007D1C35" w:rsidRDefault="00BE61A2" w:rsidP="001B4567">
            <w:pPr>
              <w:jc w:val="center"/>
              <w:rPr>
                <w:rFonts w:eastAsia="Times New Roman"/>
                <w:color w:val="FFFFFF" w:themeColor="background1"/>
                <w:sz w:val="18"/>
                <w:szCs w:val="18"/>
              </w:rPr>
            </w:pPr>
            <w:r w:rsidRPr="007D1C35">
              <w:rPr>
                <w:rFonts w:eastAsia="Times New Roman"/>
                <w:color w:val="FFFFFF" w:themeColor="background1"/>
                <w:sz w:val="18"/>
                <w:szCs w:val="18"/>
              </w:rPr>
              <w:t>Qld</w:t>
            </w:r>
          </w:p>
        </w:tc>
        <w:tc>
          <w:tcPr>
            <w:tcW w:w="0" w:type="auto"/>
            <w:hideMark/>
          </w:tcPr>
          <w:p w14:paraId="12F6831F" w14:textId="77777777" w:rsidR="00BE61A2" w:rsidRPr="007D1C35" w:rsidRDefault="00BE61A2" w:rsidP="001B4567">
            <w:pPr>
              <w:jc w:val="center"/>
              <w:rPr>
                <w:rFonts w:eastAsia="Times New Roman"/>
                <w:color w:val="FFFFFF" w:themeColor="background1"/>
                <w:sz w:val="18"/>
                <w:szCs w:val="18"/>
              </w:rPr>
            </w:pPr>
            <w:r w:rsidRPr="007D1C35">
              <w:rPr>
                <w:rFonts w:eastAsia="Times New Roman"/>
                <w:color w:val="FFFFFF" w:themeColor="background1"/>
                <w:sz w:val="18"/>
                <w:szCs w:val="18"/>
              </w:rPr>
              <w:t>SA</w:t>
            </w:r>
          </w:p>
        </w:tc>
        <w:tc>
          <w:tcPr>
            <w:tcW w:w="0" w:type="auto"/>
            <w:hideMark/>
          </w:tcPr>
          <w:p w14:paraId="1610FB6E" w14:textId="77777777" w:rsidR="00BE61A2" w:rsidRPr="007D1C35" w:rsidRDefault="00BE61A2" w:rsidP="001B4567">
            <w:pPr>
              <w:jc w:val="center"/>
              <w:rPr>
                <w:rFonts w:eastAsia="Times New Roman"/>
                <w:color w:val="FFFFFF" w:themeColor="background1"/>
                <w:sz w:val="18"/>
                <w:szCs w:val="18"/>
              </w:rPr>
            </w:pPr>
            <w:r w:rsidRPr="007D1C35">
              <w:rPr>
                <w:rFonts w:eastAsia="Times New Roman"/>
                <w:color w:val="FFFFFF" w:themeColor="background1"/>
                <w:sz w:val="18"/>
                <w:szCs w:val="18"/>
              </w:rPr>
              <w:t>Tas</w:t>
            </w:r>
          </w:p>
        </w:tc>
        <w:tc>
          <w:tcPr>
            <w:tcW w:w="0" w:type="auto"/>
            <w:hideMark/>
          </w:tcPr>
          <w:p w14:paraId="248A6329" w14:textId="77777777" w:rsidR="00BE61A2" w:rsidRPr="007D1C35" w:rsidRDefault="00BE61A2" w:rsidP="001B4567">
            <w:pPr>
              <w:jc w:val="center"/>
              <w:rPr>
                <w:rFonts w:eastAsia="Times New Roman"/>
                <w:color w:val="FFFFFF" w:themeColor="background1"/>
                <w:sz w:val="18"/>
                <w:szCs w:val="18"/>
              </w:rPr>
            </w:pPr>
            <w:r w:rsidRPr="007D1C35">
              <w:rPr>
                <w:rFonts w:eastAsia="Times New Roman"/>
                <w:color w:val="FFFFFF" w:themeColor="background1"/>
                <w:sz w:val="18"/>
                <w:szCs w:val="18"/>
              </w:rPr>
              <w:t>Vic</w:t>
            </w:r>
          </w:p>
        </w:tc>
        <w:tc>
          <w:tcPr>
            <w:tcW w:w="0" w:type="auto"/>
            <w:hideMark/>
          </w:tcPr>
          <w:p w14:paraId="6C0AD836" w14:textId="77777777" w:rsidR="00BE61A2" w:rsidRPr="007D1C35" w:rsidRDefault="00BE61A2" w:rsidP="001B4567">
            <w:pPr>
              <w:jc w:val="center"/>
              <w:rPr>
                <w:rFonts w:eastAsia="Times New Roman"/>
                <w:color w:val="FFFFFF" w:themeColor="background1"/>
                <w:sz w:val="18"/>
                <w:szCs w:val="18"/>
              </w:rPr>
            </w:pPr>
            <w:r w:rsidRPr="007D1C35">
              <w:rPr>
                <w:rFonts w:eastAsia="Times New Roman"/>
                <w:color w:val="FFFFFF" w:themeColor="background1"/>
                <w:sz w:val="18"/>
                <w:szCs w:val="18"/>
              </w:rPr>
              <w:t>WA</w:t>
            </w:r>
          </w:p>
        </w:tc>
        <w:tc>
          <w:tcPr>
            <w:tcW w:w="0" w:type="auto"/>
            <w:vMerge/>
            <w:hideMark/>
          </w:tcPr>
          <w:p w14:paraId="771571EC" w14:textId="77777777" w:rsidR="00BE61A2" w:rsidRPr="00374CC9" w:rsidRDefault="00BE61A2">
            <w:pPr>
              <w:rPr>
                <w:rFonts w:eastAsia="Times New Roman"/>
                <w:sz w:val="18"/>
                <w:szCs w:val="18"/>
              </w:rPr>
            </w:pPr>
          </w:p>
        </w:tc>
      </w:tr>
      <w:tr w:rsidR="001B4567" w:rsidRPr="001B4567" w14:paraId="401CF9AB" w14:textId="77777777" w:rsidTr="001B4567">
        <w:tblPrEx>
          <w:tblCellMar>
            <w:right w:w="108" w:type="dxa"/>
          </w:tblCellMar>
        </w:tblPrEx>
        <w:tc>
          <w:tcPr>
            <w:tcW w:w="0" w:type="auto"/>
            <w:gridSpan w:val="10"/>
            <w:shd w:val="clear" w:color="auto" w:fill="808080" w:themeFill="background1" w:themeFillShade="80"/>
            <w:hideMark/>
          </w:tcPr>
          <w:p w14:paraId="48DF7875" w14:textId="77777777" w:rsidR="00BE61A2" w:rsidRPr="001B4567" w:rsidRDefault="00BE61A2" w:rsidP="001B4567">
            <w:pPr>
              <w:rPr>
                <w:rFonts w:asciiTheme="minorHAnsi" w:eastAsia="Times New Roman" w:hAnsiTheme="minorHAnsi"/>
                <w:b/>
                <w:color w:val="FFFFFF" w:themeColor="background1"/>
                <w:sz w:val="18"/>
                <w:szCs w:val="18"/>
              </w:rPr>
            </w:pPr>
            <w:r w:rsidRPr="001B4567">
              <w:rPr>
                <w:rFonts w:asciiTheme="minorHAnsi" w:eastAsia="Times New Roman" w:hAnsiTheme="minorHAnsi"/>
                <w:b/>
                <w:color w:val="FFFFFF" w:themeColor="background1"/>
                <w:sz w:val="18"/>
                <w:szCs w:val="18"/>
              </w:rPr>
              <w:t>Bloodborne diseases</w:t>
            </w:r>
          </w:p>
        </w:tc>
      </w:tr>
      <w:tr w:rsidR="00BE61A2" w:rsidRPr="00374CC9" w14:paraId="77FFEE36"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2A2F4C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Hepatitis B (newly acquired)</w:t>
            </w:r>
            <w:r w:rsidRPr="00374CC9">
              <w:rPr>
                <w:rFonts w:asciiTheme="minorHAnsi" w:eastAsia="Times New Roman" w:hAnsiTheme="minorHAnsi"/>
                <w:sz w:val="18"/>
                <w:szCs w:val="18"/>
                <w:vertAlign w:val="superscript"/>
              </w:rPr>
              <w:t>*</w:t>
            </w:r>
          </w:p>
        </w:tc>
        <w:tc>
          <w:tcPr>
            <w:tcW w:w="0" w:type="auto"/>
            <w:hideMark/>
          </w:tcPr>
          <w:p w14:paraId="30965AF4"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132C0D7F"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29</w:t>
            </w:r>
          </w:p>
        </w:tc>
        <w:tc>
          <w:tcPr>
            <w:tcW w:w="0" w:type="auto"/>
            <w:hideMark/>
          </w:tcPr>
          <w:p w14:paraId="1C0E8639"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743FFE50"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43</w:t>
            </w:r>
          </w:p>
        </w:tc>
        <w:tc>
          <w:tcPr>
            <w:tcW w:w="0" w:type="auto"/>
            <w:hideMark/>
          </w:tcPr>
          <w:p w14:paraId="560C3973"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7</w:t>
            </w:r>
          </w:p>
        </w:tc>
        <w:tc>
          <w:tcPr>
            <w:tcW w:w="0" w:type="auto"/>
            <w:hideMark/>
          </w:tcPr>
          <w:p w14:paraId="2E04CA51"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08D26197"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30</w:t>
            </w:r>
          </w:p>
        </w:tc>
        <w:tc>
          <w:tcPr>
            <w:tcW w:w="0" w:type="auto"/>
            <w:hideMark/>
          </w:tcPr>
          <w:p w14:paraId="09F6A15F"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29</w:t>
            </w:r>
          </w:p>
        </w:tc>
        <w:tc>
          <w:tcPr>
            <w:tcW w:w="0" w:type="auto"/>
            <w:hideMark/>
          </w:tcPr>
          <w:p w14:paraId="55995FE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140</w:t>
            </w:r>
          </w:p>
        </w:tc>
      </w:tr>
      <w:tr w:rsidR="00EE19C2" w:rsidRPr="00374CC9" w14:paraId="31D11FBB" w14:textId="77777777" w:rsidTr="000A4FFE">
        <w:tblPrEx>
          <w:tblCellMar>
            <w:right w:w="108" w:type="dxa"/>
          </w:tblCellMar>
        </w:tblPrEx>
        <w:tc>
          <w:tcPr>
            <w:tcW w:w="0" w:type="auto"/>
            <w:hideMark/>
          </w:tcPr>
          <w:p w14:paraId="306285A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Hepatitis B (unspecified)</w:t>
            </w:r>
            <w:r w:rsidRPr="00374CC9">
              <w:rPr>
                <w:rFonts w:asciiTheme="minorHAnsi" w:eastAsia="Times New Roman" w:hAnsiTheme="minorHAnsi"/>
                <w:sz w:val="18"/>
                <w:szCs w:val="18"/>
                <w:vertAlign w:val="superscript"/>
              </w:rPr>
              <w:t>†</w:t>
            </w:r>
          </w:p>
        </w:tc>
        <w:tc>
          <w:tcPr>
            <w:tcW w:w="0" w:type="auto"/>
            <w:hideMark/>
          </w:tcPr>
          <w:p w14:paraId="4EAE3135"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81</w:t>
            </w:r>
          </w:p>
        </w:tc>
        <w:tc>
          <w:tcPr>
            <w:tcW w:w="0" w:type="auto"/>
            <w:hideMark/>
          </w:tcPr>
          <w:p w14:paraId="0BA29A6B"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2,356</w:t>
            </w:r>
          </w:p>
        </w:tc>
        <w:tc>
          <w:tcPr>
            <w:tcW w:w="0" w:type="auto"/>
            <w:hideMark/>
          </w:tcPr>
          <w:p w14:paraId="780ABE61"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159</w:t>
            </w:r>
          </w:p>
        </w:tc>
        <w:tc>
          <w:tcPr>
            <w:tcW w:w="0" w:type="auto"/>
            <w:hideMark/>
          </w:tcPr>
          <w:p w14:paraId="4F368254"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998</w:t>
            </w:r>
          </w:p>
        </w:tc>
        <w:tc>
          <w:tcPr>
            <w:tcW w:w="0" w:type="auto"/>
            <w:hideMark/>
          </w:tcPr>
          <w:p w14:paraId="7932AA5A"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337</w:t>
            </w:r>
          </w:p>
        </w:tc>
        <w:tc>
          <w:tcPr>
            <w:tcW w:w="0" w:type="auto"/>
            <w:hideMark/>
          </w:tcPr>
          <w:p w14:paraId="27BE36BB"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41</w:t>
            </w:r>
          </w:p>
        </w:tc>
        <w:tc>
          <w:tcPr>
            <w:tcW w:w="0" w:type="auto"/>
            <w:hideMark/>
          </w:tcPr>
          <w:p w14:paraId="47467D79"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1,817</w:t>
            </w:r>
          </w:p>
        </w:tc>
        <w:tc>
          <w:tcPr>
            <w:tcW w:w="0" w:type="auto"/>
            <w:hideMark/>
          </w:tcPr>
          <w:p w14:paraId="7648671E"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576</w:t>
            </w:r>
          </w:p>
        </w:tc>
        <w:tc>
          <w:tcPr>
            <w:tcW w:w="0" w:type="auto"/>
            <w:hideMark/>
          </w:tcPr>
          <w:p w14:paraId="52A8D3C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6,365</w:t>
            </w:r>
          </w:p>
        </w:tc>
      </w:tr>
      <w:tr w:rsidR="00BE61A2" w:rsidRPr="00374CC9" w14:paraId="269DD59F"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EBB29B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Hepatitis C (newly acquired)</w:t>
            </w:r>
            <w:r w:rsidRPr="00374CC9">
              <w:rPr>
                <w:rFonts w:asciiTheme="minorHAnsi" w:eastAsia="Times New Roman" w:hAnsiTheme="minorHAnsi"/>
                <w:sz w:val="18"/>
                <w:szCs w:val="18"/>
                <w:vertAlign w:val="superscript"/>
              </w:rPr>
              <w:t>*‡</w:t>
            </w:r>
          </w:p>
        </w:tc>
        <w:tc>
          <w:tcPr>
            <w:tcW w:w="0" w:type="auto"/>
            <w:hideMark/>
          </w:tcPr>
          <w:p w14:paraId="2D3D2B93"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13</w:t>
            </w:r>
          </w:p>
        </w:tc>
        <w:tc>
          <w:tcPr>
            <w:tcW w:w="0" w:type="auto"/>
            <w:hideMark/>
          </w:tcPr>
          <w:p w14:paraId="1EBD802B"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24</w:t>
            </w:r>
          </w:p>
        </w:tc>
        <w:tc>
          <w:tcPr>
            <w:tcW w:w="0" w:type="auto"/>
            <w:hideMark/>
          </w:tcPr>
          <w:p w14:paraId="66EABC53"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4</w:t>
            </w:r>
          </w:p>
        </w:tc>
        <w:tc>
          <w:tcPr>
            <w:tcW w:w="0" w:type="auto"/>
            <w:hideMark/>
          </w:tcPr>
          <w:p w14:paraId="564799A9"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NN</w:t>
            </w:r>
          </w:p>
        </w:tc>
        <w:tc>
          <w:tcPr>
            <w:tcW w:w="0" w:type="auto"/>
            <w:hideMark/>
          </w:tcPr>
          <w:p w14:paraId="13DEDC9D"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43</w:t>
            </w:r>
          </w:p>
        </w:tc>
        <w:tc>
          <w:tcPr>
            <w:tcW w:w="0" w:type="auto"/>
            <w:hideMark/>
          </w:tcPr>
          <w:p w14:paraId="67C21BF2"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26</w:t>
            </w:r>
          </w:p>
        </w:tc>
        <w:tc>
          <w:tcPr>
            <w:tcW w:w="0" w:type="auto"/>
            <w:hideMark/>
          </w:tcPr>
          <w:p w14:paraId="1CB6F380"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140</w:t>
            </w:r>
          </w:p>
        </w:tc>
        <w:tc>
          <w:tcPr>
            <w:tcW w:w="0" w:type="auto"/>
            <w:hideMark/>
          </w:tcPr>
          <w:p w14:paraId="31A82E26"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183</w:t>
            </w:r>
          </w:p>
        </w:tc>
        <w:tc>
          <w:tcPr>
            <w:tcW w:w="0" w:type="auto"/>
            <w:hideMark/>
          </w:tcPr>
          <w:p w14:paraId="1BFF279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433</w:t>
            </w:r>
          </w:p>
        </w:tc>
      </w:tr>
      <w:tr w:rsidR="00EE19C2" w:rsidRPr="00374CC9" w14:paraId="32A361E5" w14:textId="77777777" w:rsidTr="000A4FFE">
        <w:tblPrEx>
          <w:tblCellMar>
            <w:right w:w="108" w:type="dxa"/>
          </w:tblCellMar>
        </w:tblPrEx>
        <w:tc>
          <w:tcPr>
            <w:tcW w:w="0" w:type="auto"/>
            <w:hideMark/>
          </w:tcPr>
          <w:p w14:paraId="1018F67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Hepatitis C (unspecified)</w:t>
            </w:r>
            <w:r w:rsidRPr="00374CC9">
              <w:rPr>
                <w:rFonts w:asciiTheme="minorHAnsi" w:eastAsia="Times New Roman" w:hAnsiTheme="minorHAnsi"/>
                <w:sz w:val="18"/>
                <w:szCs w:val="18"/>
                <w:vertAlign w:val="superscript"/>
              </w:rPr>
              <w:t>†</w:t>
            </w:r>
          </w:p>
        </w:tc>
        <w:tc>
          <w:tcPr>
            <w:tcW w:w="0" w:type="auto"/>
            <w:hideMark/>
          </w:tcPr>
          <w:p w14:paraId="28B46543"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175</w:t>
            </w:r>
          </w:p>
        </w:tc>
        <w:tc>
          <w:tcPr>
            <w:tcW w:w="0" w:type="auto"/>
            <w:hideMark/>
          </w:tcPr>
          <w:p w14:paraId="2B9D84FF"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3,556</w:t>
            </w:r>
          </w:p>
        </w:tc>
        <w:tc>
          <w:tcPr>
            <w:tcW w:w="0" w:type="auto"/>
            <w:hideMark/>
          </w:tcPr>
          <w:p w14:paraId="5503F351"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196</w:t>
            </w:r>
          </w:p>
        </w:tc>
        <w:tc>
          <w:tcPr>
            <w:tcW w:w="0" w:type="auto"/>
            <w:hideMark/>
          </w:tcPr>
          <w:p w14:paraId="139A4B9C"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2,577</w:t>
            </w:r>
          </w:p>
        </w:tc>
        <w:tc>
          <w:tcPr>
            <w:tcW w:w="0" w:type="auto"/>
            <w:hideMark/>
          </w:tcPr>
          <w:p w14:paraId="215369B4"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458</w:t>
            </w:r>
          </w:p>
        </w:tc>
        <w:tc>
          <w:tcPr>
            <w:tcW w:w="0" w:type="auto"/>
            <w:hideMark/>
          </w:tcPr>
          <w:p w14:paraId="180AE38D"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234</w:t>
            </w:r>
          </w:p>
        </w:tc>
        <w:tc>
          <w:tcPr>
            <w:tcW w:w="0" w:type="auto"/>
            <w:hideMark/>
          </w:tcPr>
          <w:p w14:paraId="74C864CC"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2,202</w:t>
            </w:r>
          </w:p>
        </w:tc>
        <w:tc>
          <w:tcPr>
            <w:tcW w:w="0" w:type="auto"/>
            <w:hideMark/>
          </w:tcPr>
          <w:p w14:paraId="46CFD860"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962</w:t>
            </w:r>
          </w:p>
        </w:tc>
        <w:tc>
          <w:tcPr>
            <w:tcW w:w="0" w:type="auto"/>
            <w:hideMark/>
          </w:tcPr>
          <w:p w14:paraId="2EACB4D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10,360</w:t>
            </w:r>
          </w:p>
        </w:tc>
      </w:tr>
      <w:tr w:rsidR="00BE61A2" w:rsidRPr="00374CC9" w14:paraId="78103967"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0EF5F5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Hepatitis D</w:t>
            </w:r>
          </w:p>
        </w:tc>
        <w:tc>
          <w:tcPr>
            <w:tcW w:w="0" w:type="auto"/>
            <w:hideMark/>
          </w:tcPr>
          <w:p w14:paraId="3A295B95"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5FAB27D6"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9</w:t>
            </w:r>
          </w:p>
        </w:tc>
        <w:tc>
          <w:tcPr>
            <w:tcW w:w="0" w:type="auto"/>
            <w:hideMark/>
          </w:tcPr>
          <w:p w14:paraId="44242C3C"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3AC1DE6D"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15</w:t>
            </w:r>
          </w:p>
        </w:tc>
        <w:tc>
          <w:tcPr>
            <w:tcW w:w="0" w:type="auto"/>
            <w:hideMark/>
          </w:tcPr>
          <w:p w14:paraId="3A7ED344"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9</w:t>
            </w:r>
          </w:p>
        </w:tc>
        <w:tc>
          <w:tcPr>
            <w:tcW w:w="0" w:type="auto"/>
            <w:hideMark/>
          </w:tcPr>
          <w:p w14:paraId="2E7B9F1C"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5793D2FB"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6</w:t>
            </w:r>
          </w:p>
        </w:tc>
        <w:tc>
          <w:tcPr>
            <w:tcW w:w="0" w:type="auto"/>
            <w:hideMark/>
          </w:tcPr>
          <w:p w14:paraId="5D11D0E8"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0F88397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39</w:t>
            </w:r>
          </w:p>
        </w:tc>
      </w:tr>
      <w:tr w:rsidR="001B4567" w:rsidRPr="001B4567" w14:paraId="716EA8D2" w14:textId="77777777" w:rsidTr="001B4567">
        <w:tblPrEx>
          <w:tblCellMar>
            <w:right w:w="108" w:type="dxa"/>
          </w:tblCellMar>
        </w:tblPrEx>
        <w:tc>
          <w:tcPr>
            <w:tcW w:w="0" w:type="auto"/>
            <w:gridSpan w:val="10"/>
            <w:shd w:val="clear" w:color="auto" w:fill="808080" w:themeFill="background1" w:themeFillShade="80"/>
            <w:hideMark/>
          </w:tcPr>
          <w:p w14:paraId="21771BB5" w14:textId="77777777" w:rsidR="00BE61A2" w:rsidRPr="001B4567" w:rsidRDefault="00BE61A2" w:rsidP="001B4567">
            <w:pPr>
              <w:rPr>
                <w:rFonts w:asciiTheme="minorHAnsi" w:eastAsia="Times New Roman" w:hAnsiTheme="minorHAnsi"/>
                <w:b/>
                <w:color w:val="FFFFFF" w:themeColor="background1"/>
                <w:sz w:val="18"/>
                <w:szCs w:val="18"/>
              </w:rPr>
            </w:pPr>
            <w:r w:rsidRPr="001B4567">
              <w:rPr>
                <w:rFonts w:asciiTheme="minorHAnsi" w:eastAsia="Times New Roman" w:hAnsiTheme="minorHAnsi"/>
                <w:b/>
                <w:color w:val="FFFFFF" w:themeColor="background1"/>
                <w:sz w:val="18"/>
                <w:szCs w:val="18"/>
              </w:rPr>
              <w:t>Gastrointestinal diseases</w:t>
            </w:r>
          </w:p>
        </w:tc>
      </w:tr>
      <w:tr w:rsidR="00BE61A2" w:rsidRPr="00374CC9" w14:paraId="334683D3"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D4F77B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Botulism</w:t>
            </w:r>
          </w:p>
        </w:tc>
        <w:tc>
          <w:tcPr>
            <w:tcW w:w="0" w:type="auto"/>
            <w:hideMark/>
          </w:tcPr>
          <w:p w14:paraId="2CB0E2BA"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18F6D057"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4FA35A1E"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8C519CC"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C7B8C56"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3AC3A84B"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7F1C120B"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72ED372A"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116A3A2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r>
      <w:tr w:rsidR="00EE19C2" w:rsidRPr="00374CC9" w14:paraId="72021A00" w14:textId="77777777" w:rsidTr="000A4FFE">
        <w:tblPrEx>
          <w:tblCellMar>
            <w:right w:w="108" w:type="dxa"/>
          </w:tblCellMar>
        </w:tblPrEx>
        <w:tc>
          <w:tcPr>
            <w:tcW w:w="0" w:type="auto"/>
            <w:hideMark/>
          </w:tcPr>
          <w:p w14:paraId="333C075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Campylobacteriosis</w:t>
            </w:r>
          </w:p>
        </w:tc>
        <w:tc>
          <w:tcPr>
            <w:tcW w:w="0" w:type="auto"/>
            <w:hideMark/>
          </w:tcPr>
          <w:p w14:paraId="20F1D48B"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608</w:t>
            </w:r>
          </w:p>
        </w:tc>
        <w:tc>
          <w:tcPr>
            <w:tcW w:w="0" w:type="auto"/>
            <w:hideMark/>
          </w:tcPr>
          <w:p w14:paraId="7873A6B8"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NN</w:t>
            </w:r>
          </w:p>
        </w:tc>
        <w:tc>
          <w:tcPr>
            <w:tcW w:w="0" w:type="auto"/>
            <w:hideMark/>
          </w:tcPr>
          <w:p w14:paraId="07CFD2F7"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371</w:t>
            </w:r>
          </w:p>
        </w:tc>
        <w:tc>
          <w:tcPr>
            <w:tcW w:w="0" w:type="auto"/>
            <w:hideMark/>
          </w:tcPr>
          <w:p w14:paraId="4ADCF36B"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7,546</w:t>
            </w:r>
          </w:p>
        </w:tc>
        <w:tc>
          <w:tcPr>
            <w:tcW w:w="0" w:type="auto"/>
            <w:hideMark/>
          </w:tcPr>
          <w:p w14:paraId="197337B9"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1,816</w:t>
            </w:r>
          </w:p>
        </w:tc>
        <w:tc>
          <w:tcPr>
            <w:tcW w:w="0" w:type="auto"/>
            <w:hideMark/>
          </w:tcPr>
          <w:p w14:paraId="742D849A"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1,035</w:t>
            </w:r>
          </w:p>
        </w:tc>
        <w:tc>
          <w:tcPr>
            <w:tcW w:w="0" w:type="auto"/>
            <w:hideMark/>
          </w:tcPr>
          <w:p w14:paraId="11450454"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8,305</w:t>
            </w:r>
          </w:p>
        </w:tc>
        <w:tc>
          <w:tcPr>
            <w:tcW w:w="0" w:type="auto"/>
            <w:hideMark/>
          </w:tcPr>
          <w:p w14:paraId="1FC3D213"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2,892</w:t>
            </w:r>
          </w:p>
        </w:tc>
        <w:tc>
          <w:tcPr>
            <w:tcW w:w="0" w:type="auto"/>
            <w:hideMark/>
          </w:tcPr>
          <w:p w14:paraId="365EE84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22,573</w:t>
            </w:r>
          </w:p>
        </w:tc>
      </w:tr>
      <w:tr w:rsidR="00BE61A2" w:rsidRPr="00374CC9" w14:paraId="67533529"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5AC57E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Cryptosporidiosis</w:t>
            </w:r>
          </w:p>
        </w:tc>
        <w:tc>
          <w:tcPr>
            <w:tcW w:w="0" w:type="auto"/>
            <w:hideMark/>
          </w:tcPr>
          <w:p w14:paraId="4FB513F5"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26</w:t>
            </w:r>
          </w:p>
        </w:tc>
        <w:tc>
          <w:tcPr>
            <w:tcW w:w="0" w:type="auto"/>
            <w:hideMark/>
          </w:tcPr>
          <w:p w14:paraId="70CB6C14"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1,051</w:t>
            </w:r>
          </w:p>
        </w:tc>
        <w:tc>
          <w:tcPr>
            <w:tcW w:w="0" w:type="auto"/>
            <w:hideMark/>
          </w:tcPr>
          <w:p w14:paraId="46FE1F72"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122</w:t>
            </w:r>
          </w:p>
        </w:tc>
        <w:tc>
          <w:tcPr>
            <w:tcW w:w="0" w:type="auto"/>
            <w:hideMark/>
          </w:tcPr>
          <w:p w14:paraId="1E092CB6"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1,314</w:t>
            </w:r>
          </w:p>
        </w:tc>
        <w:tc>
          <w:tcPr>
            <w:tcW w:w="0" w:type="auto"/>
            <w:hideMark/>
          </w:tcPr>
          <w:p w14:paraId="610502DB"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420</w:t>
            </w:r>
          </w:p>
        </w:tc>
        <w:tc>
          <w:tcPr>
            <w:tcW w:w="0" w:type="auto"/>
            <w:hideMark/>
          </w:tcPr>
          <w:p w14:paraId="184B6301"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19</w:t>
            </w:r>
          </w:p>
        </w:tc>
        <w:tc>
          <w:tcPr>
            <w:tcW w:w="0" w:type="auto"/>
            <w:hideMark/>
          </w:tcPr>
          <w:p w14:paraId="1F21CFDE"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857</w:t>
            </w:r>
          </w:p>
        </w:tc>
        <w:tc>
          <w:tcPr>
            <w:tcW w:w="0" w:type="auto"/>
            <w:hideMark/>
          </w:tcPr>
          <w:p w14:paraId="6F303B75"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255</w:t>
            </w:r>
          </w:p>
        </w:tc>
        <w:tc>
          <w:tcPr>
            <w:tcW w:w="0" w:type="auto"/>
            <w:hideMark/>
          </w:tcPr>
          <w:p w14:paraId="2865E01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4,064</w:t>
            </w:r>
          </w:p>
        </w:tc>
      </w:tr>
      <w:tr w:rsidR="00EE19C2" w:rsidRPr="00374CC9" w14:paraId="43B4DA7E" w14:textId="77777777" w:rsidTr="000A4FFE">
        <w:tblPrEx>
          <w:tblCellMar>
            <w:right w:w="108" w:type="dxa"/>
          </w:tblCellMar>
        </w:tblPrEx>
        <w:tc>
          <w:tcPr>
            <w:tcW w:w="0" w:type="auto"/>
            <w:hideMark/>
          </w:tcPr>
          <w:p w14:paraId="7E2B5F6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Haemolytic uraemic syndrome</w:t>
            </w:r>
          </w:p>
        </w:tc>
        <w:tc>
          <w:tcPr>
            <w:tcW w:w="0" w:type="auto"/>
            <w:hideMark/>
          </w:tcPr>
          <w:p w14:paraId="60F8CA43"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3745B4F"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11</w:t>
            </w:r>
          </w:p>
        </w:tc>
        <w:tc>
          <w:tcPr>
            <w:tcW w:w="0" w:type="auto"/>
            <w:hideMark/>
          </w:tcPr>
          <w:p w14:paraId="61DFBFE9"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5FD24228"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2040E3AE"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746B5A4E"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55746935"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4</w:t>
            </w:r>
          </w:p>
        </w:tc>
        <w:tc>
          <w:tcPr>
            <w:tcW w:w="0" w:type="auto"/>
            <w:hideMark/>
          </w:tcPr>
          <w:p w14:paraId="6DF4EE4B"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68669D7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18</w:t>
            </w:r>
          </w:p>
        </w:tc>
      </w:tr>
      <w:tr w:rsidR="00BE61A2" w:rsidRPr="00374CC9" w14:paraId="16CCD5B0"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C2EE6F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Hepatitis A</w:t>
            </w:r>
          </w:p>
        </w:tc>
        <w:tc>
          <w:tcPr>
            <w:tcW w:w="0" w:type="auto"/>
            <w:hideMark/>
          </w:tcPr>
          <w:p w14:paraId="7E5E9D37"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0" w:type="auto"/>
            <w:hideMark/>
          </w:tcPr>
          <w:p w14:paraId="0EC235E1"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68</w:t>
            </w:r>
          </w:p>
        </w:tc>
        <w:tc>
          <w:tcPr>
            <w:tcW w:w="0" w:type="auto"/>
            <w:hideMark/>
          </w:tcPr>
          <w:p w14:paraId="4B99A59F"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5</w:t>
            </w:r>
          </w:p>
        </w:tc>
        <w:tc>
          <w:tcPr>
            <w:tcW w:w="0" w:type="auto"/>
            <w:hideMark/>
          </w:tcPr>
          <w:p w14:paraId="60739708"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33</w:t>
            </w:r>
          </w:p>
        </w:tc>
        <w:tc>
          <w:tcPr>
            <w:tcW w:w="0" w:type="auto"/>
            <w:hideMark/>
          </w:tcPr>
          <w:p w14:paraId="4D75F8AE"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10</w:t>
            </w:r>
          </w:p>
        </w:tc>
        <w:tc>
          <w:tcPr>
            <w:tcW w:w="0" w:type="auto"/>
            <w:hideMark/>
          </w:tcPr>
          <w:p w14:paraId="41D1FED5"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302A0021"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33</w:t>
            </w:r>
          </w:p>
        </w:tc>
        <w:tc>
          <w:tcPr>
            <w:tcW w:w="0" w:type="auto"/>
            <w:hideMark/>
          </w:tcPr>
          <w:p w14:paraId="5653C828"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25</w:t>
            </w:r>
          </w:p>
        </w:tc>
        <w:tc>
          <w:tcPr>
            <w:tcW w:w="0" w:type="auto"/>
            <w:hideMark/>
          </w:tcPr>
          <w:p w14:paraId="67327C0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178</w:t>
            </w:r>
          </w:p>
        </w:tc>
      </w:tr>
      <w:tr w:rsidR="00EE19C2" w:rsidRPr="00374CC9" w14:paraId="1EFEDBE9" w14:textId="77777777" w:rsidTr="000A4FFE">
        <w:tblPrEx>
          <w:tblCellMar>
            <w:right w:w="108" w:type="dxa"/>
          </w:tblCellMar>
        </w:tblPrEx>
        <w:tc>
          <w:tcPr>
            <w:tcW w:w="0" w:type="auto"/>
            <w:hideMark/>
          </w:tcPr>
          <w:p w14:paraId="4B2E7CC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Hepatitis E</w:t>
            </w:r>
          </w:p>
        </w:tc>
        <w:tc>
          <w:tcPr>
            <w:tcW w:w="0" w:type="auto"/>
            <w:hideMark/>
          </w:tcPr>
          <w:p w14:paraId="5176C9B2"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552489DB"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21</w:t>
            </w:r>
          </w:p>
        </w:tc>
        <w:tc>
          <w:tcPr>
            <w:tcW w:w="0" w:type="auto"/>
            <w:hideMark/>
          </w:tcPr>
          <w:p w14:paraId="75C96861"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AB63890"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4BA4D8BC"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0E1B77C5"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4ECE8161"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15</w:t>
            </w:r>
          </w:p>
        </w:tc>
        <w:tc>
          <w:tcPr>
            <w:tcW w:w="0" w:type="auto"/>
            <w:hideMark/>
          </w:tcPr>
          <w:p w14:paraId="634644A5"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19C4690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41</w:t>
            </w:r>
          </w:p>
        </w:tc>
      </w:tr>
      <w:tr w:rsidR="00BE61A2" w:rsidRPr="00374CC9" w14:paraId="78902A8D"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247385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Listeriosis</w:t>
            </w:r>
          </w:p>
        </w:tc>
        <w:tc>
          <w:tcPr>
            <w:tcW w:w="0" w:type="auto"/>
            <w:hideMark/>
          </w:tcPr>
          <w:p w14:paraId="7149FC88"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3E69E8D0"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28</w:t>
            </w:r>
          </w:p>
        </w:tc>
        <w:tc>
          <w:tcPr>
            <w:tcW w:w="0" w:type="auto"/>
            <w:hideMark/>
          </w:tcPr>
          <w:p w14:paraId="001553B3"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4D38AF3A"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8</w:t>
            </w:r>
          </w:p>
        </w:tc>
        <w:tc>
          <w:tcPr>
            <w:tcW w:w="0" w:type="auto"/>
            <w:hideMark/>
          </w:tcPr>
          <w:p w14:paraId="12A71C91"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4</w:t>
            </w:r>
          </w:p>
        </w:tc>
        <w:tc>
          <w:tcPr>
            <w:tcW w:w="0" w:type="auto"/>
            <w:hideMark/>
          </w:tcPr>
          <w:p w14:paraId="2FFF9548"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7B0EC43E"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21</w:t>
            </w:r>
          </w:p>
        </w:tc>
        <w:tc>
          <w:tcPr>
            <w:tcW w:w="0" w:type="auto"/>
            <w:hideMark/>
          </w:tcPr>
          <w:p w14:paraId="008B7D9B"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6</w:t>
            </w:r>
          </w:p>
        </w:tc>
        <w:tc>
          <w:tcPr>
            <w:tcW w:w="0" w:type="auto"/>
            <w:hideMark/>
          </w:tcPr>
          <w:p w14:paraId="025E593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70</w:t>
            </w:r>
          </w:p>
        </w:tc>
      </w:tr>
      <w:tr w:rsidR="00EE19C2" w:rsidRPr="00374CC9" w14:paraId="1989F83B" w14:textId="77777777" w:rsidTr="000A4FFE">
        <w:tblPrEx>
          <w:tblCellMar>
            <w:right w:w="108" w:type="dxa"/>
          </w:tblCellMar>
        </w:tblPrEx>
        <w:tc>
          <w:tcPr>
            <w:tcW w:w="0" w:type="auto"/>
            <w:hideMark/>
          </w:tcPr>
          <w:p w14:paraId="4DBD5DB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Paratyphoid</w:t>
            </w:r>
            <w:r w:rsidR="0062522E" w:rsidRPr="0062522E">
              <w:rPr>
                <w:rFonts w:asciiTheme="minorHAnsi" w:eastAsia="Times New Roman" w:hAnsiTheme="minorHAnsi"/>
                <w:sz w:val="18"/>
                <w:szCs w:val="18"/>
                <w:vertAlign w:val="superscript"/>
              </w:rPr>
              <w:t>§</w:t>
            </w:r>
          </w:p>
        </w:tc>
        <w:tc>
          <w:tcPr>
            <w:tcW w:w="0" w:type="auto"/>
            <w:hideMark/>
          </w:tcPr>
          <w:p w14:paraId="74C02132"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4</w:t>
            </w:r>
          </w:p>
        </w:tc>
        <w:tc>
          <w:tcPr>
            <w:tcW w:w="0" w:type="auto"/>
            <w:hideMark/>
          </w:tcPr>
          <w:p w14:paraId="09C66976"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18</w:t>
            </w:r>
          </w:p>
        </w:tc>
        <w:tc>
          <w:tcPr>
            <w:tcW w:w="0" w:type="auto"/>
            <w:hideMark/>
          </w:tcPr>
          <w:p w14:paraId="1BC895BB"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7924F3CF"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6</w:t>
            </w:r>
          </w:p>
        </w:tc>
        <w:tc>
          <w:tcPr>
            <w:tcW w:w="0" w:type="auto"/>
            <w:hideMark/>
          </w:tcPr>
          <w:p w14:paraId="19AA33FA"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9</w:t>
            </w:r>
          </w:p>
        </w:tc>
        <w:tc>
          <w:tcPr>
            <w:tcW w:w="0" w:type="auto"/>
            <w:hideMark/>
          </w:tcPr>
          <w:p w14:paraId="3198C754"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D239C42"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27</w:t>
            </w:r>
          </w:p>
        </w:tc>
        <w:tc>
          <w:tcPr>
            <w:tcW w:w="0" w:type="auto"/>
            <w:hideMark/>
          </w:tcPr>
          <w:p w14:paraId="6A2E7966"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11</w:t>
            </w:r>
          </w:p>
        </w:tc>
        <w:tc>
          <w:tcPr>
            <w:tcW w:w="0" w:type="auto"/>
            <w:hideMark/>
          </w:tcPr>
          <w:p w14:paraId="13F42DB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76</w:t>
            </w:r>
          </w:p>
        </w:tc>
      </w:tr>
      <w:tr w:rsidR="00BE61A2" w:rsidRPr="00374CC9" w14:paraId="5155F6B1"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D04BED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Salmonellosis</w:t>
            </w:r>
          </w:p>
        </w:tc>
        <w:tc>
          <w:tcPr>
            <w:tcW w:w="0" w:type="auto"/>
            <w:hideMark/>
          </w:tcPr>
          <w:p w14:paraId="1A1AC615"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237</w:t>
            </w:r>
          </w:p>
        </w:tc>
        <w:tc>
          <w:tcPr>
            <w:tcW w:w="0" w:type="auto"/>
            <w:hideMark/>
          </w:tcPr>
          <w:p w14:paraId="102DC409"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4,061</w:t>
            </w:r>
          </w:p>
        </w:tc>
        <w:tc>
          <w:tcPr>
            <w:tcW w:w="0" w:type="auto"/>
            <w:hideMark/>
          </w:tcPr>
          <w:p w14:paraId="46C64DC8"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544</w:t>
            </w:r>
          </w:p>
        </w:tc>
        <w:tc>
          <w:tcPr>
            <w:tcW w:w="0" w:type="auto"/>
            <w:hideMark/>
          </w:tcPr>
          <w:p w14:paraId="40A2DA8E"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5,420</w:t>
            </w:r>
          </w:p>
        </w:tc>
        <w:tc>
          <w:tcPr>
            <w:tcW w:w="0" w:type="auto"/>
            <w:hideMark/>
          </w:tcPr>
          <w:p w14:paraId="42A75ED0"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1,263</w:t>
            </w:r>
          </w:p>
        </w:tc>
        <w:tc>
          <w:tcPr>
            <w:tcW w:w="0" w:type="auto"/>
            <w:hideMark/>
          </w:tcPr>
          <w:p w14:paraId="29ED3A9D"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255</w:t>
            </w:r>
          </w:p>
        </w:tc>
        <w:tc>
          <w:tcPr>
            <w:tcW w:w="0" w:type="auto"/>
            <w:hideMark/>
          </w:tcPr>
          <w:p w14:paraId="0CEE65D7"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3,525</w:t>
            </w:r>
          </w:p>
        </w:tc>
        <w:tc>
          <w:tcPr>
            <w:tcW w:w="0" w:type="auto"/>
            <w:hideMark/>
          </w:tcPr>
          <w:p w14:paraId="30C5A38D"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1,708</w:t>
            </w:r>
          </w:p>
        </w:tc>
        <w:tc>
          <w:tcPr>
            <w:tcW w:w="0" w:type="auto"/>
            <w:hideMark/>
          </w:tcPr>
          <w:p w14:paraId="292025C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17,013</w:t>
            </w:r>
          </w:p>
        </w:tc>
      </w:tr>
      <w:tr w:rsidR="00EE19C2" w:rsidRPr="00374CC9" w14:paraId="78E83B81" w14:textId="77777777" w:rsidTr="000A4FFE">
        <w:tblPrEx>
          <w:tblCellMar>
            <w:right w:w="108" w:type="dxa"/>
          </w:tblCellMar>
        </w:tblPrEx>
        <w:tc>
          <w:tcPr>
            <w:tcW w:w="0" w:type="auto"/>
            <w:hideMark/>
          </w:tcPr>
          <w:p w14:paraId="69E5D55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Shigellosis</w:t>
            </w:r>
          </w:p>
        </w:tc>
        <w:tc>
          <w:tcPr>
            <w:tcW w:w="0" w:type="auto"/>
            <w:hideMark/>
          </w:tcPr>
          <w:p w14:paraId="313754A9"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7</w:t>
            </w:r>
          </w:p>
        </w:tc>
        <w:tc>
          <w:tcPr>
            <w:tcW w:w="0" w:type="auto"/>
            <w:hideMark/>
          </w:tcPr>
          <w:p w14:paraId="32B7A53F"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175</w:t>
            </w:r>
          </w:p>
        </w:tc>
        <w:tc>
          <w:tcPr>
            <w:tcW w:w="0" w:type="auto"/>
            <w:hideMark/>
          </w:tcPr>
          <w:p w14:paraId="4A4B3129"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136</w:t>
            </w:r>
          </w:p>
        </w:tc>
        <w:tc>
          <w:tcPr>
            <w:tcW w:w="0" w:type="auto"/>
            <w:hideMark/>
          </w:tcPr>
          <w:p w14:paraId="41A9D27A"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148</w:t>
            </w:r>
          </w:p>
        </w:tc>
        <w:tc>
          <w:tcPr>
            <w:tcW w:w="0" w:type="auto"/>
            <w:hideMark/>
          </w:tcPr>
          <w:p w14:paraId="2AFC7155"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18</w:t>
            </w:r>
          </w:p>
        </w:tc>
        <w:tc>
          <w:tcPr>
            <w:tcW w:w="0" w:type="auto"/>
            <w:hideMark/>
          </w:tcPr>
          <w:p w14:paraId="319489A5"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6</w:t>
            </w:r>
          </w:p>
        </w:tc>
        <w:tc>
          <w:tcPr>
            <w:tcW w:w="0" w:type="auto"/>
            <w:hideMark/>
          </w:tcPr>
          <w:p w14:paraId="2A714886"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451</w:t>
            </w:r>
          </w:p>
        </w:tc>
        <w:tc>
          <w:tcPr>
            <w:tcW w:w="0" w:type="auto"/>
            <w:hideMark/>
          </w:tcPr>
          <w:p w14:paraId="56F7FE64"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97</w:t>
            </w:r>
          </w:p>
        </w:tc>
        <w:tc>
          <w:tcPr>
            <w:tcW w:w="0" w:type="auto"/>
            <w:hideMark/>
          </w:tcPr>
          <w:p w14:paraId="02E727A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1,038</w:t>
            </w:r>
          </w:p>
        </w:tc>
      </w:tr>
      <w:tr w:rsidR="00BE61A2" w:rsidRPr="00374CC9" w14:paraId="6E43EE23"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03FB2E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Shiga toxin-producing Escherichia coli</w:t>
            </w:r>
          </w:p>
        </w:tc>
        <w:tc>
          <w:tcPr>
            <w:tcW w:w="0" w:type="auto"/>
            <w:hideMark/>
          </w:tcPr>
          <w:p w14:paraId="26BF668B"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17CDAA6E"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31</w:t>
            </w:r>
          </w:p>
        </w:tc>
        <w:tc>
          <w:tcPr>
            <w:tcW w:w="0" w:type="auto"/>
            <w:hideMark/>
          </w:tcPr>
          <w:p w14:paraId="48100E35"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2AFDF5B3"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32</w:t>
            </w:r>
          </w:p>
        </w:tc>
        <w:tc>
          <w:tcPr>
            <w:tcW w:w="0" w:type="auto"/>
            <w:hideMark/>
          </w:tcPr>
          <w:p w14:paraId="6BC7A3D3"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45</w:t>
            </w:r>
          </w:p>
        </w:tc>
        <w:tc>
          <w:tcPr>
            <w:tcW w:w="0" w:type="auto"/>
            <w:hideMark/>
          </w:tcPr>
          <w:p w14:paraId="64E4C0A6"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36BF88D5"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29</w:t>
            </w:r>
          </w:p>
        </w:tc>
        <w:tc>
          <w:tcPr>
            <w:tcW w:w="0" w:type="auto"/>
            <w:hideMark/>
          </w:tcPr>
          <w:p w14:paraId="6CF115C3"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77DCD77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137</w:t>
            </w:r>
          </w:p>
        </w:tc>
      </w:tr>
      <w:tr w:rsidR="00EE19C2" w:rsidRPr="00374CC9" w14:paraId="34CA1226" w14:textId="77777777" w:rsidTr="000A4FFE">
        <w:tblPrEx>
          <w:tblCellMar>
            <w:right w:w="108" w:type="dxa"/>
          </w:tblCellMar>
        </w:tblPrEx>
        <w:tc>
          <w:tcPr>
            <w:tcW w:w="0" w:type="auto"/>
            <w:hideMark/>
          </w:tcPr>
          <w:p w14:paraId="3F13AE2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Typhoid Fever</w:t>
            </w:r>
          </w:p>
        </w:tc>
        <w:tc>
          <w:tcPr>
            <w:tcW w:w="0" w:type="auto"/>
            <w:hideMark/>
          </w:tcPr>
          <w:p w14:paraId="710DB8C1"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3675BE19"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42</w:t>
            </w:r>
          </w:p>
        </w:tc>
        <w:tc>
          <w:tcPr>
            <w:tcW w:w="0" w:type="auto"/>
            <w:hideMark/>
          </w:tcPr>
          <w:p w14:paraId="5E0A93D5"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56D6288C"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24</w:t>
            </w:r>
          </w:p>
        </w:tc>
        <w:tc>
          <w:tcPr>
            <w:tcW w:w="0" w:type="auto"/>
            <w:hideMark/>
          </w:tcPr>
          <w:p w14:paraId="70DE585A"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8</w:t>
            </w:r>
          </w:p>
        </w:tc>
        <w:tc>
          <w:tcPr>
            <w:tcW w:w="0" w:type="auto"/>
            <w:hideMark/>
          </w:tcPr>
          <w:p w14:paraId="1CF05834"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4B747EC2"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30</w:t>
            </w:r>
          </w:p>
        </w:tc>
        <w:tc>
          <w:tcPr>
            <w:tcW w:w="0" w:type="auto"/>
            <w:hideMark/>
          </w:tcPr>
          <w:p w14:paraId="4F2FB756"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8</w:t>
            </w:r>
          </w:p>
        </w:tc>
        <w:tc>
          <w:tcPr>
            <w:tcW w:w="0" w:type="auto"/>
            <w:hideMark/>
          </w:tcPr>
          <w:p w14:paraId="7499366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115</w:t>
            </w:r>
          </w:p>
        </w:tc>
      </w:tr>
      <w:tr w:rsidR="00BE61A2" w:rsidRPr="00374CC9" w14:paraId="3DBBD78D" w14:textId="77777777" w:rsidTr="001B4567">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gridSpan w:val="10"/>
            <w:shd w:val="clear" w:color="auto" w:fill="808080" w:themeFill="background1" w:themeFillShade="80"/>
            <w:hideMark/>
          </w:tcPr>
          <w:p w14:paraId="4726FCC4" w14:textId="77777777" w:rsidR="00BE61A2" w:rsidRPr="00374CC9" w:rsidRDefault="00BE61A2" w:rsidP="001B4567">
            <w:pPr>
              <w:rPr>
                <w:rFonts w:asciiTheme="minorHAnsi" w:eastAsia="Times New Roman" w:hAnsiTheme="minorHAnsi"/>
                <w:sz w:val="18"/>
                <w:szCs w:val="18"/>
              </w:rPr>
            </w:pPr>
            <w:r w:rsidRPr="001B4567">
              <w:rPr>
                <w:rFonts w:asciiTheme="minorHAnsi" w:eastAsia="Times New Roman" w:hAnsiTheme="minorHAnsi"/>
                <w:b/>
                <w:color w:val="FFFFFF" w:themeColor="background1"/>
                <w:sz w:val="18"/>
                <w:szCs w:val="18"/>
              </w:rPr>
              <w:t>Quarantinable diseases</w:t>
            </w:r>
          </w:p>
        </w:tc>
      </w:tr>
      <w:tr w:rsidR="00EE19C2" w:rsidRPr="00374CC9" w14:paraId="1C5AA44F" w14:textId="77777777" w:rsidTr="000A4FFE">
        <w:tblPrEx>
          <w:tblCellMar>
            <w:right w:w="108" w:type="dxa"/>
          </w:tblCellMar>
        </w:tblPrEx>
        <w:tc>
          <w:tcPr>
            <w:tcW w:w="0" w:type="auto"/>
            <w:hideMark/>
          </w:tcPr>
          <w:p w14:paraId="6A4908B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Cholera</w:t>
            </w:r>
          </w:p>
        </w:tc>
        <w:tc>
          <w:tcPr>
            <w:tcW w:w="0" w:type="auto"/>
            <w:hideMark/>
          </w:tcPr>
          <w:p w14:paraId="0EE08C82"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577B0EE6"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26F765D2"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7C0A0213"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26FE9C79"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10C59451"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06D7B069"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1B975C7A"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18C36DD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r>
      <w:tr w:rsidR="00BE61A2" w:rsidRPr="00374CC9" w14:paraId="162BC779"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C5E293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Highly pathogenic avian influenza in humans</w:t>
            </w:r>
          </w:p>
        </w:tc>
        <w:tc>
          <w:tcPr>
            <w:tcW w:w="0" w:type="auto"/>
            <w:hideMark/>
          </w:tcPr>
          <w:p w14:paraId="235F0303"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0F034523"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0B80084A"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9CAB7AE"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00F55BEA"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5FD3E158"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5E78D5CB"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5CAEB678"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359AFEB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r>
      <w:tr w:rsidR="00EE19C2" w:rsidRPr="00374CC9" w14:paraId="309395B6" w14:textId="77777777" w:rsidTr="000A4FFE">
        <w:tblPrEx>
          <w:tblCellMar>
            <w:right w:w="108" w:type="dxa"/>
          </w:tblCellMar>
        </w:tblPrEx>
        <w:tc>
          <w:tcPr>
            <w:tcW w:w="0" w:type="auto"/>
            <w:hideMark/>
          </w:tcPr>
          <w:p w14:paraId="2890178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Middle East respiratory syndrome coronavirus</w:t>
            </w:r>
          </w:p>
        </w:tc>
        <w:tc>
          <w:tcPr>
            <w:tcW w:w="0" w:type="auto"/>
            <w:hideMark/>
          </w:tcPr>
          <w:p w14:paraId="3AE30363"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3205BE0A"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21584DA4"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53A75568"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558465E6"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534610B4"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1FBB5AA"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7075004A"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5399064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r>
      <w:tr w:rsidR="00BE61A2" w:rsidRPr="00374CC9" w14:paraId="5F25DAE9"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8E3238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Plague</w:t>
            </w:r>
          </w:p>
        </w:tc>
        <w:tc>
          <w:tcPr>
            <w:tcW w:w="0" w:type="auto"/>
            <w:hideMark/>
          </w:tcPr>
          <w:p w14:paraId="2CD61B81"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2CE9DF35"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2324C8B3"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553449B3"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51FC4D97"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57397378"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520FA5B9"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3D558FF6"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16809D7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r>
      <w:tr w:rsidR="00EE19C2" w:rsidRPr="00374CC9" w14:paraId="080F987C" w14:textId="77777777" w:rsidTr="000A4FFE">
        <w:tblPrEx>
          <w:tblCellMar>
            <w:right w:w="108" w:type="dxa"/>
          </w:tblCellMar>
        </w:tblPrEx>
        <w:tc>
          <w:tcPr>
            <w:tcW w:w="0" w:type="auto"/>
            <w:hideMark/>
          </w:tcPr>
          <w:p w14:paraId="4A4C001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Rabies</w:t>
            </w:r>
          </w:p>
        </w:tc>
        <w:tc>
          <w:tcPr>
            <w:tcW w:w="0" w:type="auto"/>
            <w:hideMark/>
          </w:tcPr>
          <w:p w14:paraId="60ABB42A"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362B923D"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09605FA"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56701D2A"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261BA9D4"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0E4EEE21"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05121FBD"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23584E88"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0DC98C1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r>
      <w:tr w:rsidR="00BE61A2" w:rsidRPr="00374CC9" w14:paraId="75067A0E"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9598FE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lastRenderedPageBreak/>
              <w:t>Severe acute respiratory syndrome</w:t>
            </w:r>
          </w:p>
        </w:tc>
        <w:tc>
          <w:tcPr>
            <w:tcW w:w="0" w:type="auto"/>
            <w:hideMark/>
          </w:tcPr>
          <w:p w14:paraId="5BF1ABD7"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15A2FAB"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5BE3A7C8"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7A89CBD"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2A91ECE2"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3B3954FF"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217E8BA3"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0EBFAD42"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A66639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r>
      <w:tr w:rsidR="00EE19C2" w:rsidRPr="00374CC9" w14:paraId="3BAAEA5A" w14:textId="77777777" w:rsidTr="000A4FFE">
        <w:tblPrEx>
          <w:tblCellMar>
            <w:right w:w="108" w:type="dxa"/>
          </w:tblCellMar>
        </w:tblPrEx>
        <w:tc>
          <w:tcPr>
            <w:tcW w:w="0" w:type="auto"/>
            <w:hideMark/>
          </w:tcPr>
          <w:p w14:paraId="148556C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Smallpox</w:t>
            </w:r>
          </w:p>
        </w:tc>
        <w:tc>
          <w:tcPr>
            <w:tcW w:w="0" w:type="auto"/>
            <w:hideMark/>
          </w:tcPr>
          <w:p w14:paraId="5A5E2B10"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9A6F5CD"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530B661"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78D17935"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1723DB85"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55A93B22"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584E5B92"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511BD02C"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330E038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r>
      <w:tr w:rsidR="00BE61A2" w:rsidRPr="00374CC9" w14:paraId="5E07DF83"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6ED460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Viral haemorrhagic fever</w:t>
            </w:r>
          </w:p>
        </w:tc>
        <w:tc>
          <w:tcPr>
            <w:tcW w:w="0" w:type="auto"/>
            <w:hideMark/>
          </w:tcPr>
          <w:p w14:paraId="77A45162"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75D30A72"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3C449C58"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2F2EA939"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2C1EAD99"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2FF6A1C5"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23A8DE95"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206FAFB4"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77B4615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r>
      <w:tr w:rsidR="00EE19C2" w:rsidRPr="00374CC9" w14:paraId="5560B1DE" w14:textId="77777777" w:rsidTr="000A4FFE">
        <w:tblPrEx>
          <w:tblCellMar>
            <w:right w:w="108" w:type="dxa"/>
          </w:tblCellMar>
        </w:tblPrEx>
        <w:tc>
          <w:tcPr>
            <w:tcW w:w="0" w:type="auto"/>
            <w:hideMark/>
          </w:tcPr>
          <w:p w14:paraId="6F167D6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Yellow fever</w:t>
            </w:r>
          </w:p>
        </w:tc>
        <w:tc>
          <w:tcPr>
            <w:tcW w:w="0" w:type="auto"/>
            <w:hideMark/>
          </w:tcPr>
          <w:p w14:paraId="4CD4D571"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1C0D3CC6"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2E140E9"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56840156"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21342027"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7C23ED3"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21F10982"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3706866F"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106031B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r>
      <w:tr w:rsidR="00BE61A2" w:rsidRPr="006A7529" w14:paraId="4EB882E6" w14:textId="77777777" w:rsidTr="001B4567">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gridSpan w:val="10"/>
            <w:shd w:val="clear" w:color="auto" w:fill="808080" w:themeFill="background1" w:themeFillShade="80"/>
            <w:hideMark/>
          </w:tcPr>
          <w:p w14:paraId="799470CE" w14:textId="77777777" w:rsidR="00BE61A2" w:rsidRPr="006A7529" w:rsidRDefault="00BE61A2" w:rsidP="001B4567">
            <w:pPr>
              <w:rPr>
                <w:rFonts w:asciiTheme="minorHAnsi" w:eastAsia="Times New Roman" w:hAnsiTheme="minorHAnsi"/>
                <w:b/>
                <w:sz w:val="18"/>
                <w:szCs w:val="18"/>
              </w:rPr>
            </w:pPr>
            <w:r w:rsidRPr="006A7529">
              <w:rPr>
                <w:rFonts w:asciiTheme="minorHAnsi" w:eastAsia="Times New Roman" w:hAnsiTheme="minorHAnsi"/>
                <w:b/>
                <w:color w:val="FFFFFF" w:themeColor="background1"/>
                <w:sz w:val="18"/>
                <w:szCs w:val="18"/>
              </w:rPr>
              <w:t>Sexually transmitted infections</w:t>
            </w:r>
          </w:p>
        </w:tc>
      </w:tr>
      <w:tr w:rsidR="00EE19C2" w:rsidRPr="00374CC9" w14:paraId="61181159" w14:textId="77777777" w:rsidTr="000A4FFE">
        <w:tblPrEx>
          <w:tblCellMar>
            <w:right w:w="108" w:type="dxa"/>
          </w:tblCellMar>
        </w:tblPrEx>
        <w:tc>
          <w:tcPr>
            <w:tcW w:w="0" w:type="auto"/>
            <w:hideMark/>
          </w:tcPr>
          <w:p w14:paraId="1782995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Chlamydial infection</w:t>
            </w:r>
            <w:r w:rsidRPr="00374CC9">
              <w:rPr>
                <w:rFonts w:asciiTheme="minorHAnsi" w:eastAsia="Times New Roman" w:hAnsiTheme="minorHAnsi"/>
                <w:sz w:val="18"/>
                <w:szCs w:val="18"/>
                <w:vertAlign w:val="superscript"/>
              </w:rPr>
              <w:t>||¶</w:t>
            </w:r>
          </w:p>
        </w:tc>
        <w:tc>
          <w:tcPr>
            <w:tcW w:w="0" w:type="auto"/>
            <w:hideMark/>
          </w:tcPr>
          <w:p w14:paraId="08411B50"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1,266</w:t>
            </w:r>
          </w:p>
        </w:tc>
        <w:tc>
          <w:tcPr>
            <w:tcW w:w="0" w:type="auto"/>
            <w:hideMark/>
          </w:tcPr>
          <w:p w14:paraId="44C17FD7"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22,609</w:t>
            </w:r>
          </w:p>
        </w:tc>
        <w:tc>
          <w:tcPr>
            <w:tcW w:w="0" w:type="auto"/>
            <w:hideMark/>
          </w:tcPr>
          <w:p w14:paraId="4E522249"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2,738</w:t>
            </w:r>
          </w:p>
        </w:tc>
        <w:tc>
          <w:tcPr>
            <w:tcW w:w="0" w:type="auto"/>
            <w:hideMark/>
          </w:tcPr>
          <w:p w14:paraId="3FFA39CA"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21,184</w:t>
            </w:r>
          </w:p>
        </w:tc>
        <w:tc>
          <w:tcPr>
            <w:tcW w:w="0" w:type="auto"/>
            <w:hideMark/>
          </w:tcPr>
          <w:p w14:paraId="7D87CA1A"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5,385</w:t>
            </w:r>
          </w:p>
        </w:tc>
        <w:tc>
          <w:tcPr>
            <w:tcW w:w="0" w:type="auto"/>
            <w:hideMark/>
          </w:tcPr>
          <w:p w14:paraId="5D6151D6"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1,666</w:t>
            </w:r>
          </w:p>
        </w:tc>
        <w:tc>
          <w:tcPr>
            <w:tcW w:w="0" w:type="auto"/>
            <w:hideMark/>
          </w:tcPr>
          <w:p w14:paraId="798D6B76"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6,265</w:t>
            </w:r>
          </w:p>
        </w:tc>
        <w:tc>
          <w:tcPr>
            <w:tcW w:w="0" w:type="auto"/>
            <w:hideMark/>
          </w:tcPr>
          <w:p w14:paraId="41607D36"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11,150</w:t>
            </w:r>
          </w:p>
        </w:tc>
        <w:tc>
          <w:tcPr>
            <w:tcW w:w="0" w:type="auto"/>
            <w:hideMark/>
          </w:tcPr>
          <w:p w14:paraId="2DB0577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72,263</w:t>
            </w:r>
          </w:p>
        </w:tc>
      </w:tr>
      <w:tr w:rsidR="00BE61A2" w:rsidRPr="00374CC9" w14:paraId="623108C7"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35E681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Donovanosis</w:t>
            </w:r>
          </w:p>
        </w:tc>
        <w:tc>
          <w:tcPr>
            <w:tcW w:w="0" w:type="auto"/>
            <w:hideMark/>
          </w:tcPr>
          <w:p w14:paraId="07CCDFC7"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59B19475"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0C992B11"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B15E77E"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25EAF14"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56F7818"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05F04C9"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38478B94"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2BC2909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r>
      <w:tr w:rsidR="00EE19C2" w:rsidRPr="00374CC9" w14:paraId="51EDE3BA" w14:textId="77777777" w:rsidTr="000A4FFE">
        <w:tblPrEx>
          <w:tblCellMar>
            <w:right w:w="108" w:type="dxa"/>
          </w:tblCellMar>
        </w:tblPrEx>
        <w:tc>
          <w:tcPr>
            <w:tcW w:w="0" w:type="auto"/>
            <w:hideMark/>
          </w:tcPr>
          <w:p w14:paraId="0E2AAF0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Gonococcal infection</w:t>
            </w:r>
            <w:r w:rsidRPr="005C63F2">
              <w:rPr>
                <w:rFonts w:asciiTheme="minorHAnsi" w:eastAsia="Times New Roman" w:hAnsiTheme="minorHAnsi"/>
                <w:sz w:val="18"/>
                <w:szCs w:val="18"/>
                <w:vertAlign w:val="superscript"/>
              </w:rPr>
              <w:t>|</w:t>
            </w:r>
            <w:r w:rsidRPr="00374CC9">
              <w:rPr>
                <w:rFonts w:asciiTheme="minorHAnsi" w:eastAsia="Times New Roman" w:hAnsiTheme="minorHAnsi"/>
                <w:sz w:val="18"/>
                <w:szCs w:val="18"/>
                <w:vertAlign w:val="superscript"/>
              </w:rPr>
              <w:t>¶</w:t>
            </w:r>
          </w:p>
        </w:tc>
        <w:tc>
          <w:tcPr>
            <w:tcW w:w="0" w:type="auto"/>
            <w:hideMark/>
          </w:tcPr>
          <w:p w14:paraId="16899F99"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141</w:t>
            </w:r>
          </w:p>
        </w:tc>
        <w:tc>
          <w:tcPr>
            <w:tcW w:w="0" w:type="auto"/>
            <w:hideMark/>
          </w:tcPr>
          <w:p w14:paraId="38BC7451"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5,461</w:t>
            </w:r>
          </w:p>
        </w:tc>
        <w:tc>
          <w:tcPr>
            <w:tcW w:w="0" w:type="auto"/>
            <w:hideMark/>
          </w:tcPr>
          <w:p w14:paraId="30C7290F"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1,832</w:t>
            </w:r>
          </w:p>
        </w:tc>
        <w:tc>
          <w:tcPr>
            <w:tcW w:w="0" w:type="auto"/>
            <w:hideMark/>
          </w:tcPr>
          <w:p w14:paraId="637EF1EC"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3,035</w:t>
            </w:r>
          </w:p>
        </w:tc>
        <w:tc>
          <w:tcPr>
            <w:tcW w:w="0" w:type="auto"/>
            <w:hideMark/>
          </w:tcPr>
          <w:p w14:paraId="1813E3E5"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795</w:t>
            </w:r>
          </w:p>
        </w:tc>
        <w:tc>
          <w:tcPr>
            <w:tcW w:w="0" w:type="auto"/>
            <w:hideMark/>
          </w:tcPr>
          <w:p w14:paraId="4E1A9704"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56</w:t>
            </w:r>
          </w:p>
        </w:tc>
        <w:tc>
          <w:tcPr>
            <w:tcW w:w="0" w:type="auto"/>
            <w:hideMark/>
          </w:tcPr>
          <w:p w14:paraId="6D205196"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4,977</w:t>
            </w:r>
          </w:p>
        </w:tc>
        <w:tc>
          <w:tcPr>
            <w:tcW w:w="0" w:type="auto"/>
            <w:hideMark/>
          </w:tcPr>
          <w:p w14:paraId="0BE6DF3B"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2,253</w:t>
            </w:r>
          </w:p>
        </w:tc>
        <w:tc>
          <w:tcPr>
            <w:tcW w:w="0" w:type="auto"/>
            <w:hideMark/>
          </w:tcPr>
          <w:p w14:paraId="330E981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18,550</w:t>
            </w:r>
          </w:p>
        </w:tc>
      </w:tr>
      <w:tr w:rsidR="00BE61A2" w:rsidRPr="00374CC9" w14:paraId="79A24417"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E463EF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Syphilis – congenital</w:t>
            </w:r>
            <w:r w:rsidRPr="005C63F2">
              <w:rPr>
                <w:rFonts w:asciiTheme="minorHAnsi" w:eastAsia="Times New Roman" w:hAnsiTheme="minorHAnsi"/>
                <w:sz w:val="18"/>
                <w:szCs w:val="18"/>
                <w:vertAlign w:val="superscript"/>
              </w:rPr>
              <w:t>|</w:t>
            </w:r>
            <w:r w:rsidRPr="00374CC9">
              <w:rPr>
                <w:rFonts w:asciiTheme="minorHAnsi" w:eastAsia="Times New Roman" w:hAnsiTheme="minorHAnsi"/>
                <w:sz w:val="18"/>
                <w:szCs w:val="18"/>
                <w:vertAlign w:val="superscript"/>
              </w:rPr>
              <w:t>¶</w:t>
            </w:r>
          </w:p>
        </w:tc>
        <w:tc>
          <w:tcPr>
            <w:tcW w:w="0" w:type="auto"/>
            <w:hideMark/>
          </w:tcPr>
          <w:p w14:paraId="57E9A4BA"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3961531B"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5BDFCFC"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49F4901"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0" w:type="auto"/>
            <w:hideMark/>
          </w:tcPr>
          <w:p w14:paraId="2DC09610"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5049B077"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3603981A"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2EEF33D"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3F6442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r>
      <w:tr w:rsidR="00EE19C2" w:rsidRPr="00374CC9" w14:paraId="2E72B10D" w14:textId="77777777" w:rsidTr="000A4FFE">
        <w:tblPrEx>
          <w:tblCellMar>
            <w:right w:w="108" w:type="dxa"/>
          </w:tblCellMar>
        </w:tblPrEx>
        <w:tc>
          <w:tcPr>
            <w:tcW w:w="0" w:type="auto"/>
            <w:hideMark/>
          </w:tcPr>
          <w:p w14:paraId="611B2D1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Syphilis &lt; 2 years duration</w:t>
            </w:r>
            <w:r w:rsidRPr="00374CC9">
              <w:rPr>
                <w:rFonts w:asciiTheme="minorHAnsi" w:eastAsia="Times New Roman" w:hAnsiTheme="minorHAnsi"/>
                <w:sz w:val="18"/>
                <w:szCs w:val="18"/>
                <w:vertAlign w:val="superscript"/>
              </w:rPr>
              <w:t>*¶**</w:t>
            </w:r>
          </w:p>
        </w:tc>
        <w:tc>
          <w:tcPr>
            <w:tcW w:w="0" w:type="auto"/>
            <w:hideMark/>
          </w:tcPr>
          <w:p w14:paraId="6A9D2284"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14</w:t>
            </w:r>
          </w:p>
        </w:tc>
        <w:tc>
          <w:tcPr>
            <w:tcW w:w="0" w:type="auto"/>
            <w:hideMark/>
          </w:tcPr>
          <w:p w14:paraId="29422262"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743</w:t>
            </w:r>
          </w:p>
        </w:tc>
        <w:tc>
          <w:tcPr>
            <w:tcW w:w="0" w:type="auto"/>
            <w:hideMark/>
          </w:tcPr>
          <w:p w14:paraId="692DC9D0"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202</w:t>
            </w:r>
          </w:p>
        </w:tc>
        <w:tc>
          <w:tcPr>
            <w:tcW w:w="0" w:type="auto"/>
            <w:hideMark/>
          </w:tcPr>
          <w:p w14:paraId="1CA423F4"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570</w:t>
            </w:r>
          </w:p>
        </w:tc>
        <w:tc>
          <w:tcPr>
            <w:tcW w:w="0" w:type="auto"/>
            <w:hideMark/>
          </w:tcPr>
          <w:p w14:paraId="600416FD"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70</w:t>
            </w:r>
          </w:p>
        </w:tc>
        <w:tc>
          <w:tcPr>
            <w:tcW w:w="0" w:type="auto"/>
            <w:hideMark/>
          </w:tcPr>
          <w:p w14:paraId="17F2CF77"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15</w:t>
            </w:r>
          </w:p>
        </w:tc>
        <w:tc>
          <w:tcPr>
            <w:tcW w:w="0" w:type="auto"/>
            <w:hideMark/>
          </w:tcPr>
          <w:p w14:paraId="590DBCC1"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935</w:t>
            </w:r>
          </w:p>
        </w:tc>
        <w:tc>
          <w:tcPr>
            <w:tcW w:w="0" w:type="auto"/>
            <w:hideMark/>
          </w:tcPr>
          <w:p w14:paraId="7F0F1E9D"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164</w:t>
            </w:r>
          </w:p>
        </w:tc>
        <w:tc>
          <w:tcPr>
            <w:tcW w:w="0" w:type="auto"/>
            <w:hideMark/>
          </w:tcPr>
          <w:p w14:paraId="0216597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2,713</w:t>
            </w:r>
          </w:p>
        </w:tc>
      </w:tr>
      <w:tr w:rsidR="00BE61A2" w:rsidRPr="00374CC9" w14:paraId="6BECA5A5"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0FF078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Syphilis &gt; 2 years or unspecified duration</w:t>
            </w:r>
            <w:r w:rsidRPr="00374CC9">
              <w:rPr>
                <w:rFonts w:asciiTheme="minorHAnsi" w:eastAsia="Times New Roman" w:hAnsiTheme="minorHAnsi"/>
                <w:sz w:val="18"/>
                <w:szCs w:val="18"/>
                <w:vertAlign w:val="superscript"/>
              </w:rPr>
              <w:t>†¶</w:t>
            </w:r>
          </w:p>
        </w:tc>
        <w:tc>
          <w:tcPr>
            <w:tcW w:w="0" w:type="auto"/>
            <w:hideMark/>
          </w:tcPr>
          <w:p w14:paraId="52CFD127"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9</w:t>
            </w:r>
          </w:p>
        </w:tc>
        <w:tc>
          <w:tcPr>
            <w:tcW w:w="0" w:type="auto"/>
            <w:hideMark/>
          </w:tcPr>
          <w:p w14:paraId="0997B797"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632</w:t>
            </w:r>
          </w:p>
        </w:tc>
        <w:tc>
          <w:tcPr>
            <w:tcW w:w="0" w:type="auto"/>
            <w:hideMark/>
          </w:tcPr>
          <w:p w14:paraId="1C6AC272"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76</w:t>
            </w:r>
          </w:p>
        </w:tc>
        <w:tc>
          <w:tcPr>
            <w:tcW w:w="0" w:type="auto"/>
            <w:hideMark/>
          </w:tcPr>
          <w:p w14:paraId="46B257CB"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286</w:t>
            </w:r>
          </w:p>
        </w:tc>
        <w:tc>
          <w:tcPr>
            <w:tcW w:w="0" w:type="auto"/>
            <w:hideMark/>
          </w:tcPr>
          <w:p w14:paraId="42DEF26B"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123</w:t>
            </w:r>
          </w:p>
        </w:tc>
        <w:tc>
          <w:tcPr>
            <w:tcW w:w="0" w:type="auto"/>
            <w:hideMark/>
          </w:tcPr>
          <w:p w14:paraId="7E06CD62"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14</w:t>
            </w:r>
          </w:p>
        </w:tc>
        <w:tc>
          <w:tcPr>
            <w:tcW w:w="0" w:type="auto"/>
            <w:hideMark/>
          </w:tcPr>
          <w:p w14:paraId="660212A0"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730</w:t>
            </w:r>
          </w:p>
        </w:tc>
        <w:tc>
          <w:tcPr>
            <w:tcW w:w="0" w:type="auto"/>
            <w:hideMark/>
          </w:tcPr>
          <w:p w14:paraId="78915EDC"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69</w:t>
            </w:r>
          </w:p>
        </w:tc>
        <w:tc>
          <w:tcPr>
            <w:tcW w:w="0" w:type="auto"/>
            <w:hideMark/>
          </w:tcPr>
          <w:p w14:paraId="7BF11CD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1,939</w:t>
            </w:r>
          </w:p>
        </w:tc>
      </w:tr>
      <w:tr w:rsidR="00BE61A2" w:rsidRPr="00374CC9" w14:paraId="1A4A3282" w14:textId="77777777" w:rsidTr="001B4567">
        <w:tblPrEx>
          <w:tblCellMar>
            <w:right w:w="108" w:type="dxa"/>
          </w:tblCellMar>
        </w:tblPrEx>
        <w:tc>
          <w:tcPr>
            <w:tcW w:w="0" w:type="auto"/>
            <w:gridSpan w:val="10"/>
            <w:shd w:val="clear" w:color="auto" w:fill="808080" w:themeFill="background1" w:themeFillShade="80"/>
            <w:hideMark/>
          </w:tcPr>
          <w:p w14:paraId="709B8BAC" w14:textId="77777777" w:rsidR="00BE61A2" w:rsidRPr="001B4567" w:rsidRDefault="00BE61A2" w:rsidP="001B4567">
            <w:pPr>
              <w:rPr>
                <w:rFonts w:asciiTheme="minorHAnsi" w:eastAsia="Times New Roman" w:hAnsiTheme="minorHAnsi"/>
                <w:b/>
                <w:color w:val="FFFFFF" w:themeColor="background1"/>
                <w:sz w:val="18"/>
                <w:szCs w:val="18"/>
              </w:rPr>
            </w:pPr>
            <w:r w:rsidRPr="001B4567">
              <w:rPr>
                <w:rFonts w:asciiTheme="minorHAnsi" w:eastAsia="Times New Roman" w:hAnsiTheme="minorHAnsi"/>
                <w:b/>
                <w:color w:val="FFFFFF" w:themeColor="background1"/>
                <w:sz w:val="18"/>
                <w:szCs w:val="18"/>
              </w:rPr>
              <w:t>Vaccine preventable diseases</w:t>
            </w:r>
          </w:p>
        </w:tc>
      </w:tr>
      <w:tr w:rsidR="00BE61A2" w:rsidRPr="00374CC9" w14:paraId="5ABA81DD"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B8063C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Diphtheria</w:t>
            </w:r>
          </w:p>
        </w:tc>
        <w:tc>
          <w:tcPr>
            <w:tcW w:w="0" w:type="auto"/>
            <w:hideMark/>
          </w:tcPr>
          <w:p w14:paraId="77812FEB"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32184E05"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975F533"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D4C8821"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2C0F5BB1"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43D58F6"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208AB008"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038FF482"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4A3CB4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r>
      <w:tr w:rsidR="00EE19C2" w:rsidRPr="00374CC9" w14:paraId="1DBE67D0" w14:textId="77777777" w:rsidTr="000A4FFE">
        <w:tblPrEx>
          <w:tblCellMar>
            <w:right w:w="108" w:type="dxa"/>
          </w:tblCellMar>
        </w:tblPrEx>
        <w:tc>
          <w:tcPr>
            <w:tcW w:w="0" w:type="auto"/>
            <w:hideMark/>
          </w:tcPr>
          <w:p w14:paraId="4014ED0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Haemophilus influenzae type b</w:t>
            </w:r>
          </w:p>
        </w:tc>
        <w:tc>
          <w:tcPr>
            <w:tcW w:w="0" w:type="auto"/>
            <w:hideMark/>
          </w:tcPr>
          <w:p w14:paraId="7DD5F50A"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14267620"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5</w:t>
            </w:r>
          </w:p>
        </w:tc>
        <w:tc>
          <w:tcPr>
            <w:tcW w:w="0" w:type="auto"/>
            <w:hideMark/>
          </w:tcPr>
          <w:p w14:paraId="228E55E9"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49828C88"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5</w:t>
            </w:r>
          </w:p>
        </w:tc>
        <w:tc>
          <w:tcPr>
            <w:tcW w:w="0" w:type="auto"/>
            <w:hideMark/>
          </w:tcPr>
          <w:p w14:paraId="305622C9"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738149A4"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1F30380"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22DA2722"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261C10D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16</w:t>
            </w:r>
          </w:p>
        </w:tc>
      </w:tr>
      <w:tr w:rsidR="00BE61A2" w:rsidRPr="00374CC9" w14:paraId="328157F1"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CA1656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Influenza (laboratory confirmed)</w:t>
            </w:r>
          </w:p>
        </w:tc>
        <w:tc>
          <w:tcPr>
            <w:tcW w:w="0" w:type="auto"/>
            <w:hideMark/>
          </w:tcPr>
          <w:p w14:paraId="46BB641A"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1,204</w:t>
            </w:r>
          </w:p>
        </w:tc>
        <w:tc>
          <w:tcPr>
            <w:tcW w:w="0" w:type="auto"/>
            <w:hideMark/>
          </w:tcPr>
          <w:p w14:paraId="1DFC0AD2"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30,303</w:t>
            </w:r>
          </w:p>
        </w:tc>
        <w:tc>
          <w:tcPr>
            <w:tcW w:w="0" w:type="auto"/>
            <w:hideMark/>
          </w:tcPr>
          <w:p w14:paraId="6937D7CE"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676</w:t>
            </w:r>
          </w:p>
        </w:tc>
        <w:tc>
          <w:tcPr>
            <w:tcW w:w="0" w:type="auto"/>
            <w:hideMark/>
          </w:tcPr>
          <w:p w14:paraId="1E5ED88C"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28,056</w:t>
            </w:r>
          </w:p>
        </w:tc>
        <w:tc>
          <w:tcPr>
            <w:tcW w:w="0" w:type="auto"/>
            <w:hideMark/>
          </w:tcPr>
          <w:p w14:paraId="37A63D1D"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15,652</w:t>
            </w:r>
          </w:p>
        </w:tc>
        <w:tc>
          <w:tcPr>
            <w:tcW w:w="0" w:type="auto"/>
            <w:hideMark/>
          </w:tcPr>
          <w:p w14:paraId="7F835B98"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1,434</w:t>
            </w:r>
          </w:p>
        </w:tc>
        <w:tc>
          <w:tcPr>
            <w:tcW w:w="0" w:type="auto"/>
            <w:hideMark/>
          </w:tcPr>
          <w:p w14:paraId="6D5DE328"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17,265</w:t>
            </w:r>
          </w:p>
        </w:tc>
        <w:tc>
          <w:tcPr>
            <w:tcW w:w="0" w:type="auto"/>
            <w:hideMark/>
          </w:tcPr>
          <w:p w14:paraId="45E068FF"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5,993</w:t>
            </w:r>
          </w:p>
        </w:tc>
        <w:tc>
          <w:tcPr>
            <w:tcW w:w="0" w:type="auto"/>
            <w:hideMark/>
          </w:tcPr>
          <w:p w14:paraId="4D28D50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100,583</w:t>
            </w:r>
          </w:p>
        </w:tc>
      </w:tr>
      <w:tr w:rsidR="00EE19C2" w:rsidRPr="00374CC9" w14:paraId="36AF4C3E" w14:textId="77777777" w:rsidTr="000A4FFE">
        <w:tblPrEx>
          <w:tblCellMar>
            <w:right w:w="108" w:type="dxa"/>
          </w:tblCellMar>
        </w:tblPrEx>
        <w:tc>
          <w:tcPr>
            <w:tcW w:w="0" w:type="auto"/>
            <w:hideMark/>
          </w:tcPr>
          <w:p w14:paraId="27178FB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Measles</w:t>
            </w:r>
          </w:p>
        </w:tc>
        <w:tc>
          <w:tcPr>
            <w:tcW w:w="0" w:type="auto"/>
            <w:hideMark/>
          </w:tcPr>
          <w:p w14:paraId="4DF05CA8"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191F6D54"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9</w:t>
            </w:r>
          </w:p>
        </w:tc>
        <w:tc>
          <w:tcPr>
            <w:tcW w:w="0" w:type="auto"/>
            <w:hideMark/>
          </w:tcPr>
          <w:p w14:paraId="65B1F040"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765AC50D"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21</w:t>
            </w:r>
          </w:p>
        </w:tc>
        <w:tc>
          <w:tcPr>
            <w:tcW w:w="0" w:type="auto"/>
            <w:hideMark/>
          </w:tcPr>
          <w:p w14:paraId="134682F4"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4</w:t>
            </w:r>
          </w:p>
        </w:tc>
        <w:tc>
          <w:tcPr>
            <w:tcW w:w="0" w:type="auto"/>
            <w:hideMark/>
          </w:tcPr>
          <w:p w14:paraId="131A8E9B"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7CDD7A1D"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30</w:t>
            </w:r>
          </w:p>
        </w:tc>
        <w:tc>
          <w:tcPr>
            <w:tcW w:w="0" w:type="auto"/>
            <w:hideMark/>
          </w:tcPr>
          <w:p w14:paraId="57A2B860"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8</w:t>
            </w:r>
          </w:p>
        </w:tc>
        <w:tc>
          <w:tcPr>
            <w:tcW w:w="0" w:type="auto"/>
            <w:hideMark/>
          </w:tcPr>
          <w:p w14:paraId="18880ED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74</w:t>
            </w:r>
          </w:p>
        </w:tc>
      </w:tr>
      <w:tr w:rsidR="00BE61A2" w:rsidRPr="00374CC9" w14:paraId="2EFB60CE"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E0CA81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Mumps</w:t>
            </w:r>
          </w:p>
        </w:tc>
        <w:tc>
          <w:tcPr>
            <w:tcW w:w="0" w:type="auto"/>
            <w:hideMark/>
          </w:tcPr>
          <w:p w14:paraId="46992B5C"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5</w:t>
            </w:r>
          </w:p>
        </w:tc>
        <w:tc>
          <w:tcPr>
            <w:tcW w:w="0" w:type="auto"/>
            <w:hideMark/>
          </w:tcPr>
          <w:p w14:paraId="7D213A77"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63</w:t>
            </w:r>
          </w:p>
        </w:tc>
        <w:tc>
          <w:tcPr>
            <w:tcW w:w="0" w:type="auto"/>
            <w:hideMark/>
          </w:tcPr>
          <w:p w14:paraId="7ECCE375"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15</w:t>
            </w:r>
          </w:p>
        </w:tc>
        <w:tc>
          <w:tcPr>
            <w:tcW w:w="0" w:type="auto"/>
            <w:hideMark/>
          </w:tcPr>
          <w:p w14:paraId="153F0601"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46</w:t>
            </w:r>
          </w:p>
        </w:tc>
        <w:tc>
          <w:tcPr>
            <w:tcW w:w="0" w:type="auto"/>
            <w:hideMark/>
          </w:tcPr>
          <w:p w14:paraId="2DD609A4"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33</w:t>
            </w:r>
          </w:p>
        </w:tc>
        <w:tc>
          <w:tcPr>
            <w:tcW w:w="0" w:type="auto"/>
            <w:hideMark/>
          </w:tcPr>
          <w:p w14:paraId="073C91AD"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8</w:t>
            </w:r>
          </w:p>
        </w:tc>
        <w:tc>
          <w:tcPr>
            <w:tcW w:w="0" w:type="auto"/>
            <w:hideMark/>
          </w:tcPr>
          <w:p w14:paraId="39AD5D0F"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18</w:t>
            </w:r>
          </w:p>
        </w:tc>
        <w:tc>
          <w:tcPr>
            <w:tcW w:w="0" w:type="auto"/>
            <w:hideMark/>
          </w:tcPr>
          <w:p w14:paraId="4AD7DFAA"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456</w:t>
            </w:r>
          </w:p>
        </w:tc>
        <w:tc>
          <w:tcPr>
            <w:tcW w:w="0" w:type="auto"/>
            <w:hideMark/>
          </w:tcPr>
          <w:p w14:paraId="56AC671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644</w:t>
            </w:r>
          </w:p>
        </w:tc>
      </w:tr>
      <w:tr w:rsidR="00EE19C2" w:rsidRPr="00374CC9" w14:paraId="396D1F03" w14:textId="77777777" w:rsidTr="000A4FFE">
        <w:tblPrEx>
          <w:tblCellMar>
            <w:right w:w="108" w:type="dxa"/>
          </w:tblCellMar>
        </w:tblPrEx>
        <w:tc>
          <w:tcPr>
            <w:tcW w:w="0" w:type="auto"/>
            <w:hideMark/>
          </w:tcPr>
          <w:p w14:paraId="7CBD7FF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Pertussis</w:t>
            </w:r>
          </w:p>
        </w:tc>
        <w:tc>
          <w:tcPr>
            <w:tcW w:w="0" w:type="auto"/>
            <w:hideMark/>
          </w:tcPr>
          <w:p w14:paraId="0CE26133"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486</w:t>
            </w:r>
          </w:p>
        </w:tc>
        <w:tc>
          <w:tcPr>
            <w:tcW w:w="0" w:type="auto"/>
            <w:hideMark/>
          </w:tcPr>
          <w:p w14:paraId="63B7A5C9"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12,244</w:t>
            </w:r>
          </w:p>
        </w:tc>
        <w:tc>
          <w:tcPr>
            <w:tcW w:w="0" w:type="auto"/>
            <w:hideMark/>
          </w:tcPr>
          <w:p w14:paraId="175FFC12"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59</w:t>
            </w:r>
          </w:p>
        </w:tc>
        <w:tc>
          <w:tcPr>
            <w:tcW w:w="0" w:type="auto"/>
            <w:hideMark/>
          </w:tcPr>
          <w:p w14:paraId="5855EF2B"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1,861</w:t>
            </w:r>
          </w:p>
        </w:tc>
        <w:tc>
          <w:tcPr>
            <w:tcW w:w="0" w:type="auto"/>
            <w:hideMark/>
          </w:tcPr>
          <w:p w14:paraId="73C51A09"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1,333</w:t>
            </w:r>
          </w:p>
        </w:tc>
        <w:tc>
          <w:tcPr>
            <w:tcW w:w="0" w:type="auto"/>
            <w:hideMark/>
          </w:tcPr>
          <w:p w14:paraId="6B84CE2B"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31</w:t>
            </w:r>
          </w:p>
        </w:tc>
        <w:tc>
          <w:tcPr>
            <w:tcW w:w="0" w:type="auto"/>
            <w:hideMark/>
          </w:tcPr>
          <w:p w14:paraId="60E62E0C"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4,664</w:t>
            </w:r>
          </w:p>
        </w:tc>
        <w:tc>
          <w:tcPr>
            <w:tcW w:w="0" w:type="auto"/>
            <w:hideMark/>
          </w:tcPr>
          <w:p w14:paraId="798167E2"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1,868</w:t>
            </w:r>
          </w:p>
        </w:tc>
        <w:tc>
          <w:tcPr>
            <w:tcW w:w="0" w:type="auto"/>
            <w:hideMark/>
          </w:tcPr>
          <w:p w14:paraId="747B4E0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22,546</w:t>
            </w:r>
          </w:p>
        </w:tc>
      </w:tr>
      <w:tr w:rsidR="00BE61A2" w:rsidRPr="00374CC9" w14:paraId="100A884E"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A4B800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Pneumococcal disease (invasive)</w:t>
            </w:r>
          </w:p>
        </w:tc>
        <w:tc>
          <w:tcPr>
            <w:tcW w:w="0" w:type="auto"/>
            <w:hideMark/>
          </w:tcPr>
          <w:p w14:paraId="2D7C0A8D"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17</w:t>
            </w:r>
          </w:p>
        </w:tc>
        <w:tc>
          <w:tcPr>
            <w:tcW w:w="0" w:type="auto"/>
            <w:hideMark/>
          </w:tcPr>
          <w:p w14:paraId="0AAD93ED"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489</w:t>
            </w:r>
          </w:p>
        </w:tc>
        <w:tc>
          <w:tcPr>
            <w:tcW w:w="0" w:type="auto"/>
            <w:hideMark/>
          </w:tcPr>
          <w:p w14:paraId="40109043"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61</w:t>
            </w:r>
          </w:p>
        </w:tc>
        <w:tc>
          <w:tcPr>
            <w:tcW w:w="0" w:type="auto"/>
            <w:hideMark/>
          </w:tcPr>
          <w:p w14:paraId="567B37C6"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243</w:t>
            </w:r>
          </w:p>
        </w:tc>
        <w:tc>
          <w:tcPr>
            <w:tcW w:w="0" w:type="auto"/>
            <w:hideMark/>
          </w:tcPr>
          <w:p w14:paraId="5017942D"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125</w:t>
            </w:r>
          </w:p>
        </w:tc>
        <w:tc>
          <w:tcPr>
            <w:tcW w:w="0" w:type="auto"/>
            <w:hideMark/>
          </w:tcPr>
          <w:p w14:paraId="339C55BE"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43</w:t>
            </w:r>
          </w:p>
        </w:tc>
        <w:tc>
          <w:tcPr>
            <w:tcW w:w="0" w:type="auto"/>
            <w:hideMark/>
          </w:tcPr>
          <w:p w14:paraId="0F923A3C"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355</w:t>
            </w:r>
          </w:p>
        </w:tc>
        <w:tc>
          <w:tcPr>
            <w:tcW w:w="0" w:type="auto"/>
            <w:hideMark/>
          </w:tcPr>
          <w:p w14:paraId="77D0CBF6"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166</w:t>
            </w:r>
          </w:p>
        </w:tc>
        <w:tc>
          <w:tcPr>
            <w:tcW w:w="0" w:type="auto"/>
            <w:hideMark/>
          </w:tcPr>
          <w:p w14:paraId="202D971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1,499</w:t>
            </w:r>
          </w:p>
        </w:tc>
      </w:tr>
      <w:tr w:rsidR="00EE19C2" w:rsidRPr="00374CC9" w14:paraId="40072713" w14:textId="77777777" w:rsidTr="000A4FFE">
        <w:tblPrEx>
          <w:tblCellMar>
            <w:right w:w="108" w:type="dxa"/>
          </w:tblCellMar>
        </w:tblPrEx>
        <w:tc>
          <w:tcPr>
            <w:tcW w:w="0" w:type="auto"/>
            <w:hideMark/>
          </w:tcPr>
          <w:p w14:paraId="7F1BD33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Poliomyelitis</w:t>
            </w:r>
          </w:p>
        </w:tc>
        <w:tc>
          <w:tcPr>
            <w:tcW w:w="0" w:type="auto"/>
            <w:hideMark/>
          </w:tcPr>
          <w:p w14:paraId="69834F6E"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D8B166F"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0BE89A9C"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758016EE"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DFC9482"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DDA165E"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298F780"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215BE44F"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5D52795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r>
      <w:tr w:rsidR="00BE61A2" w:rsidRPr="00374CC9" w14:paraId="6A39AD0E"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D72DD8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Rubella</w:t>
            </w:r>
          </w:p>
        </w:tc>
        <w:tc>
          <w:tcPr>
            <w:tcW w:w="0" w:type="auto"/>
            <w:hideMark/>
          </w:tcPr>
          <w:p w14:paraId="6AA8F415"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6EA8AF74"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7</w:t>
            </w:r>
          </w:p>
        </w:tc>
        <w:tc>
          <w:tcPr>
            <w:tcW w:w="0" w:type="auto"/>
            <w:hideMark/>
          </w:tcPr>
          <w:p w14:paraId="585FEF93"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7376ACBF"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4</w:t>
            </w:r>
          </w:p>
        </w:tc>
        <w:tc>
          <w:tcPr>
            <w:tcW w:w="0" w:type="auto"/>
            <w:hideMark/>
          </w:tcPr>
          <w:p w14:paraId="2ACE0D21"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3DDA7AA3"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019F9C48"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33B1A32"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6D68D82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17</w:t>
            </w:r>
          </w:p>
        </w:tc>
      </w:tr>
      <w:tr w:rsidR="00EE19C2" w:rsidRPr="00374CC9" w14:paraId="7C61BB8A" w14:textId="77777777" w:rsidTr="000A4FFE">
        <w:tblPrEx>
          <w:tblCellMar>
            <w:right w:w="108" w:type="dxa"/>
          </w:tblCellMar>
        </w:tblPrEx>
        <w:tc>
          <w:tcPr>
            <w:tcW w:w="0" w:type="auto"/>
            <w:hideMark/>
          </w:tcPr>
          <w:p w14:paraId="41B0DE3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Rubella - congenital</w:t>
            </w:r>
          </w:p>
        </w:tc>
        <w:tc>
          <w:tcPr>
            <w:tcW w:w="0" w:type="auto"/>
            <w:hideMark/>
          </w:tcPr>
          <w:p w14:paraId="39497537"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52229047"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1305D0B5"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1246C38"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4D589096"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59AFA814"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2CFDC16"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3B3B0325"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1F4836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r>
      <w:tr w:rsidR="00BE61A2" w:rsidRPr="00374CC9" w14:paraId="1FADB4CD"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C64950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Tetanus</w:t>
            </w:r>
          </w:p>
        </w:tc>
        <w:tc>
          <w:tcPr>
            <w:tcW w:w="0" w:type="auto"/>
            <w:hideMark/>
          </w:tcPr>
          <w:p w14:paraId="49B5AC45"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599EA988"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36DAB7C6"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7FC8F9F2"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5C29C301"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92AF493"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0FF584DF"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58F70DD7"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18DADF1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r>
      <w:tr w:rsidR="00EE19C2" w:rsidRPr="00374CC9" w14:paraId="30DF7008" w14:textId="77777777" w:rsidTr="000A4FFE">
        <w:tblPrEx>
          <w:tblCellMar>
            <w:right w:w="108" w:type="dxa"/>
          </w:tblCellMar>
        </w:tblPrEx>
        <w:tc>
          <w:tcPr>
            <w:tcW w:w="0" w:type="auto"/>
            <w:hideMark/>
          </w:tcPr>
          <w:p w14:paraId="65FDD37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Varicella zoster (chickenpox)</w:t>
            </w:r>
          </w:p>
        </w:tc>
        <w:tc>
          <w:tcPr>
            <w:tcW w:w="0" w:type="auto"/>
            <w:hideMark/>
          </w:tcPr>
          <w:p w14:paraId="55A688DF"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65</w:t>
            </w:r>
          </w:p>
        </w:tc>
        <w:tc>
          <w:tcPr>
            <w:tcW w:w="0" w:type="auto"/>
            <w:hideMark/>
          </w:tcPr>
          <w:p w14:paraId="70DDAA86"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NN</w:t>
            </w:r>
          </w:p>
        </w:tc>
        <w:tc>
          <w:tcPr>
            <w:tcW w:w="0" w:type="auto"/>
            <w:hideMark/>
          </w:tcPr>
          <w:p w14:paraId="02E3DCE1"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118</w:t>
            </w:r>
          </w:p>
        </w:tc>
        <w:tc>
          <w:tcPr>
            <w:tcW w:w="0" w:type="auto"/>
            <w:hideMark/>
          </w:tcPr>
          <w:p w14:paraId="7A9D6380"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331</w:t>
            </w:r>
          </w:p>
        </w:tc>
        <w:tc>
          <w:tcPr>
            <w:tcW w:w="0" w:type="auto"/>
            <w:hideMark/>
          </w:tcPr>
          <w:p w14:paraId="02FF1573"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446</w:t>
            </w:r>
          </w:p>
        </w:tc>
        <w:tc>
          <w:tcPr>
            <w:tcW w:w="0" w:type="auto"/>
            <w:hideMark/>
          </w:tcPr>
          <w:p w14:paraId="0EE68F35"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68</w:t>
            </w:r>
          </w:p>
        </w:tc>
        <w:tc>
          <w:tcPr>
            <w:tcW w:w="0" w:type="auto"/>
            <w:hideMark/>
          </w:tcPr>
          <w:p w14:paraId="3E10A119"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967</w:t>
            </w:r>
          </w:p>
        </w:tc>
        <w:tc>
          <w:tcPr>
            <w:tcW w:w="0" w:type="auto"/>
            <w:hideMark/>
          </w:tcPr>
          <w:p w14:paraId="1F011972"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484</w:t>
            </w:r>
          </w:p>
        </w:tc>
        <w:tc>
          <w:tcPr>
            <w:tcW w:w="0" w:type="auto"/>
            <w:hideMark/>
          </w:tcPr>
          <w:p w14:paraId="0839EA5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2,479</w:t>
            </w:r>
          </w:p>
        </w:tc>
      </w:tr>
      <w:tr w:rsidR="00BE61A2" w:rsidRPr="00374CC9" w14:paraId="6C45F9D6"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6D9C2B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Varicella zoster (shingles)</w:t>
            </w:r>
          </w:p>
        </w:tc>
        <w:tc>
          <w:tcPr>
            <w:tcW w:w="0" w:type="auto"/>
            <w:hideMark/>
          </w:tcPr>
          <w:p w14:paraId="6B10B2B6"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196</w:t>
            </w:r>
          </w:p>
        </w:tc>
        <w:tc>
          <w:tcPr>
            <w:tcW w:w="0" w:type="auto"/>
            <w:hideMark/>
          </w:tcPr>
          <w:p w14:paraId="7AA4D917"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NN</w:t>
            </w:r>
          </w:p>
        </w:tc>
        <w:tc>
          <w:tcPr>
            <w:tcW w:w="0" w:type="auto"/>
            <w:hideMark/>
          </w:tcPr>
          <w:p w14:paraId="212933A1"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363</w:t>
            </w:r>
          </w:p>
        </w:tc>
        <w:tc>
          <w:tcPr>
            <w:tcW w:w="0" w:type="auto"/>
            <w:hideMark/>
          </w:tcPr>
          <w:p w14:paraId="44AE6D19"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54</w:t>
            </w:r>
          </w:p>
        </w:tc>
        <w:tc>
          <w:tcPr>
            <w:tcW w:w="0" w:type="auto"/>
            <w:hideMark/>
          </w:tcPr>
          <w:p w14:paraId="729C281A"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2,325</w:t>
            </w:r>
          </w:p>
        </w:tc>
        <w:tc>
          <w:tcPr>
            <w:tcW w:w="0" w:type="auto"/>
            <w:hideMark/>
          </w:tcPr>
          <w:p w14:paraId="6BBB6D58"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248</w:t>
            </w:r>
          </w:p>
        </w:tc>
        <w:tc>
          <w:tcPr>
            <w:tcW w:w="0" w:type="auto"/>
            <w:hideMark/>
          </w:tcPr>
          <w:p w14:paraId="105ECB92"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1,740</w:t>
            </w:r>
          </w:p>
        </w:tc>
        <w:tc>
          <w:tcPr>
            <w:tcW w:w="0" w:type="auto"/>
            <w:hideMark/>
          </w:tcPr>
          <w:p w14:paraId="1FB46A98"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1,417</w:t>
            </w:r>
          </w:p>
        </w:tc>
        <w:tc>
          <w:tcPr>
            <w:tcW w:w="0" w:type="auto"/>
            <w:hideMark/>
          </w:tcPr>
          <w:p w14:paraId="676A18C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6,343</w:t>
            </w:r>
          </w:p>
        </w:tc>
      </w:tr>
      <w:tr w:rsidR="00EE19C2" w:rsidRPr="00374CC9" w14:paraId="58DD440E" w14:textId="77777777" w:rsidTr="000A4FFE">
        <w:tblPrEx>
          <w:tblCellMar>
            <w:right w:w="108" w:type="dxa"/>
          </w:tblCellMar>
        </w:tblPrEx>
        <w:tc>
          <w:tcPr>
            <w:tcW w:w="0" w:type="auto"/>
            <w:hideMark/>
          </w:tcPr>
          <w:p w14:paraId="538E7BA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Varicella zoster (unspecified)</w:t>
            </w:r>
          </w:p>
        </w:tc>
        <w:tc>
          <w:tcPr>
            <w:tcW w:w="0" w:type="auto"/>
            <w:hideMark/>
          </w:tcPr>
          <w:p w14:paraId="1C29B71E"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125</w:t>
            </w:r>
          </w:p>
        </w:tc>
        <w:tc>
          <w:tcPr>
            <w:tcW w:w="0" w:type="auto"/>
            <w:hideMark/>
          </w:tcPr>
          <w:p w14:paraId="0762B565"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NN</w:t>
            </w:r>
          </w:p>
        </w:tc>
        <w:tc>
          <w:tcPr>
            <w:tcW w:w="0" w:type="auto"/>
            <w:hideMark/>
          </w:tcPr>
          <w:p w14:paraId="70D59FB5"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4E5CCF8D"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6,485</w:t>
            </w:r>
          </w:p>
        </w:tc>
        <w:tc>
          <w:tcPr>
            <w:tcW w:w="0" w:type="auto"/>
            <w:hideMark/>
          </w:tcPr>
          <w:p w14:paraId="5993242B"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128</w:t>
            </w:r>
          </w:p>
        </w:tc>
        <w:tc>
          <w:tcPr>
            <w:tcW w:w="0" w:type="auto"/>
            <w:hideMark/>
          </w:tcPr>
          <w:p w14:paraId="7CDF7E8D"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146</w:t>
            </w:r>
          </w:p>
        </w:tc>
        <w:tc>
          <w:tcPr>
            <w:tcW w:w="0" w:type="auto"/>
            <w:hideMark/>
          </w:tcPr>
          <w:p w14:paraId="2506EDDF"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5,022</w:t>
            </w:r>
          </w:p>
        </w:tc>
        <w:tc>
          <w:tcPr>
            <w:tcW w:w="0" w:type="auto"/>
            <w:hideMark/>
          </w:tcPr>
          <w:p w14:paraId="15E0473A"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1,455</w:t>
            </w:r>
          </w:p>
        </w:tc>
        <w:tc>
          <w:tcPr>
            <w:tcW w:w="0" w:type="auto"/>
            <w:hideMark/>
          </w:tcPr>
          <w:p w14:paraId="58192CE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13,363</w:t>
            </w:r>
          </w:p>
        </w:tc>
      </w:tr>
      <w:tr w:rsidR="00BE61A2" w:rsidRPr="00374CC9" w14:paraId="08C5923E" w14:textId="77777777" w:rsidTr="001B4567">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gridSpan w:val="10"/>
            <w:shd w:val="clear" w:color="auto" w:fill="808080" w:themeFill="background1" w:themeFillShade="80"/>
            <w:hideMark/>
          </w:tcPr>
          <w:p w14:paraId="3B88C3A0" w14:textId="77777777" w:rsidR="00BE61A2" w:rsidRPr="001B4567" w:rsidRDefault="00BE61A2" w:rsidP="001B4567">
            <w:pPr>
              <w:rPr>
                <w:rFonts w:asciiTheme="minorHAnsi" w:eastAsia="Times New Roman" w:hAnsiTheme="minorHAnsi"/>
                <w:b/>
                <w:color w:val="FFFFFF" w:themeColor="background1"/>
                <w:sz w:val="18"/>
                <w:szCs w:val="18"/>
              </w:rPr>
            </w:pPr>
            <w:r w:rsidRPr="001B4567">
              <w:rPr>
                <w:rFonts w:asciiTheme="minorHAnsi" w:eastAsia="Times New Roman" w:hAnsiTheme="minorHAnsi"/>
                <w:b/>
                <w:color w:val="FFFFFF" w:themeColor="background1"/>
                <w:sz w:val="18"/>
                <w:szCs w:val="18"/>
              </w:rPr>
              <w:lastRenderedPageBreak/>
              <w:t>Vectorborne diseases</w:t>
            </w:r>
          </w:p>
        </w:tc>
      </w:tr>
      <w:tr w:rsidR="00EE19C2" w:rsidRPr="00374CC9" w14:paraId="292E1B5A" w14:textId="77777777" w:rsidTr="000A4FFE">
        <w:tblPrEx>
          <w:tblCellMar>
            <w:right w:w="108" w:type="dxa"/>
          </w:tblCellMar>
        </w:tblPrEx>
        <w:tc>
          <w:tcPr>
            <w:tcW w:w="0" w:type="auto"/>
            <w:hideMark/>
          </w:tcPr>
          <w:p w14:paraId="1E88021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Barmah Forest virus infection</w:t>
            </w:r>
          </w:p>
        </w:tc>
        <w:tc>
          <w:tcPr>
            <w:tcW w:w="0" w:type="auto"/>
            <w:hideMark/>
          </w:tcPr>
          <w:p w14:paraId="62C4A3E3"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2CD02783"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181</w:t>
            </w:r>
          </w:p>
        </w:tc>
        <w:tc>
          <w:tcPr>
            <w:tcW w:w="0" w:type="auto"/>
            <w:hideMark/>
          </w:tcPr>
          <w:p w14:paraId="4888A395"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26</w:t>
            </w:r>
          </w:p>
        </w:tc>
        <w:tc>
          <w:tcPr>
            <w:tcW w:w="0" w:type="auto"/>
            <w:hideMark/>
          </w:tcPr>
          <w:p w14:paraId="3CF8608C"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360</w:t>
            </w:r>
          </w:p>
        </w:tc>
        <w:tc>
          <w:tcPr>
            <w:tcW w:w="0" w:type="auto"/>
            <w:hideMark/>
          </w:tcPr>
          <w:p w14:paraId="1F9CB766"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5A34840B"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2BBA787B"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11</w:t>
            </w:r>
          </w:p>
        </w:tc>
        <w:tc>
          <w:tcPr>
            <w:tcW w:w="0" w:type="auto"/>
            <w:hideMark/>
          </w:tcPr>
          <w:p w14:paraId="2BACE266"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46</w:t>
            </w:r>
          </w:p>
        </w:tc>
        <w:tc>
          <w:tcPr>
            <w:tcW w:w="0" w:type="auto"/>
            <w:hideMark/>
          </w:tcPr>
          <w:p w14:paraId="2276231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628</w:t>
            </w:r>
          </w:p>
        </w:tc>
      </w:tr>
      <w:tr w:rsidR="00BE61A2" w:rsidRPr="00374CC9" w14:paraId="70591D6D"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8DC234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Chikungunya virus infection</w:t>
            </w:r>
          </w:p>
        </w:tc>
        <w:tc>
          <w:tcPr>
            <w:tcW w:w="0" w:type="auto"/>
            <w:hideMark/>
          </w:tcPr>
          <w:p w14:paraId="60428E52"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745AC1B8"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35</w:t>
            </w:r>
          </w:p>
        </w:tc>
        <w:tc>
          <w:tcPr>
            <w:tcW w:w="0" w:type="auto"/>
            <w:hideMark/>
          </w:tcPr>
          <w:p w14:paraId="58C69931"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7</w:t>
            </w:r>
          </w:p>
        </w:tc>
        <w:tc>
          <w:tcPr>
            <w:tcW w:w="0" w:type="auto"/>
            <w:hideMark/>
          </w:tcPr>
          <w:p w14:paraId="55EFD5A0"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17</w:t>
            </w:r>
          </w:p>
        </w:tc>
        <w:tc>
          <w:tcPr>
            <w:tcW w:w="0" w:type="auto"/>
            <w:hideMark/>
          </w:tcPr>
          <w:p w14:paraId="6CE33962"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641D51C5"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53D6E56E"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38</w:t>
            </w:r>
          </w:p>
        </w:tc>
        <w:tc>
          <w:tcPr>
            <w:tcW w:w="0" w:type="auto"/>
            <w:hideMark/>
          </w:tcPr>
          <w:p w14:paraId="762C9841"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11</w:t>
            </w:r>
          </w:p>
        </w:tc>
        <w:tc>
          <w:tcPr>
            <w:tcW w:w="0" w:type="auto"/>
            <w:hideMark/>
          </w:tcPr>
          <w:p w14:paraId="27D9FA0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110</w:t>
            </w:r>
          </w:p>
        </w:tc>
      </w:tr>
      <w:tr w:rsidR="00EE19C2" w:rsidRPr="00374CC9" w14:paraId="39C26DF1" w14:textId="77777777" w:rsidTr="000A4FFE">
        <w:tblPrEx>
          <w:tblCellMar>
            <w:right w:w="108" w:type="dxa"/>
          </w:tblCellMar>
        </w:tblPrEx>
        <w:tc>
          <w:tcPr>
            <w:tcW w:w="0" w:type="auto"/>
            <w:hideMark/>
          </w:tcPr>
          <w:p w14:paraId="25CAE4B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Dengue virus infection</w:t>
            </w:r>
          </w:p>
        </w:tc>
        <w:tc>
          <w:tcPr>
            <w:tcW w:w="0" w:type="auto"/>
            <w:hideMark/>
          </w:tcPr>
          <w:p w14:paraId="73B54613"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19</w:t>
            </w:r>
          </w:p>
        </w:tc>
        <w:tc>
          <w:tcPr>
            <w:tcW w:w="0" w:type="auto"/>
            <w:hideMark/>
          </w:tcPr>
          <w:p w14:paraId="0C4E41F0"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344</w:t>
            </w:r>
          </w:p>
        </w:tc>
        <w:tc>
          <w:tcPr>
            <w:tcW w:w="0" w:type="auto"/>
            <w:hideMark/>
          </w:tcPr>
          <w:p w14:paraId="3144518E"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55</w:t>
            </w:r>
          </w:p>
        </w:tc>
        <w:tc>
          <w:tcPr>
            <w:tcW w:w="0" w:type="auto"/>
            <w:hideMark/>
          </w:tcPr>
          <w:p w14:paraId="24F9855C"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263</w:t>
            </w:r>
          </w:p>
        </w:tc>
        <w:tc>
          <w:tcPr>
            <w:tcW w:w="0" w:type="auto"/>
            <w:hideMark/>
          </w:tcPr>
          <w:p w14:paraId="137DECEC"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74</w:t>
            </w:r>
          </w:p>
        </w:tc>
        <w:tc>
          <w:tcPr>
            <w:tcW w:w="0" w:type="auto"/>
            <w:hideMark/>
          </w:tcPr>
          <w:p w14:paraId="60F6CCAF"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19</w:t>
            </w:r>
          </w:p>
        </w:tc>
        <w:tc>
          <w:tcPr>
            <w:tcW w:w="0" w:type="auto"/>
            <w:hideMark/>
          </w:tcPr>
          <w:p w14:paraId="77174331"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386</w:t>
            </w:r>
          </w:p>
        </w:tc>
        <w:tc>
          <w:tcPr>
            <w:tcW w:w="0" w:type="auto"/>
            <w:hideMark/>
          </w:tcPr>
          <w:p w14:paraId="5279A509"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554</w:t>
            </w:r>
          </w:p>
        </w:tc>
        <w:tc>
          <w:tcPr>
            <w:tcW w:w="0" w:type="auto"/>
            <w:hideMark/>
          </w:tcPr>
          <w:p w14:paraId="1FBD3C6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1,714</w:t>
            </w:r>
          </w:p>
        </w:tc>
      </w:tr>
      <w:tr w:rsidR="00BE61A2" w:rsidRPr="00374CC9" w14:paraId="0904512B"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300976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Flavivirus infection (unspecified)</w:t>
            </w:r>
            <w:r w:rsidRPr="00374CC9">
              <w:rPr>
                <w:rFonts w:asciiTheme="minorHAnsi" w:eastAsia="Times New Roman" w:hAnsiTheme="minorHAnsi"/>
                <w:sz w:val="18"/>
                <w:szCs w:val="18"/>
                <w:vertAlign w:val="superscript"/>
              </w:rPr>
              <w:t>††</w:t>
            </w:r>
          </w:p>
        </w:tc>
        <w:tc>
          <w:tcPr>
            <w:tcW w:w="0" w:type="auto"/>
            <w:hideMark/>
          </w:tcPr>
          <w:p w14:paraId="78BE51D7"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3856A11D"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6E6FA0B0"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B7460E5"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5</w:t>
            </w:r>
          </w:p>
        </w:tc>
        <w:tc>
          <w:tcPr>
            <w:tcW w:w="0" w:type="auto"/>
            <w:hideMark/>
          </w:tcPr>
          <w:p w14:paraId="4AB60CD4"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45170079"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1E7A0B89"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4B19379F"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2177B91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12</w:t>
            </w:r>
          </w:p>
        </w:tc>
      </w:tr>
      <w:tr w:rsidR="00EE19C2" w:rsidRPr="00374CC9" w14:paraId="5FAFE621" w14:textId="77777777" w:rsidTr="000A4FFE">
        <w:tblPrEx>
          <w:tblCellMar>
            <w:right w:w="108" w:type="dxa"/>
          </w:tblCellMar>
        </w:tblPrEx>
        <w:tc>
          <w:tcPr>
            <w:tcW w:w="0" w:type="auto"/>
            <w:hideMark/>
          </w:tcPr>
          <w:p w14:paraId="05AA9FB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Japanese encephalitis virus infection</w:t>
            </w:r>
          </w:p>
        </w:tc>
        <w:tc>
          <w:tcPr>
            <w:tcW w:w="0" w:type="auto"/>
            <w:hideMark/>
          </w:tcPr>
          <w:p w14:paraId="7DBEC337"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1A53FF9B"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2381A312"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3F59A123"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6C878D02"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27398901"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549A7D4"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55B86042"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1D51A19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r>
      <w:tr w:rsidR="00BE61A2" w:rsidRPr="00374CC9" w14:paraId="4E84C7F9"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A1C718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Malaria</w:t>
            </w:r>
          </w:p>
        </w:tc>
        <w:tc>
          <w:tcPr>
            <w:tcW w:w="0" w:type="auto"/>
            <w:hideMark/>
          </w:tcPr>
          <w:p w14:paraId="303B42D2"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7</w:t>
            </w:r>
          </w:p>
        </w:tc>
        <w:tc>
          <w:tcPr>
            <w:tcW w:w="0" w:type="auto"/>
            <w:hideMark/>
          </w:tcPr>
          <w:p w14:paraId="6C7F4DED"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47</w:t>
            </w:r>
          </w:p>
        </w:tc>
        <w:tc>
          <w:tcPr>
            <w:tcW w:w="0" w:type="auto"/>
            <w:hideMark/>
          </w:tcPr>
          <w:p w14:paraId="6ADD5C8E"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12</w:t>
            </w:r>
          </w:p>
        </w:tc>
        <w:tc>
          <w:tcPr>
            <w:tcW w:w="0" w:type="auto"/>
            <w:hideMark/>
          </w:tcPr>
          <w:p w14:paraId="49349D4F"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56</w:t>
            </w:r>
          </w:p>
        </w:tc>
        <w:tc>
          <w:tcPr>
            <w:tcW w:w="0" w:type="auto"/>
            <w:hideMark/>
          </w:tcPr>
          <w:p w14:paraId="0283C4EE"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0" w:type="auto"/>
            <w:hideMark/>
          </w:tcPr>
          <w:p w14:paraId="1426A126"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2900FB9C"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57</w:t>
            </w:r>
          </w:p>
        </w:tc>
        <w:tc>
          <w:tcPr>
            <w:tcW w:w="0" w:type="auto"/>
            <w:hideMark/>
          </w:tcPr>
          <w:p w14:paraId="25C1611F"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49</w:t>
            </w:r>
          </w:p>
        </w:tc>
        <w:tc>
          <w:tcPr>
            <w:tcW w:w="0" w:type="auto"/>
            <w:hideMark/>
          </w:tcPr>
          <w:p w14:paraId="06B7A6C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233</w:t>
            </w:r>
          </w:p>
        </w:tc>
      </w:tr>
      <w:tr w:rsidR="00EE19C2" w:rsidRPr="00374CC9" w14:paraId="29FCF9E8" w14:textId="77777777" w:rsidTr="000A4FFE">
        <w:tblPrEx>
          <w:tblCellMar>
            <w:right w:w="108" w:type="dxa"/>
          </w:tblCellMar>
        </w:tblPrEx>
        <w:tc>
          <w:tcPr>
            <w:tcW w:w="0" w:type="auto"/>
            <w:hideMark/>
          </w:tcPr>
          <w:p w14:paraId="56F88C7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Murray Valley encephalitis virus infection</w:t>
            </w:r>
          </w:p>
        </w:tc>
        <w:tc>
          <w:tcPr>
            <w:tcW w:w="0" w:type="auto"/>
            <w:hideMark/>
          </w:tcPr>
          <w:p w14:paraId="1830EE53"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283391C3"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5D6BB4BD"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08019AC5"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09B1E74"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19EC2C66"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146FF9E2"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26D208C1"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2A689A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r>
      <w:tr w:rsidR="00BE61A2" w:rsidRPr="00374CC9" w14:paraId="6424157D"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90C125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Ross River virus infection</w:t>
            </w:r>
          </w:p>
        </w:tc>
        <w:tc>
          <w:tcPr>
            <w:tcW w:w="0" w:type="auto"/>
            <w:hideMark/>
          </w:tcPr>
          <w:p w14:paraId="0F299F3B"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10</w:t>
            </w:r>
          </w:p>
        </w:tc>
        <w:tc>
          <w:tcPr>
            <w:tcW w:w="0" w:type="auto"/>
            <w:hideMark/>
          </w:tcPr>
          <w:p w14:paraId="4ACE504F"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1,620</w:t>
            </w:r>
          </w:p>
        </w:tc>
        <w:tc>
          <w:tcPr>
            <w:tcW w:w="0" w:type="auto"/>
            <w:hideMark/>
          </w:tcPr>
          <w:p w14:paraId="67EBB12D"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360</w:t>
            </w:r>
          </w:p>
        </w:tc>
        <w:tc>
          <w:tcPr>
            <w:tcW w:w="0" w:type="auto"/>
            <w:hideMark/>
          </w:tcPr>
          <w:p w14:paraId="57F8FA51"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6,192</w:t>
            </w:r>
          </w:p>
        </w:tc>
        <w:tc>
          <w:tcPr>
            <w:tcW w:w="0" w:type="auto"/>
            <w:hideMark/>
          </w:tcPr>
          <w:p w14:paraId="05A7CFA5"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112</w:t>
            </w:r>
          </w:p>
        </w:tc>
        <w:tc>
          <w:tcPr>
            <w:tcW w:w="0" w:type="auto"/>
            <w:hideMark/>
          </w:tcPr>
          <w:p w14:paraId="11D594BB"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5</w:t>
            </w:r>
          </w:p>
        </w:tc>
        <w:tc>
          <w:tcPr>
            <w:tcW w:w="0" w:type="auto"/>
            <w:hideMark/>
          </w:tcPr>
          <w:p w14:paraId="49B78EB8"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289</w:t>
            </w:r>
          </w:p>
        </w:tc>
        <w:tc>
          <w:tcPr>
            <w:tcW w:w="0" w:type="auto"/>
            <w:hideMark/>
          </w:tcPr>
          <w:p w14:paraId="21EAF8F2"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962</w:t>
            </w:r>
          </w:p>
        </w:tc>
        <w:tc>
          <w:tcPr>
            <w:tcW w:w="0" w:type="auto"/>
            <w:hideMark/>
          </w:tcPr>
          <w:p w14:paraId="4E5D160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9,550</w:t>
            </w:r>
          </w:p>
        </w:tc>
      </w:tr>
      <w:tr w:rsidR="00EE19C2" w:rsidRPr="00374CC9" w14:paraId="5DA66F6E" w14:textId="77777777" w:rsidTr="000A4FFE">
        <w:tblPrEx>
          <w:tblCellMar>
            <w:right w:w="108" w:type="dxa"/>
          </w:tblCellMar>
        </w:tblPrEx>
        <w:tc>
          <w:tcPr>
            <w:tcW w:w="0" w:type="auto"/>
            <w:hideMark/>
          </w:tcPr>
          <w:p w14:paraId="575946A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 xml:space="preserve">West Nile / </w:t>
            </w:r>
            <w:proofErr w:type="spellStart"/>
            <w:r w:rsidRPr="00374CC9">
              <w:rPr>
                <w:rFonts w:asciiTheme="minorHAnsi" w:eastAsia="Times New Roman" w:hAnsiTheme="minorHAnsi"/>
                <w:sz w:val="18"/>
                <w:szCs w:val="18"/>
              </w:rPr>
              <w:t>Kunjin</w:t>
            </w:r>
            <w:proofErr w:type="spellEnd"/>
            <w:r w:rsidRPr="00374CC9">
              <w:rPr>
                <w:rFonts w:asciiTheme="minorHAnsi" w:eastAsia="Times New Roman" w:hAnsiTheme="minorHAnsi"/>
                <w:sz w:val="18"/>
                <w:szCs w:val="18"/>
              </w:rPr>
              <w:t xml:space="preserve"> virus infection</w:t>
            </w:r>
          </w:p>
        </w:tc>
        <w:tc>
          <w:tcPr>
            <w:tcW w:w="0" w:type="auto"/>
            <w:hideMark/>
          </w:tcPr>
          <w:p w14:paraId="16F88A9A"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57E9FB2E"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4655E742"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89596C1"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DC56AC4"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299DB653"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22684ED1"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16A47867"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3EABBE0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r>
      <w:tr w:rsidR="00BE61A2" w:rsidRPr="00374CC9" w14:paraId="0ACEF298" w14:textId="77777777" w:rsidTr="001B4567">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gridSpan w:val="10"/>
            <w:shd w:val="clear" w:color="auto" w:fill="808080" w:themeFill="background1" w:themeFillShade="80"/>
            <w:hideMark/>
          </w:tcPr>
          <w:p w14:paraId="550DBB15" w14:textId="77777777" w:rsidR="00BE61A2" w:rsidRPr="001B4567" w:rsidRDefault="00BE61A2" w:rsidP="001B4567">
            <w:pPr>
              <w:rPr>
                <w:rFonts w:asciiTheme="minorHAnsi" w:eastAsia="Times New Roman" w:hAnsiTheme="minorHAnsi"/>
                <w:b/>
                <w:sz w:val="18"/>
                <w:szCs w:val="18"/>
              </w:rPr>
            </w:pPr>
            <w:r w:rsidRPr="001B4567">
              <w:rPr>
                <w:rFonts w:asciiTheme="minorHAnsi" w:eastAsia="Times New Roman" w:hAnsiTheme="minorHAnsi"/>
                <w:b/>
                <w:sz w:val="18"/>
                <w:szCs w:val="18"/>
              </w:rPr>
              <w:t>Zoonoses</w:t>
            </w:r>
          </w:p>
        </w:tc>
      </w:tr>
      <w:tr w:rsidR="00EE19C2" w:rsidRPr="00374CC9" w14:paraId="5E42E54A" w14:textId="77777777" w:rsidTr="000A4FFE">
        <w:tblPrEx>
          <w:tblCellMar>
            <w:right w:w="108" w:type="dxa"/>
          </w:tblCellMar>
        </w:tblPrEx>
        <w:tc>
          <w:tcPr>
            <w:tcW w:w="0" w:type="auto"/>
            <w:hideMark/>
          </w:tcPr>
          <w:p w14:paraId="403D5C2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Anthrax</w:t>
            </w:r>
          </w:p>
        </w:tc>
        <w:tc>
          <w:tcPr>
            <w:tcW w:w="0" w:type="auto"/>
            <w:hideMark/>
          </w:tcPr>
          <w:p w14:paraId="0D052115"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18D2DF19"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CC58BF5"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719739F3"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51971A89"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2CE1CBF8"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D5AA688"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9B3AD83"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0D14490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r>
      <w:tr w:rsidR="00BE61A2" w:rsidRPr="00374CC9" w14:paraId="53F15DEA"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7632DD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Australia bat lyssavirus</w:t>
            </w:r>
          </w:p>
        </w:tc>
        <w:tc>
          <w:tcPr>
            <w:tcW w:w="0" w:type="auto"/>
            <w:hideMark/>
          </w:tcPr>
          <w:p w14:paraId="42E332EE"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21259E6B"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3B3B2D10"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83C8F82"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765A601D"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04263C57"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9E57633"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02F45CE5"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739C72E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r>
      <w:tr w:rsidR="00EE19C2" w:rsidRPr="00374CC9" w14:paraId="2B831301" w14:textId="77777777" w:rsidTr="000A4FFE">
        <w:tblPrEx>
          <w:tblCellMar>
            <w:right w:w="108" w:type="dxa"/>
          </w:tblCellMar>
        </w:tblPrEx>
        <w:tc>
          <w:tcPr>
            <w:tcW w:w="0" w:type="auto"/>
            <w:hideMark/>
          </w:tcPr>
          <w:p w14:paraId="6DACC1E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Brucellosis</w:t>
            </w:r>
          </w:p>
        </w:tc>
        <w:tc>
          <w:tcPr>
            <w:tcW w:w="0" w:type="auto"/>
            <w:hideMark/>
          </w:tcPr>
          <w:p w14:paraId="1798C532"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5AD1BAD9"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11</w:t>
            </w:r>
          </w:p>
        </w:tc>
        <w:tc>
          <w:tcPr>
            <w:tcW w:w="0" w:type="auto"/>
            <w:hideMark/>
          </w:tcPr>
          <w:p w14:paraId="3AF9ECB3"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20FA6F03"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7</w:t>
            </w:r>
          </w:p>
        </w:tc>
        <w:tc>
          <w:tcPr>
            <w:tcW w:w="0" w:type="auto"/>
            <w:hideMark/>
          </w:tcPr>
          <w:p w14:paraId="428193B7"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000CB438"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026A6891"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73A3A33"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1FD78E8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19</w:t>
            </w:r>
          </w:p>
        </w:tc>
      </w:tr>
      <w:tr w:rsidR="00BE61A2" w:rsidRPr="00374CC9" w14:paraId="2E593AD6"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E7CD7E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Leptospirosis</w:t>
            </w:r>
          </w:p>
        </w:tc>
        <w:tc>
          <w:tcPr>
            <w:tcW w:w="0" w:type="auto"/>
            <w:hideMark/>
          </w:tcPr>
          <w:p w14:paraId="767421F1"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60471701"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17</w:t>
            </w:r>
          </w:p>
        </w:tc>
        <w:tc>
          <w:tcPr>
            <w:tcW w:w="0" w:type="auto"/>
            <w:hideMark/>
          </w:tcPr>
          <w:p w14:paraId="224A7654"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4</w:t>
            </w:r>
          </w:p>
        </w:tc>
        <w:tc>
          <w:tcPr>
            <w:tcW w:w="0" w:type="auto"/>
            <w:hideMark/>
          </w:tcPr>
          <w:p w14:paraId="1DAA3CC0"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42</w:t>
            </w:r>
          </w:p>
        </w:tc>
        <w:tc>
          <w:tcPr>
            <w:tcW w:w="0" w:type="auto"/>
            <w:hideMark/>
          </w:tcPr>
          <w:p w14:paraId="26E94920"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5EA70D04"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49AB3BBA"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7</w:t>
            </w:r>
          </w:p>
        </w:tc>
        <w:tc>
          <w:tcPr>
            <w:tcW w:w="0" w:type="auto"/>
            <w:hideMark/>
          </w:tcPr>
          <w:p w14:paraId="491F3047"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4C8BE83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74</w:t>
            </w:r>
          </w:p>
        </w:tc>
      </w:tr>
      <w:tr w:rsidR="00EE19C2" w:rsidRPr="00374CC9" w14:paraId="608AAD5B" w14:textId="77777777" w:rsidTr="000A4FFE">
        <w:tblPrEx>
          <w:tblCellMar>
            <w:right w:w="108" w:type="dxa"/>
          </w:tblCellMar>
        </w:tblPrEx>
        <w:tc>
          <w:tcPr>
            <w:tcW w:w="0" w:type="auto"/>
            <w:hideMark/>
          </w:tcPr>
          <w:p w14:paraId="3032F2F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 xml:space="preserve">Lyssavirus </w:t>
            </w:r>
            <w:r w:rsidRPr="00115B21">
              <w:rPr>
                <w:rFonts w:asciiTheme="minorHAnsi" w:eastAsia="Times New Roman" w:hAnsiTheme="minorHAnsi"/>
                <w:sz w:val="18"/>
                <w:szCs w:val="18"/>
                <w:vertAlign w:val="superscript"/>
              </w:rPr>
              <w:t>(NEC)</w:t>
            </w:r>
          </w:p>
        </w:tc>
        <w:tc>
          <w:tcPr>
            <w:tcW w:w="0" w:type="auto"/>
            <w:hideMark/>
          </w:tcPr>
          <w:p w14:paraId="2D9EE12B"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330EB63"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6C31AB8"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5E4D1F2"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7657073A"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03BD45DE"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0F2E0AA0"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745A5FB5"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A169CD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r>
      <w:tr w:rsidR="00BE61A2" w:rsidRPr="00374CC9" w14:paraId="5B90C542"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329551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Ornithosis</w:t>
            </w:r>
          </w:p>
        </w:tc>
        <w:tc>
          <w:tcPr>
            <w:tcW w:w="0" w:type="auto"/>
            <w:hideMark/>
          </w:tcPr>
          <w:p w14:paraId="23B18BA7"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D473FA9"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616226DC"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0D79B87E"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11A762D6"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5D8773E6"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30761553"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11</w:t>
            </w:r>
          </w:p>
        </w:tc>
        <w:tc>
          <w:tcPr>
            <w:tcW w:w="0" w:type="auto"/>
            <w:hideMark/>
          </w:tcPr>
          <w:p w14:paraId="3D1CD1AB"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15A44FA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16</w:t>
            </w:r>
          </w:p>
        </w:tc>
      </w:tr>
      <w:tr w:rsidR="00EE19C2" w:rsidRPr="00374CC9" w14:paraId="282F95CF" w14:textId="77777777" w:rsidTr="000A4FFE">
        <w:tblPrEx>
          <w:tblCellMar>
            <w:right w:w="108" w:type="dxa"/>
          </w:tblCellMar>
        </w:tblPrEx>
        <w:tc>
          <w:tcPr>
            <w:tcW w:w="0" w:type="auto"/>
            <w:hideMark/>
          </w:tcPr>
          <w:p w14:paraId="5BEC5E0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Q fever</w:t>
            </w:r>
          </w:p>
        </w:tc>
        <w:tc>
          <w:tcPr>
            <w:tcW w:w="0" w:type="auto"/>
            <w:hideMark/>
          </w:tcPr>
          <w:p w14:paraId="15DFFF59"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D53B3C7"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262</w:t>
            </w:r>
          </w:p>
        </w:tc>
        <w:tc>
          <w:tcPr>
            <w:tcW w:w="0" w:type="auto"/>
            <w:hideMark/>
          </w:tcPr>
          <w:p w14:paraId="1F24A6D9"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5C21863B"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255</w:t>
            </w:r>
          </w:p>
        </w:tc>
        <w:tc>
          <w:tcPr>
            <w:tcW w:w="0" w:type="auto"/>
            <w:hideMark/>
          </w:tcPr>
          <w:p w14:paraId="0D277681"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13</w:t>
            </w:r>
          </w:p>
        </w:tc>
        <w:tc>
          <w:tcPr>
            <w:tcW w:w="0" w:type="auto"/>
            <w:hideMark/>
          </w:tcPr>
          <w:p w14:paraId="3DF9EA03"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379342F1"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58</w:t>
            </w:r>
          </w:p>
        </w:tc>
        <w:tc>
          <w:tcPr>
            <w:tcW w:w="0" w:type="auto"/>
            <w:hideMark/>
          </w:tcPr>
          <w:p w14:paraId="277BE6D4"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12</w:t>
            </w:r>
          </w:p>
        </w:tc>
        <w:tc>
          <w:tcPr>
            <w:tcW w:w="0" w:type="auto"/>
            <w:hideMark/>
          </w:tcPr>
          <w:p w14:paraId="57530D3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601</w:t>
            </w:r>
          </w:p>
        </w:tc>
      </w:tr>
      <w:tr w:rsidR="00BE61A2" w:rsidRPr="00374CC9" w14:paraId="59B068C3"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492E5F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Tularaemia</w:t>
            </w:r>
          </w:p>
        </w:tc>
        <w:tc>
          <w:tcPr>
            <w:tcW w:w="0" w:type="auto"/>
            <w:hideMark/>
          </w:tcPr>
          <w:p w14:paraId="528CFE4F"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060504C7"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0995053D"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34F69874"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734362D1"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7B32F378"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CB3330F"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31BAB904"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3589DF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r>
      <w:tr w:rsidR="00BE61A2" w:rsidRPr="00374CC9" w14:paraId="7D10E114" w14:textId="77777777" w:rsidTr="001B4567">
        <w:tblPrEx>
          <w:tblCellMar>
            <w:right w:w="108" w:type="dxa"/>
          </w:tblCellMar>
        </w:tblPrEx>
        <w:tc>
          <w:tcPr>
            <w:tcW w:w="0" w:type="auto"/>
            <w:gridSpan w:val="10"/>
            <w:shd w:val="clear" w:color="auto" w:fill="808080" w:themeFill="background1" w:themeFillShade="80"/>
            <w:hideMark/>
          </w:tcPr>
          <w:p w14:paraId="5FAFF9D9" w14:textId="77777777" w:rsidR="00BE61A2" w:rsidRPr="001B4567" w:rsidRDefault="00BE61A2" w:rsidP="001B4567">
            <w:pPr>
              <w:rPr>
                <w:rFonts w:asciiTheme="minorHAnsi" w:eastAsia="Times New Roman" w:hAnsiTheme="minorHAnsi"/>
                <w:b/>
                <w:color w:val="FFFFFF" w:themeColor="background1"/>
                <w:sz w:val="18"/>
                <w:szCs w:val="18"/>
              </w:rPr>
            </w:pPr>
            <w:r w:rsidRPr="001B4567">
              <w:rPr>
                <w:rFonts w:asciiTheme="minorHAnsi" w:eastAsia="Times New Roman" w:hAnsiTheme="minorHAnsi"/>
                <w:b/>
                <w:color w:val="FFFFFF" w:themeColor="background1"/>
                <w:sz w:val="18"/>
                <w:szCs w:val="18"/>
              </w:rPr>
              <w:t>Other bacterial diseases</w:t>
            </w:r>
          </w:p>
        </w:tc>
      </w:tr>
      <w:tr w:rsidR="00BE61A2" w:rsidRPr="00374CC9" w14:paraId="0CD7C72F"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B97C80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Legionellosis</w:t>
            </w:r>
          </w:p>
        </w:tc>
        <w:tc>
          <w:tcPr>
            <w:tcW w:w="0" w:type="auto"/>
            <w:hideMark/>
          </w:tcPr>
          <w:p w14:paraId="58E0C56C"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4202B220"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98</w:t>
            </w:r>
          </w:p>
        </w:tc>
        <w:tc>
          <w:tcPr>
            <w:tcW w:w="0" w:type="auto"/>
            <w:hideMark/>
          </w:tcPr>
          <w:p w14:paraId="7C78530F"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7</w:t>
            </w:r>
          </w:p>
        </w:tc>
        <w:tc>
          <w:tcPr>
            <w:tcW w:w="0" w:type="auto"/>
            <w:hideMark/>
          </w:tcPr>
          <w:p w14:paraId="2F1753B2"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80</w:t>
            </w:r>
          </w:p>
        </w:tc>
        <w:tc>
          <w:tcPr>
            <w:tcW w:w="0" w:type="auto"/>
            <w:hideMark/>
          </w:tcPr>
          <w:p w14:paraId="2CF2A736"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26</w:t>
            </w:r>
          </w:p>
        </w:tc>
        <w:tc>
          <w:tcPr>
            <w:tcW w:w="0" w:type="auto"/>
            <w:hideMark/>
          </w:tcPr>
          <w:p w14:paraId="74058A65"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7</w:t>
            </w:r>
          </w:p>
        </w:tc>
        <w:tc>
          <w:tcPr>
            <w:tcW w:w="0" w:type="auto"/>
            <w:hideMark/>
          </w:tcPr>
          <w:p w14:paraId="139B4559"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71</w:t>
            </w:r>
          </w:p>
        </w:tc>
        <w:tc>
          <w:tcPr>
            <w:tcW w:w="0" w:type="auto"/>
            <w:hideMark/>
          </w:tcPr>
          <w:p w14:paraId="46C0162A"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74</w:t>
            </w:r>
          </w:p>
        </w:tc>
        <w:tc>
          <w:tcPr>
            <w:tcW w:w="0" w:type="auto"/>
            <w:hideMark/>
          </w:tcPr>
          <w:p w14:paraId="521F10E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365</w:t>
            </w:r>
          </w:p>
        </w:tc>
      </w:tr>
      <w:tr w:rsidR="00EE19C2" w:rsidRPr="00374CC9" w14:paraId="058CCDDA" w14:textId="77777777" w:rsidTr="000A4FFE">
        <w:tblPrEx>
          <w:tblCellMar>
            <w:right w:w="108" w:type="dxa"/>
          </w:tblCellMar>
        </w:tblPrEx>
        <w:tc>
          <w:tcPr>
            <w:tcW w:w="0" w:type="auto"/>
            <w:hideMark/>
          </w:tcPr>
          <w:p w14:paraId="4D010D1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Leprosy</w:t>
            </w:r>
          </w:p>
        </w:tc>
        <w:tc>
          <w:tcPr>
            <w:tcW w:w="0" w:type="auto"/>
            <w:hideMark/>
          </w:tcPr>
          <w:p w14:paraId="3C5F51D1"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2FD29671"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0" w:type="auto"/>
            <w:hideMark/>
          </w:tcPr>
          <w:p w14:paraId="3CE24CE2"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50AC6027"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7FF1A124"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73BFCE46"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2059385C"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5</w:t>
            </w:r>
          </w:p>
        </w:tc>
        <w:tc>
          <w:tcPr>
            <w:tcW w:w="0" w:type="auto"/>
            <w:hideMark/>
          </w:tcPr>
          <w:p w14:paraId="19D3EEAD"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727820B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13</w:t>
            </w:r>
          </w:p>
        </w:tc>
      </w:tr>
      <w:tr w:rsidR="00BE61A2" w:rsidRPr="00374CC9" w14:paraId="1E111F7E"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5C1D9E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Meningococcal infection</w:t>
            </w:r>
            <w:r w:rsidRPr="00374CC9">
              <w:rPr>
                <w:rFonts w:asciiTheme="minorHAnsi" w:eastAsia="Times New Roman" w:hAnsiTheme="minorHAnsi"/>
                <w:sz w:val="18"/>
                <w:szCs w:val="18"/>
                <w:vertAlign w:val="superscript"/>
              </w:rPr>
              <w:t>‡‡</w:t>
            </w:r>
          </w:p>
        </w:tc>
        <w:tc>
          <w:tcPr>
            <w:tcW w:w="0" w:type="auto"/>
            <w:hideMark/>
          </w:tcPr>
          <w:p w14:paraId="78D1EF46"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28D547A4"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45</w:t>
            </w:r>
          </w:p>
        </w:tc>
        <w:tc>
          <w:tcPr>
            <w:tcW w:w="0" w:type="auto"/>
            <w:hideMark/>
          </w:tcPr>
          <w:p w14:paraId="192A381F"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03B7B310"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30</w:t>
            </w:r>
          </w:p>
        </w:tc>
        <w:tc>
          <w:tcPr>
            <w:tcW w:w="0" w:type="auto"/>
            <w:hideMark/>
          </w:tcPr>
          <w:p w14:paraId="395D3053"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29</w:t>
            </w:r>
          </w:p>
        </w:tc>
        <w:tc>
          <w:tcPr>
            <w:tcW w:w="0" w:type="auto"/>
            <w:hideMark/>
          </w:tcPr>
          <w:p w14:paraId="4713ACE1"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58DC0D93"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56</w:t>
            </w:r>
          </w:p>
        </w:tc>
        <w:tc>
          <w:tcPr>
            <w:tcW w:w="0" w:type="auto"/>
            <w:hideMark/>
          </w:tcPr>
          <w:p w14:paraId="0D01B871"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17</w:t>
            </w:r>
          </w:p>
        </w:tc>
        <w:tc>
          <w:tcPr>
            <w:tcW w:w="0" w:type="auto"/>
            <w:hideMark/>
          </w:tcPr>
          <w:p w14:paraId="160D7A1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182</w:t>
            </w:r>
          </w:p>
        </w:tc>
      </w:tr>
      <w:tr w:rsidR="00EE19C2" w:rsidRPr="00374CC9" w14:paraId="0F62B348" w14:textId="77777777" w:rsidTr="000A4FFE">
        <w:tblPrEx>
          <w:tblCellMar>
            <w:right w:w="108" w:type="dxa"/>
          </w:tblCellMar>
        </w:tblPrEx>
        <w:tc>
          <w:tcPr>
            <w:tcW w:w="0" w:type="auto"/>
            <w:hideMark/>
          </w:tcPr>
          <w:p w14:paraId="11F1F08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Tuberculosis</w:t>
            </w:r>
          </w:p>
        </w:tc>
        <w:tc>
          <w:tcPr>
            <w:tcW w:w="0" w:type="auto"/>
            <w:hideMark/>
          </w:tcPr>
          <w:p w14:paraId="09A53706"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16</w:t>
            </w:r>
          </w:p>
        </w:tc>
        <w:tc>
          <w:tcPr>
            <w:tcW w:w="0" w:type="auto"/>
            <w:hideMark/>
          </w:tcPr>
          <w:p w14:paraId="223C9BB3"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445</w:t>
            </w:r>
          </w:p>
        </w:tc>
        <w:tc>
          <w:tcPr>
            <w:tcW w:w="0" w:type="auto"/>
            <w:hideMark/>
          </w:tcPr>
          <w:p w14:paraId="0A2DF68D"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27</w:t>
            </w:r>
          </w:p>
        </w:tc>
        <w:tc>
          <w:tcPr>
            <w:tcW w:w="0" w:type="auto"/>
            <w:hideMark/>
          </w:tcPr>
          <w:p w14:paraId="20582E81"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183</w:t>
            </w:r>
          </w:p>
        </w:tc>
        <w:tc>
          <w:tcPr>
            <w:tcW w:w="0" w:type="auto"/>
            <w:hideMark/>
          </w:tcPr>
          <w:p w14:paraId="71FCD5F0"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87</w:t>
            </w:r>
          </w:p>
        </w:tc>
        <w:tc>
          <w:tcPr>
            <w:tcW w:w="0" w:type="auto"/>
            <w:hideMark/>
          </w:tcPr>
          <w:p w14:paraId="0BA8588B"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13</w:t>
            </w:r>
          </w:p>
        </w:tc>
        <w:tc>
          <w:tcPr>
            <w:tcW w:w="0" w:type="auto"/>
            <w:hideMark/>
          </w:tcPr>
          <w:p w14:paraId="545985D1"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352</w:t>
            </w:r>
          </w:p>
        </w:tc>
        <w:tc>
          <w:tcPr>
            <w:tcW w:w="0" w:type="auto"/>
            <w:hideMark/>
          </w:tcPr>
          <w:p w14:paraId="096F7B0C"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132</w:t>
            </w:r>
          </w:p>
        </w:tc>
        <w:tc>
          <w:tcPr>
            <w:tcW w:w="0" w:type="auto"/>
            <w:hideMark/>
          </w:tcPr>
          <w:p w14:paraId="14D01FD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1,255</w:t>
            </w:r>
          </w:p>
        </w:tc>
      </w:tr>
      <w:tr w:rsidR="00BE61A2" w:rsidRPr="00374CC9" w14:paraId="5CAD47C4" w14:textId="77777777" w:rsidTr="001B4567">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588496C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Total</w:t>
            </w:r>
          </w:p>
        </w:tc>
        <w:tc>
          <w:tcPr>
            <w:tcW w:w="0" w:type="auto"/>
            <w:shd w:val="clear" w:color="auto" w:fill="FDE9D9" w:themeFill="accent6" w:themeFillTint="33"/>
            <w:hideMark/>
          </w:tcPr>
          <w:p w14:paraId="7198AD39"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4,747</w:t>
            </w:r>
          </w:p>
        </w:tc>
        <w:tc>
          <w:tcPr>
            <w:tcW w:w="0" w:type="auto"/>
            <w:shd w:val="clear" w:color="auto" w:fill="FDE9D9" w:themeFill="accent6" w:themeFillTint="33"/>
            <w:hideMark/>
          </w:tcPr>
          <w:p w14:paraId="093A639D"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87,162</w:t>
            </w:r>
          </w:p>
        </w:tc>
        <w:tc>
          <w:tcPr>
            <w:tcW w:w="0" w:type="auto"/>
            <w:shd w:val="clear" w:color="auto" w:fill="FDE9D9" w:themeFill="accent6" w:themeFillTint="33"/>
            <w:hideMark/>
          </w:tcPr>
          <w:p w14:paraId="200C33E9"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8,189</w:t>
            </w:r>
          </w:p>
        </w:tc>
        <w:tc>
          <w:tcPr>
            <w:tcW w:w="0" w:type="auto"/>
            <w:shd w:val="clear" w:color="auto" w:fill="FDE9D9" w:themeFill="accent6" w:themeFillTint="33"/>
            <w:hideMark/>
          </w:tcPr>
          <w:p w14:paraId="0F303C20"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87,848</w:t>
            </w:r>
          </w:p>
        </w:tc>
        <w:tc>
          <w:tcPr>
            <w:tcW w:w="0" w:type="auto"/>
            <w:shd w:val="clear" w:color="auto" w:fill="FDE9D9" w:themeFill="accent6" w:themeFillTint="33"/>
            <w:hideMark/>
          </w:tcPr>
          <w:p w14:paraId="487F603B"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31,219</w:t>
            </w:r>
          </w:p>
        </w:tc>
        <w:tc>
          <w:tcPr>
            <w:tcW w:w="0" w:type="auto"/>
            <w:shd w:val="clear" w:color="auto" w:fill="FDE9D9" w:themeFill="accent6" w:themeFillTint="33"/>
            <w:hideMark/>
          </w:tcPr>
          <w:p w14:paraId="599B91A5"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5,401</w:t>
            </w:r>
          </w:p>
        </w:tc>
        <w:tc>
          <w:tcPr>
            <w:tcW w:w="0" w:type="auto"/>
            <w:shd w:val="clear" w:color="auto" w:fill="FDE9D9" w:themeFill="accent6" w:themeFillTint="33"/>
            <w:hideMark/>
          </w:tcPr>
          <w:p w14:paraId="402F5B75"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61,808</w:t>
            </w:r>
          </w:p>
        </w:tc>
        <w:tc>
          <w:tcPr>
            <w:tcW w:w="0" w:type="auto"/>
            <w:shd w:val="clear" w:color="auto" w:fill="FDE9D9" w:themeFill="accent6" w:themeFillTint="33"/>
            <w:hideMark/>
          </w:tcPr>
          <w:p w14:paraId="73D45C49" w14:textId="77777777" w:rsidR="00BE61A2" w:rsidRPr="00374CC9" w:rsidRDefault="00BE61A2" w:rsidP="001B4567">
            <w:pPr>
              <w:jc w:val="center"/>
              <w:rPr>
                <w:rFonts w:asciiTheme="minorHAnsi" w:eastAsia="Times New Roman" w:hAnsiTheme="minorHAnsi"/>
                <w:sz w:val="18"/>
                <w:szCs w:val="18"/>
              </w:rPr>
            </w:pPr>
            <w:r w:rsidRPr="00374CC9">
              <w:rPr>
                <w:rFonts w:asciiTheme="minorHAnsi" w:eastAsia="Times New Roman" w:hAnsiTheme="minorHAnsi"/>
                <w:sz w:val="18"/>
                <w:szCs w:val="18"/>
              </w:rPr>
              <w:t>34,106</w:t>
            </w:r>
          </w:p>
        </w:tc>
        <w:tc>
          <w:tcPr>
            <w:tcW w:w="0" w:type="auto"/>
            <w:shd w:val="clear" w:color="auto" w:fill="FDE9D9" w:themeFill="accent6" w:themeFillTint="33"/>
            <w:hideMark/>
          </w:tcPr>
          <w:p w14:paraId="34E552F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320,480</w:t>
            </w:r>
          </w:p>
        </w:tc>
      </w:tr>
    </w:tbl>
    <w:p w14:paraId="7EA70935" w14:textId="77777777" w:rsidR="007A1DC5" w:rsidRDefault="00BE61A2" w:rsidP="007A1DC5">
      <w:pPr>
        <w:pStyle w:val="CDIfootnotes"/>
        <w:ind w:left="720" w:hanging="720"/>
      </w:pPr>
      <w:r w:rsidRPr="00B657E0">
        <w:t>*</w:t>
      </w:r>
      <w:r w:rsidRPr="00B657E0">
        <w:tab/>
        <w:t>Newly acquired hepatitis and syphilis &lt; 2 years duration includes cases where the infection was determined to be acquired withi</w:t>
      </w:r>
      <w:r w:rsidR="001B4567">
        <w:t>n 24 months prior to diagnosis.</w:t>
      </w:r>
    </w:p>
    <w:p w14:paraId="691942BE" w14:textId="77777777" w:rsidR="007A1DC5" w:rsidRDefault="00BE61A2" w:rsidP="007A1DC5">
      <w:pPr>
        <w:pStyle w:val="CDIfootnotes"/>
        <w:ind w:left="720" w:hanging="720"/>
      </w:pPr>
      <w:r w:rsidRPr="00B657E0">
        <w:lastRenderedPageBreak/>
        <w:t>†</w:t>
      </w:r>
      <w:r w:rsidRPr="00B657E0">
        <w:tab/>
        <w:t xml:space="preserve">Unspecified hepatitis and syphilis </w:t>
      </w:r>
      <w:proofErr w:type="gramStart"/>
      <w:r w:rsidRPr="00B657E0">
        <w:t>includes</w:t>
      </w:r>
      <w:proofErr w:type="gramEnd"/>
      <w:r w:rsidRPr="00B657E0">
        <w:t xml:space="preserve"> cases where the duration of infection could not be determine</w:t>
      </w:r>
      <w:r w:rsidR="007A1DC5">
        <w:t>d or is greater than 24 months.</w:t>
      </w:r>
    </w:p>
    <w:p w14:paraId="0922630B" w14:textId="77777777" w:rsidR="007A1DC5" w:rsidRDefault="00BE61A2" w:rsidP="007A1DC5">
      <w:pPr>
        <w:pStyle w:val="CDIfootnotes"/>
        <w:ind w:left="720" w:hanging="720"/>
      </w:pPr>
      <w:r w:rsidRPr="00B657E0">
        <w:t>‡</w:t>
      </w:r>
      <w:r w:rsidRPr="00B657E0">
        <w:tab/>
        <w:t>In Queensland, includes ne</w:t>
      </w:r>
      <w:r w:rsidR="007A1DC5">
        <w:t>wly acquired hepatitis C cases.</w:t>
      </w:r>
    </w:p>
    <w:p w14:paraId="073E65AE" w14:textId="77777777" w:rsidR="007A1DC5" w:rsidRDefault="0062522E" w:rsidP="007A1DC5">
      <w:pPr>
        <w:pStyle w:val="CDIfootnotes"/>
        <w:ind w:left="720" w:hanging="720"/>
      </w:pPr>
      <w:r w:rsidRPr="0062522E">
        <w:rPr>
          <w:vertAlign w:val="superscript"/>
        </w:rPr>
        <w:t>§</w:t>
      </w:r>
      <w:r w:rsidR="00BE61A2" w:rsidRPr="00B657E0">
        <w:tab/>
        <w:t>From 1 January 2016 a case definition for paratyphoid was created and for the first time is reported on as a separate condition from salmonella. Changes were made to paratyphoid notific</w:t>
      </w:r>
      <w:r w:rsidR="007A1DC5">
        <w:t>ations retrospectively to 1991.</w:t>
      </w:r>
    </w:p>
    <w:p w14:paraId="7FCF7F07" w14:textId="77777777" w:rsidR="007A1DC5" w:rsidRDefault="00BE61A2" w:rsidP="007A1DC5">
      <w:pPr>
        <w:pStyle w:val="CDIfootnotes"/>
        <w:ind w:left="720" w:hanging="720"/>
      </w:pPr>
      <w:r w:rsidRPr="00B657E0">
        <w:t>||</w:t>
      </w:r>
      <w:r w:rsidRPr="00B657E0">
        <w:tab/>
        <w:t>Includes Chlamydia trachomatis identified from cervical, rectal, urine, urethral and throat samples, except for South Australia, which reports only cervical</w:t>
      </w:r>
      <w:r w:rsidR="001B4567">
        <w:t>, urine and u</w:t>
      </w:r>
      <w:r w:rsidR="007A1DC5">
        <w:t>rethral specimens.</w:t>
      </w:r>
    </w:p>
    <w:p w14:paraId="56491FEF" w14:textId="77777777" w:rsidR="007A1DC5" w:rsidRDefault="00BE61A2" w:rsidP="007A1DC5">
      <w:pPr>
        <w:pStyle w:val="CDIfootnotes"/>
        <w:ind w:left="720" w:hanging="720"/>
      </w:pPr>
      <w:r w:rsidRPr="00B657E0">
        <w:t>¶</w:t>
      </w:r>
      <w:r w:rsidRPr="00B657E0">
        <w:tab/>
        <w:t>The national case definitions for chlamydial, gonococcal and syphilis diagnoses include infections that may be acquired through a non-sexual mode (especially in children – e.g. perinatal infections, epide</w:t>
      </w:r>
      <w:r w:rsidR="001B4567">
        <w:t>mic gonococcal conjunctivitis).</w:t>
      </w:r>
    </w:p>
    <w:p w14:paraId="4E5AFF59" w14:textId="77777777" w:rsidR="007A1DC5" w:rsidRDefault="00BE61A2" w:rsidP="007A1DC5">
      <w:pPr>
        <w:pStyle w:val="CDIfootnotes"/>
        <w:ind w:left="720" w:hanging="720"/>
      </w:pPr>
      <w:r w:rsidRPr="00B657E0">
        <w:t>**</w:t>
      </w:r>
      <w:r w:rsidRPr="00B657E0">
        <w:tab/>
        <w:t>Data for all states and territories are reported by diagnosis date, except Queensland, where data are reported by notification re</w:t>
      </w:r>
      <w:r w:rsidR="007A1DC5">
        <w:t>ceived date.</w:t>
      </w:r>
    </w:p>
    <w:p w14:paraId="1402C5E9" w14:textId="77777777" w:rsidR="007A1DC5" w:rsidRDefault="00BE61A2" w:rsidP="007A1DC5">
      <w:pPr>
        <w:pStyle w:val="CDIfootnotes"/>
        <w:ind w:left="720" w:hanging="720"/>
      </w:pPr>
      <w:r w:rsidRPr="00B657E0">
        <w:t>††</w:t>
      </w:r>
      <w:r w:rsidRPr="00B657E0">
        <w:tab/>
      </w:r>
      <w:proofErr w:type="spellStart"/>
      <w:r w:rsidRPr="00B657E0">
        <w:t>Arborivirus</w:t>
      </w:r>
      <w:proofErr w:type="spellEnd"/>
      <w:r w:rsidRPr="00B657E0">
        <w:t xml:space="preserve"> infection NEC changed to flavivirus i</w:t>
      </w:r>
      <w:r w:rsidR="007A1DC5">
        <w:t>nfection (unspecified) in 2015.</w:t>
      </w:r>
    </w:p>
    <w:p w14:paraId="496F478C" w14:textId="77777777" w:rsidR="007A1DC5" w:rsidRDefault="00BE61A2" w:rsidP="007A1DC5">
      <w:pPr>
        <w:pStyle w:val="CDIfootnotes"/>
        <w:ind w:left="720" w:hanging="720"/>
      </w:pPr>
      <w:r w:rsidRPr="00B657E0">
        <w:t>‡‡</w:t>
      </w:r>
      <w:r w:rsidRPr="00B657E0">
        <w:tab/>
        <w:t xml:space="preserve">Only invasive meningococcal disease is nationally notifiable. However, the Australian Capital Territory and New South Wales </w:t>
      </w:r>
      <w:r w:rsidR="007A1DC5">
        <w:t>also report conjunctival cases.</w:t>
      </w:r>
    </w:p>
    <w:p w14:paraId="4D189FC6" w14:textId="77777777" w:rsidR="007A1DC5" w:rsidRDefault="007A1DC5" w:rsidP="007A1DC5">
      <w:pPr>
        <w:pStyle w:val="CDIfootnotes"/>
        <w:ind w:left="720" w:hanging="720"/>
      </w:pPr>
      <w:r>
        <w:t>NEC</w:t>
      </w:r>
      <w:r>
        <w:tab/>
        <w:t>Not elsewhere classified.</w:t>
      </w:r>
    </w:p>
    <w:p w14:paraId="44B64792" w14:textId="77777777" w:rsidR="00BE61A2" w:rsidRDefault="00BE61A2" w:rsidP="007A1DC5">
      <w:pPr>
        <w:pStyle w:val="CDIfootnotes"/>
        <w:ind w:left="720" w:hanging="720"/>
      </w:pPr>
      <w:r w:rsidRPr="00B657E0">
        <w:t>NN</w:t>
      </w:r>
      <w:r w:rsidRPr="00B657E0">
        <w:tab/>
        <w:t xml:space="preserve">Not notifiable. </w:t>
      </w:r>
    </w:p>
    <w:p w14:paraId="1FE4814F" w14:textId="77777777" w:rsidR="0097782F" w:rsidRPr="00B657E0" w:rsidRDefault="0097782F" w:rsidP="0097782F">
      <w:pPr>
        <w:pStyle w:val="CDIFigures"/>
      </w:pPr>
      <w:r>
        <w:t>Table 5: Notification rates per 100,000 of nationally notifiable communicable diseases, Australia, 2015, by state or</w:t>
      </w:r>
      <w:r w:rsidR="007A1DC5">
        <w:t> </w:t>
      </w:r>
      <w:r>
        <w:t>territory</w:t>
      </w:r>
    </w:p>
    <w:tbl>
      <w:tblPr>
        <w:tblStyle w:val="CDI-StandardTable"/>
        <w:tblW w:w="0" w:type="auto"/>
        <w:tblCellMar>
          <w:top w:w="142" w:type="dxa"/>
          <w:left w:w="142" w:type="dxa"/>
          <w:bottom w:w="142" w:type="dxa"/>
        </w:tblCellMar>
        <w:tblLook w:val="04A0" w:firstRow="1" w:lastRow="0" w:firstColumn="1" w:lastColumn="0" w:noHBand="0" w:noVBand="1"/>
        <w:tblDescription w:val="This table shows the notification rates by disease category for each state or territory and the total for Australia for 2014&#10;"/>
      </w:tblPr>
      <w:tblGrid>
        <w:gridCol w:w="3247"/>
        <w:gridCol w:w="385"/>
        <w:gridCol w:w="661"/>
        <w:gridCol w:w="661"/>
        <w:gridCol w:w="752"/>
        <w:gridCol w:w="661"/>
        <w:gridCol w:w="661"/>
        <w:gridCol w:w="661"/>
        <w:gridCol w:w="661"/>
        <w:gridCol w:w="661"/>
        <w:gridCol w:w="661"/>
      </w:tblGrid>
      <w:tr w:rsidR="00BE61A2" w:rsidRPr="00374CC9" w14:paraId="4C0FD0E1" w14:textId="77777777" w:rsidTr="000A4FFE">
        <w:trPr>
          <w:cnfStyle w:val="100000000000" w:firstRow="1" w:lastRow="0" w:firstColumn="0" w:lastColumn="0" w:oddVBand="0" w:evenVBand="0" w:oddHBand="0" w:evenHBand="0" w:firstRowFirstColumn="0" w:firstRowLastColumn="0" w:lastRowFirstColumn="0" w:lastRowLastColumn="0"/>
          <w:tblHeader/>
        </w:trPr>
        <w:tc>
          <w:tcPr>
            <w:tcW w:w="0" w:type="auto"/>
            <w:gridSpan w:val="2"/>
            <w:vMerge w:val="restart"/>
            <w:hideMark/>
          </w:tcPr>
          <w:p w14:paraId="1C41824D"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Disease</w:t>
            </w:r>
          </w:p>
        </w:tc>
        <w:tc>
          <w:tcPr>
            <w:tcW w:w="0" w:type="auto"/>
            <w:gridSpan w:val="8"/>
            <w:hideMark/>
          </w:tcPr>
          <w:p w14:paraId="18308C35" w14:textId="77777777" w:rsidR="00BE61A2" w:rsidRPr="007D1C35" w:rsidRDefault="00BE61A2" w:rsidP="00240D6D">
            <w:pPr>
              <w:jc w:val="center"/>
              <w:rPr>
                <w:rFonts w:eastAsia="Times New Roman"/>
                <w:color w:val="FFFFFF" w:themeColor="background1"/>
                <w:sz w:val="18"/>
                <w:szCs w:val="18"/>
              </w:rPr>
            </w:pPr>
            <w:r w:rsidRPr="007D1C35">
              <w:rPr>
                <w:rFonts w:eastAsia="Times New Roman"/>
                <w:color w:val="FFFFFF" w:themeColor="background1"/>
                <w:sz w:val="18"/>
                <w:szCs w:val="18"/>
              </w:rPr>
              <w:t>State or territory</w:t>
            </w:r>
          </w:p>
        </w:tc>
        <w:tc>
          <w:tcPr>
            <w:tcW w:w="0" w:type="auto"/>
            <w:hideMark/>
          </w:tcPr>
          <w:p w14:paraId="197F84A1" w14:textId="77777777" w:rsidR="00BE61A2" w:rsidRPr="007D1C35" w:rsidRDefault="00BE61A2" w:rsidP="00240D6D">
            <w:pPr>
              <w:jc w:val="center"/>
              <w:rPr>
                <w:rFonts w:eastAsia="Times New Roman"/>
                <w:color w:val="FFFFFF" w:themeColor="background1"/>
                <w:sz w:val="18"/>
                <w:szCs w:val="18"/>
              </w:rPr>
            </w:pPr>
          </w:p>
        </w:tc>
      </w:tr>
      <w:tr w:rsidR="00BE61A2" w:rsidRPr="00374CC9" w14:paraId="16E6D8BB" w14:textId="77777777" w:rsidTr="000A4FFE">
        <w:trPr>
          <w:cnfStyle w:val="100000000000" w:firstRow="1" w:lastRow="0" w:firstColumn="0" w:lastColumn="0" w:oddVBand="0" w:evenVBand="0" w:oddHBand="0" w:evenHBand="0" w:firstRowFirstColumn="0" w:firstRowLastColumn="0" w:lastRowFirstColumn="0" w:lastRowLastColumn="0"/>
          <w:tblHeader/>
        </w:trPr>
        <w:tc>
          <w:tcPr>
            <w:tcW w:w="0" w:type="auto"/>
            <w:gridSpan w:val="2"/>
            <w:vMerge/>
            <w:hideMark/>
          </w:tcPr>
          <w:p w14:paraId="15CD3104" w14:textId="77777777" w:rsidR="00BE61A2" w:rsidRPr="007D1C35" w:rsidRDefault="00BE61A2">
            <w:pPr>
              <w:rPr>
                <w:rFonts w:eastAsia="Times New Roman"/>
                <w:color w:val="FFFFFF" w:themeColor="background1"/>
                <w:sz w:val="18"/>
                <w:szCs w:val="18"/>
              </w:rPr>
            </w:pPr>
          </w:p>
        </w:tc>
        <w:tc>
          <w:tcPr>
            <w:tcW w:w="0" w:type="auto"/>
            <w:hideMark/>
          </w:tcPr>
          <w:p w14:paraId="7BDE21CB" w14:textId="77777777" w:rsidR="00BE61A2" w:rsidRPr="007D1C35" w:rsidRDefault="00BE61A2" w:rsidP="00240D6D">
            <w:pPr>
              <w:jc w:val="center"/>
              <w:rPr>
                <w:rFonts w:eastAsia="Times New Roman"/>
                <w:color w:val="FFFFFF" w:themeColor="background1"/>
                <w:sz w:val="18"/>
                <w:szCs w:val="18"/>
              </w:rPr>
            </w:pPr>
            <w:r w:rsidRPr="007D1C35">
              <w:rPr>
                <w:rFonts w:eastAsia="Times New Roman"/>
                <w:color w:val="FFFFFF" w:themeColor="background1"/>
                <w:sz w:val="18"/>
                <w:szCs w:val="18"/>
              </w:rPr>
              <w:t>ACT</w:t>
            </w:r>
          </w:p>
        </w:tc>
        <w:tc>
          <w:tcPr>
            <w:tcW w:w="0" w:type="auto"/>
            <w:hideMark/>
          </w:tcPr>
          <w:p w14:paraId="13C3638E" w14:textId="77777777" w:rsidR="00BE61A2" w:rsidRPr="007D1C35" w:rsidRDefault="00BE61A2" w:rsidP="00240D6D">
            <w:pPr>
              <w:jc w:val="center"/>
              <w:rPr>
                <w:rFonts w:eastAsia="Times New Roman"/>
                <w:color w:val="FFFFFF" w:themeColor="background1"/>
                <w:sz w:val="18"/>
                <w:szCs w:val="18"/>
              </w:rPr>
            </w:pPr>
            <w:r w:rsidRPr="007D1C35">
              <w:rPr>
                <w:rFonts w:eastAsia="Times New Roman"/>
                <w:color w:val="FFFFFF" w:themeColor="background1"/>
                <w:sz w:val="18"/>
                <w:szCs w:val="18"/>
              </w:rPr>
              <w:t>NSW</w:t>
            </w:r>
          </w:p>
        </w:tc>
        <w:tc>
          <w:tcPr>
            <w:tcW w:w="0" w:type="auto"/>
            <w:hideMark/>
          </w:tcPr>
          <w:p w14:paraId="49CF0D56" w14:textId="77777777" w:rsidR="00BE61A2" w:rsidRPr="007D1C35" w:rsidRDefault="00BE61A2" w:rsidP="00240D6D">
            <w:pPr>
              <w:jc w:val="center"/>
              <w:rPr>
                <w:rFonts w:eastAsia="Times New Roman"/>
                <w:color w:val="FFFFFF" w:themeColor="background1"/>
                <w:sz w:val="18"/>
                <w:szCs w:val="18"/>
              </w:rPr>
            </w:pPr>
            <w:r w:rsidRPr="007D1C35">
              <w:rPr>
                <w:rFonts w:eastAsia="Times New Roman"/>
                <w:color w:val="FFFFFF" w:themeColor="background1"/>
                <w:sz w:val="18"/>
                <w:szCs w:val="18"/>
              </w:rPr>
              <w:t>NT</w:t>
            </w:r>
          </w:p>
        </w:tc>
        <w:tc>
          <w:tcPr>
            <w:tcW w:w="0" w:type="auto"/>
            <w:hideMark/>
          </w:tcPr>
          <w:p w14:paraId="273F7269" w14:textId="77777777" w:rsidR="00BE61A2" w:rsidRPr="007D1C35" w:rsidRDefault="00BE61A2" w:rsidP="00240D6D">
            <w:pPr>
              <w:jc w:val="center"/>
              <w:rPr>
                <w:rFonts w:eastAsia="Times New Roman"/>
                <w:color w:val="FFFFFF" w:themeColor="background1"/>
                <w:sz w:val="18"/>
                <w:szCs w:val="18"/>
              </w:rPr>
            </w:pPr>
            <w:r w:rsidRPr="007D1C35">
              <w:rPr>
                <w:rFonts w:eastAsia="Times New Roman"/>
                <w:color w:val="FFFFFF" w:themeColor="background1"/>
                <w:sz w:val="18"/>
                <w:szCs w:val="18"/>
              </w:rPr>
              <w:t>Qld</w:t>
            </w:r>
          </w:p>
        </w:tc>
        <w:tc>
          <w:tcPr>
            <w:tcW w:w="0" w:type="auto"/>
            <w:hideMark/>
          </w:tcPr>
          <w:p w14:paraId="4814FBA3" w14:textId="77777777" w:rsidR="00BE61A2" w:rsidRPr="007D1C35" w:rsidRDefault="00BE61A2" w:rsidP="00240D6D">
            <w:pPr>
              <w:jc w:val="center"/>
              <w:rPr>
                <w:rFonts w:eastAsia="Times New Roman"/>
                <w:color w:val="FFFFFF" w:themeColor="background1"/>
                <w:sz w:val="18"/>
                <w:szCs w:val="18"/>
              </w:rPr>
            </w:pPr>
            <w:r w:rsidRPr="007D1C35">
              <w:rPr>
                <w:rFonts w:eastAsia="Times New Roman"/>
                <w:color w:val="FFFFFF" w:themeColor="background1"/>
                <w:sz w:val="18"/>
                <w:szCs w:val="18"/>
              </w:rPr>
              <w:t>SA</w:t>
            </w:r>
          </w:p>
        </w:tc>
        <w:tc>
          <w:tcPr>
            <w:tcW w:w="0" w:type="auto"/>
            <w:hideMark/>
          </w:tcPr>
          <w:p w14:paraId="68067FB8" w14:textId="77777777" w:rsidR="00BE61A2" w:rsidRPr="007D1C35" w:rsidRDefault="00BE61A2" w:rsidP="00240D6D">
            <w:pPr>
              <w:jc w:val="center"/>
              <w:rPr>
                <w:rFonts w:eastAsia="Times New Roman"/>
                <w:color w:val="FFFFFF" w:themeColor="background1"/>
                <w:sz w:val="18"/>
                <w:szCs w:val="18"/>
              </w:rPr>
            </w:pPr>
            <w:r w:rsidRPr="007D1C35">
              <w:rPr>
                <w:rFonts w:eastAsia="Times New Roman"/>
                <w:color w:val="FFFFFF" w:themeColor="background1"/>
                <w:sz w:val="18"/>
                <w:szCs w:val="18"/>
              </w:rPr>
              <w:t>Tas.</w:t>
            </w:r>
          </w:p>
        </w:tc>
        <w:tc>
          <w:tcPr>
            <w:tcW w:w="0" w:type="auto"/>
            <w:hideMark/>
          </w:tcPr>
          <w:p w14:paraId="5C5E9813" w14:textId="77777777" w:rsidR="00BE61A2" w:rsidRPr="007D1C35" w:rsidRDefault="00BE61A2" w:rsidP="00240D6D">
            <w:pPr>
              <w:jc w:val="center"/>
              <w:rPr>
                <w:rFonts w:eastAsia="Times New Roman"/>
                <w:color w:val="FFFFFF" w:themeColor="background1"/>
                <w:sz w:val="18"/>
                <w:szCs w:val="18"/>
              </w:rPr>
            </w:pPr>
            <w:r w:rsidRPr="007D1C35">
              <w:rPr>
                <w:rFonts w:eastAsia="Times New Roman"/>
                <w:color w:val="FFFFFF" w:themeColor="background1"/>
                <w:sz w:val="18"/>
                <w:szCs w:val="18"/>
              </w:rPr>
              <w:t>Vic.</w:t>
            </w:r>
          </w:p>
        </w:tc>
        <w:tc>
          <w:tcPr>
            <w:tcW w:w="0" w:type="auto"/>
            <w:hideMark/>
          </w:tcPr>
          <w:p w14:paraId="33FCEFC3" w14:textId="77777777" w:rsidR="00BE61A2" w:rsidRPr="007D1C35" w:rsidRDefault="00BE61A2" w:rsidP="00240D6D">
            <w:pPr>
              <w:jc w:val="center"/>
              <w:rPr>
                <w:rFonts w:eastAsia="Times New Roman"/>
                <w:color w:val="FFFFFF" w:themeColor="background1"/>
                <w:sz w:val="18"/>
                <w:szCs w:val="18"/>
              </w:rPr>
            </w:pPr>
            <w:r w:rsidRPr="007D1C35">
              <w:rPr>
                <w:rFonts w:eastAsia="Times New Roman"/>
                <w:color w:val="FFFFFF" w:themeColor="background1"/>
                <w:sz w:val="18"/>
                <w:szCs w:val="18"/>
              </w:rPr>
              <w:t>WA</w:t>
            </w:r>
          </w:p>
        </w:tc>
        <w:tc>
          <w:tcPr>
            <w:tcW w:w="0" w:type="auto"/>
            <w:hideMark/>
          </w:tcPr>
          <w:p w14:paraId="0986E409" w14:textId="77777777" w:rsidR="00BE61A2" w:rsidRPr="007D1C35" w:rsidRDefault="00BE61A2" w:rsidP="00240D6D">
            <w:pPr>
              <w:jc w:val="center"/>
              <w:rPr>
                <w:rFonts w:eastAsia="Times New Roman"/>
                <w:color w:val="FFFFFF" w:themeColor="background1"/>
                <w:sz w:val="18"/>
                <w:szCs w:val="18"/>
              </w:rPr>
            </w:pPr>
            <w:r w:rsidRPr="007D1C35">
              <w:rPr>
                <w:rFonts w:eastAsia="Times New Roman"/>
                <w:color w:val="FFFFFF" w:themeColor="background1"/>
                <w:sz w:val="18"/>
                <w:szCs w:val="18"/>
              </w:rPr>
              <w:t>Aust.</w:t>
            </w:r>
          </w:p>
        </w:tc>
      </w:tr>
      <w:tr w:rsidR="00BE61A2" w:rsidRPr="00374CC9" w14:paraId="171AC38A" w14:textId="77777777" w:rsidTr="00240D6D">
        <w:tblPrEx>
          <w:tblCellMar>
            <w:right w:w="108" w:type="dxa"/>
          </w:tblCellMar>
        </w:tblPrEx>
        <w:tc>
          <w:tcPr>
            <w:tcW w:w="0" w:type="auto"/>
            <w:gridSpan w:val="11"/>
            <w:shd w:val="clear" w:color="auto" w:fill="D9D9D9" w:themeFill="background1" w:themeFillShade="D9"/>
            <w:hideMark/>
          </w:tcPr>
          <w:p w14:paraId="31153EE6" w14:textId="77777777" w:rsidR="00BE61A2" w:rsidRPr="00240D6D" w:rsidRDefault="00BE61A2" w:rsidP="00240D6D">
            <w:pPr>
              <w:rPr>
                <w:rFonts w:asciiTheme="minorHAnsi" w:eastAsia="Times New Roman" w:hAnsiTheme="minorHAnsi"/>
                <w:b/>
                <w:sz w:val="18"/>
                <w:szCs w:val="18"/>
              </w:rPr>
            </w:pPr>
            <w:r w:rsidRPr="00240D6D">
              <w:rPr>
                <w:rFonts w:asciiTheme="minorHAnsi" w:eastAsia="Times New Roman" w:hAnsiTheme="minorHAnsi"/>
                <w:b/>
                <w:sz w:val="18"/>
                <w:szCs w:val="18"/>
              </w:rPr>
              <w:t>Bloodborne diseases</w:t>
            </w:r>
          </w:p>
        </w:tc>
      </w:tr>
      <w:tr w:rsidR="00BE61A2" w:rsidRPr="00374CC9" w14:paraId="07C0C261"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gridSpan w:val="2"/>
            <w:hideMark/>
          </w:tcPr>
          <w:p w14:paraId="78CC51A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Hepatitis B (newly acquired)</w:t>
            </w:r>
            <w:r w:rsidRPr="00374CC9">
              <w:rPr>
                <w:rFonts w:asciiTheme="minorHAnsi" w:eastAsia="Times New Roman" w:hAnsiTheme="minorHAnsi"/>
                <w:sz w:val="18"/>
                <w:szCs w:val="18"/>
                <w:vertAlign w:val="superscript"/>
              </w:rPr>
              <w:t>*</w:t>
            </w:r>
          </w:p>
        </w:tc>
        <w:tc>
          <w:tcPr>
            <w:tcW w:w="0" w:type="auto"/>
            <w:hideMark/>
          </w:tcPr>
          <w:p w14:paraId="51649F26"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1C3A52D8"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0.4</w:t>
            </w:r>
          </w:p>
        </w:tc>
        <w:tc>
          <w:tcPr>
            <w:tcW w:w="0" w:type="auto"/>
            <w:hideMark/>
          </w:tcPr>
          <w:p w14:paraId="0488DA60"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0.4</w:t>
            </w:r>
          </w:p>
        </w:tc>
        <w:tc>
          <w:tcPr>
            <w:tcW w:w="0" w:type="auto"/>
            <w:hideMark/>
          </w:tcPr>
          <w:p w14:paraId="112E474E"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0.9</w:t>
            </w:r>
          </w:p>
        </w:tc>
        <w:tc>
          <w:tcPr>
            <w:tcW w:w="0" w:type="auto"/>
            <w:hideMark/>
          </w:tcPr>
          <w:p w14:paraId="3772382E"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0.4</w:t>
            </w:r>
          </w:p>
        </w:tc>
        <w:tc>
          <w:tcPr>
            <w:tcW w:w="0" w:type="auto"/>
            <w:hideMark/>
          </w:tcPr>
          <w:p w14:paraId="33E20312"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0.2</w:t>
            </w:r>
          </w:p>
        </w:tc>
        <w:tc>
          <w:tcPr>
            <w:tcW w:w="0" w:type="auto"/>
            <w:hideMark/>
          </w:tcPr>
          <w:p w14:paraId="009C9286"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0.5</w:t>
            </w:r>
          </w:p>
        </w:tc>
        <w:tc>
          <w:tcPr>
            <w:tcW w:w="0" w:type="auto"/>
            <w:hideMark/>
          </w:tcPr>
          <w:p w14:paraId="11ADCF03"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1.1</w:t>
            </w:r>
          </w:p>
        </w:tc>
        <w:tc>
          <w:tcPr>
            <w:tcW w:w="0" w:type="auto"/>
            <w:hideMark/>
          </w:tcPr>
          <w:p w14:paraId="53EB5FA3"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0.6</w:t>
            </w:r>
          </w:p>
        </w:tc>
      </w:tr>
      <w:tr w:rsidR="000A4FFE" w:rsidRPr="00374CC9" w14:paraId="1269EF04" w14:textId="77777777" w:rsidTr="000A4FFE">
        <w:tblPrEx>
          <w:tblCellMar>
            <w:right w:w="108" w:type="dxa"/>
          </w:tblCellMar>
        </w:tblPrEx>
        <w:tc>
          <w:tcPr>
            <w:tcW w:w="0" w:type="auto"/>
            <w:gridSpan w:val="2"/>
            <w:hideMark/>
          </w:tcPr>
          <w:p w14:paraId="08EDAA0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Hepatitis B (unspecified)</w:t>
            </w:r>
            <w:r w:rsidRPr="00374CC9">
              <w:rPr>
                <w:rFonts w:asciiTheme="minorHAnsi" w:eastAsia="Times New Roman" w:hAnsiTheme="minorHAnsi"/>
                <w:sz w:val="18"/>
                <w:szCs w:val="18"/>
                <w:vertAlign w:val="superscript"/>
              </w:rPr>
              <w:t>†</w:t>
            </w:r>
          </w:p>
        </w:tc>
        <w:tc>
          <w:tcPr>
            <w:tcW w:w="0" w:type="auto"/>
            <w:hideMark/>
          </w:tcPr>
          <w:p w14:paraId="20A19203"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20.7</w:t>
            </w:r>
          </w:p>
        </w:tc>
        <w:tc>
          <w:tcPr>
            <w:tcW w:w="0" w:type="auto"/>
            <w:hideMark/>
          </w:tcPr>
          <w:p w14:paraId="716B3608"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30.9</w:t>
            </w:r>
          </w:p>
        </w:tc>
        <w:tc>
          <w:tcPr>
            <w:tcW w:w="0" w:type="auto"/>
            <w:hideMark/>
          </w:tcPr>
          <w:p w14:paraId="3904D2E8"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65.0</w:t>
            </w:r>
          </w:p>
        </w:tc>
        <w:tc>
          <w:tcPr>
            <w:tcW w:w="0" w:type="auto"/>
            <w:hideMark/>
          </w:tcPr>
          <w:p w14:paraId="091BEDD2"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20.9</w:t>
            </w:r>
          </w:p>
        </w:tc>
        <w:tc>
          <w:tcPr>
            <w:tcW w:w="0" w:type="auto"/>
            <w:hideMark/>
          </w:tcPr>
          <w:p w14:paraId="0F7F351C"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19.8</w:t>
            </w:r>
          </w:p>
        </w:tc>
        <w:tc>
          <w:tcPr>
            <w:tcW w:w="0" w:type="auto"/>
            <w:hideMark/>
          </w:tcPr>
          <w:p w14:paraId="1E251FE8"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7.9</w:t>
            </w:r>
          </w:p>
        </w:tc>
        <w:tc>
          <w:tcPr>
            <w:tcW w:w="0" w:type="auto"/>
            <w:hideMark/>
          </w:tcPr>
          <w:p w14:paraId="1145CB9E"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30.6</w:t>
            </w:r>
          </w:p>
        </w:tc>
        <w:tc>
          <w:tcPr>
            <w:tcW w:w="0" w:type="auto"/>
            <w:hideMark/>
          </w:tcPr>
          <w:p w14:paraId="3DA1390D"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22.2</w:t>
            </w:r>
          </w:p>
        </w:tc>
        <w:tc>
          <w:tcPr>
            <w:tcW w:w="0" w:type="auto"/>
            <w:hideMark/>
          </w:tcPr>
          <w:p w14:paraId="6D167A97"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26.8</w:t>
            </w:r>
          </w:p>
        </w:tc>
      </w:tr>
      <w:tr w:rsidR="00BE61A2" w:rsidRPr="00374CC9" w14:paraId="7188D364"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gridSpan w:val="2"/>
            <w:hideMark/>
          </w:tcPr>
          <w:p w14:paraId="05031F2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Hepatitis C (newly acquired)</w:t>
            </w:r>
            <w:r w:rsidRPr="00374CC9">
              <w:rPr>
                <w:rFonts w:asciiTheme="minorHAnsi" w:eastAsia="Times New Roman" w:hAnsiTheme="minorHAnsi"/>
                <w:sz w:val="18"/>
                <w:szCs w:val="18"/>
                <w:vertAlign w:val="superscript"/>
              </w:rPr>
              <w:t>*‡</w:t>
            </w:r>
          </w:p>
        </w:tc>
        <w:tc>
          <w:tcPr>
            <w:tcW w:w="0" w:type="auto"/>
            <w:hideMark/>
          </w:tcPr>
          <w:p w14:paraId="63D0006D"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3.3</w:t>
            </w:r>
          </w:p>
        </w:tc>
        <w:tc>
          <w:tcPr>
            <w:tcW w:w="0" w:type="auto"/>
            <w:hideMark/>
          </w:tcPr>
          <w:p w14:paraId="3DAD31D6"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0.3</w:t>
            </w:r>
          </w:p>
        </w:tc>
        <w:tc>
          <w:tcPr>
            <w:tcW w:w="0" w:type="auto"/>
            <w:hideMark/>
          </w:tcPr>
          <w:p w14:paraId="385DA939"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1.6</w:t>
            </w:r>
          </w:p>
        </w:tc>
        <w:tc>
          <w:tcPr>
            <w:tcW w:w="0" w:type="auto"/>
            <w:hideMark/>
          </w:tcPr>
          <w:p w14:paraId="7C31B84F"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NN</w:t>
            </w:r>
          </w:p>
        </w:tc>
        <w:tc>
          <w:tcPr>
            <w:tcW w:w="0" w:type="auto"/>
            <w:hideMark/>
          </w:tcPr>
          <w:p w14:paraId="1A78AF47"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2.5</w:t>
            </w:r>
          </w:p>
        </w:tc>
        <w:tc>
          <w:tcPr>
            <w:tcW w:w="0" w:type="auto"/>
            <w:hideMark/>
          </w:tcPr>
          <w:p w14:paraId="22E904F2"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5.0</w:t>
            </w:r>
          </w:p>
        </w:tc>
        <w:tc>
          <w:tcPr>
            <w:tcW w:w="0" w:type="auto"/>
            <w:hideMark/>
          </w:tcPr>
          <w:p w14:paraId="606F7CB2"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2.4</w:t>
            </w:r>
          </w:p>
        </w:tc>
        <w:tc>
          <w:tcPr>
            <w:tcW w:w="0" w:type="auto"/>
            <w:hideMark/>
          </w:tcPr>
          <w:p w14:paraId="300FAF21"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7.1</w:t>
            </w:r>
          </w:p>
        </w:tc>
        <w:tc>
          <w:tcPr>
            <w:tcW w:w="0" w:type="auto"/>
            <w:hideMark/>
          </w:tcPr>
          <w:p w14:paraId="64BE3F21"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2.3</w:t>
            </w:r>
          </w:p>
        </w:tc>
      </w:tr>
      <w:tr w:rsidR="000A4FFE" w:rsidRPr="00374CC9" w14:paraId="57C52FC5" w14:textId="77777777" w:rsidTr="000A4FFE">
        <w:tblPrEx>
          <w:tblCellMar>
            <w:right w:w="108" w:type="dxa"/>
          </w:tblCellMar>
        </w:tblPrEx>
        <w:tc>
          <w:tcPr>
            <w:tcW w:w="0" w:type="auto"/>
            <w:gridSpan w:val="2"/>
            <w:hideMark/>
          </w:tcPr>
          <w:p w14:paraId="29228D9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Hepatitis C (unspecified)</w:t>
            </w:r>
            <w:r w:rsidRPr="00374CC9">
              <w:rPr>
                <w:rFonts w:asciiTheme="minorHAnsi" w:eastAsia="Times New Roman" w:hAnsiTheme="minorHAnsi"/>
                <w:sz w:val="18"/>
                <w:szCs w:val="18"/>
                <w:vertAlign w:val="superscript"/>
              </w:rPr>
              <w:t>†</w:t>
            </w:r>
          </w:p>
        </w:tc>
        <w:tc>
          <w:tcPr>
            <w:tcW w:w="0" w:type="auto"/>
            <w:hideMark/>
          </w:tcPr>
          <w:p w14:paraId="2D9E301F"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44.8</w:t>
            </w:r>
          </w:p>
        </w:tc>
        <w:tc>
          <w:tcPr>
            <w:tcW w:w="0" w:type="auto"/>
            <w:hideMark/>
          </w:tcPr>
          <w:p w14:paraId="28A8E86F"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46.7</w:t>
            </w:r>
          </w:p>
        </w:tc>
        <w:tc>
          <w:tcPr>
            <w:tcW w:w="0" w:type="auto"/>
            <w:hideMark/>
          </w:tcPr>
          <w:p w14:paraId="72E9B5A0"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80.2</w:t>
            </w:r>
          </w:p>
        </w:tc>
        <w:tc>
          <w:tcPr>
            <w:tcW w:w="0" w:type="auto"/>
            <w:hideMark/>
          </w:tcPr>
          <w:p w14:paraId="0AE9AA06"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53.9</w:t>
            </w:r>
          </w:p>
        </w:tc>
        <w:tc>
          <w:tcPr>
            <w:tcW w:w="0" w:type="auto"/>
            <w:hideMark/>
          </w:tcPr>
          <w:p w14:paraId="412C5510"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27.0</w:t>
            </w:r>
          </w:p>
        </w:tc>
        <w:tc>
          <w:tcPr>
            <w:tcW w:w="0" w:type="auto"/>
            <w:hideMark/>
          </w:tcPr>
          <w:p w14:paraId="5CC81915"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45.3</w:t>
            </w:r>
          </w:p>
        </w:tc>
        <w:tc>
          <w:tcPr>
            <w:tcW w:w="0" w:type="auto"/>
            <w:hideMark/>
          </w:tcPr>
          <w:p w14:paraId="03772568"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37.1</w:t>
            </w:r>
          </w:p>
        </w:tc>
        <w:tc>
          <w:tcPr>
            <w:tcW w:w="0" w:type="auto"/>
            <w:hideMark/>
          </w:tcPr>
          <w:p w14:paraId="0CE2B40B"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37.1</w:t>
            </w:r>
          </w:p>
        </w:tc>
        <w:tc>
          <w:tcPr>
            <w:tcW w:w="0" w:type="auto"/>
            <w:hideMark/>
          </w:tcPr>
          <w:p w14:paraId="7021B261"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43.6</w:t>
            </w:r>
          </w:p>
        </w:tc>
      </w:tr>
      <w:tr w:rsidR="00BE61A2" w:rsidRPr="00374CC9" w14:paraId="51258E27"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gridSpan w:val="2"/>
            <w:hideMark/>
          </w:tcPr>
          <w:p w14:paraId="42C66E3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Hepatitis D</w:t>
            </w:r>
          </w:p>
        </w:tc>
        <w:tc>
          <w:tcPr>
            <w:tcW w:w="0" w:type="auto"/>
            <w:hideMark/>
          </w:tcPr>
          <w:p w14:paraId="517ED8B2"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0A4BFEA8"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0.1</w:t>
            </w:r>
          </w:p>
        </w:tc>
        <w:tc>
          <w:tcPr>
            <w:tcW w:w="0" w:type="auto"/>
            <w:hideMark/>
          </w:tcPr>
          <w:p w14:paraId="20752C47"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4A3070F1"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0.3</w:t>
            </w:r>
          </w:p>
        </w:tc>
        <w:tc>
          <w:tcPr>
            <w:tcW w:w="0" w:type="auto"/>
            <w:hideMark/>
          </w:tcPr>
          <w:p w14:paraId="3F699C87"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0.5</w:t>
            </w:r>
          </w:p>
        </w:tc>
        <w:tc>
          <w:tcPr>
            <w:tcW w:w="0" w:type="auto"/>
            <w:hideMark/>
          </w:tcPr>
          <w:p w14:paraId="51A6ABC0"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0217D43F"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0.1</w:t>
            </w:r>
          </w:p>
        </w:tc>
        <w:tc>
          <w:tcPr>
            <w:tcW w:w="0" w:type="auto"/>
            <w:hideMark/>
          </w:tcPr>
          <w:p w14:paraId="67363326"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255536D7"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0.2</w:t>
            </w:r>
          </w:p>
        </w:tc>
      </w:tr>
      <w:tr w:rsidR="00BE61A2" w:rsidRPr="00374CC9" w14:paraId="18D2CF32" w14:textId="77777777" w:rsidTr="00240D6D">
        <w:tblPrEx>
          <w:tblCellMar>
            <w:right w:w="108" w:type="dxa"/>
          </w:tblCellMar>
        </w:tblPrEx>
        <w:tc>
          <w:tcPr>
            <w:tcW w:w="0" w:type="auto"/>
            <w:gridSpan w:val="11"/>
            <w:shd w:val="clear" w:color="auto" w:fill="D9D9D9" w:themeFill="background1" w:themeFillShade="D9"/>
            <w:hideMark/>
          </w:tcPr>
          <w:p w14:paraId="28CB42EA" w14:textId="77777777" w:rsidR="00BE61A2" w:rsidRPr="00240D6D" w:rsidRDefault="00BE61A2" w:rsidP="00240D6D">
            <w:pPr>
              <w:rPr>
                <w:rFonts w:asciiTheme="minorHAnsi" w:eastAsia="Times New Roman" w:hAnsiTheme="minorHAnsi"/>
                <w:b/>
                <w:sz w:val="18"/>
                <w:szCs w:val="18"/>
              </w:rPr>
            </w:pPr>
            <w:r w:rsidRPr="00240D6D">
              <w:rPr>
                <w:rFonts w:asciiTheme="minorHAnsi" w:eastAsia="Times New Roman" w:hAnsiTheme="minorHAnsi"/>
                <w:b/>
                <w:sz w:val="18"/>
                <w:szCs w:val="18"/>
              </w:rPr>
              <w:t>Gastrointestinal diseases</w:t>
            </w:r>
          </w:p>
        </w:tc>
      </w:tr>
      <w:tr w:rsidR="00BE61A2" w:rsidRPr="00374CC9" w14:paraId="4D656506"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gridSpan w:val="2"/>
            <w:hideMark/>
          </w:tcPr>
          <w:p w14:paraId="6A636FE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Botulism</w:t>
            </w:r>
          </w:p>
        </w:tc>
        <w:tc>
          <w:tcPr>
            <w:tcW w:w="0" w:type="auto"/>
            <w:hideMark/>
          </w:tcPr>
          <w:p w14:paraId="03C7E5DB"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26C9B13E"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&lt;0.1</w:t>
            </w:r>
          </w:p>
        </w:tc>
        <w:tc>
          <w:tcPr>
            <w:tcW w:w="0" w:type="auto"/>
            <w:hideMark/>
          </w:tcPr>
          <w:p w14:paraId="22A15138"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21B5A5F1"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50ABC4CC"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68A9B36D"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51555D53"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&lt;0.1</w:t>
            </w:r>
          </w:p>
        </w:tc>
        <w:tc>
          <w:tcPr>
            <w:tcW w:w="0" w:type="auto"/>
            <w:hideMark/>
          </w:tcPr>
          <w:p w14:paraId="52EA153D"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&lt;0.1</w:t>
            </w:r>
          </w:p>
        </w:tc>
        <w:tc>
          <w:tcPr>
            <w:tcW w:w="0" w:type="auto"/>
            <w:hideMark/>
          </w:tcPr>
          <w:p w14:paraId="793DA810"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&lt;0.1</w:t>
            </w:r>
          </w:p>
        </w:tc>
      </w:tr>
      <w:tr w:rsidR="000A4FFE" w:rsidRPr="00374CC9" w14:paraId="253ECAD7" w14:textId="77777777" w:rsidTr="000A4FFE">
        <w:tblPrEx>
          <w:tblCellMar>
            <w:right w:w="108" w:type="dxa"/>
          </w:tblCellMar>
        </w:tblPrEx>
        <w:tc>
          <w:tcPr>
            <w:tcW w:w="0" w:type="auto"/>
            <w:gridSpan w:val="2"/>
            <w:hideMark/>
          </w:tcPr>
          <w:p w14:paraId="45E170B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Campylobacteriosis</w:t>
            </w:r>
          </w:p>
        </w:tc>
        <w:tc>
          <w:tcPr>
            <w:tcW w:w="0" w:type="auto"/>
            <w:hideMark/>
          </w:tcPr>
          <w:p w14:paraId="74AE1F01"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155.5</w:t>
            </w:r>
          </w:p>
        </w:tc>
        <w:tc>
          <w:tcPr>
            <w:tcW w:w="0" w:type="auto"/>
            <w:hideMark/>
          </w:tcPr>
          <w:p w14:paraId="56E8533C"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NN</w:t>
            </w:r>
          </w:p>
        </w:tc>
        <w:tc>
          <w:tcPr>
            <w:tcW w:w="0" w:type="auto"/>
            <w:hideMark/>
          </w:tcPr>
          <w:p w14:paraId="29CE17F7"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151.7</w:t>
            </w:r>
          </w:p>
        </w:tc>
        <w:tc>
          <w:tcPr>
            <w:tcW w:w="0" w:type="auto"/>
            <w:hideMark/>
          </w:tcPr>
          <w:p w14:paraId="627A192C"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157.8</w:t>
            </w:r>
          </w:p>
        </w:tc>
        <w:tc>
          <w:tcPr>
            <w:tcW w:w="0" w:type="auto"/>
            <w:hideMark/>
          </w:tcPr>
          <w:p w14:paraId="0124A0E7"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106.9</w:t>
            </w:r>
          </w:p>
        </w:tc>
        <w:tc>
          <w:tcPr>
            <w:tcW w:w="0" w:type="auto"/>
            <w:hideMark/>
          </w:tcPr>
          <w:p w14:paraId="753D7151"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200.3</w:t>
            </w:r>
          </w:p>
        </w:tc>
        <w:tc>
          <w:tcPr>
            <w:tcW w:w="0" w:type="auto"/>
            <w:hideMark/>
          </w:tcPr>
          <w:p w14:paraId="5131217E"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139.8</w:t>
            </w:r>
          </w:p>
        </w:tc>
        <w:tc>
          <w:tcPr>
            <w:tcW w:w="0" w:type="auto"/>
            <w:hideMark/>
          </w:tcPr>
          <w:p w14:paraId="64DEC7E5"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111.6</w:t>
            </w:r>
          </w:p>
        </w:tc>
        <w:tc>
          <w:tcPr>
            <w:tcW w:w="0" w:type="auto"/>
            <w:hideMark/>
          </w:tcPr>
          <w:p w14:paraId="51A79653"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139.6</w:t>
            </w:r>
          </w:p>
        </w:tc>
      </w:tr>
      <w:tr w:rsidR="00BE61A2" w:rsidRPr="00374CC9" w14:paraId="0CD1D9D8"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gridSpan w:val="2"/>
            <w:hideMark/>
          </w:tcPr>
          <w:p w14:paraId="74F8680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Cryptosporidiosis</w:t>
            </w:r>
          </w:p>
        </w:tc>
        <w:tc>
          <w:tcPr>
            <w:tcW w:w="0" w:type="auto"/>
            <w:hideMark/>
          </w:tcPr>
          <w:p w14:paraId="78BBD125"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6.6</w:t>
            </w:r>
          </w:p>
        </w:tc>
        <w:tc>
          <w:tcPr>
            <w:tcW w:w="0" w:type="auto"/>
            <w:hideMark/>
          </w:tcPr>
          <w:p w14:paraId="58537B57"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13.8</w:t>
            </w:r>
          </w:p>
        </w:tc>
        <w:tc>
          <w:tcPr>
            <w:tcW w:w="0" w:type="auto"/>
            <w:hideMark/>
          </w:tcPr>
          <w:p w14:paraId="15AF9F09"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49.9</w:t>
            </w:r>
          </w:p>
        </w:tc>
        <w:tc>
          <w:tcPr>
            <w:tcW w:w="0" w:type="auto"/>
            <w:hideMark/>
          </w:tcPr>
          <w:p w14:paraId="0D74DB5D"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27.5</w:t>
            </w:r>
          </w:p>
        </w:tc>
        <w:tc>
          <w:tcPr>
            <w:tcW w:w="0" w:type="auto"/>
            <w:hideMark/>
          </w:tcPr>
          <w:p w14:paraId="57103003"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24.7</w:t>
            </w:r>
          </w:p>
        </w:tc>
        <w:tc>
          <w:tcPr>
            <w:tcW w:w="0" w:type="auto"/>
            <w:hideMark/>
          </w:tcPr>
          <w:p w14:paraId="230EC9E5"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3.7</w:t>
            </w:r>
          </w:p>
        </w:tc>
        <w:tc>
          <w:tcPr>
            <w:tcW w:w="0" w:type="auto"/>
            <w:hideMark/>
          </w:tcPr>
          <w:p w14:paraId="096411C3"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14.4</w:t>
            </w:r>
          </w:p>
        </w:tc>
        <w:tc>
          <w:tcPr>
            <w:tcW w:w="0" w:type="auto"/>
            <w:hideMark/>
          </w:tcPr>
          <w:p w14:paraId="5F0A28D3"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9.8</w:t>
            </w:r>
          </w:p>
        </w:tc>
        <w:tc>
          <w:tcPr>
            <w:tcW w:w="0" w:type="auto"/>
            <w:hideMark/>
          </w:tcPr>
          <w:p w14:paraId="23CD0F54"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17.1</w:t>
            </w:r>
          </w:p>
        </w:tc>
      </w:tr>
      <w:tr w:rsidR="000A4FFE" w:rsidRPr="00374CC9" w14:paraId="14D5A937" w14:textId="77777777" w:rsidTr="000A4FFE">
        <w:tblPrEx>
          <w:tblCellMar>
            <w:right w:w="108" w:type="dxa"/>
          </w:tblCellMar>
        </w:tblPrEx>
        <w:tc>
          <w:tcPr>
            <w:tcW w:w="0" w:type="auto"/>
            <w:gridSpan w:val="2"/>
            <w:hideMark/>
          </w:tcPr>
          <w:p w14:paraId="699EDC2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Haemolytic uraemic syndrome</w:t>
            </w:r>
          </w:p>
        </w:tc>
        <w:tc>
          <w:tcPr>
            <w:tcW w:w="0" w:type="auto"/>
            <w:hideMark/>
          </w:tcPr>
          <w:p w14:paraId="0E70B636"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150AFAA1"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0.1</w:t>
            </w:r>
          </w:p>
        </w:tc>
        <w:tc>
          <w:tcPr>
            <w:tcW w:w="0" w:type="auto"/>
            <w:hideMark/>
          </w:tcPr>
          <w:p w14:paraId="613DB120"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16C11323"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&lt;0.1</w:t>
            </w:r>
          </w:p>
        </w:tc>
        <w:tc>
          <w:tcPr>
            <w:tcW w:w="0" w:type="auto"/>
            <w:hideMark/>
          </w:tcPr>
          <w:p w14:paraId="0807D885"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300A1FA3"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0F6C8855"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0.1</w:t>
            </w:r>
          </w:p>
        </w:tc>
        <w:tc>
          <w:tcPr>
            <w:tcW w:w="0" w:type="auto"/>
            <w:hideMark/>
          </w:tcPr>
          <w:p w14:paraId="51B6EFBB"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&lt;0.1</w:t>
            </w:r>
          </w:p>
        </w:tc>
        <w:tc>
          <w:tcPr>
            <w:tcW w:w="0" w:type="auto"/>
            <w:hideMark/>
          </w:tcPr>
          <w:p w14:paraId="7217C461"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0.1</w:t>
            </w:r>
          </w:p>
        </w:tc>
      </w:tr>
      <w:tr w:rsidR="00BE61A2" w:rsidRPr="00374CC9" w14:paraId="77AD9D06"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gridSpan w:val="2"/>
            <w:hideMark/>
          </w:tcPr>
          <w:p w14:paraId="63C94CB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lastRenderedPageBreak/>
              <w:t>Hepatitis A</w:t>
            </w:r>
          </w:p>
        </w:tc>
        <w:tc>
          <w:tcPr>
            <w:tcW w:w="0" w:type="auto"/>
            <w:hideMark/>
          </w:tcPr>
          <w:p w14:paraId="3C90E8FD"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0.8</w:t>
            </w:r>
          </w:p>
        </w:tc>
        <w:tc>
          <w:tcPr>
            <w:tcW w:w="0" w:type="auto"/>
            <w:hideMark/>
          </w:tcPr>
          <w:p w14:paraId="1E4709F4"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0.9</w:t>
            </w:r>
          </w:p>
        </w:tc>
        <w:tc>
          <w:tcPr>
            <w:tcW w:w="0" w:type="auto"/>
            <w:hideMark/>
          </w:tcPr>
          <w:p w14:paraId="26559987"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2.0</w:t>
            </w:r>
          </w:p>
        </w:tc>
        <w:tc>
          <w:tcPr>
            <w:tcW w:w="0" w:type="auto"/>
            <w:hideMark/>
          </w:tcPr>
          <w:p w14:paraId="3CEF9940"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0.7</w:t>
            </w:r>
          </w:p>
        </w:tc>
        <w:tc>
          <w:tcPr>
            <w:tcW w:w="0" w:type="auto"/>
            <w:hideMark/>
          </w:tcPr>
          <w:p w14:paraId="4ED6F17C"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0.6</w:t>
            </w:r>
          </w:p>
        </w:tc>
        <w:tc>
          <w:tcPr>
            <w:tcW w:w="0" w:type="auto"/>
            <w:hideMark/>
          </w:tcPr>
          <w:p w14:paraId="26FAF598"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0.2</w:t>
            </w:r>
          </w:p>
        </w:tc>
        <w:tc>
          <w:tcPr>
            <w:tcW w:w="0" w:type="auto"/>
            <w:hideMark/>
          </w:tcPr>
          <w:p w14:paraId="04AC9001"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0.6</w:t>
            </w:r>
          </w:p>
        </w:tc>
        <w:tc>
          <w:tcPr>
            <w:tcW w:w="0" w:type="auto"/>
            <w:hideMark/>
          </w:tcPr>
          <w:p w14:paraId="6B1D2A49"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1.0</w:t>
            </w:r>
          </w:p>
        </w:tc>
        <w:tc>
          <w:tcPr>
            <w:tcW w:w="0" w:type="auto"/>
            <w:hideMark/>
          </w:tcPr>
          <w:p w14:paraId="58EC2E00"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0.7</w:t>
            </w:r>
          </w:p>
        </w:tc>
      </w:tr>
      <w:tr w:rsidR="000A4FFE" w:rsidRPr="00374CC9" w14:paraId="21C9A338" w14:textId="77777777" w:rsidTr="000A4FFE">
        <w:tblPrEx>
          <w:tblCellMar>
            <w:right w:w="108" w:type="dxa"/>
          </w:tblCellMar>
        </w:tblPrEx>
        <w:tc>
          <w:tcPr>
            <w:tcW w:w="0" w:type="auto"/>
            <w:gridSpan w:val="2"/>
            <w:hideMark/>
          </w:tcPr>
          <w:p w14:paraId="5A6DE60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Hepatitis E</w:t>
            </w:r>
          </w:p>
        </w:tc>
        <w:tc>
          <w:tcPr>
            <w:tcW w:w="0" w:type="auto"/>
            <w:hideMark/>
          </w:tcPr>
          <w:p w14:paraId="451E0497"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2BA2E63B"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0.3</w:t>
            </w:r>
          </w:p>
        </w:tc>
        <w:tc>
          <w:tcPr>
            <w:tcW w:w="0" w:type="auto"/>
            <w:hideMark/>
          </w:tcPr>
          <w:p w14:paraId="236722F4"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46B4A2FD"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&lt;0.1</w:t>
            </w:r>
          </w:p>
        </w:tc>
        <w:tc>
          <w:tcPr>
            <w:tcW w:w="0" w:type="auto"/>
            <w:hideMark/>
          </w:tcPr>
          <w:p w14:paraId="1ADD8E2B"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0.1</w:t>
            </w:r>
          </w:p>
        </w:tc>
        <w:tc>
          <w:tcPr>
            <w:tcW w:w="0" w:type="auto"/>
            <w:hideMark/>
          </w:tcPr>
          <w:p w14:paraId="40A3BB52"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0.2</w:t>
            </w:r>
          </w:p>
        </w:tc>
        <w:tc>
          <w:tcPr>
            <w:tcW w:w="0" w:type="auto"/>
            <w:hideMark/>
          </w:tcPr>
          <w:p w14:paraId="64561F5D"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0.3</w:t>
            </w:r>
          </w:p>
        </w:tc>
        <w:tc>
          <w:tcPr>
            <w:tcW w:w="0" w:type="auto"/>
            <w:hideMark/>
          </w:tcPr>
          <w:p w14:paraId="56FE262C"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0.1</w:t>
            </w:r>
          </w:p>
        </w:tc>
        <w:tc>
          <w:tcPr>
            <w:tcW w:w="0" w:type="auto"/>
            <w:hideMark/>
          </w:tcPr>
          <w:p w14:paraId="6F0B5BB2"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0.2</w:t>
            </w:r>
          </w:p>
        </w:tc>
      </w:tr>
      <w:tr w:rsidR="00BE61A2" w:rsidRPr="00374CC9" w14:paraId="48D98538"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gridSpan w:val="2"/>
            <w:hideMark/>
          </w:tcPr>
          <w:p w14:paraId="4F87500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Listeriosis</w:t>
            </w:r>
          </w:p>
        </w:tc>
        <w:tc>
          <w:tcPr>
            <w:tcW w:w="0" w:type="auto"/>
            <w:hideMark/>
          </w:tcPr>
          <w:p w14:paraId="15159DE5"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0.3</w:t>
            </w:r>
          </w:p>
        </w:tc>
        <w:tc>
          <w:tcPr>
            <w:tcW w:w="0" w:type="auto"/>
            <w:hideMark/>
          </w:tcPr>
          <w:p w14:paraId="79571801"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0.4</w:t>
            </w:r>
          </w:p>
        </w:tc>
        <w:tc>
          <w:tcPr>
            <w:tcW w:w="0" w:type="auto"/>
            <w:hideMark/>
          </w:tcPr>
          <w:p w14:paraId="1D40D8F3"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0.8</w:t>
            </w:r>
          </w:p>
        </w:tc>
        <w:tc>
          <w:tcPr>
            <w:tcW w:w="0" w:type="auto"/>
            <w:hideMark/>
          </w:tcPr>
          <w:p w14:paraId="5BCF9C0C"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0.2</w:t>
            </w:r>
          </w:p>
        </w:tc>
        <w:tc>
          <w:tcPr>
            <w:tcW w:w="0" w:type="auto"/>
            <w:hideMark/>
          </w:tcPr>
          <w:p w14:paraId="46A253EC"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0.2</w:t>
            </w:r>
          </w:p>
        </w:tc>
        <w:tc>
          <w:tcPr>
            <w:tcW w:w="0" w:type="auto"/>
            <w:hideMark/>
          </w:tcPr>
          <w:p w14:paraId="5C7A5D39"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5D574167"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0.4</w:t>
            </w:r>
          </w:p>
        </w:tc>
        <w:tc>
          <w:tcPr>
            <w:tcW w:w="0" w:type="auto"/>
            <w:hideMark/>
          </w:tcPr>
          <w:p w14:paraId="7774E342"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0.2</w:t>
            </w:r>
          </w:p>
        </w:tc>
        <w:tc>
          <w:tcPr>
            <w:tcW w:w="0" w:type="auto"/>
            <w:hideMark/>
          </w:tcPr>
          <w:p w14:paraId="5A3F48D2"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0.3</w:t>
            </w:r>
          </w:p>
        </w:tc>
      </w:tr>
      <w:tr w:rsidR="000A4FFE" w:rsidRPr="00374CC9" w14:paraId="5461E013" w14:textId="77777777" w:rsidTr="000A4FFE">
        <w:tblPrEx>
          <w:tblCellMar>
            <w:right w:w="108" w:type="dxa"/>
          </w:tblCellMar>
        </w:tblPrEx>
        <w:tc>
          <w:tcPr>
            <w:tcW w:w="0" w:type="auto"/>
            <w:gridSpan w:val="2"/>
            <w:hideMark/>
          </w:tcPr>
          <w:p w14:paraId="5BD8828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Paratyphoid</w:t>
            </w:r>
            <w:r w:rsidR="0062522E" w:rsidRPr="0062522E">
              <w:rPr>
                <w:rFonts w:asciiTheme="minorHAnsi" w:eastAsia="Times New Roman" w:hAnsiTheme="minorHAnsi"/>
                <w:sz w:val="18"/>
                <w:szCs w:val="18"/>
                <w:vertAlign w:val="superscript"/>
              </w:rPr>
              <w:t>§</w:t>
            </w:r>
          </w:p>
        </w:tc>
        <w:tc>
          <w:tcPr>
            <w:tcW w:w="0" w:type="auto"/>
            <w:hideMark/>
          </w:tcPr>
          <w:p w14:paraId="1C14059B"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1.0</w:t>
            </w:r>
          </w:p>
        </w:tc>
        <w:tc>
          <w:tcPr>
            <w:tcW w:w="0" w:type="auto"/>
            <w:hideMark/>
          </w:tcPr>
          <w:p w14:paraId="4727C441"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0.2</w:t>
            </w:r>
          </w:p>
        </w:tc>
        <w:tc>
          <w:tcPr>
            <w:tcW w:w="0" w:type="auto"/>
            <w:hideMark/>
          </w:tcPr>
          <w:p w14:paraId="5BA0CD40"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0.4</w:t>
            </w:r>
          </w:p>
        </w:tc>
        <w:tc>
          <w:tcPr>
            <w:tcW w:w="0" w:type="auto"/>
            <w:hideMark/>
          </w:tcPr>
          <w:p w14:paraId="42EEEFB5"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0.1</w:t>
            </w:r>
          </w:p>
        </w:tc>
        <w:tc>
          <w:tcPr>
            <w:tcW w:w="0" w:type="auto"/>
            <w:hideMark/>
          </w:tcPr>
          <w:p w14:paraId="636EDC53"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0.5</w:t>
            </w:r>
          </w:p>
        </w:tc>
        <w:tc>
          <w:tcPr>
            <w:tcW w:w="0" w:type="auto"/>
            <w:hideMark/>
          </w:tcPr>
          <w:p w14:paraId="2F0759BC"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480A4542"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0.5</w:t>
            </w:r>
          </w:p>
        </w:tc>
        <w:tc>
          <w:tcPr>
            <w:tcW w:w="0" w:type="auto"/>
            <w:hideMark/>
          </w:tcPr>
          <w:p w14:paraId="4D0FC526"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0.4</w:t>
            </w:r>
          </w:p>
        </w:tc>
        <w:tc>
          <w:tcPr>
            <w:tcW w:w="0" w:type="auto"/>
            <w:hideMark/>
          </w:tcPr>
          <w:p w14:paraId="710B2A47"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0.3</w:t>
            </w:r>
          </w:p>
        </w:tc>
      </w:tr>
      <w:tr w:rsidR="00BE61A2" w:rsidRPr="00374CC9" w14:paraId="34441603"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gridSpan w:val="2"/>
            <w:hideMark/>
          </w:tcPr>
          <w:p w14:paraId="49DE238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Salmonellosis</w:t>
            </w:r>
          </w:p>
        </w:tc>
        <w:tc>
          <w:tcPr>
            <w:tcW w:w="0" w:type="auto"/>
            <w:hideMark/>
          </w:tcPr>
          <w:p w14:paraId="6A05B7B9"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60.6</w:t>
            </w:r>
          </w:p>
        </w:tc>
        <w:tc>
          <w:tcPr>
            <w:tcW w:w="0" w:type="auto"/>
            <w:hideMark/>
          </w:tcPr>
          <w:p w14:paraId="7866318F"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53.3</w:t>
            </w:r>
          </w:p>
        </w:tc>
        <w:tc>
          <w:tcPr>
            <w:tcW w:w="0" w:type="auto"/>
            <w:hideMark/>
          </w:tcPr>
          <w:p w14:paraId="038836BC"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222.5</w:t>
            </w:r>
          </w:p>
        </w:tc>
        <w:tc>
          <w:tcPr>
            <w:tcW w:w="0" w:type="auto"/>
            <w:hideMark/>
          </w:tcPr>
          <w:p w14:paraId="1BA88079"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113.4</w:t>
            </w:r>
          </w:p>
        </w:tc>
        <w:tc>
          <w:tcPr>
            <w:tcW w:w="0" w:type="auto"/>
            <w:hideMark/>
          </w:tcPr>
          <w:p w14:paraId="2A5561F3"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74.3</w:t>
            </w:r>
          </w:p>
        </w:tc>
        <w:tc>
          <w:tcPr>
            <w:tcW w:w="0" w:type="auto"/>
            <w:hideMark/>
          </w:tcPr>
          <w:p w14:paraId="289B5F67"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49.4</w:t>
            </w:r>
          </w:p>
        </w:tc>
        <w:tc>
          <w:tcPr>
            <w:tcW w:w="0" w:type="auto"/>
            <w:hideMark/>
          </w:tcPr>
          <w:p w14:paraId="6BA7A7C4"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59.3</w:t>
            </w:r>
          </w:p>
        </w:tc>
        <w:tc>
          <w:tcPr>
            <w:tcW w:w="0" w:type="auto"/>
            <w:hideMark/>
          </w:tcPr>
          <w:p w14:paraId="19DBF0A2"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65.9</w:t>
            </w:r>
          </w:p>
        </w:tc>
        <w:tc>
          <w:tcPr>
            <w:tcW w:w="0" w:type="auto"/>
            <w:hideMark/>
          </w:tcPr>
          <w:p w14:paraId="25AB3605"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71.5</w:t>
            </w:r>
          </w:p>
        </w:tc>
      </w:tr>
      <w:tr w:rsidR="000A4FFE" w:rsidRPr="00374CC9" w14:paraId="1C31F72E" w14:textId="77777777" w:rsidTr="000A4FFE">
        <w:tblPrEx>
          <w:tblCellMar>
            <w:right w:w="108" w:type="dxa"/>
          </w:tblCellMar>
        </w:tblPrEx>
        <w:tc>
          <w:tcPr>
            <w:tcW w:w="0" w:type="auto"/>
            <w:gridSpan w:val="2"/>
            <w:hideMark/>
          </w:tcPr>
          <w:p w14:paraId="330D53C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Shigellosis</w:t>
            </w:r>
          </w:p>
        </w:tc>
        <w:tc>
          <w:tcPr>
            <w:tcW w:w="0" w:type="auto"/>
            <w:hideMark/>
          </w:tcPr>
          <w:p w14:paraId="21538EE0"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1.8</w:t>
            </w:r>
          </w:p>
        </w:tc>
        <w:tc>
          <w:tcPr>
            <w:tcW w:w="0" w:type="auto"/>
            <w:hideMark/>
          </w:tcPr>
          <w:p w14:paraId="1D9CE6D7"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2.3</w:t>
            </w:r>
          </w:p>
        </w:tc>
        <w:tc>
          <w:tcPr>
            <w:tcW w:w="0" w:type="auto"/>
            <w:hideMark/>
          </w:tcPr>
          <w:p w14:paraId="27509A2D"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55.6</w:t>
            </w:r>
          </w:p>
        </w:tc>
        <w:tc>
          <w:tcPr>
            <w:tcW w:w="0" w:type="auto"/>
            <w:hideMark/>
          </w:tcPr>
          <w:p w14:paraId="5A37828B"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3.1</w:t>
            </w:r>
          </w:p>
        </w:tc>
        <w:tc>
          <w:tcPr>
            <w:tcW w:w="0" w:type="auto"/>
            <w:hideMark/>
          </w:tcPr>
          <w:p w14:paraId="1E97F24E"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1.1</w:t>
            </w:r>
          </w:p>
        </w:tc>
        <w:tc>
          <w:tcPr>
            <w:tcW w:w="0" w:type="auto"/>
            <w:hideMark/>
          </w:tcPr>
          <w:p w14:paraId="46374BB7"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1.2</w:t>
            </w:r>
          </w:p>
        </w:tc>
        <w:tc>
          <w:tcPr>
            <w:tcW w:w="0" w:type="auto"/>
            <w:hideMark/>
          </w:tcPr>
          <w:p w14:paraId="526079DB"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7.6</w:t>
            </w:r>
          </w:p>
        </w:tc>
        <w:tc>
          <w:tcPr>
            <w:tcW w:w="0" w:type="auto"/>
            <w:hideMark/>
          </w:tcPr>
          <w:p w14:paraId="5A2FA03F"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3.7</w:t>
            </w:r>
          </w:p>
        </w:tc>
        <w:tc>
          <w:tcPr>
            <w:tcW w:w="0" w:type="auto"/>
            <w:hideMark/>
          </w:tcPr>
          <w:p w14:paraId="70237AFC"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4.4</w:t>
            </w:r>
          </w:p>
        </w:tc>
      </w:tr>
      <w:tr w:rsidR="00BE61A2" w:rsidRPr="00374CC9" w14:paraId="7BCEA665"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gridSpan w:val="2"/>
            <w:hideMark/>
          </w:tcPr>
          <w:p w14:paraId="43E46D4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Shiga toxin producing Escherichia coli</w:t>
            </w:r>
          </w:p>
        </w:tc>
        <w:tc>
          <w:tcPr>
            <w:tcW w:w="0" w:type="auto"/>
            <w:hideMark/>
          </w:tcPr>
          <w:p w14:paraId="2D407D1B"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1E0C3F84"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0.4</w:t>
            </w:r>
          </w:p>
        </w:tc>
        <w:tc>
          <w:tcPr>
            <w:tcW w:w="0" w:type="auto"/>
            <w:hideMark/>
          </w:tcPr>
          <w:p w14:paraId="56ED6219"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6BD94D4B"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0.7</w:t>
            </w:r>
          </w:p>
        </w:tc>
        <w:tc>
          <w:tcPr>
            <w:tcW w:w="0" w:type="auto"/>
            <w:hideMark/>
          </w:tcPr>
          <w:p w14:paraId="0A772BE3"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2.6</w:t>
            </w:r>
          </w:p>
        </w:tc>
        <w:tc>
          <w:tcPr>
            <w:tcW w:w="0" w:type="auto"/>
            <w:hideMark/>
          </w:tcPr>
          <w:p w14:paraId="18DB5DD6"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32ABA153"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0.5</w:t>
            </w:r>
          </w:p>
        </w:tc>
        <w:tc>
          <w:tcPr>
            <w:tcW w:w="0" w:type="auto"/>
            <w:hideMark/>
          </w:tcPr>
          <w:p w14:paraId="7D58CB09"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527208F6"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0.6</w:t>
            </w:r>
          </w:p>
        </w:tc>
      </w:tr>
      <w:tr w:rsidR="000A4FFE" w:rsidRPr="00374CC9" w14:paraId="3BDD8C6C" w14:textId="77777777" w:rsidTr="000A4FFE">
        <w:tblPrEx>
          <w:tblCellMar>
            <w:right w:w="108" w:type="dxa"/>
          </w:tblCellMar>
        </w:tblPrEx>
        <w:tc>
          <w:tcPr>
            <w:tcW w:w="0" w:type="auto"/>
            <w:gridSpan w:val="2"/>
            <w:hideMark/>
          </w:tcPr>
          <w:p w14:paraId="41D2798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Typhoid fever</w:t>
            </w:r>
          </w:p>
        </w:tc>
        <w:tc>
          <w:tcPr>
            <w:tcW w:w="0" w:type="auto"/>
            <w:hideMark/>
          </w:tcPr>
          <w:p w14:paraId="428C6424"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0.5</w:t>
            </w:r>
          </w:p>
        </w:tc>
        <w:tc>
          <w:tcPr>
            <w:tcW w:w="0" w:type="auto"/>
            <w:hideMark/>
          </w:tcPr>
          <w:p w14:paraId="1EEA92D8"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0.6</w:t>
            </w:r>
          </w:p>
        </w:tc>
        <w:tc>
          <w:tcPr>
            <w:tcW w:w="0" w:type="auto"/>
            <w:hideMark/>
          </w:tcPr>
          <w:p w14:paraId="2810332D"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1087FC80"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0.5</w:t>
            </w:r>
          </w:p>
        </w:tc>
        <w:tc>
          <w:tcPr>
            <w:tcW w:w="0" w:type="auto"/>
            <w:hideMark/>
          </w:tcPr>
          <w:p w14:paraId="4BEE61FD"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0.5</w:t>
            </w:r>
          </w:p>
        </w:tc>
        <w:tc>
          <w:tcPr>
            <w:tcW w:w="0" w:type="auto"/>
            <w:hideMark/>
          </w:tcPr>
          <w:p w14:paraId="1331F630"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0.2</w:t>
            </w:r>
          </w:p>
        </w:tc>
        <w:tc>
          <w:tcPr>
            <w:tcW w:w="0" w:type="auto"/>
            <w:hideMark/>
          </w:tcPr>
          <w:p w14:paraId="7EBE49A7"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0.5</w:t>
            </w:r>
          </w:p>
        </w:tc>
        <w:tc>
          <w:tcPr>
            <w:tcW w:w="0" w:type="auto"/>
            <w:hideMark/>
          </w:tcPr>
          <w:p w14:paraId="651C910A"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0.3</w:t>
            </w:r>
          </w:p>
        </w:tc>
        <w:tc>
          <w:tcPr>
            <w:tcW w:w="0" w:type="auto"/>
            <w:hideMark/>
          </w:tcPr>
          <w:p w14:paraId="13F512C3"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0.5</w:t>
            </w:r>
          </w:p>
        </w:tc>
      </w:tr>
      <w:tr w:rsidR="00BE61A2" w:rsidRPr="00374CC9" w14:paraId="45A34538" w14:textId="77777777" w:rsidTr="00240D6D">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gridSpan w:val="11"/>
            <w:shd w:val="clear" w:color="auto" w:fill="D9D9D9" w:themeFill="background1" w:themeFillShade="D9"/>
            <w:hideMark/>
          </w:tcPr>
          <w:p w14:paraId="3D60CCF2" w14:textId="77777777" w:rsidR="00BE61A2" w:rsidRPr="00240D6D" w:rsidRDefault="00BE61A2" w:rsidP="00240D6D">
            <w:pPr>
              <w:rPr>
                <w:rFonts w:asciiTheme="minorHAnsi" w:eastAsia="Times New Roman" w:hAnsiTheme="minorHAnsi"/>
                <w:b/>
                <w:sz w:val="18"/>
                <w:szCs w:val="18"/>
              </w:rPr>
            </w:pPr>
            <w:r w:rsidRPr="00240D6D">
              <w:rPr>
                <w:rFonts w:asciiTheme="minorHAnsi" w:eastAsia="Times New Roman" w:hAnsiTheme="minorHAnsi"/>
                <w:b/>
                <w:sz w:val="18"/>
                <w:szCs w:val="18"/>
              </w:rPr>
              <w:t>Quarantinable diseases</w:t>
            </w:r>
          </w:p>
        </w:tc>
      </w:tr>
      <w:tr w:rsidR="000A4FFE" w:rsidRPr="00374CC9" w14:paraId="0BA998FE" w14:textId="77777777" w:rsidTr="000A4FFE">
        <w:tblPrEx>
          <w:tblCellMar>
            <w:right w:w="108" w:type="dxa"/>
          </w:tblCellMar>
        </w:tblPrEx>
        <w:tc>
          <w:tcPr>
            <w:tcW w:w="0" w:type="auto"/>
            <w:gridSpan w:val="2"/>
            <w:hideMark/>
          </w:tcPr>
          <w:p w14:paraId="23A33F0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Cholera</w:t>
            </w:r>
          </w:p>
        </w:tc>
        <w:tc>
          <w:tcPr>
            <w:tcW w:w="0" w:type="auto"/>
            <w:hideMark/>
          </w:tcPr>
          <w:p w14:paraId="48B4ABAE"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562B1364"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&lt;0.1</w:t>
            </w:r>
          </w:p>
        </w:tc>
        <w:tc>
          <w:tcPr>
            <w:tcW w:w="0" w:type="auto"/>
            <w:hideMark/>
          </w:tcPr>
          <w:p w14:paraId="4D93D3B8"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3B2E255E"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745C53B9"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0.1</w:t>
            </w:r>
          </w:p>
        </w:tc>
        <w:tc>
          <w:tcPr>
            <w:tcW w:w="0" w:type="auto"/>
            <w:hideMark/>
          </w:tcPr>
          <w:p w14:paraId="1504D27A"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750B45F1"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4C873486"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79F6C9D3"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&lt;0.1</w:t>
            </w:r>
          </w:p>
        </w:tc>
      </w:tr>
      <w:tr w:rsidR="00BE61A2" w:rsidRPr="00374CC9" w14:paraId="11187604"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gridSpan w:val="2"/>
            <w:hideMark/>
          </w:tcPr>
          <w:p w14:paraId="045F0D2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Highly pathogenic avian influenza in humans</w:t>
            </w:r>
          </w:p>
        </w:tc>
        <w:tc>
          <w:tcPr>
            <w:tcW w:w="0" w:type="auto"/>
            <w:hideMark/>
          </w:tcPr>
          <w:p w14:paraId="4D87A86B"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6854ED41"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1D1ED565"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42ED440E"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2358A80D"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1B33C1D5"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2B9FCA51"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2C215946"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166A8FB9"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r>
      <w:tr w:rsidR="000A4FFE" w:rsidRPr="00374CC9" w14:paraId="00256FEA" w14:textId="77777777" w:rsidTr="000A4FFE">
        <w:tblPrEx>
          <w:tblCellMar>
            <w:right w:w="108" w:type="dxa"/>
          </w:tblCellMar>
        </w:tblPrEx>
        <w:tc>
          <w:tcPr>
            <w:tcW w:w="0" w:type="auto"/>
            <w:gridSpan w:val="2"/>
            <w:hideMark/>
          </w:tcPr>
          <w:p w14:paraId="727427B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Middle East respiratory syndrome coronavirus</w:t>
            </w:r>
          </w:p>
        </w:tc>
        <w:tc>
          <w:tcPr>
            <w:tcW w:w="0" w:type="auto"/>
            <w:hideMark/>
          </w:tcPr>
          <w:p w14:paraId="6D2423B1"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1E7A2E85"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50576979"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447639E6"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0697F876"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0F237A6C"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5F1C3382"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57F0FDDB"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5347AF85"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r>
      <w:tr w:rsidR="00BE61A2" w:rsidRPr="00374CC9" w14:paraId="0B795E68"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gridSpan w:val="2"/>
            <w:hideMark/>
          </w:tcPr>
          <w:p w14:paraId="37431B6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Plague</w:t>
            </w:r>
          </w:p>
        </w:tc>
        <w:tc>
          <w:tcPr>
            <w:tcW w:w="0" w:type="auto"/>
            <w:hideMark/>
          </w:tcPr>
          <w:p w14:paraId="247E3AFF"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19AA19F0"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2DB1C2BD"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17888921"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6C0180DD"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10B9A23D"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3C91ACB1"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3B9AD46C"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3DD41012"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r>
      <w:tr w:rsidR="000A4FFE" w:rsidRPr="00374CC9" w14:paraId="40ED83E2" w14:textId="77777777" w:rsidTr="000A4FFE">
        <w:tblPrEx>
          <w:tblCellMar>
            <w:right w:w="108" w:type="dxa"/>
          </w:tblCellMar>
        </w:tblPrEx>
        <w:tc>
          <w:tcPr>
            <w:tcW w:w="0" w:type="auto"/>
            <w:gridSpan w:val="2"/>
            <w:hideMark/>
          </w:tcPr>
          <w:p w14:paraId="4A27636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Rabies</w:t>
            </w:r>
          </w:p>
        </w:tc>
        <w:tc>
          <w:tcPr>
            <w:tcW w:w="0" w:type="auto"/>
            <w:hideMark/>
          </w:tcPr>
          <w:p w14:paraId="641DDD14"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68B746F8"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5A2A77DA"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2A44C548"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2B5121E4"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628DED49"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79D4F1F7"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795398DF"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171CA4DE"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r>
      <w:tr w:rsidR="00BE61A2" w:rsidRPr="00374CC9" w14:paraId="5402655F"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gridSpan w:val="2"/>
            <w:hideMark/>
          </w:tcPr>
          <w:p w14:paraId="72E9478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Severe acute respiratory syndrome</w:t>
            </w:r>
          </w:p>
        </w:tc>
        <w:tc>
          <w:tcPr>
            <w:tcW w:w="0" w:type="auto"/>
            <w:hideMark/>
          </w:tcPr>
          <w:p w14:paraId="7A69B206"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43DF81FF"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708AEA2D"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1C46B8AF"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6027E09F"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74E125CD"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7C7414D7"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0C50878D"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086CE10D"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r>
      <w:tr w:rsidR="000A4FFE" w:rsidRPr="00374CC9" w14:paraId="2F9254B9" w14:textId="77777777" w:rsidTr="000A4FFE">
        <w:tblPrEx>
          <w:tblCellMar>
            <w:right w:w="108" w:type="dxa"/>
          </w:tblCellMar>
        </w:tblPrEx>
        <w:tc>
          <w:tcPr>
            <w:tcW w:w="0" w:type="auto"/>
            <w:gridSpan w:val="2"/>
            <w:hideMark/>
          </w:tcPr>
          <w:p w14:paraId="7AF7C97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Smallpox</w:t>
            </w:r>
          </w:p>
        </w:tc>
        <w:tc>
          <w:tcPr>
            <w:tcW w:w="0" w:type="auto"/>
            <w:hideMark/>
          </w:tcPr>
          <w:p w14:paraId="0EF815C0"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5E6719A0"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344EF5C7"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5437A749"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76198D1C"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4D475319"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444BBD86"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28B2968C"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66463CAB"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r>
      <w:tr w:rsidR="00BE61A2" w:rsidRPr="00374CC9" w14:paraId="35FDA568"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gridSpan w:val="2"/>
            <w:hideMark/>
          </w:tcPr>
          <w:p w14:paraId="1BC9069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Viral haemorrhagic fever</w:t>
            </w:r>
          </w:p>
        </w:tc>
        <w:tc>
          <w:tcPr>
            <w:tcW w:w="0" w:type="auto"/>
            <w:hideMark/>
          </w:tcPr>
          <w:p w14:paraId="0A0D957D"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462C815A"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346B223A"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0D0CDE52"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41B99BB3"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0896E671"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20132A4F"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1A4AE774"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469DFCF2"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r>
      <w:tr w:rsidR="000A4FFE" w:rsidRPr="00374CC9" w14:paraId="0F7D8EF1" w14:textId="77777777" w:rsidTr="000A4FFE">
        <w:tblPrEx>
          <w:tblCellMar>
            <w:right w:w="108" w:type="dxa"/>
          </w:tblCellMar>
        </w:tblPrEx>
        <w:tc>
          <w:tcPr>
            <w:tcW w:w="0" w:type="auto"/>
            <w:gridSpan w:val="2"/>
            <w:hideMark/>
          </w:tcPr>
          <w:p w14:paraId="5EBF6A4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Yellow fever</w:t>
            </w:r>
          </w:p>
        </w:tc>
        <w:tc>
          <w:tcPr>
            <w:tcW w:w="0" w:type="auto"/>
            <w:hideMark/>
          </w:tcPr>
          <w:p w14:paraId="705D54BF"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4789289C"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73E7C102"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1CE46FDA"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02A3B712"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5DB2DBD8"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31A8D10D"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3468B990"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30A39AFC"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r>
      <w:tr w:rsidR="00BE61A2" w:rsidRPr="00374CC9" w14:paraId="067CBD44"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gridSpan w:val="11"/>
            <w:hideMark/>
          </w:tcPr>
          <w:p w14:paraId="5EE15B69" w14:textId="77777777" w:rsidR="00BE61A2" w:rsidRPr="00240D6D" w:rsidRDefault="00BE61A2" w:rsidP="00240D6D">
            <w:pPr>
              <w:rPr>
                <w:rFonts w:asciiTheme="minorHAnsi" w:eastAsia="Times New Roman" w:hAnsiTheme="minorHAnsi"/>
                <w:b/>
                <w:sz w:val="18"/>
                <w:szCs w:val="18"/>
              </w:rPr>
            </w:pPr>
            <w:r w:rsidRPr="00240D6D">
              <w:rPr>
                <w:rFonts w:asciiTheme="minorHAnsi" w:eastAsia="Times New Roman" w:hAnsiTheme="minorHAnsi"/>
                <w:b/>
                <w:sz w:val="18"/>
                <w:szCs w:val="18"/>
              </w:rPr>
              <w:t>Sexually transmitted infections</w:t>
            </w:r>
          </w:p>
        </w:tc>
      </w:tr>
      <w:tr w:rsidR="000A4FFE" w:rsidRPr="00374CC9" w14:paraId="256E705E" w14:textId="77777777" w:rsidTr="000A4FFE">
        <w:tblPrEx>
          <w:tblCellMar>
            <w:right w:w="108" w:type="dxa"/>
          </w:tblCellMar>
        </w:tblPrEx>
        <w:tc>
          <w:tcPr>
            <w:tcW w:w="0" w:type="auto"/>
            <w:gridSpan w:val="2"/>
            <w:hideMark/>
          </w:tcPr>
          <w:p w14:paraId="7A757F5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Chlamydial infection</w:t>
            </w:r>
            <w:r w:rsidRPr="00374CC9">
              <w:rPr>
                <w:rFonts w:asciiTheme="minorHAnsi" w:eastAsia="Times New Roman" w:hAnsiTheme="minorHAnsi"/>
                <w:sz w:val="18"/>
                <w:szCs w:val="18"/>
                <w:vertAlign w:val="superscript"/>
              </w:rPr>
              <w:t>||¶</w:t>
            </w:r>
          </w:p>
        </w:tc>
        <w:tc>
          <w:tcPr>
            <w:tcW w:w="0" w:type="auto"/>
            <w:hideMark/>
          </w:tcPr>
          <w:p w14:paraId="08A22750"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323.8</w:t>
            </w:r>
          </w:p>
        </w:tc>
        <w:tc>
          <w:tcPr>
            <w:tcW w:w="0" w:type="auto"/>
            <w:hideMark/>
          </w:tcPr>
          <w:p w14:paraId="4FCAD64B"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296.7</w:t>
            </w:r>
          </w:p>
        </w:tc>
        <w:tc>
          <w:tcPr>
            <w:tcW w:w="0" w:type="auto"/>
            <w:hideMark/>
          </w:tcPr>
          <w:p w14:paraId="338BD7DC"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1119.8</w:t>
            </w:r>
          </w:p>
        </w:tc>
        <w:tc>
          <w:tcPr>
            <w:tcW w:w="0" w:type="auto"/>
            <w:hideMark/>
          </w:tcPr>
          <w:p w14:paraId="16E4D9E2"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443.1</w:t>
            </w:r>
          </w:p>
        </w:tc>
        <w:tc>
          <w:tcPr>
            <w:tcW w:w="0" w:type="auto"/>
            <w:hideMark/>
          </w:tcPr>
          <w:p w14:paraId="6487671A"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316.9</w:t>
            </w:r>
          </w:p>
        </w:tc>
        <w:tc>
          <w:tcPr>
            <w:tcW w:w="0" w:type="auto"/>
            <w:hideMark/>
          </w:tcPr>
          <w:p w14:paraId="398B2C88"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322.4</w:t>
            </w:r>
          </w:p>
        </w:tc>
        <w:tc>
          <w:tcPr>
            <w:tcW w:w="0" w:type="auto"/>
            <w:hideMark/>
          </w:tcPr>
          <w:p w14:paraId="2B384050"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105.5</w:t>
            </w:r>
          </w:p>
        </w:tc>
        <w:tc>
          <w:tcPr>
            <w:tcW w:w="0" w:type="auto"/>
            <w:hideMark/>
          </w:tcPr>
          <w:p w14:paraId="28080DE9"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430.4</w:t>
            </w:r>
          </w:p>
        </w:tc>
        <w:tc>
          <w:tcPr>
            <w:tcW w:w="0" w:type="auto"/>
            <w:hideMark/>
          </w:tcPr>
          <w:p w14:paraId="580A7D1C"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303.8</w:t>
            </w:r>
          </w:p>
        </w:tc>
      </w:tr>
      <w:tr w:rsidR="00BE61A2" w:rsidRPr="00374CC9" w14:paraId="6B2973C5"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gridSpan w:val="2"/>
            <w:hideMark/>
          </w:tcPr>
          <w:p w14:paraId="18D98DC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Donovanosis</w:t>
            </w:r>
          </w:p>
        </w:tc>
        <w:tc>
          <w:tcPr>
            <w:tcW w:w="0" w:type="auto"/>
            <w:hideMark/>
          </w:tcPr>
          <w:p w14:paraId="6D20FE01"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25BD7017"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6F81E26B"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64D80852"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4EC42FE5"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576E3291"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3996BE5E"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6711DFE2"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33C6C2BC"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r>
      <w:tr w:rsidR="000A4FFE" w:rsidRPr="00374CC9" w14:paraId="4775848F" w14:textId="77777777" w:rsidTr="000A4FFE">
        <w:tblPrEx>
          <w:tblCellMar>
            <w:right w:w="108" w:type="dxa"/>
          </w:tblCellMar>
        </w:tblPrEx>
        <w:tc>
          <w:tcPr>
            <w:tcW w:w="0" w:type="auto"/>
            <w:gridSpan w:val="2"/>
            <w:hideMark/>
          </w:tcPr>
          <w:p w14:paraId="304B45B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Gonococcal infection|</w:t>
            </w:r>
            <w:r w:rsidRPr="00374CC9">
              <w:rPr>
                <w:rFonts w:asciiTheme="minorHAnsi" w:eastAsia="Times New Roman" w:hAnsiTheme="minorHAnsi"/>
                <w:sz w:val="18"/>
                <w:szCs w:val="18"/>
                <w:vertAlign w:val="superscript"/>
              </w:rPr>
              <w:t>¶</w:t>
            </w:r>
          </w:p>
        </w:tc>
        <w:tc>
          <w:tcPr>
            <w:tcW w:w="0" w:type="auto"/>
            <w:hideMark/>
          </w:tcPr>
          <w:p w14:paraId="52BEBF78"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36.1</w:t>
            </w:r>
          </w:p>
        </w:tc>
        <w:tc>
          <w:tcPr>
            <w:tcW w:w="0" w:type="auto"/>
            <w:hideMark/>
          </w:tcPr>
          <w:p w14:paraId="7AC442B2"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71.7</w:t>
            </w:r>
          </w:p>
        </w:tc>
        <w:tc>
          <w:tcPr>
            <w:tcW w:w="0" w:type="auto"/>
            <w:hideMark/>
          </w:tcPr>
          <w:p w14:paraId="563F9A47"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749.3</w:t>
            </w:r>
          </w:p>
        </w:tc>
        <w:tc>
          <w:tcPr>
            <w:tcW w:w="0" w:type="auto"/>
            <w:hideMark/>
          </w:tcPr>
          <w:p w14:paraId="610E7A1F"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63.5</w:t>
            </w:r>
          </w:p>
        </w:tc>
        <w:tc>
          <w:tcPr>
            <w:tcW w:w="0" w:type="auto"/>
            <w:hideMark/>
          </w:tcPr>
          <w:p w14:paraId="036FD96C"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46.8</w:t>
            </w:r>
          </w:p>
        </w:tc>
        <w:tc>
          <w:tcPr>
            <w:tcW w:w="0" w:type="auto"/>
            <w:hideMark/>
          </w:tcPr>
          <w:p w14:paraId="74F4B5C2"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10.8</w:t>
            </w:r>
          </w:p>
        </w:tc>
        <w:tc>
          <w:tcPr>
            <w:tcW w:w="0" w:type="auto"/>
            <w:hideMark/>
          </w:tcPr>
          <w:p w14:paraId="6AEDD626"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83.8</w:t>
            </w:r>
          </w:p>
        </w:tc>
        <w:tc>
          <w:tcPr>
            <w:tcW w:w="0" w:type="auto"/>
            <w:hideMark/>
          </w:tcPr>
          <w:p w14:paraId="413D679E"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87.0</w:t>
            </w:r>
          </w:p>
        </w:tc>
        <w:tc>
          <w:tcPr>
            <w:tcW w:w="0" w:type="auto"/>
            <w:hideMark/>
          </w:tcPr>
          <w:p w14:paraId="6BBCDCF5"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78.0</w:t>
            </w:r>
          </w:p>
        </w:tc>
      </w:tr>
      <w:tr w:rsidR="00BE61A2" w:rsidRPr="00374CC9" w14:paraId="4174EFA7"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gridSpan w:val="2"/>
            <w:hideMark/>
          </w:tcPr>
          <w:p w14:paraId="026B4EF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Syphilis – congenital|</w:t>
            </w:r>
            <w:r w:rsidRPr="00374CC9">
              <w:rPr>
                <w:rFonts w:asciiTheme="minorHAnsi" w:eastAsia="Times New Roman" w:hAnsiTheme="minorHAnsi"/>
                <w:sz w:val="18"/>
                <w:szCs w:val="18"/>
                <w:vertAlign w:val="superscript"/>
              </w:rPr>
              <w:t>¶</w:t>
            </w:r>
          </w:p>
        </w:tc>
        <w:tc>
          <w:tcPr>
            <w:tcW w:w="0" w:type="auto"/>
            <w:hideMark/>
          </w:tcPr>
          <w:p w14:paraId="69C164F2"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3B4A847D"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34C98175"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31783B5F"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0.1</w:t>
            </w:r>
          </w:p>
        </w:tc>
        <w:tc>
          <w:tcPr>
            <w:tcW w:w="0" w:type="auto"/>
            <w:hideMark/>
          </w:tcPr>
          <w:p w14:paraId="6C8A8B7E"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1A1654C4"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65BE9D92"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5CAFD6FC"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60D75F6E"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&lt;0.1</w:t>
            </w:r>
          </w:p>
        </w:tc>
      </w:tr>
      <w:tr w:rsidR="000A4FFE" w:rsidRPr="00374CC9" w14:paraId="4E3B3444" w14:textId="77777777" w:rsidTr="000A4FFE">
        <w:tblPrEx>
          <w:tblCellMar>
            <w:right w:w="108" w:type="dxa"/>
          </w:tblCellMar>
        </w:tblPrEx>
        <w:tc>
          <w:tcPr>
            <w:tcW w:w="0" w:type="auto"/>
            <w:gridSpan w:val="2"/>
            <w:hideMark/>
          </w:tcPr>
          <w:p w14:paraId="3E1ABAB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Syphilis &lt; 2 years duration</w:t>
            </w:r>
            <w:r w:rsidRPr="00374CC9">
              <w:rPr>
                <w:rFonts w:asciiTheme="minorHAnsi" w:eastAsia="Times New Roman" w:hAnsiTheme="minorHAnsi"/>
                <w:sz w:val="18"/>
                <w:szCs w:val="18"/>
                <w:vertAlign w:val="superscript"/>
              </w:rPr>
              <w:t>*¶**</w:t>
            </w:r>
          </w:p>
        </w:tc>
        <w:tc>
          <w:tcPr>
            <w:tcW w:w="0" w:type="auto"/>
            <w:hideMark/>
          </w:tcPr>
          <w:p w14:paraId="2279477C"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3.6</w:t>
            </w:r>
          </w:p>
        </w:tc>
        <w:tc>
          <w:tcPr>
            <w:tcW w:w="0" w:type="auto"/>
            <w:hideMark/>
          </w:tcPr>
          <w:p w14:paraId="21B82D73"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9.8</w:t>
            </w:r>
          </w:p>
        </w:tc>
        <w:tc>
          <w:tcPr>
            <w:tcW w:w="0" w:type="auto"/>
            <w:hideMark/>
          </w:tcPr>
          <w:p w14:paraId="31B4609B"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82.6</w:t>
            </w:r>
          </w:p>
        </w:tc>
        <w:tc>
          <w:tcPr>
            <w:tcW w:w="0" w:type="auto"/>
            <w:hideMark/>
          </w:tcPr>
          <w:p w14:paraId="6FEAED40"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11.9</w:t>
            </w:r>
          </w:p>
        </w:tc>
        <w:tc>
          <w:tcPr>
            <w:tcW w:w="0" w:type="auto"/>
            <w:hideMark/>
          </w:tcPr>
          <w:p w14:paraId="229CB360"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4.1</w:t>
            </w:r>
          </w:p>
        </w:tc>
        <w:tc>
          <w:tcPr>
            <w:tcW w:w="0" w:type="auto"/>
            <w:hideMark/>
          </w:tcPr>
          <w:p w14:paraId="709A3EEA"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2.9</w:t>
            </w:r>
          </w:p>
        </w:tc>
        <w:tc>
          <w:tcPr>
            <w:tcW w:w="0" w:type="auto"/>
            <w:hideMark/>
          </w:tcPr>
          <w:p w14:paraId="686C9D6D"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15.7</w:t>
            </w:r>
          </w:p>
        </w:tc>
        <w:tc>
          <w:tcPr>
            <w:tcW w:w="0" w:type="auto"/>
            <w:hideMark/>
          </w:tcPr>
          <w:p w14:paraId="29E059B5"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6.3</w:t>
            </w:r>
          </w:p>
        </w:tc>
        <w:tc>
          <w:tcPr>
            <w:tcW w:w="0" w:type="auto"/>
            <w:hideMark/>
          </w:tcPr>
          <w:p w14:paraId="1EDE38F1"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11.4</w:t>
            </w:r>
          </w:p>
        </w:tc>
      </w:tr>
      <w:tr w:rsidR="00BE61A2" w:rsidRPr="00374CC9" w14:paraId="3A33FBF4"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gridSpan w:val="2"/>
            <w:hideMark/>
          </w:tcPr>
          <w:p w14:paraId="5050EFD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Syphilis &gt; 2 years or unspecified duration</w:t>
            </w:r>
            <w:r w:rsidRPr="00374CC9">
              <w:rPr>
                <w:rFonts w:asciiTheme="minorHAnsi" w:eastAsia="Times New Roman" w:hAnsiTheme="minorHAnsi"/>
                <w:sz w:val="18"/>
                <w:szCs w:val="18"/>
                <w:vertAlign w:val="superscript"/>
              </w:rPr>
              <w:t>†¶</w:t>
            </w:r>
          </w:p>
        </w:tc>
        <w:tc>
          <w:tcPr>
            <w:tcW w:w="0" w:type="auto"/>
            <w:hideMark/>
          </w:tcPr>
          <w:p w14:paraId="4C0CF9F8"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2.3</w:t>
            </w:r>
          </w:p>
        </w:tc>
        <w:tc>
          <w:tcPr>
            <w:tcW w:w="0" w:type="auto"/>
            <w:hideMark/>
          </w:tcPr>
          <w:p w14:paraId="28DE7F27"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8.3</w:t>
            </w:r>
          </w:p>
        </w:tc>
        <w:tc>
          <w:tcPr>
            <w:tcW w:w="0" w:type="auto"/>
            <w:hideMark/>
          </w:tcPr>
          <w:p w14:paraId="7AC0CFC2"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31.1</w:t>
            </w:r>
          </w:p>
        </w:tc>
        <w:tc>
          <w:tcPr>
            <w:tcW w:w="0" w:type="auto"/>
            <w:hideMark/>
          </w:tcPr>
          <w:p w14:paraId="51EF4873"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6.0</w:t>
            </w:r>
          </w:p>
        </w:tc>
        <w:tc>
          <w:tcPr>
            <w:tcW w:w="0" w:type="auto"/>
            <w:hideMark/>
          </w:tcPr>
          <w:p w14:paraId="63BB5119"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7.2</w:t>
            </w:r>
          </w:p>
        </w:tc>
        <w:tc>
          <w:tcPr>
            <w:tcW w:w="0" w:type="auto"/>
            <w:hideMark/>
          </w:tcPr>
          <w:p w14:paraId="24230673"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2.7</w:t>
            </w:r>
          </w:p>
        </w:tc>
        <w:tc>
          <w:tcPr>
            <w:tcW w:w="0" w:type="auto"/>
            <w:hideMark/>
          </w:tcPr>
          <w:p w14:paraId="6EBB1F80"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12.3</w:t>
            </w:r>
          </w:p>
        </w:tc>
        <w:tc>
          <w:tcPr>
            <w:tcW w:w="0" w:type="auto"/>
            <w:hideMark/>
          </w:tcPr>
          <w:p w14:paraId="1BB45468"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2.7</w:t>
            </w:r>
          </w:p>
        </w:tc>
        <w:tc>
          <w:tcPr>
            <w:tcW w:w="0" w:type="auto"/>
            <w:hideMark/>
          </w:tcPr>
          <w:p w14:paraId="7016EAA0"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8.2</w:t>
            </w:r>
          </w:p>
        </w:tc>
      </w:tr>
      <w:tr w:rsidR="00BE61A2" w:rsidRPr="00374CC9" w14:paraId="29415D1E" w14:textId="77777777" w:rsidTr="00240D6D">
        <w:tblPrEx>
          <w:tblCellMar>
            <w:right w:w="108" w:type="dxa"/>
          </w:tblCellMar>
        </w:tblPrEx>
        <w:tc>
          <w:tcPr>
            <w:tcW w:w="0" w:type="auto"/>
            <w:gridSpan w:val="11"/>
            <w:shd w:val="clear" w:color="auto" w:fill="D9D9D9" w:themeFill="background1" w:themeFillShade="D9"/>
            <w:hideMark/>
          </w:tcPr>
          <w:p w14:paraId="775594FB" w14:textId="77777777" w:rsidR="00BE61A2" w:rsidRPr="00240D6D" w:rsidRDefault="00BE61A2" w:rsidP="00240D6D">
            <w:pPr>
              <w:rPr>
                <w:rFonts w:asciiTheme="minorHAnsi" w:eastAsia="Times New Roman" w:hAnsiTheme="minorHAnsi"/>
                <w:b/>
                <w:sz w:val="18"/>
                <w:szCs w:val="18"/>
              </w:rPr>
            </w:pPr>
            <w:r w:rsidRPr="00240D6D">
              <w:rPr>
                <w:rFonts w:asciiTheme="minorHAnsi" w:eastAsia="Times New Roman" w:hAnsiTheme="minorHAnsi"/>
                <w:b/>
                <w:sz w:val="18"/>
                <w:szCs w:val="18"/>
              </w:rPr>
              <w:t>Vaccine preventable diseases</w:t>
            </w:r>
          </w:p>
        </w:tc>
      </w:tr>
      <w:tr w:rsidR="00BE61A2" w:rsidRPr="00374CC9" w14:paraId="0745B6CB"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gridSpan w:val="2"/>
            <w:hideMark/>
          </w:tcPr>
          <w:p w14:paraId="4B9E0C2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lastRenderedPageBreak/>
              <w:t>Diphtheria</w:t>
            </w:r>
          </w:p>
        </w:tc>
        <w:tc>
          <w:tcPr>
            <w:tcW w:w="0" w:type="auto"/>
            <w:hideMark/>
          </w:tcPr>
          <w:p w14:paraId="09454695"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41B172C2"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4F8C51E5"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552E9ABA"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&lt;0.1</w:t>
            </w:r>
          </w:p>
        </w:tc>
        <w:tc>
          <w:tcPr>
            <w:tcW w:w="0" w:type="auto"/>
            <w:hideMark/>
          </w:tcPr>
          <w:p w14:paraId="77F2B7EB"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3586B738"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0C2FBB22"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1E2ACE63"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6B3C66EE"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&lt;0.1</w:t>
            </w:r>
          </w:p>
        </w:tc>
      </w:tr>
      <w:tr w:rsidR="000A4FFE" w:rsidRPr="00374CC9" w14:paraId="4D3E0204" w14:textId="77777777" w:rsidTr="000A4FFE">
        <w:tblPrEx>
          <w:tblCellMar>
            <w:right w:w="108" w:type="dxa"/>
          </w:tblCellMar>
        </w:tblPrEx>
        <w:tc>
          <w:tcPr>
            <w:tcW w:w="0" w:type="auto"/>
            <w:gridSpan w:val="2"/>
            <w:hideMark/>
          </w:tcPr>
          <w:p w14:paraId="188246D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Haemophilus influenzae type b</w:t>
            </w:r>
          </w:p>
        </w:tc>
        <w:tc>
          <w:tcPr>
            <w:tcW w:w="0" w:type="auto"/>
            <w:hideMark/>
          </w:tcPr>
          <w:p w14:paraId="58E374D3"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2905A5A2"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0.1</w:t>
            </w:r>
          </w:p>
        </w:tc>
        <w:tc>
          <w:tcPr>
            <w:tcW w:w="0" w:type="auto"/>
            <w:hideMark/>
          </w:tcPr>
          <w:p w14:paraId="58B00FAB"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0.8</w:t>
            </w:r>
          </w:p>
        </w:tc>
        <w:tc>
          <w:tcPr>
            <w:tcW w:w="0" w:type="auto"/>
            <w:hideMark/>
          </w:tcPr>
          <w:p w14:paraId="7555E876"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0.1</w:t>
            </w:r>
          </w:p>
        </w:tc>
        <w:tc>
          <w:tcPr>
            <w:tcW w:w="0" w:type="auto"/>
            <w:hideMark/>
          </w:tcPr>
          <w:p w14:paraId="7BC3F2CC"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274666BC"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52E0000E"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&lt;0.1</w:t>
            </w:r>
          </w:p>
        </w:tc>
        <w:tc>
          <w:tcPr>
            <w:tcW w:w="0" w:type="auto"/>
            <w:hideMark/>
          </w:tcPr>
          <w:p w14:paraId="766EF70B"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0.1</w:t>
            </w:r>
          </w:p>
        </w:tc>
        <w:tc>
          <w:tcPr>
            <w:tcW w:w="0" w:type="auto"/>
            <w:hideMark/>
          </w:tcPr>
          <w:p w14:paraId="1A0858A9"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0.1</w:t>
            </w:r>
          </w:p>
        </w:tc>
      </w:tr>
      <w:tr w:rsidR="00BE61A2" w:rsidRPr="00374CC9" w14:paraId="30D51DE8"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gridSpan w:val="2"/>
            <w:hideMark/>
          </w:tcPr>
          <w:p w14:paraId="5EE03D4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Influenza (laboratory confirmed)</w:t>
            </w:r>
          </w:p>
        </w:tc>
        <w:tc>
          <w:tcPr>
            <w:tcW w:w="0" w:type="auto"/>
            <w:hideMark/>
          </w:tcPr>
          <w:p w14:paraId="5B9AAC5F"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307.9</w:t>
            </w:r>
          </w:p>
        </w:tc>
        <w:tc>
          <w:tcPr>
            <w:tcW w:w="0" w:type="auto"/>
            <w:hideMark/>
          </w:tcPr>
          <w:p w14:paraId="57D39678"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397.7</w:t>
            </w:r>
          </w:p>
        </w:tc>
        <w:tc>
          <w:tcPr>
            <w:tcW w:w="0" w:type="auto"/>
            <w:hideMark/>
          </w:tcPr>
          <w:p w14:paraId="6B407140"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276.5</w:t>
            </w:r>
          </w:p>
        </w:tc>
        <w:tc>
          <w:tcPr>
            <w:tcW w:w="0" w:type="auto"/>
            <w:hideMark/>
          </w:tcPr>
          <w:p w14:paraId="2245A787"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586.9</w:t>
            </w:r>
          </w:p>
        </w:tc>
        <w:tc>
          <w:tcPr>
            <w:tcW w:w="0" w:type="auto"/>
            <w:hideMark/>
          </w:tcPr>
          <w:p w14:paraId="6538A282"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921.2</w:t>
            </w:r>
          </w:p>
        </w:tc>
        <w:tc>
          <w:tcPr>
            <w:tcW w:w="0" w:type="auto"/>
            <w:hideMark/>
          </w:tcPr>
          <w:p w14:paraId="48BF4578"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277.5</w:t>
            </w:r>
          </w:p>
        </w:tc>
        <w:tc>
          <w:tcPr>
            <w:tcW w:w="0" w:type="auto"/>
            <w:hideMark/>
          </w:tcPr>
          <w:p w14:paraId="6CD8EA2D"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290.6</w:t>
            </w:r>
          </w:p>
        </w:tc>
        <w:tc>
          <w:tcPr>
            <w:tcW w:w="0" w:type="auto"/>
            <w:hideMark/>
          </w:tcPr>
          <w:p w14:paraId="589CBB87"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231.3</w:t>
            </w:r>
          </w:p>
        </w:tc>
        <w:tc>
          <w:tcPr>
            <w:tcW w:w="0" w:type="auto"/>
            <w:hideMark/>
          </w:tcPr>
          <w:p w14:paraId="0FD31B90"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422.9</w:t>
            </w:r>
          </w:p>
        </w:tc>
      </w:tr>
      <w:tr w:rsidR="000A4FFE" w:rsidRPr="00374CC9" w14:paraId="583869AF" w14:textId="77777777" w:rsidTr="000A4FFE">
        <w:tblPrEx>
          <w:tblCellMar>
            <w:right w:w="108" w:type="dxa"/>
          </w:tblCellMar>
        </w:tblPrEx>
        <w:tc>
          <w:tcPr>
            <w:tcW w:w="0" w:type="auto"/>
            <w:gridSpan w:val="2"/>
            <w:hideMark/>
          </w:tcPr>
          <w:p w14:paraId="7AE928C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Measles</w:t>
            </w:r>
          </w:p>
        </w:tc>
        <w:tc>
          <w:tcPr>
            <w:tcW w:w="0" w:type="auto"/>
            <w:hideMark/>
          </w:tcPr>
          <w:p w14:paraId="5DCDDF16"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0.5</w:t>
            </w:r>
          </w:p>
        </w:tc>
        <w:tc>
          <w:tcPr>
            <w:tcW w:w="0" w:type="auto"/>
            <w:hideMark/>
          </w:tcPr>
          <w:p w14:paraId="3DF440CF"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0.1</w:t>
            </w:r>
          </w:p>
        </w:tc>
        <w:tc>
          <w:tcPr>
            <w:tcW w:w="0" w:type="auto"/>
            <w:hideMark/>
          </w:tcPr>
          <w:p w14:paraId="5E671BAA"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349D3A20"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0.4</w:t>
            </w:r>
          </w:p>
        </w:tc>
        <w:tc>
          <w:tcPr>
            <w:tcW w:w="0" w:type="auto"/>
            <w:hideMark/>
          </w:tcPr>
          <w:p w14:paraId="0ECBB0A6"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0.2</w:t>
            </w:r>
          </w:p>
        </w:tc>
        <w:tc>
          <w:tcPr>
            <w:tcW w:w="0" w:type="auto"/>
            <w:hideMark/>
          </w:tcPr>
          <w:p w14:paraId="37448DAC"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5BFBD041"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0.5</w:t>
            </w:r>
          </w:p>
        </w:tc>
        <w:tc>
          <w:tcPr>
            <w:tcW w:w="0" w:type="auto"/>
            <w:hideMark/>
          </w:tcPr>
          <w:p w14:paraId="66714678"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0.3</w:t>
            </w:r>
          </w:p>
        </w:tc>
        <w:tc>
          <w:tcPr>
            <w:tcW w:w="0" w:type="auto"/>
            <w:hideMark/>
          </w:tcPr>
          <w:p w14:paraId="22A96946"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0.3</w:t>
            </w:r>
          </w:p>
        </w:tc>
      </w:tr>
      <w:tr w:rsidR="00BE61A2" w:rsidRPr="00374CC9" w14:paraId="46B53BAE"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gridSpan w:val="2"/>
            <w:hideMark/>
          </w:tcPr>
          <w:p w14:paraId="073B54D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Mumps</w:t>
            </w:r>
          </w:p>
        </w:tc>
        <w:tc>
          <w:tcPr>
            <w:tcW w:w="0" w:type="auto"/>
            <w:hideMark/>
          </w:tcPr>
          <w:p w14:paraId="0A317B2B"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1.3</w:t>
            </w:r>
          </w:p>
        </w:tc>
        <w:tc>
          <w:tcPr>
            <w:tcW w:w="0" w:type="auto"/>
            <w:hideMark/>
          </w:tcPr>
          <w:p w14:paraId="274EDEAA"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0.8</w:t>
            </w:r>
          </w:p>
        </w:tc>
        <w:tc>
          <w:tcPr>
            <w:tcW w:w="0" w:type="auto"/>
            <w:hideMark/>
          </w:tcPr>
          <w:p w14:paraId="17C0E286"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6.1</w:t>
            </w:r>
          </w:p>
        </w:tc>
        <w:tc>
          <w:tcPr>
            <w:tcW w:w="0" w:type="auto"/>
            <w:hideMark/>
          </w:tcPr>
          <w:p w14:paraId="5DBEDC16"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1.0</w:t>
            </w:r>
          </w:p>
        </w:tc>
        <w:tc>
          <w:tcPr>
            <w:tcW w:w="0" w:type="auto"/>
            <w:hideMark/>
          </w:tcPr>
          <w:p w14:paraId="7E0E14AD"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1.9</w:t>
            </w:r>
          </w:p>
        </w:tc>
        <w:tc>
          <w:tcPr>
            <w:tcW w:w="0" w:type="auto"/>
            <w:hideMark/>
          </w:tcPr>
          <w:p w14:paraId="7D3C2522"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1.5</w:t>
            </w:r>
          </w:p>
        </w:tc>
        <w:tc>
          <w:tcPr>
            <w:tcW w:w="0" w:type="auto"/>
            <w:hideMark/>
          </w:tcPr>
          <w:p w14:paraId="076985F6"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0.3</w:t>
            </w:r>
          </w:p>
        </w:tc>
        <w:tc>
          <w:tcPr>
            <w:tcW w:w="0" w:type="auto"/>
            <w:hideMark/>
          </w:tcPr>
          <w:p w14:paraId="7644E48A"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17.6</w:t>
            </w:r>
          </w:p>
        </w:tc>
        <w:tc>
          <w:tcPr>
            <w:tcW w:w="0" w:type="auto"/>
            <w:hideMark/>
          </w:tcPr>
          <w:p w14:paraId="4C00687C"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2.7</w:t>
            </w:r>
          </w:p>
        </w:tc>
      </w:tr>
      <w:tr w:rsidR="000A4FFE" w:rsidRPr="00374CC9" w14:paraId="25B31E64" w14:textId="77777777" w:rsidTr="000A4FFE">
        <w:tblPrEx>
          <w:tblCellMar>
            <w:right w:w="108" w:type="dxa"/>
          </w:tblCellMar>
        </w:tblPrEx>
        <w:tc>
          <w:tcPr>
            <w:tcW w:w="0" w:type="auto"/>
            <w:gridSpan w:val="2"/>
            <w:hideMark/>
          </w:tcPr>
          <w:p w14:paraId="31BF6BD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Pertussis</w:t>
            </w:r>
          </w:p>
        </w:tc>
        <w:tc>
          <w:tcPr>
            <w:tcW w:w="0" w:type="auto"/>
            <w:hideMark/>
          </w:tcPr>
          <w:p w14:paraId="1799B51C"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124.3</w:t>
            </w:r>
          </w:p>
        </w:tc>
        <w:tc>
          <w:tcPr>
            <w:tcW w:w="0" w:type="auto"/>
            <w:hideMark/>
          </w:tcPr>
          <w:p w14:paraId="7EC5B302"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160.7</w:t>
            </w:r>
          </w:p>
        </w:tc>
        <w:tc>
          <w:tcPr>
            <w:tcW w:w="0" w:type="auto"/>
            <w:hideMark/>
          </w:tcPr>
          <w:p w14:paraId="01714AA4"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24.1</w:t>
            </w:r>
          </w:p>
        </w:tc>
        <w:tc>
          <w:tcPr>
            <w:tcW w:w="0" w:type="auto"/>
            <w:hideMark/>
          </w:tcPr>
          <w:p w14:paraId="7249333E"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38.9</w:t>
            </w:r>
          </w:p>
        </w:tc>
        <w:tc>
          <w:tcPr>
            <w:tcW w:w="0" w:type="auto"/>
            <w:hideMark/>
          </w:tcPr>
          <w:p w14:paraId="7D3FBE2B"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78.5</w:t>
            </w:r>
          </w:p>
        </w:tc>
        <w:tc>
          <w:tcPr>
            <w:tcW w:w="0" w:type="auto"/>
            <w:hideMark/>
          </w:tcPr>
          <w:p w14:paraId="116F6B8A"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6.0</w:t>
            </w:r>
          </w:p>
        </w:tc>
        <w:tc>
          <w:tcPr>
            <w:tcW w:w="0" w:type="auto"/>
            <w:hideMark/>
          </w:tcPr>
          <w:p w14:paraId="7A7D409B"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78.5</w:t>
            </w:r>
          </w:p>
        </w:tc>
        <w:tc>
          <w:tcPr>
            <w:tcW w:w="0" w:type="auto"/>
            <w:hideMark/>
          </w:tcPr>
          <w:p w14:paraId="32247258"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72.1</w:t>
            </w:r>
          </w:p>
        </w:tc>
        <w:tc>
          <w:tcPr>
            <w:tcW w:w="0" w:type="auto"/>
            <w:hideMark/>
          </w:tcPr>
          <w:p w14:paraId="3B437382"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94.8</w:t>
            </w:r>
          </w:p>
        </w:tc>
      </w:tr>
      <w:tr w:rsidR="00BE61A2" w:rsidRPr="00374CC9" w14:paraId="1458ADA5"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gridSpan w:val="2"/>
            <w:hideMark/>
          </w:tcPr>
          <w:p w14:paraId="63A1A5D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Pneumococcal disease (invasive)</w:t>
            </w:r>
          </w:p>
        </w:tc>
        <w:tc>
          <w:tcPr>
            <w:tcW w:w="0" w:type="auto"/>
            <w:hideMark/>
          </w:tcPr>
          <w:p w14:paraId="4B63F5D5"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4.3</w:t>
            </w:r>
          </w:p>
        </w:tc>
        <w:tc>
          <w:tcPr>
            <w:tcW w:w="0" w:type="auto"/>
            <w:hideMark/>
          </w:tcPr>
          <w:p w14:paraId="54DAC638"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6.4</w:t>
            </w:r>
          </w:p>
        </w:tc>
        <w:tc>
          <w:tcPr>
            <w:tcW w:w="0" w:type="auto"/>
            <w:hideMark/>
          </w:tcPr>
          <w:p w14:paraId="67F32403"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24.9</w:t>
            </w:r>
          </w:p>
        </w:tc>
        <w:tc>
          <w:tcPr>
            <w:tcW w:w="0" w:type="auto"/>
            <w:hideMark/>
          </w:tcPr>
          <w:p w14:paraId="75B986D7"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5.1</w:t>
            </w:r>
          </w:p>
        </w:tc>
        <w:tc>
          <w:tcPr>
            <w:tcW w:w="0" w:type="auto"/>
            <w:hideMark/>
          </w:tcPr>
          <w:p w14:paraId="6976DAB1"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7.4</w:t>
            </w:r>
          </w:p>
        </w:tc>
        <w:tc>
          <w:tcPr>
            <w:tcW w:w="0" w:type="auto"/>
            <w:hideMark/>
          </w:tcPr>
          <w:p w14:paraId="0FB0AA6B"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8.3</w:t>
            </w:r>
          </w:p>
        </w:tc>
        <w:tc>
          <w:tcPr>
            <w:tcW w:w="0" w:type="auto"/>
            <w:hideMark/>
          </w:tcPr>
          <w:p w14:paraId="078696DA"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6.0</w:t>
            </w:r>
          </w:p>
        </w:tc>
        <w:tc>
          <w:tcPr>
            <w:tcW w:w="0" w:type="auto"/>
            <w:hideMark/>
          </w:tcPr>
          <w:p w14:paraId="5155E3B7"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6.4</w:t>
            </w:r>
          </w:p>
        </w:tc>
        <w:tc>
          <w:tcPr>
            <w:tcW w:w="0" w:type="auto"/>
            <w:hideMark/>
          </w:tcPr>
          <w:p w14:paraId="670DB7FF"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6.3</w:t>
            </w:r>
          </w:p>
        </w:tc>
      </w:tr>
      <w:tr w:rsidR="000A4FFE" w:rsidRPr="00374CC9" w14:paraId="03BEB18E" w14:textId="77777777" w:rsidTr="000A4FFE">
        <w:tblPrEx>
          <w:tblCellMar>
            <w:right w:w="108" w:type="dxa"/>
          </w:tblCellMar>
        </w:tblPrEx>
        <w:tc>
          <w:tcPr>
            <w:tcW w:w="0" w:type="auto"/>
            <w:gridSpan w:val="2"/>
            <w:hideMark/>
          </w:tcPr>
          <w:p w14:paraId="290A5E0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Poliomyelitis</w:t>
            </w:r>
          </w:p>
        </w:tc>
        <w:tc>
          <w:tcPr>
            <w:tcW w:w="0" w:type="auto"/>
            <w:hideMark/>
          </w:tcPr>
          <w:p w14:paraId="0DC5BFCF"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765C2171"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477BE390"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76D5DA5C"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0526ED77"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4170B364"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1B9ECFE8"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369AC32F"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6A3EBBFC"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r>
      <w:tr w:rsidR="00BE61A2" w:rsidRPr="00374CC9" w14:paraId="30103E11"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gridSpan w:val="2"/>
            <w:hideMark/>
          </w:tcPr>
          <w:p w14:paraId="45AE437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Rubella</w:t>
            </w:r>
          </w:p>
        </w:tc>
        <w:tc>
          <w:tcPr>
            <w:tcW w:w="0" w:type="auto"/>
            <w:hideMark/>
          </w:tcPr>
          <w:p w14:paraId="4960075F"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0.3</w:t>
            </w:r>
          </w:p>
        </w:tc>
        <w:tc>
          <w:tcPr>
            <w:tcW w:w="0" w:type="auto"/>
            <w:hideMark/>
          </w:tcPr>
          <w:p w14:paraId="0407B61C"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0.1</w:t>
            </w:r>
          </w:p>
        </w:tc>
        <w:tc>
          <w:tcPr>
            <w:tcW w:w="0" w:type="auto"/>
            <w:hideMark/>
          </w:tcPr>
          <w:p w14:paraId="36E2078B"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18484241"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0.1</w:t>
            </w:r>
          </w:p>
        </w:tc>
        <w:tc>
          <w:tcPr>
            <w:tcW w:w="0" w:type="auto"/>
            <w:hideMark/>
          </w:tcPr>
          <w:p w14:paraId="27227A87"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0.1</w:t>
            </w:r>
          </w:p>
        </w:tc>
        <w:tc>
          <w:tcPr>
            <w:tcW w:w="0" w:type="auto"/>
            <w:hideMark/>
          </w:tcPr>
          <w:p w14:paraId="70C34862"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0.2</w:t>
            </w:r>
          </w:p>
        </w:tc>
        <w:tc>
          <w:tcPr>
            <w:tcW w:w="0" w:type="auto"/>
            <w:hideMark/>
          </w:tcPr>
          <w:p w14:paraId="0EBCD26A"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7CE0D4E4"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0.1</w:t>
            </w:r>
          </w:p>
        </w:tc>
        <w:tc>
          <w:tcPr>
            <w:tcW w:w="0" w:type="auto"/>
            <w:hideMark/>
          </w:tcPr>
          <w:p w14:paraId="58542B5C"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0.1</w:t>
            </w:r>
          </w:p>
        </w:tc>
      </w:tr>
      <w:tr w:rsidR="000A4FFE" w:rsidRPr="00374CC9" w14:paraId="0BA5AFEB" w14:textId="77777777" w:rsidTr="000A4FFE">
        <w:tblPrEx>
          <w:tblCellMar>
            <w:right w:w="108" w:type="dxa"/>
          </w:tblCellMar>
        </w:tblPrEx>
        <w:tc>
          <w:tcPr>
            <w:tcW w:w="0" w:type="auto"/>
            <w:gridSpan w:val="2"/>
            <w:hideMark/>
          </w:tcPr>
          <w:p w14:paraId="7A29DD4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Rubella – congenital</w:t>
            </w:r>
          </w:p>
        </w:tc>
        <w:tc>
          <w:tcPr>
            <w:tcW w:w="0" w:type="auto"/>
            <w:hideMark/>
          </w:tcPr>
          <w:p w14:paraId="3319E09A"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02CA53A2"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26F71F9B"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71844829"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&lt;0.1</w:t>
            </w:r>
          </w:p>
        </w:tc>
        <w:tc>
          <w:tcPr>
            <w:tcW w:w="0" w:type="auto"/>
            <w:hideMark/>
          </w:tcPr>
          <w:p w14:paraId="7AD14F57"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4ADDC5F3"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38FFD32B"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4954F4EF"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5B454645"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&lt;0.1</w:t>
            </w:r>
          </w:p>
        </w:tc>
      </w:tr>
      <w:tr w:rsidR="00BE61A2" w:rsidRPr="00374CC9" w14:paraId="68616DD8"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gridSpan w:val="2"/>
            <w:hideMark/>
          </w:tcPr>
          <w:p w14:paraId="6E5A7E9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Tetanus</w:t>
            </w:r>
          </w:p>
        </w:tc>
        <w:tc>
          <w:tcPr>
            <w:tcW w:w="0" w:type="auto"/>
            <w:hideMark/>
          </w:tcPr>
          <w:p w14:paraId="20B77E36"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3A71B429"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&lt;0.1</w:t>
            </w:r>
          </w:p>
        </w:tc>
        <w:tc>
          <w:tcPr>
            <w:tcW w:w="0" w:type="auto"/>
            <w:hideMark/>
          </w:tcPr>
          <w:p w14:paraId="37195ADE"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62BFC58C"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720A6FF6"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157623FC"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704F3883"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&lt;0.1</w:t>
            </w:r>
          </w:p>
        </w:tc>
        <w:tc>
          <w:tcPr>
            <w:tcW w:w="0" w:type="auto"/>
            <w:hideMark/>
          </w:tcPr>
          <w:p w14:paraId="2A37DBBF"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3BF6066E"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&lt;0.1</w:t>
            </w:r>
          </w:p>
        </w:tc>
      </w:tr>
      <w:tr w:rsidR="000A4FFE" w:rsidRPr="00374CC9" w14:paraId="4310F505" w14:textId="77777777" w:rsidTr="000A4FFE">
        <w:tblPrEx>
          <w:tblCellMar>
            <w:right w:w="108" w:type="dxa"/>
          </w:tblCellMar>
        </w:tblPrEx>
        <w:tc>
          <w:tcPr>
            <w:tcW w:w="0" w:type="auto"/>
            <w:gridSpan w:val="2"/>
            <w:hideMark/>
          </w:tcPr>
          <w:p w14:paraId="7CBFE70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Varicella zoster (chickenpox)</w:t>
            </w:r>
          </w:p>
        </w:tc>
        <w:tc>
          <w:tcPr>
            <w:tcW w:w="0" w:type="auto"/>
            <w:hideMark/>
          </w:tcPr>
          <w:p w14:paraId="690F2FDD"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16.6</w:t>
            </w:r>
          </w:p>
        </w:tc>
        <w:tc>
          <w:tcPr>
            <w:tcW w:w="0" w:type="auto"/>
            <w:hideMark/>
          </w:tcPr>
          <w:p w14:paraId="06AC2B33"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NN</w:t>
            </w:r>
          </w:p>
        </w:tc>
        <w:tc>
          <w:tcPr>
            <w:tcW w:w="0" w:type="auto"/>
            <w:hideMark/>
          </w:tcPr>
          <w:p w14:paraId="1601E4F3"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48.3</w:t>
            </w:r>
          </w:p>
        </w:tc>
        <w:tc>
          <w:tcPr>
            <w:tcW w:w="0" w:type="auto"/>
            <w:hideMark/>
          </w:tcPr>
          <w:p w14:paraId="61B8F233"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6.9</w:t>
            </w:r>
          </w:p>
        </w:tc>
        <w:tc>
          <w:tcPr>
            <w:tcW w:w="0" w:type="auto"/>
            <w:hideMark/>
          </w:tcPr>
          <w:p w14:paraId="0F308A03"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26.3</w:t>
            </w:r>
          </w:p>
        </w:tc>
        <w:tc>
          <w:tcPr>
            <w:tcW w:w="0" w:type="auto"/>
            <w:hideMark/>
          </w:tcPr>
          <w:p w14:paraId="542B55C1"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13.2</w:t>
            </w:r>
          </w:p>
        </w:tc>
        <w:tc>
          <w:tcPr>
            <w:tcW w:w="0" w:type="auto"/>
            <w:hideMark/>
          </w:tcPr>
          <w:p w14:paraId="1D859D97"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16.3</w:t>
            </w:r>
          </w:p>
        </w:tc>
        <w:tc>
          <w:tcPr>
            <w:tcW w:w="0" w:type="auto"/>
            <w:hideMark/>
          </w:tcPr>
          <w:p w14:paraId="29FB607B"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18.7</w:t>
            </w:r>
          </w:p>
        </w:tc>
        <w:tc>
          <w:tcPr>
            <w:tcW w:w="0" w:type="auto"/>
            <w:hideMark/>
          </w:tcPr>
          <w:p w14:paraId="2BB1121F"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15.3</w:t>
            </w:r>
          </w:p>
        </w:tc>
      </w:tr>
      <w:tr w:rsidR="00BE61A2" w:rsidRPr="00374CC9" w14:paraId="3F98E3CD"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gridSpan w:val="2"/>
            <w:hideMark/>
          </w:tcPr>
          <w:p w14:paraId="7C949EC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Varicella zoster (shingles)</w:t>
            </w:r>
          </w:p>
        </w:tc>
        <w:tc>
          <w:tcPr>
            <w:tcW w:w="0" w:type="auto"/>
            <w:hideMark/>
          </w:tcPr>
          <w:p w14:paraId="6C9C0996"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50.1</w:t>
            </w:r>
          </w:p>
        </w:tc>
        <w:tc>
          <w:tcPr>
            <w:tcW w:w="0" w:type="auto"/>
            <w:hideMark/>
          </w:tcPr>
          <w:p w14:paraId="3928C2D8"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NN</w:t>
            </w:r>
          </w:p>
        </w:tc>
        <w:tc>
          <w:tcPr>
            <w:tcW w:w="0" w:type="auto"/>
            <w:hideMark/>
          </w:tcPr>
          <w:p w14:paraId="6BC79BFA"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148.5</w:t>
            </w:r>
          </w:p>
        </w:tc>
        <w:tc>
          <w:tcPr>
            <w:tcW w:w="0" w:type="auto"/>
            <w:hideMark/>
          </w:tcPr>
          <w:p w14:paraId="63B7B8E9"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1.1</w:t>
            </w:r>
          </w:p>
        </w:tc>
        <w:tc>
          <w:tcPr>
            <w:tcW w:w="0" w:type="auto"/>
            <w:hideMark/>
          </w:tcPr>
          <w:p w14:paraId="1A3D9C7C"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136.8</w:t>
            </w:r>
          </w:p>
        </w:tc>
        <w:tc>
          <w:tcPr>
            <w:tcW w:w="0" w:type="auto"/>
            <w:hideMark/>
          </w:tcPr>
          <w:p w14:paraId="48A912B8"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48.0</w:t>
            </w:r>
          </w:p>
        </w:tc>
        <w:tc>
          <w:tcPr>
            <w:tcW w:w="0" w:type="auto"/>
            <w:hideMark/>
          </w:tcPr>
          <w:p w14:paraId="193FF63C"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29.3</w:t>
            </w:r>
          </w:p>
        </w:tc>
        <w:tc>
          <w:tcPr>
            <w:tcW w:w="0" w:type="auto"/>
            <w:hideMark/>
          </w:tcPr>
          <w:p w14:paraId="45D62A06"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54.7</w:t>
            </w:r>
          </w:p>
        </w:tc>
        <w:tc>
          <w:tcPr>
            <w:tcW w:w="0" w:type="auto"/>
            <w:hideMark/>
          </w:tcPr>
          <w:p w14:paraId="4416F3EF"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39.2</w:t>
            </w:r>
          </w:p>
        </w:tc>
      </w:tr>
      <w:tr w:rsidR="000A4FFE" w:rsidRPr="00374CC9" w14:paraId="23839B19" w14:textId="77777777" w:rsidTr="000A4FFE">
        <w:tblPrEx>
          <w:tblCellMar>
            <w:right w:w="108" w:type="dxa"/>
          </w:tblCellMar>
        </w:tblPrEx>
        <w:tc>
          <w:tcPr>
            <w:tcW w:w="0" w:type="auto"/>
            <w:gridSpan w:val="2"/>
            <w:hideMark/>
          </w:tcPr>
          <w:p w14:paraId="6768105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Varicella zoster (unspecified)</w:t>
            </w:r>
          </w:p>
        </w:tc>
        <w:tc>
          <w:tcPr>
            <w:tcW w:w="0" w:type="auto"/>
            <w:hideMark/>
          </w:tcPr>
          <w:p w14:paraId="1E484795"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32.0</w:t>
            </w:r>
          </w:p>
        </w:tc>
        <w:tc>
          <w:tcPr>
            <w:tcW w:w="0" w:type="auto"/>
            <w:hideMark/>
          </w:tcPr>
          <w:p w14:paraId="55EECE68"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NN</w:t>
            </w:r>
          </w:p>
        </w:tc>
        <w:tc>
          <w:tcPr>
            <w:tcW w:w="0" w:type="auto"/>
            <w:hideMark/>
          </w:tcPr>
          <w:p w14:paraId="45715D39"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0.8</w:t>
            </w:r>
          </w:p>
        </w:tc>
        <w:tc>
          <w:tcPr>
            <w:tcW w:w="0" w:type="auto"/>
            <w:hideMark/>
          </w:tcPr>
          <w:p w14:paraId="29122DB3"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135.6</w:t>
            </w:r>
          </w:p>
        </w:tc>
        <w:tc>
          <w:tcPr>
            <w:tcW w:w="0" w:type="auto"/>
            <w:hideMark/>
          </w:tcPr>
          <w:p w14:paraId="396FE546"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7.5</w:t>
            </w:r>
          </w:p>
        </w:tc>
        <w:tc>
          <w:tcPr>
            <w:tcW w:w="0" w:type="auto"/>
            <w:hideMark/>
          </w:tcPr>
          <w:p w14:paraId="14BB7F94"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28.3</w:t>
            </w:r>
          </w:p>
        </w:tc>
        <w:tc>
          <w:tcPr>
            <w:tcW w:w="0" w:type="auto"/>
            <w:hideMark/>
          </w:tcPr>
          <w:p w14:paraId="781A1FBD"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84.5</w:t>
            </w:r>
          </w:p>
        </w:tc>
        <w:tc>
          <w:tcPr>
            <w:tcW w:w="0" w:type="auto"/>
            <w:hideMark/>
          </w:tcPr>
          <w:p w14:paraId="1D4080BC"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56.2</w:t>
            </w:r>
          </w:p>
        </w:tc>
        <w:tc>
          <w:tcPr>
            <w:tcW w:w="0" w:type="auto"/>
            <w:hideMark/>
          </w:tcPr>
          <w:p w14:paraId="4E977580"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82.7</w:t>
            </w:r>
          </w:p>
        </w:tc>
      </w:tr>
      <w:tr w:rsidR="00BE61A2" w:rsidRPr="00374CC9" w14:paraId="1699A546" w14:textId="77777777" w:rsidTr="00240D6D">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gridSpan w:val="11"/>
            <w:shd w:val="clear" w:color="auto" w:fill="D9D9D9" w:themeFill="background1" w:themeFillShade="D9"/>
            <w:hideMark/>
          </w:tcPr>
          <w:p w14:paraId="0AE1E1A1" w14:textId="77777777" w:rsidR="00BE61A2" w:rsidRPr="00240D6D" w:rsidRDefault="00BE61A2" w:rsidP="00240D6D">
            <w:pPr>
              <w:rPr>
                <w:rFonts w:asciiTheme="minorHAnsi" w:eastAsia="Times New Roman" w:hAnsiTheme="minorHAnsi"/>
                <w:b/>
                <w:sz w:val="18"/>
                <w:szCs w:val="18"/>
              </w:rPr>
            </w:pPr>
            <w:r w:rsidRPr="00240D6D">
              <w:rPr>
                <w:rFonts w:asciiTheme="minorHAnsi" w:eastAsia="Times New Roman" w:hAnsiTheme="minorHAnsi"/>
                <w:b/>
                <w:sz w:val="18"/>
                <w:szCs w:val="18"/>
              </w:rPr>
              <w:t>Vectorborne diseases</w:t>
            </w:r>
          </w:p>
        </w:tc>
      </w:tr>
      <w:tr w:rsidR="000A4FFE" w:rsidRPr="00374CC9" w14:paraId="14AA8108" w14:textId="77777777" w:rsidTr="000A4FFE">
        <w:tblPrEx>
          <w:tblCellMar>
            <w:right w:w="108" w:type="dxa"/>
          </w:tblCellMar>
        </w:tblPrEx>
        <w:tc>
          <w:tcPr>
            <w:tcW w:w="0" w:type="auto"/>
            <w:gridSpan w:val="2"/>
            <w:hideMark/>
          </w:tcPr>
          <w:p w14:paraId="1F66225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Barmah Forest virus infection</w:t>
            </w:r>
          </w:p>
        </w:tc>
        <w:tc>
          <w:tcPr>
            <w:tcW w:w="0" w:type="auto"/>
            <w:hideMark/>
          </w:tcPr>
          <w:p w14:paraId="2C40D22E"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0.5</w:t>
            </w:r>
          </w:p>
        </w:tc>
        <w:tc>
          <w:tcPr>
            <w:tcW w:w="0" w:type="auto"/>
            <w:hideMark/>
          </w:tcPr>
          <w:p w14:paraId="4DCBEF60"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2.4</w:t>
            </w:r>
          </w:p>
        </w:tc>
        <w:tc>
          <w:tcPr>
            <w:tcW w:w="0" w:type="auto"/>
            <w:hideMark/>
          </w:tcPr>
          <w:p w14:paraId="23AB065A"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10.6</w:t>
            </w:r>
          </w:p>
        </w:tc>
        <w:tc>
          <w:tcPr>
            <w:tcW w:w="0" w:type="auto"/>
            <w:hideMark/>
          </w:tcPr>
          <w:p w14:paraId="731F6151"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7.5</w:t>
            </w:r>
          </w:p>
        </w:tc>
        <w:tc>
          <w:tcPr>
            <w:tcW w:w="0" w:type="auto"/>
            <w:hideMark/>
          </w:tcPr>
          <w:p w14:paraId="15E54A3A"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0.1</w:t>
            </w:r>
          </w:p>
        </w:tc>
        <w:tc>
          <w:tcPr>
            <w:tcW w:w="0" w:type="auto"/>
            <w:hideMark/>
          </w:tcPr>
          <w:p w14:paraId="185D58D5"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0.2</w:t>
            </w:r>
          </w:p>
        </w:tc>
        <w:tc>
          <w:tcPr>
            <w:tcW w:w="0" w:type="auto"/>
            <w:hideMark/>
          </w:tcPr>
          <w:p w14:paraId="50259AFA"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0.2</w:t>
            </w:r>
          </w:p>
        </w:tc>
        <w:tc>
          <w:tcPr>
            <w:tcW w:w="0" w:type="auto"/>
            <w:hideMark/>
          </w:tcPr>
          <w:p w14:paraId="4DB73A1E"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1.8</w:t>
            </w:r>
          </w:p>
        </w:tc>
        <w:tc>
          <w:tcPr>
            <w:tcW w:w="0" w:type="auto"/>
            <w:hideMark/>
          </w:tcPr>
          <w:p w14:paraId="093D6DD0"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2.6</w:t>
            </w:r>
          </w:p>
        </w:tc>
      </w:tr>
      <w:tr w:rsidR="00BE61A2" w:rsidRPr="00374CC9" w14:paraId="0EB34EAB"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gridSpan w:val="2"/>
            <w:hideMark/>
          </w:tcPr>
          <w:p w14:paraId="6C24D9C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Chikungunya</w:t>
            </w:r>
          </w:p>
        </w:tc>
        <w:tc>
          <w:tcPr>
            <w:tcW w:w="0" w:type="auto"/>
            <w:hideMark/>
          </w:tcPr>
          <w:p w14:paraId="5CC3D19B"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5F4CFC33"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0.5</w:t>
            </w:r>
          </w:p>
        </w:tc>
        <w:tc>
          <w:tcPr>
            <w:tcW w:w="0" w:type="auto"/>
            <w:hideMark/>
          </w:tcPr>
          <w:p w14:paraId="27742904"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2.9</w:t>
            </w:r>
          </w:p>
        </w:tc>
        <w:tc>
          <w:tcPr>
            <w:tcW w:w="0" w:type="auto"/>
            <w:hideMark/>
          </w:tcPr>
          <w:p w14:paraId="2E5634ED"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0.4</w:t>
            </w:r>
          </w:p>
        </w:tc>
        <w:tc>
          <w:tcPr>
            <w:tcW w:w="0" w:type="auto"/>
            <w:hideMark/>
          </w:tcPr>
          <w:p w14:paraId="3C3943F6"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0.1</w:t>
            </w:r>
          </w:p>
        </w:tc>
        <w:tc>
          <w:tcPr>
            <w:tcW w:w="0" w:type="auto"/>
            <w:hideMark/>
          </w:tcPr>
          <w:p w14:paraId="7BF1025D"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67F4AD5B"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0.6</w:t>
            </w:r>
          </w:p>
        </w:tc>
        <w:tc>
          <w:tcPr>
            <w:tcW w:w="0" w:type="auto"/>
            <w:hideMark/>
          </w:tcPr>
          <w:p w14:paraId="30AB7AC3"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0.4</w:t>
            </w:r>
          </w:p>
        </w:tc>
        <w:tc>
          <w:tcPr>
            <w:tcW w:w="0" w:type="auto"/>
            <w:hideMark/>
          </w:tcPr>
          <w:p w14:paraId="3D916A99"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0.5</w:t>
            </w:r>
          </w:p>
        </w:tc>
      </w:tr>
      <w:tr w:rsidR="000A4FFE" w:rsidRPr="00374CC9" w14:paraId="32EE702C" w14:textId="77777777" w:rsidTr="000A4FFE">
        <w:tblPrEx>
          <w:tblCellMar>
            <w:right w:w="108" w:type="dxa"/>
          </w:tblCellMar>
        </w:tblPrEx>
        <w:tc>
          <w:tcPr>
            <w:tcW w:w="0" w:type="auto"/>
            <w:gridSpan w:val="2"/>
            <w:hideMark/>
          </w:tcPr>
          <w:p w14:paraId="0FDDBCD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Dengue virus infection</w:t>
            </w:r>
          </w:p>
        </w:tc>
        <w:tc>
          <w:tcPr>
            <w:tcW w:w="0" w:type="auto"/>
            <w:hideMark/>
          </w:tcPr>
          <w:p w14:paraId="48A2E304"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4.9</w:t>
            </w:r>
          </w:p>
        </w:tc>
        <w:tc>
          <w:tcPr>
            <w:tcW w:w="0" w:type="auto"/>
            <w:hideMark/>
          </w:tcPr>
          <w:p w14:paraId="2BEBF8E8"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4.5</w:t>
            </w:r>
          </w:p>
        </w:tc>
        <w:tc>
          <w:tcPr>
            <w:tcW w:w="0" w:type="auto"/>
            <w:hideMark/>
          </w:tcPr>
          <w:p w14:paraId="16B897B4"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22.5</w:t>
            </w:r>
          </w:p>
        </w:tc>
        <w:tc>
          <w:tcPr>
            <w:tcW w:w="0" w:type="auto"/>
            <w:hideMark/>
          </w:tcPr>
          <w:p w14:paraId="42A08971"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5.5</w:t>
            </w:r>
          </w:p>
        </w:tc>
        <w:tc>
          <w:tcPr>
            <w:tcW w:w="0" w:type="auto"/>
            <w:hideMark/>
          </w:tcPr>
          <w:p w14:paraId="23C57E9B"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4.4</w:t>
            </w:r>
          </w:p>
        </w:tc>
        <w:tc>
          <w:tcPr>
            <w:tcW w:w="0" w:type="auto"/>
            <w:hideMark/>
          </w:tcPr>
          <w:p w14:paraId="6A96CFE1"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3.7</w:t>
            </w:r>
          </w:p>
        </w:tc>
        <w:tc>
          <w:tcPr>
            <w:tcW w:w="0" w:type="auto"/>
            <w:hideMark/>
          </w:tcPr>
          <w:p w14:paraId="36B1E732"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6.5</w:t>
            </w:r>
          </w:p>
        </w:tc>
        <w:tc>
          <w:tcPr>
            <w:tcW w:w="0" w:type="auto"/>
            <w:hideMark/>
          </w:tcPr>
          <w:p w14:paraId="61FF37B0"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21.4</w:t>
            </w:r>
          </w:p>
        </w:tc>
        <w:tc>
          <w:tcPr>
            <w:tcW w:w="0" w:type="auto"/>
            <w:hideMark/>
          </w:tcPr>
          <w:p w14:paraId="17084291"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7.2</w:t>
            </w:r>
          </w:p>
        </w:tc>
      </w:tr>
      <w:tr w:rsidR="00BE61A2" w:rsidRPr="00374CC9" w14:paraId="38A3C42C"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gridSpan w:val="2"/>
            <w:hideMark/>
          </w:tcPr>
          <w:p w14:paraId="0052040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Flavivirus infection (unspecified)</w:t>
            </w:r>
            <w:r w:rsidRPr="00374CC9">
              <w:rPr>
                <w:rFonts w:asciiTheme="minorHAnsi" w:eastAsia="Times New Roman" w:hAnsiTheme="minorHAnsi"/>
                <w:sz w:val="18"/>
                <w:szCs w:val="18"/>
                <w:vertAlign w:val="superscript"/>
              </w:rPr>
              <w:t>††</w:t>
            </w:r>
          </w:p>
        </w:tc>
        <w:tc>
          <w:tcPr>
            <w:tcW w:w="0" w:type="auto"/>
            <w:hideMark/>
          </w:tcPr>
          <w:p w14:paraId="657060CB"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233E4210"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&lt;0.1</w:t>
            </w:r>
          </w:p>
        </w:tc>
        <w:tc>
          <w:tcPr>
            <w:tcW w:w="0" w:type="auto"/>
            <w:hideMark/>
          </w:tcPr>
          <w:p w14:paraId="26791A69"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0EF6E346"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0.1</w:t>
            </w:r>
          </w:p>
        </w:tc>
        <w:tc>
          <w:tcPr>
            <w:tcW w:w="0" w:type="auto"/>
            <w:hideMark/>
          </w:tcPr>
          <w:p w14:paraId="30799F97"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0.1</w:t>
            </w:r>
          </w:p>
        </w:tc>
        <w:tc>
          <w:tcPr>
            <w:tcW w:w="0" w:type="auto"/>
            <w:hideMark/>
          </w:tcPr>
          <w:p w14:paraId="44EC2F4F"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33DFC02B"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&lt;0.1</w:t>
            </w:r>
          </w:p>
        </w:tc>
        <w:tc>
          <w:tcPr>
            <w:tcW w:w="0" w:type="auto"/>
            <w:hideMark/>
          </w:tcPr>
          <w:p w14:paraId="29DBFCA0"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0.1</w:t>
            </w:r>
          </w:p>
        </w:tc>
        <w:tc>
          <w:tcPr>
            <w:tcW w:w="0" w:type="auto"/>
            <w:hideMark/>
          </w:tcPr>
          <w:p w14:paraId="77775924"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0.1</w:t>
            </w:r>
          </w:p>
        </w:tc>
      </w:tr>
      <w:tr w:rsidR="000A4FFE" w:rsidRPr="00374CC9" w14:paraId="43E5C10D" w14:textId="77777777" w:rsidTr="000A4FFE">
        <w:tblPrEx>
          <w:tblCellMar>
            <w:right w:w="108" w:type="dxa"/>
          </w:tblCellMar>
        </w:tblPrEx>
        <w:tc>
          <w:tcPr>
            <w:tcW w:w="0" w:type="auto"/>
            <w:gridSpan w:val="2"/>
            <w:hideMark/>
          </w:tcPr>
          <w:p w14:paraId="7DA99CD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Japanese encephalitis virus infection</w:t>
            </w:r>
          </w:p>
        </w:tc>
        <w:tc>
          <w:tcPr>
            <w:tcW w:w="0" w:type="auto"/>
            <w:hideMark/>
          </w:tcPr>
          <w:p w14:paraId="6EF270D7"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65DFE3CF"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&lt;0.1</w:t>
            </w:r>
          </w:p>
        </w:tc>
        <w:tc>
          <w:tcPr>
            <w:tcW w:w="0" w:type="auto"/>
            <w:hideMark/>
          </w:tcPr>
          <w:p w14:paraId="59337834"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26975455"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&lt;0.1</w:t>
            </w:r>
          </w:p>
        </w:tc>
        <w:tc>
          <w:tcPr>
            <w:tcW w:w="0" w:type="auto"/>
            <w:hideMark/>
          </w:tcPr>
          <w:p w14:paraId="168B1ADF"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71929641"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1F9B3320"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&lt;0.1</w:t>
            </w:r>
          </w:p>
        </w:tc>
        <w:tc>
          <w:tcPr>
            <w:tcW w:w="0" w:type="auto"/>
            <w:hideMark/>
          </w:tcPr>
          <w:p w14:paraId="200521AD"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7FE9B586"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&lt;0.1</w:t>
            </w:r>
          </w:p>
        </w:tc>
      </w:tr>
      <w:tr w:rsidR="00BE61A2" w:rsidRPr="00374CC9" w14:paraId="09196E48"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gridSpan w:val="2"/>
            <w:hideMark/>
          </w:tcPr>
          <w:p w14:paraId="602BF4C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Malaria</w:t>
            </w:r>
          </w:p>
        </w:tc>
        <w:tc>
          <w:tcPr>
            <w:tcW w:w="0" w:type="auto"/>
            <w:hideMark/>
          </w:tcPr>
          <w:p w14:paraId="115B3797"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1.8</w:t>
            </w:r>
          </w:p>
        </w:tc>
        <w:tc>
          <w:tcPr>
            <w:tcW w:w="0" w:type="auto"/>
            <w:hideMark/>
          </w:tcPr>
          <w:p w14:paraId="73704A88"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0.6</w:t>
            </w:r>
          </w:p>
        </w:tc>
        <w:tc>
          <w:tcPr>
            <w:tcW w:w="0" w:type="auto"/>
            <w:hideMark/>
          </w:tcPr>
          <w:p w14:paraId="35E849D4"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4.9</w:t>
            </w:r>
          </w:p>
        </w:tc>
        <w:tc>
          <w:tcPr>
            <w:tcW w:w="0" w:type="auto"/>
            <w:hideMark/>
          </w:tcPr>
          <w:p w14:paraId="2B651EC3"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1.2</w:t>
            </w:r>
          </w:p>
        </w:tc>
        <w:tc>
          <w:tcPr>
            <w:tcW w:w="0" w:type="auto"/>
            <w:hideMark/>
          </w:tcPr>
          <w:p w14:paraId="6159E306"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0.2</w:t>
            </w:r>
          </w:p>
        </w:tc>
        <w:tc>
          <w:tcPr>
            <w:tcW w:w="0" w:type="auto"/>
            <w:hideMark/>
          </w:tcPr>
          <w:p w14:paraId="50674242"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0.4</w:t>
            </w:r>
          </w:p>
        </w:tc>
        <w:tc>
          <w:tcPr>
            <w:tcW w:w="0" w:type="auto"/>
            <w:hideMark/>
          </w:tcPr>
          <w:p w14:paraId="2465B917"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1.0</w:t>
            </w:r>
          </w:p>
        </w:tc>
        <w:tc>
          <w:tcPr>
            <w:tcW w:w="0" w:type="auto"/>
            <w:hideMark/>
          </w:tcPr>
          <w:p w14:paraId="6D7A7C66"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1.9</w:t>
            </w:r>
          </w:p>
        </w:tc>
        <w:tc>
          <w:tcPr>
            <w:tcW w:w="0" w:type="auto"/>
            <w:hideMark/>
          </w:tcPr>
          <w:p w14:paraId="0F03351E"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1.0</w:t>
            </w:r>
          </w:p>
        </w:tc>
      </w:tr>
      <w:tr w:rsidR="000A4FFE" w:rsidRPr="00374CC9" w14:paraId="6A6806A6" w14:textId="77777777" w:rsidTr="000A4FFE">
        <w:tblPrEx>
          <w:tblCellMar>
            <w:right w:w="108" w:type="dxa"/>
          </w:tblCellMar>
        </w:tblPrEx>
        <w:tc>
          <w:tcPr>
            <w:tcW w:w="0" w:type="auto"/>
            <w:gridSpan w:val="2"/>
            <w:hideMark/>
          </w:tcPr>
          <w:p w14:paraId="2FA8845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Murray Valley encephalitis virus infection</w:t>
            </w:r>
          </w:p>
        </w:tc>
        <w:tc>
          <w:tcPr>
            <w:tcW w:w="0" w:type="auto"/>
            <w:hideMark/>
          </w:tcPr>
          <w:p w14:paraId="6EE9E2AE"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1DAA2EB0"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24CDEAFC"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0.8</w:t>
            </w:r>
          </w:p>
        </w:tc>
        <w:tc>
          <w:tcPr>
            <w:tcW w:w="0" w:type="auto"/>
            <w:hideMark/>
          </w:tcPr>
          <w:p w14:paraId="0ABC7F3F"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7C6A421D"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13775583"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6418498C"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12CA5A3A"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77F418CA"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&lt;0.1</w:t>
            </w:r>
          </w:p>
        </w:tc>
      </w:tr>
      <w:tr w:rsidR="00BE61A2" w:rsidRPr="00374CC9" w14:paraId="403B319D"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gridSpan w:val="2"/>
            <w:hideMark/>
          </w:tcPr>
          <w:p w14:paraId="33D4058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Ross River virus infection</w:t>
            </w:r>
          </w:p>
        </w:tc>
        <w:tc>
          <w:tcPr>
            <w:tcW w:w="0" w:type="auto"/>
            <w:hideMark/>
          </w:tcPr>
          <w:p w14:paraId="67E4726A"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2.6</w:t>
            </w:r>
          </w:p>
        </w:tc>
        <w:tc>
          <w:tcPr>
            <w:tcW w:w="0" w:type="auto"/>
            <w:hideMark/>
          </w:tcPr>
          <w:p w14:paraId="42064811"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21.3</w:t>
            </w:r>
          </w:p>
        </w:tc>
        <w:tc>
          <w:tcPr>
            <w:tcW w:w="0" w:type="auto"/>
            <w:hideMark/>
          </w:tcPr>
          <w:p w14:paraId="06077BD0"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147.2</w:t>
            </w:r>
          </w:p>
        </w:tc>
        <w:tc>
          <w:tcPr>
            <w:tcW w:w="0" w:type="auto"/>
            <w:hideMark/>
          </w:tcPr>
          <w:p w14:paraId="6825808D"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129.5</w:t>
            </w:r>
          </w:p>
        </w:tc>
        <w:tc>
          <w:tcPr>
            <w:tcW w:w="0" w:type="auto"/>
            <w:hideMark/>
          </w:tcPr>
          <w:p w14:paraId="01C17E96"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6.6</w:t>
            </w:r>
          </w:p>
        </w:tc>
        <w:tc>
          <w:tcPr>
            <w:tcW w:w="0" w:type="auto"/>
            <w:hideMark/>
          </w:tcPr>
          <w:p w14:paraId="77220067"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1.0</w:t>
            </w:r>
          </w:p>
        </w:tc>
        <w:tc>
          <w:tcPr>
            <w:tcW w:w="0" w:type="auto"/>
            <w:hideMark/>
          </w:tcPr>
          <w:p w14:paraId="6E766D4C"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4.9</w:t>
            </w:r>
          </w:p>
        </w:tc>
        <w:tc>
          <w:tcPr>
            <w:tcW w:w="0" w:type="auto"/>
            <w:hideMark/>
          </w:tcPr>
          <w:p w14:paraId="504BF385"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37.1</w:t>
            </w:r>
          </w:p>
        </w:tc>
        <w:tc>
          <w:tcPr>
            <w:tcW w:w="0" w:type="auto"/>
            <w:hideMark/>
          </w:tcPr>
          <w:p w14:paraId="0CCA1959"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40.1</w:t>
            </w:r>
          </w:p>
        </w:tc>
      </w:tr>
      <w:tr w:rsidR="000A4FFE" w:rsidRPr="00374CC9" w14:paraId="5F70752F" w14:textId="77777777" w:rsidTr="000A4FFE">
        <w:tblPrEx>
          <w:tblCellMar>
            <w:right w:w="108" w:type="dxa"/>
          </w:tblCellMar>
        </w:tblPrEx>
        <w:tc>
          <w:tcPr>
            <w:tcW w:w="0" w:type="auto"/>
            <w:gridSpan w:val="2"/>
            <w:hideMark/>
          </w:tcPr>
          <w:p w14:paraId="39EB3C6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 xml:space="preserve">West Nile / </w:t>
            </w:r>
            <w:proofErr w:type="spellStart"/>
            <w:r w:rsidRPr="00374CC9">
              <w:rPr>
                <w:rFonts w:asciiTheme="minorHAnsi" w:eastAsia="Times New Roman" w:hAnsiTheme="minorHAnsi"/>
                <w:sz w:val="18"/>
                <w:szCs w:val="18"/>
              </w:rPr>
              <w:t>Kunjin</w:t>
            </w:r>
            <w:proofErr w:type="spellEnd"/>
            <w:r w:rsidRPr="00374CC9">
              <w:rPr>
                <w:rFonts w:asciiTheme="minorHAnsi" w:eastAsia="Times New Roman" w:hAnsiTheme="minorHAnsi"/>
                <w:sz w:val="18"/>
                <w:szCs w:val="18"/>
              </w:rPr>
              <w:t xml:space="preserve"> virus infection</w:t>
            </w:r>
          </w:p>
        </w:tc>
        <w:tc>
          <w:tcPr>
            <w:tcW w:w="0" w:type="auto"/>
            <w:hideMark/>
          </w:tcPr>
          <w:p w14:paraId="107962F6"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1BD6308A"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&lt;0.1</w:t>
            </w:r>
          </w:p>
        </w:tc>
        <w:tc>
          <w:tcPr>
            <w:tcW w:w="0" w:type="auto"/>
            <w:hideMark/>
          </w:tcPr>
          <w:p w14:paraId="0310E851"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3AAD1829"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1D84A13C"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042A3818"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62B69428"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115EBF84"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7AE5DD87"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&lt;0.1</w:t>
            </w:r>
          </w:p>
        </w:tc>
      </w:tr>
      <w:tr w:rsidR="00BE61A2" w:rsidRPr="00374CC9" w14:paraId="278C810F"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gridSpan w:val="11"/>
            <w:hideMark/>
          </w:tcPr>
          <w:p w14:paraId="784C70B3" w14:textId="77777777" w:rsidR="00BE61A2" w:rsidRPr="00240D6D" w:rsidRDefault="00BE61A2" w:rsidP="00240D6D">
            <w:pPr>
              <w:rPr>
                <w:rFonts w:asciiTheme="minorHAnsi" w:eastAsia="Times New Roman" w:hAnsiTheme="minorHAnsi"/>
                <w:b/>
                <w:sz w:val="18"/>
                <w:szCs w:val="18"/>
              </w:rPr>
            </w:pPr>
            <w:r w:rsidRPr="00240D6D">
              <w:rPr>
                <w:rFonts w:asciiTheme="minorHAnsi" w:eastAsia="Times New Roman" w:hAnsiTheme="minorHAnsi"/>
                <w:b/>
                <w:sz w:val="18"/>
                <w:szCs w:val="18"/>
              </w:rPr>
              <w:t>Zoonoses</w:t>
            </w:r>
          </w:p>
        </w:tc>
      </w:tr>
      <w:tr w:rsidR="000A4FFE" w:rsidRPr="00374CC9" w14:paraId="66A9978F" w14:textId="77777777" w:rsidTr="000A4FFE">
        <w:tblPrEx>
          <w:tblCellMar>
            <w:right w:w="108" w:type="dxa"/>
          </w:tblCellMar>
        </w:tblPrEx>
        <w:tc>
          <w:tcPr>
            <w:tcW w:w="0" w:type="auto"/>
            <w:gridSpan w:val="2"/>
            <w:hideMark/>
          </w:tcPr>
          <w:p w14:paraId="543FE40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Anthrax</w:t>
            </w:r>
          </w:p>
        </w:tc>
        <w:tc>
          <w:tcPr>
            <w:tcW w:w="0" w:type="auto"/>
            <w:hideMark/>
          </w:tcPr>
          <w:p w14:paraId="321AE61D"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4CFAA1A7"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46186992"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3196E114"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04458A58"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7AD90FC8"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743F663C"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3F42124B"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64C4A2E2"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r>
      <w:tr w:rsidR="00BE61A2" w:rsidRPr="00374CC9" w14:paraId="072E50FB"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gridSpan w:val="2"/>
            <w:hideMark/>
          </w:tcPr>
          <w:p w14:paraId="1328328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lastRenderedPageBreak/>
              <w:t>Australia bat lyssavirus</w:t>
            </w:r>
          </w:p>
        </w:tc>
        <w:tc>
          <w:tcPr>
            <w:tcW w:w="0" w:type="auto"/>
            <w:hideMark/>
          </w:tcPr>
          <w:p w14:paraId="082715E6"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5E7FDC83"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6A3B8420"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0848A71B"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663F645D"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28FA2E69"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20D337D4"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62119701"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57DAFD25"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r>
      <w:tr w:rsidR="000A4FFE" w:rsidRPr="00374CC9" w14:paraId="707E7B3C" w14:textId="77777777" w:rsidTr="000A4FFE">
        <w:tblPrEx>
          <w:tblCellMar>
            <w:right w:w="108" w:type="dxa"/>
          </w:tblCellMar>
        </w:tblPrEx>
        <w:tc>
          <w:tcPr>
            <w:tcW w:w="0" w:type="auto"/>
            <w:gridSpan w:val="2"/>
            <w:hideMark/>
          </w:tcPr>
          <w:p w14:paraId="16E56D2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Brucellosis</w:t>
            </w:r>
          </w:p>
        </w:tc>
        <w:tc>
          <w:tcPr>
            <w:tcW w:w="0" w:type="auto"/>
            <w:hideMark/>
          </w:tcPr>
          <w:p w14:paraId="7A9A0F77"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03504A4F"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0.1</w:t>
            </w:r>
          </w:p>
        </w:tc>
        <w:tc>
          <w:tcPr>
            <w:tcW w:w="0" w:type="auto"/>
            <w:hideMark/>
          </w:tcPr>
          <w:p w14:paraId="3A3F78C3"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0.4</w:t>
            </w:r>
          </w:p>
        </w:tc>
        <w:tc>
          <w:tcPr>
            <w:tcW w:w="0" w:type="auto"/>
            <w:hideMark/>
          </w:tcPr>
          <w:p w14:paraId="3008B64C"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0.1</w:t>
            </w:r>
          </w:p>
        </w:tc>
        <w:tc>
          <w:tcPr>
            <w:tcW w:w="0" w:type="auto"/>
            <w:hideMark/>
          </w:tcPr>
          <w:p w14:paraId="594649D7"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788B9AD6"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1EC00CDD"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48BA3D59"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2BD0489D"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0.1</w:t>
            </w:r>
          </w:p>
        </w:tc>
      </w:tr>
      <w:tr w:rsidR="00BE61A2" w:rsidRPr="00374CC9" w14:paraId="2399EBFC"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gridSpan w:val="2"/>
            <w:hideMark/>
          </w:tcPr>
          <w:p w14:paraId="3F4AA29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Leptospirosis</w:t>
            </w:r>
          </w:p>
        </w:tc>
        <w:tc>
          <w:tcPr>
            <w:tcW w:w="0" w:type="auto"/>
            <w:hideMark/>
          </w:tcPr>
          <w:p w14:paraId="2D4C1CA6"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0.3</w:t>
            </w:r>
          </w:p>
        </w:tc>
        <w:tc>
          <w:tcPr>
            <w:tcW w:w="0" w:type="auto"/>
            <w:hideMark/>
          </w:tcPr>
          <w:p w14:paraId="5BF3E312"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0.2</w:t>
            </w:r>
          </w:p>
        </w:tc>
        <w:tc>
          <w:tcPr>
            <w:tcW w:w="0" w:type="auto"/>
            <w:hideMark/>
          </w:tcPr>
          <w:p w14:paraId="365B106B"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1.6</w:t>
            </w:r>
          </w:p>
        </w:tc>
        <w:tc>
          <w:tcPr>
            <w:tcW w:w="0" w:type="auto"/>
            <w:hideMark/>
          </w:tcPr>
          <w:p w14:paraId="5E919B68"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0.9</w:t>
            </w:r>
          </w:p>
        </w:tc>
        <w:tc>
          <w:tcPr>
            <w:tcW w:w="0" w:type="auto"/>
            <w:hideMark/>
          </w:tcPr>
          <w:p w14:paraId="1303CA03"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136997C7"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0.4</w:t>
            </w:r>
          </w:p>
        </w:tc>
        <w:tc>
          <w:tcPr>
            <w:tcW w:w="0" w:type="auto"/>
            <w:hideMark/>
          </w:tcPr>
          <w:p w14:paraId="54F07A18"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0.1</w:t>
            </w:r>
          </w:p>
        </w:tc>
        <w:tc>
          <w:tcPr>
            <w:tcW w:w="0" w:type="auto"/>
            <w:hideMark/>
          </w:tcPr>
          <w:p w14:paraId="2888CB87"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&lt;0.1</w:t>
            </w:r>
          </w:p>
        </w:tc>
        <w:tc>
          <w:tcPr>
            <w:tcW w:w="0" w:type="auto"/>
            <w:hideMark/>
          </w:tcPr>
          <w:p w14:paraId="22F4C799"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0.3</w:t>
            </w:r>
          </w:p>
        </w:tc>
      </w:tr>
      <w:tr w:rsidR="000A4FFE" w:rsidRPr="00374CC9" w14:paraId="32116D13" w14:textId="77777777" w:rsidTr="000A4FFE">
        <w:tblPrEx>
          <w:tblCellMar>
            <w:right w:w="108" w:type="dxa"/>
          </w:tblCellMar>
        </w:tblPrEx>
        <w:tc>
          <w:tcPr>
            <w:tcW w:w="0" w:type="auto"/>
            <w:gridSpan w:val="2"/>
            <w:hideMark/>
          </w:tcPr>
          <w:p w14:paraId="62FEED4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 xml:space="preserve">Lyssavirus </w:t>
            </w:r>
            <w:r w:rsidRPr="00115B21">
              <w:rPr>
                <w:rFonts w:asciiTheme="minorHAnsi" w:eastAsia="Times New Roman" w:hAnsiTheme="minorHAnsi"/>
                <w:sz w:val="18"/>
                <w:szCs w:val="18"/>
                <w:vertAlign w:val="superscript"/>
              </w:rPr>
              <w:t>(NEC)</w:t>
            </w:r>
          </w:p>
        </w:tc>
        <w:tc>
          <w:tcPr>
            <w:tcW w:w="0" w:type="auto"/>
            <w:hideMark/>
          </w:tcPr>
          <w:p w14:paraId="68E08DC2"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09AB3FB2"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09B73894"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55023FFC"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525D858E"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68D97EB6"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7ADEFC0F"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5778B386"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4C8C010F"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r>
      <w:tr w:rsidR="00BE61A2" w:rsidRPr="00374CC9" w14:paraId="1AA4A6C3"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gridSpan w:val="2"/>
            <w:hideMark/>
          </w:tcPr>
          <w:p w14:paraId="6192367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Ornithosis</w:t>
            </w:r>
          </w:p>
        </w:tc>
        <w:tc>
          <w:tcPr>
            <w:tcW w:w="0" w:type="auto"/>
            <w:hideMark/>
          </w:tcPr>
          <w:p w14:paraId="41402E6D"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5641D21B"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&lt;0.1</w:t>
            </w:r>
          </w:p>
        </w:tc>
        <w:tc>
          <w:tcPr>
            <w:tcW w:w="0" w:type="auto"/>
            <w:hideMark/>
          </w:tcPr>
          <w:p w14:paraId="36262CBA"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718EAA04"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&lt;0.1</w:t>
            </w:r>
          </w:p>
        </w:tc>
        <w:tc>
          <w:tcPr>
            <w:tcW w:w="0" w:type="auto"/>
            <w:hideMark/>
          </w:tcPr>
          <w:p w14:paraId="091D627A"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0.1</w:t>
            </w:r>
          </w:p>
        </w:tc>
        <w:tc>
          <w:tcPr>
            <w:tcW w:w="0" w:type="auto"/>
            <w:hideMark/>
          </w:tcPr>
          <w:p w14:paraId="4757A216"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07F1EF93"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0.2</w:t>
            </w:r>
          </w:p>
        </w:tc>
        <w:tc>
          <w:tcPr>
            <w:tcW w:w="0" w:type="auto"/>
            <w:hideMark/>
          </w:tcPr>
          <w:p w14:paraId="67809C1D"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&lt;0.1</w:t>
            </w:r>
          </w:p>
        </w:tc>
        <w:tc>
          <w:tcPr>
            <w:tcW w:w="0" w:type="auto"/>
            <w:hideMark/>
          </w:tcPr>
          <w:p w14:paraId="4BF1E9D6"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0.1</w:t>
            </w:r>
          </w:p>
        </w:tc>
      </w:tr>
      <w:tr w:rsidR="000A4FFE" w:rsidRPr="00374CC9" w14:paraId="0CBF7DCD" w14:textId="77777777" w:rsidTr="000A4FFE">
        <w:tblPrEx>
          <w:tblCellMar>
            <w:right w:w="108" w:type="dxa"/>
          </w:tblCellMar>
        </w:tblPrEx>
        <w:tc>
          <w:tcPr>
            <w:tcW w:w="0" w:type="auto"/>
            <w:gridSpan w:val="2"/>
            <w:hideMark/>
          </w:tcPr>
          <w:p w14:paraId="399E4F8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Q fever</w:t>
            </w:r>
          </w:p>
        </w:tc>
        <w:tc>
          <w:tcPr>
            <w:tcW w:w="0" w:type="auto"/>
            <w:hideMark/>
          </w:tcPr>
          <w:p w14:paraId="095D8281"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63643287"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3.4</w:t>
            </w:r>
          </w:p>
        </w:tc>
        <w:tc>
          <w:tcPr>
            <w:tcW w:w="0" w:type="auto"/>
            <w:hideMark/>
          </w:tcPr>
          <w:p w14:paraId="15F35091"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0.4</w:t>
            </w:r>
          </w:p>
        </w:tc>
        <w:tc>
          <w:tcPr>
            <w:tcW w:w="0" w:type="auto"/>
            <w:hideMark/>
          </w:tcPr>
          <w:p w14:paraId="32669741"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5.3</w:t>
            </w:r>
          </w:p>
        </w:tc>
        <w:tc>
          <w:tcPr>
            <w:tcW w:w="0" w:type="auto"/>
            <w:hideMark/>
          </w:tcPr>
          <w:p w14:paraId="24C56485"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0.8</w:t>
            </w:r>
          </w:p>
        </w:tc>
        <w:tc>
          <w:tcPr>
            <w:tcW w:w="0" w:type="auto"/>
            <w:hideMark/>
          </w:tcPr>
          <w:p w14:paraId="43ADF5DE"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03BE1E4B"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1.0</w:t>
            </w:r>
          </w:p>
        </w:tc>
        <w:tc>
          <w:tcPr>
            <w:tcW w:w="0" w:type="auto"/>
            <w:hideMark/>
          </w:tcPr>
          <w:p w14:paraId="2F9CD227"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0.5</w:t>
            </w:r>
          </w:p>
        </w:tc>
        <w:tc>
          <w:tcPr>
            <w:tcW w:w="0" w:type="auto"/>
            <w:hideMark/>
          </w:tcPr>
          <w:p w14:paraId="2E36F0C5"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2.5</w:t>
            </w:r>
          </w:p>
        </w:tc>
      </w:tr>
      <w:tr w:rsidR="00BE61A2" w:rsidRPr="00374CC9" w14:paraId="6E5719EA"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gridSpan w:val="2"/>
            <w:hideMark/>
          </w:tcPr>
          <w:p w14:paraId="2949D8D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Tularaemia</w:t>
            </w:r>
          </w:p>
        </w:tc>
        <w:tc>
          <w:tcPr>
            <w:tcW w:w="0" w:type="auto"/>
            <w:hideMark/>
          </w:tcPr>
          <w:p w14:paraId="1110B93A"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499EA8FB"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66C586E3"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42D4AD46"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7408251A"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77844C01"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2964C26B"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198346AF"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5C3B69CF"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r>
      <w:tr w:rsidR="00BE61A2" w:rsidRPr="00374CC9" w14:paraId="33E8E2F3" w14:textId="77777777" w:rsidTr="00240D6D">
        <w:tblPrEx>
          <w:tblCellMar>
            <w:right w:w="108" w:type="dxa"/>
          </w:tblCellMar>
        </w:tblPrEx>
        <w:tc>
          <w:tcPr>
            <w:tcW w:w="0" w:type="auto"/>
            <w:gridSpan w:val="11"/>
            <w:shd w:val="clear" w:color="auto" w:fill="D9D9D9" w:themeFill="background1" w:themeFillShade="D9"/>
            <w:hideMark/>
          </w:tcPr>
          <w:p w14:paraId="1E8A1F8B" w14:textId="77777777" w:rsidR="00BE61A2" w:rsidRPr="00240D6D" w:rsidRDefault="00BE61A2" w:rsidP="00240D6D">
            <w:pPr>
              <w:rPr>
                <w:rFonts w:asciiTheme="minorHAnsi" w:eastAsia="Times New Roman" w:hAnsiTheme="minorHAnsi"/>
                <w:b/>
                <w:sz w:val="18"/>
                <w:szCs w:val="18"/>
              </w:rPr>
            </w:pPr>
            <w:r w:rsidRPr="00240D6D">
              <w:rPr>
                <w:rFonts w:asciiTheme="minorHAnsi" w:eastAsia="Times New Roman" w:hAnsiTheme="minorHAnsi"/>
                <w:b/>
                <w:sz w:val="18"/>
                <w:szCs w:val="18"/>
              </w:rPr>
              <w:t>Other bacterial diseases</w:t>
            </w:r>
          </w:p>
        </w:tc>
      </w:tr>
      <w:tr w:rsidR="00BE61A2" w:rsidRPr="00374CC9" w14:paraId="4C221C48"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8575AC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Legionellosis</w:t>
            </w:r>
          </w:p>
        </w:tc>
        <w:tc>
          <w:tcPr>
            <w:tcW w:w="0" w:type="auto"/>
            <w:hideMark/>
          </w:tcPr>
          <w:p w14:paraId="1A411C64" w14:textId="77777777" w:rsidR="00BE61A2" w:rsidRPr="00374CC9" w:rsidRDefault="00BE61A2">
            <w:pPr>
              <w:rPr>
                <w:rFonts w:asciiTheme="minorHAnsi" w:eastAsia="Times New Roman" w:hAnsiTheme="minorHAnsi"/>
                <w:sz w:val="18"/>
                <w:szCs w:val="18"/>
              </w:rPr>
            </w:pPr>
          </w:p>
        </w:tc>
        <w:tc>
          <w:tcPr>
            <w:tcW w:w="0" w:type="auto"/>
            <w:hideMark/>
          </w:tcPr>
          <w:p w14:paraId="4EEAFB59"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0.5</w:t>
            </w:r>
          </w:p>
        </w:tc>
        <w:tc>
          <w:tcPr>
            <w:tcW w:w="0" w:type="auto"/>
            <w:hideMark/>
          </w:tcPr>
          <w:p w14:paraId="27B96910"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1.3</w:t>
            </w:r>
          </w:p>
        </w:tc>
        <w:tc>
          <w:tcPr>
            <w:tcW w:w="0" w:type="auto"/>
            <w:hideMark/>
          </w:tcPr>
          <w:p w14:paraId="0F005B97"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2.9</w:t>
            </w:r>
          </w:p>
        </w:tc>
        <w:tc>
          <w:tcPr>
            <w:tcW w:w="0" w:type="auto"/>
            <w:hideMark/>
          </w:tcPr>
          <w:p w14:paraId="1BC65BFE"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1.7</w:t>
            </w:r>
          </w:p>
        </w:tc>
        <w:tc>
          <w:tcPr>
            <w:tcW w:w="0" w:type="auto"/>
            <w:hideMark/>
          </w:tcPr>
          <w:p w14:paraId="23C3D23A"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1.5</w:t>
            </w:r>
          </w:p>
        </w:tc>
        <w:tc>
          <w:tcPr>
            <w:tcW w:w="0" w:type="auto"/>
            <w:hideMark/>
          </w:tcPr>
          <w:p w14:paraId="2A64C254"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1.4</w:t>
            </w:r>
          </w:p>
        </w:tc>
        <w:tc>
          <w:tcPr>
            <w:tcW w:w="0" w:type="auto"/>
            <w:hideMark/>
          </w:tcPr>
          <w:p w14:paraId="767FE063"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1.2</w:t>
            </w:r>
          </w:p>
        </w:tc>
        <w:tc>
          <w:tcPr>
            <w:tcW w:w="0" w:type="auto"/>
            <w:hideMark/>
          </w:tcPr>
          <w:p w14:paraId="22D027EF"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2.9</w:t>
            </w:r>
          </w:p>
        </w:tc>
        <w:tc>
          <w:tcPr>
            <w:tcW w:w="0" w:type="auto"/>
            <w:hideMark/>
          </w:tcPr>
          <w:p w14:paraId="2698B9F1"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1.5</w:t>
            </w:r>
          </w:p>
        </w:tc>
      </w:tr>
      <w:tr w:rsidR="00EE19C2" w:rsidRPr="00374CC9" w14:paraId="65366CDF" w14:textId="77777777" w:rsidTr="000A4FFE">
        <w:tblPrEx>
          <w:tblCellMar>
            <w:right w:w="108" w:type="dxa"/>
          </w:tblCellMar>
        </w:tblPrEx>
        <w:tc>
          <w:tcPr>
            <w:tcW w:w="0" w:type="auto"/>
            <w:hideMark/>
          </w:tcPr>
          <w:p w14:paraId="53A3C5C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Leprosy</w:t>
            </w:r>
          </w:p>
        </w:tc>
        <w:tc>
          <w:tcPr>
            <w:tcW w:w="0" w:type="auto"/>
            <w:hideMark/>
          </w:tcPr>
          <w:p w14:paraId="4CE84CE5" w14:textId="77777777" w:rsidR="00BE61A2" w:rsidRPr="00374CC9" w:rsidRDefault="00BE61A2">
            <w:pPr>
              <w:rPr>
                <w:rFonts w:asciiTheme="minorHAnsi" w:eastAsia="Times New Roman" w:hAnsiTheme="minorHAnsi"/>
                <w:sz w:val="18"/>
                <w:szCs w:val="18"/>
              </w:rPr>
            </w:pPr>
          </w:p>
        </w:tc>
        <w:tc>
          <w:tcPr>
            <w:tcW w:w="0" w:type="auto"/>
            <w:hideMark/>
          </w:tcPr>
          <w:p w14:paraId="06DADDF6"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1581E802"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&lt;0.1</w:t>
            </w:r>
          </w:p>
        </w:tc>
        <w:tc>
          <w:tcPr>
            <w:tcW w:w="0" w:type="auto"/>
            <w:hideMark/>
          </w:tcPr>
          <w:p w14:paraId="33AE4CB3"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0.4</w:t>
            </w:r>
          </w:p>
        </w:tc>
        <w:tc>
          <w:tcPr>
            <w:tcW w:w="0" w:type="auto"/>
            <w:hideMark/>
          </w:tcPr>
          <w:p w14:paraId="40C13CCE"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&lt;0.1</w:t>
            </w:r>
          </w:p>
        </w:tc>
        <w:tc>
          <w:tcPr>
            <w:tcW w:w="0" w:type="auto"/>
            <w:hideMark/>
          </w:tcPr>
          <w:p w14:paraId="50467324"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39BC10C8"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7EDCA74A"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0.1</w:t>
            </w:r>
          </w:p>
        </w:tc>
        <w:tc>
          <w:tcPr>
            <w:tcW w:w="0" w:type="auto"/>
            <w:hideMark/>
          </w:tcPr>
          <w:p w14:paraId="720AAB87"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0.1</w:t>
            </w:r>
          </w:p>
        </w:tc>
        <w:tc>
          <w:tcPr>
            <w:tcW w:w="0" w:type="auto"/>
            <w:hideMark/>
          </w:tcPr>
          <w:p w14:paraId="1E635EBE"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0.1</w:t>
            </w:r>
          </w:p>
        </w:tc>
      </w:tr>
      <w:tr w:rsidR="00BE61A2" w:rsidRPr="00374CC9" w14:paraId="54C2AC52"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3FB9CA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Meningococcal infection</w:t>
            </w:r>
            <w:r w:rsidRPr="00374CC9">
              <w:rPr>
                <w:rFonts w:asciiTheme="minorHAnsi" w:eastAsia="Times New Roman" w:hAnsiTheme="minorHAnsi"/>
                <w:sz w:val="18"/>
                <w:szCs w:val="18"/>
                <w:vertAlign w:val="superscript"/>
              </w:rPr>
              <w:t>‡‡</w:t>
            </w:r>
          </w:p>
        </w:tc>
        <w:tc>
          <w:tcPr>
            <w:tcW w:w="0" w:type="auto"/>
            <w:hideMark/>
          </w:tcPr>
          <w:p w14:paraId="16B56CE4" w14:textId="77777777" w:rsidR="00BE61A2" w:rsidRPr="00374CC9" w:rsidRDefault="00BE61A2">
            <w:pPr>
              <w:rPr>
                <w:rFonts w:asciiTheme="minorHAnsi" w:eastAsia="Times New Roman" w:hAnsiTheme="minorHAnsi"/>
                <w:sz w:val="18"/>
                <w:szCs w:val="18"/>
              </w:rPr>
            </w:pPr>
          </w:p>
        </w:tc>
        <w:tc>
          <w:tcPr>
            <w:tcW w:w="0" w:type="auto"/>
            <w:hideMark/>
          </w:tcPr>
          <w:p w14:paraId="491F1F8C"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0.5</w:t>
            </w:r>
          </w:p>
        </w:tc>
        <w:tc>
          <w:tcPr>
            <w:tcW w:w="0" w:type="auto"/>
            <w:hideMark/>
          </w:tcPr>
          <w:p w14:paraId="4A0A2AF4"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0.6</w:t>
            </w:r>
          </w:p>
        </w:tc>
        <w:tc>
          <w:tcPr>
            <w:tcW w:w="0" w:type="auto"/>
            <w:hideMark/>
          </w:tcPr>
          <w:p w14:paraId="031EBE77"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0.4</w:t>
            </w:r>
          </w:p>
        </w:tc>
        <w:tc>
          <w:tcPr>
            <w:tcW w:w="0" w:type="auto"/>
            <w:hideMark/>
          </w:tcPr>
          <w:p w14:paraId="4D7D9D51"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0.6</w:t>
            </w:r>
          </w:p>
        </w:tc>
        <w:tc>
          <w:tcPr>
            <w:tcW w:w="0" w:type="auto"/>
            <w:hideMark/>
          </w:tcPr>
          <w:p w14:paraId="67090E35"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1.7</w:t>
            </w:r>
          </w:p>
        </w:tc>
        <w:tc>
          <w:tcPr>
            <w:tcW w:w="0" w:type="auto"/>
            <w:hideMark/>
          </w:tcPr>
          <w:p w14:paraId="6172F9AB"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0.4</w:t>
            </w:r>
          </w:p>
        </w:tc>
        <w:tc>
          <w:tcPr>
            <w:tcW w:w="0" w:type="auto"/>
            <w:hideMark/>
          </w:tcPr>
          <w:p w14:paraId="12E0FCFA"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0.9</w:t>
            </w:r>
          </w:p>
        </w:tc>
        <w:tc>
          <w:tcPr>
            <w:tcW w:w="0" w:type="auto"/>
            <w:hideMark/>
          </w:tcPr>
          <w:p w14:paraId="5C55ACDB"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0.7</w:t>
            </w:r>
          </w:p>
        </w:tc>
        <w:tc>
          <w:tcPr>
            <w:tcW w:w="0" w:type="auto"/>
            <w:hideMark/>
          </w:tcPr>
          <w:p w14:paraId="5DD52393"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0.8</w:t>
            </w:r>
          </w:p>
        </w:tc>
      </w:tr>
      <w:tr w:rsidR="00EE19C2" w:rsidRPr="00374CC9" w14:paraId="4A66C3A6" w14:textId="77777777" w:rsidTr="000A4FFE">
        <w:tblPrEx>
          <w:tblCellMar>
            <w:right w:w="108" w:type="dxa"/>
          </w:tblCellMar>
        </w:tblPrEx>
        <w:tc>
          <w:tcPr>
            <w:tcW w:w="0" w:type="auto"/>
            <w:hideMark/>
          </w:tcPr>
          <w:p w14:paraId="4B59B18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Tuberculosis</w:t>
            </w:r>
          </w:p>
        </w:tc>
        <w:tc>
          <w:tcPr>
            <w:tcW w:w="0" w:type="auto"/>
            <w:hideMark/>
          </w:tcPr>
          <w:p w14:paraId="4AFCB640" w14:textId="77777777" w:rsidR="00BE61A2" w:rsidRPr="00374CC9" w:rsidRDefault="00BE61A2">
            <w:pPr>
              <w:rPr>
                <w:rFonts w:asciiTheme="minorHAnsi" w:eastAsia="Times New Roman" w:hAnsiTheme="minorHAnsi"/>
                <w:sz w:val="18"/>
                <w:szCs w:val="18"/>
              </w:rPr>
            </w:pPr>
          </w:p>
        </w:tc>
        <w:tc>
          <w:tcPr>
            <w:tcW w:w="0" w:type="auto"/>
            <w:hideMark/>
          </w:tcPr>
          <w:p w14:paraId="5BE89B27"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4.1</w:t>
            </w:r>
          </w:p>
        </w:tc>
        <w:tc>
          <w:tcPr>
            <w:tcW w:w="0" w:type="auto"/>
            <w:hideMark/>
          </w:tcPr>
          <w:p w14:paraId="05950236"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5.8</w:t>
            </w:r>
          </w:p>
        </w:tc>
        <w:tc>
          <w:tcPr>
            <w:tcW w:w="0" w:type="auto"/>
            <w:hideMark/>
          </w:tcPr>
          <w:p w14:paraId="40827954"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11.0</w:t>
            </w:r>
          </w:p>
        </w:tc>
        <w:tc>
          <w:tcPr>
            <w:tcW w:w="0" w:type="auto"/>
            <w:hideMark/>
          </w:tcPr>
          <w:p w14:paraId="68756FB1"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3.8</w:t>
            </w:r>
          </w:p>
        </w:tc>
        <w:tc>
          <w:tcPr>
            <w:tcW w:w="0" w:type="auto"/>
            <w:hideMark/>
          </w:tcPr>
          <w:p w14:paraId="7C4AD3E1"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5.1</w:t>
            </w:r>
          </w:p>
        </w:tc>
        <w:tc>
          <w:tcPr>
            <w:tcW w:w="0" w:type="auto"/>
            <w:hideMark/>
          </w:tcPr>
          <w:p w14:paraId="5DAF653C"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2.5</w:t>
            </w:r>
          </w:p>
        </w:tc>
        <w:tc>
          <w:tcPr>
            <w:tcW w:w="0" w:type="auto"/>
            <w:hideMark/>
          </w:tcPr>
          <w:p w14:paraId="2CCB8A70"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5.9</w:t>
            </w:r>
          </w:p>
        </w:tc>
        <w:tc>
          <w:tcPr>
            <w:tcW w:w="0" w:type="auto"/>
            <w:hideMark/>
          </w:tcPr>
          <w:p w14:paraId="178AA3C9"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5.1</w:t>
            </w:r>
          </w:p>
        </w:tc>
        <w:tc>
          <w:tcPr>
            <w:tcW w:w="0" w:type="auto"/>
            <w:hideMark/>
          </w:tcPr>
          <w:p w14:paraId="3CBA193B" w14:textId="77777777" w:rsidR="00BE61A2" w:rsidRPr="00374CC9" w:rsidRDefault="00BE61A2" w:rsidP="00240D6D">
            <w:pPr>
              <w:jc w:val="center"/>
              <w:rPr>
                <w:rFonts w:asciiTheme="minorHAnsi" w:eastAsia="Times New Roman" w:hAnsiTheme="minorHAnsi"/>
                <w:sz w:val="18"/>
                <w:szCs w:val="18"/>
              </w:rPr>
            </w:pPr>
            <w:r w:rsidRPr="00374CC9">
              <w:rPr>
                <w:rFonts w:asciiTheme="minorHAnsi" w:eastAsia="Times New Roman" w:hAnsiTheme="minorHAnsi"/>
                <w:sz w:val="18"/>
                <w:szCs w:val="18"/>
              </w:rPr>
              <w:t>5.3</w:t>
            </w:r>
          </w:p>
        </w:tc>
      </w:tr>
    </w:tbl>
    <w:p w14:paraId="636CA1A0" w14:textId="77777777" w:rsidR="007A1DC5" w:rsidRDefault="00BE61A2" w:rsidP="007A1DC5">
      <w:pPr>
        <w:pStyle w:val="CDIfootnotes"/>
        <w:spacing w:line="240" w:lineRule="auto"/>
        <w:ind w:left="720" w:hanging="720"/>
      </w:pPr>
      <w:r w:rsidRPr="00B657E0">
        <w:t>*</w:t>
      </w:r>
      <w:r w:rsidRPr="00B657E0">
        <w:tab/>
        <w:t>Newly acquired hepatitis and syphilis &lt; 2 years duration includes cases where the infection was determined to be acquired withi</w:t>
      </w:r>
      <w:r w:rsidR="007A1DC5">
        <w:t>n 24 months prior to diagnosis.</w:t>
      </w:r>
    </w:p>
    <w:p w14:paraId="59816DA9" w14:textId="77777777" w:rsidR="007A1DC5" w:rsidRDefault="00BE61A2" w:rsidP="007A1DC5">
      <w:pPr>
        <w:pStyle w:val="CDIfootnotes"/>
        <w:spacing w:line="240" w:lineRule="auto"/>
        <w:ind w:left="720" w:hanging="720"/>
      </w:pPr>
      <w:r w:rsidRPr="00B657E0">
        <w:t>†</w:t>
      </w:r>
      <w:r w:rsidRPr="00B657E0">
        <w:tab/>
        <w:t xml:space="preserve">Unspecified hepatitis and syphilis </w:t>
      </w:r>
      <w:proofErr w:type="gramStart"/>
      <w:r w:rsidRPr="00B657E0">
        <w:t>includes</w:t>
      </w:r>
      <w:proofErr w:type="gramEnd"/>
      <w:r w:rsidRPr="00B657E0">
        <w:t xml:space="preserve"> cases where the duration of infection could not be determine</w:t>
      </w:r>
      <w:r w:rsidR="007A1DC5">
        <w:t>d or is greater than 24 months.</w:t>
      </w:r>
    </w:p>
    <w:p w14:paraId="5558D3DF" w14:textId="77777777" w:rsidR="007A1DC5" w:rsidRDefault="00BE61A2" w:rsidP="007A1DC5">
      <w:pPr>
        <w:pStyle w:val="CDIfootnotes"/>
        <w:spacing w:line="240" w:lineRule="auto"/>
        <w:ind w:left="720" w:hanging="720"/>
      </w:pPr>
      <w:r w:rsidRPr="00B657E0">
        <w:t>‡</w:t>
      </w:r>
      <w:r w:rsidRPr="00B657E0">
        <w:tab/>
        <w:t>In Queensland, includes ne</w:t>
      </w:r>
      <w:r w:rsidR="007A1DC5">
        <w:t>wly acquired hepatitis C cases.</w:t>
      </w:r>
    </w:p>
    <w:p w14:paraId="4BC4E5EE" w14:textId="77777777" w:rsidR="007A1DC5" w:rsidRDefault="00BE61A2" w:rsidP="007A1DC5">
      <w:pPr>
        <w:pStyle w:val="CDIfootnotes"/>
        <w:spacing w:line="240" w:lineRule="auto"/>
        <w:ind w:left="720" w:hanging="720"/>
      </w:pPr>
      <w:r w:rsidRPr="00B657E0">
        <w:t>§</w:t>
      </w:r>
      <w:r w:rsidRPr="00B657E0">
        <w:tab/>
        <w:t>From 1 January 2016 a case definition for paratyphoid was created and for the first it became reportable as a separate condition from Salmonella. Changes were made to paratyphoid notific</w:t>
      </w:r>
      <w:r w:rsidR="007A1DC5">
        <w:t>ations retrospectively to 1991.</w:t>
      </w:r>
    </w:p>
    <w:p w14:paraId="5BB5C615" w14:textId="77777777" w:rsidR="007A1DC5" w:rsidRDefault="00BE61A2" w:rsidP="007A1DC5">
      <w:pPr>
        <w:pStyle w:val="CDIfootnotes"/>
        <w:spacing w:line="240" w:lineRule="auto"/>
        <w:ind w:left="720" w:hanging="720"/>
      </w:pPr>
      <w:r w:rsidRPr="00B657E0">
        <w:t>||</w:t>
      </w:r>
      <w:r w:rsidRPr="00B657E0">
        <w:tab/>
        <w:t>Includes Chlamydia trachomatis identified from cervical, rectal, urine, urethral and throat samples, except for South Australia, which reports only cervical</w:t>
      </w:r>
      <w:r w:rsidR="007A1DC5">
        <w:t>, urine and urethral specimens.</w:t>
      </w:r>
    </w:p>
    <w:p w14:paraId="677CFFAC" w14:textId="77777777" w:rsidR="007A1DC5" w:rsidRDefault="00BE61A2" w:rsidP="007A1DC5">
      <w:pPr>
        <w:pStyle w:val="CDIfootnotes"/>
        <w:spacing w:line="240" w:lineRule="auto"/>
        <w:ind w:left="720" w:hanging="720"/>
      </w:pPr>
      <w:r w:rsidRPr="00B657E0">
        <w:t xml:space="preserve">¶ </w:t>
      </w:r>
      <w:r w:rsidRPr="00B657E0">
        <w:tab/>
        <w:t>The national case definitions for chlamydial, gonococcal and syphilis diagnoses include infections that may be acquired through a non-sexual mode (especially in children – e.g. perinatal infections, epide</w:t>
      </w:r>
      <w:r w:rsidR="007A1DC5">
        <w:t>mic gonococcal conjunctivitis).</w:t>
      </w:r>
    </w:p>
    <w:p w14:paraId="416966D7" w14:textId="77777777" w:rsidR="007A1DC5" w:rsidRDefault="00BE61A2" w:rsidP="007A1DC5">
      <w:pPr>
        <w:pStyle w:val="CDIfootnotes"/>
        <w:spacing w:line="240" w:lineRule="auto"/>
        <w:ind w:left="720" w:hanging="720"/>
      </w:pPr>
      <w:r w:rsidRPr="00B657E0">
        <w:t>**</w:t>
      </w:r>
      <w:r w:rsidRPr="00B657E0">
        <w:tab/>
        <w:t xml:space="preserve">Data for all states and territories are reported by diagnosis date, except Queensland, where data are reported by notification </w:t>
      </w:r>
      <w:r w:rsidR="007A1DC5">
        <w:t>received date.</w:t>
      </w:r>
    </w:p>
    <w:p w14:paraId="039B1B87" w14:textId="77777777" w:rsidR="007A1DC5" w:rsidRDefault="00BE61A2" w:rsidP="007A1DC5">
      <w:pPr>
        <w:pStyle w:val="CDIfootnotes"/>
        <w:spacing w:line="240" w:lineRule="auto"/>
        <w:ind w:left="720" w:hanging="720"/>
      </w:pPr>
      <w:r w:rsidRPr="00B657E0">
        <w:t>††</w:t>
      </w:r>
      <w:r w:rsidRPr="00B657E0">
        <w:tab/>
      </w:r>
      <w:r w:rsidR="003A4C0F" w:rsidRPr="00B657E0">
        <w:t>Arbovirus</w:t>
      </w:r>
      <w:r w:rsidRPr="00B657E0">
        <w:t xml:space="preserve"> infection NEC changed to flavivirus </w:t>
      </w:r>
      <w:r w:rsidR="007A1DC5">
        <w:t>infection (unspecified) in 2015</w:t>
      </w:r>
    </w:p>
    <w:p w14:paraId="707BC037" w14:textId="77777777" w:rsidR="007A1DC5" w:rsidRDefault="00BE61A2" w:rsidP="007A1DC5">
      <w:pPr>
        <w:pStyle w:val="CDIfootnotes"/>
        <w:spacing w:line="240" w:lineRule="auto"/>
        <w:ind w:left="720" w:hanging="720"/>
      </w:pPr>
      <w:r w:rsidRPr="00B657E0">
        <w:t>‡‡</w:t>
      </w:r>
      <w:r w:rsidRPr="00B657E0">
        <w:tab/>
        <w:t xml:space="preserve">Only invasive meningococcal disease is nationally notifiable. However, the Australian Capital Territory and New South Wales </w:t>
      </w:r>
      <w:r w:rsidR="007A1DC5">
        <w:t>also report conjunctival cases.</w:t>
      </w:r>
    </w:p>
    <w:p w14:paraId="5689E455" w14:textId="77777777" w:rsidR="007A1DC5" w:rsidRDefault="007A1DC5" w:rsidP="007A1DC5">
      <w:pPr>
        <w:pStyle w:val="CDIfootnotes"/>
        <w:spacing w:line="240" w:lineRule="auto"/>
        <w:ind w:left="720" w:hanging="720"/>
      </w:pPr>
      <w:r>
        <w:t>NEC</w:t>
      </w:r>
      <w:r>
        <w:tab/>
        <w:t>Not elsewhere classified.</w:t>
      </w:r>
    </w:p>
    <w:p w14:paraId="03096F84" w14:textId="77777777" w:rsidR="00BE61A2" w:rsidRPr="00B657E0" w:rsidRDefault="00BE61A2" w:rsidP="007A1DC5">
      <w:pPr>
        <w:pStyle w:val="CDIfootnotes"/>
        <w:spacing w:line="240" w:lineRule="auto"/>
        <w:ind w:left="720" w:hanging="720"/>
      </w:pPr>
      <w:r w:rsidRPr="00B657E0">
        <w:t xml:space="preserve">NN </w:t>
      </w:r>
      <w:r w:rsidRPr="00B657E0">
        <w:tab/>
        <w:t xml:space="preserve">Not notifiable. </w:t>
      </w:r>
    </w:p>
    <w:p w14:paraId="1C07DE3E" w14:textId="77777777" w:rsidR="00041DDA" w:rsidRDefault="00041DDA" w:rsidP="00A72827">
      <w:pPr>
        <w:pStyle w:val="CDIFigures"/>
        <w:sectPr w:rsidR="00041DDA" w:rsidSect="00297B3A">
          <w:pgSz w:w="11906" w:h="16838"/>
          <w:pgMar w:top="720" w:right="720" w:bottom="1134" w:left="720" w:header="709" w:footer="284" w:gutter="0"/>
          <w:cols w:space="708"/>
          <w:titlePg/>
          <w:docGrid w:linePitch="360"/>
        </w:sectPr>
      </w:pPr>
    </w:p>
    <w:p w14:paraId="74E5A858" w14:textId="77777777" w:rsidR="00BE61A2" w:rsidRPr="00AE2F1B" w:rsidRDefault="00BE61A2" w:rsidP="00A72827">
      <w:pPr>
        <w:pStyle w:val="CDIFigures"/>
      </w:pPr>
      <w:r w:rsidRPr="00924A50">
        <w:lastRenderedPageBreak/>
        <w:t>Table 6: Notified cases and notification rate for communicable diseases, Australia, 2010 to 2015</w:t>
      </w:r>
    </w:p>
    <w:tbl>
      <w:tblPr>
        <w:tblStyle w:val="CDI-StandardTable"/>
        <w:tblW w:w="0" w:type="auto"/>
        <w:tblCellMar>
          <w:top w:w="142" w:type="dxa"/>
          <w:left w:w="142" w:type="dxa"/>
          <w:bottom w:w="142" w:type="dxa"/>
        </w:tblCellMar>
        <w:tblLook w:val="04A0" w:firstRow="1" w:lastRow="0" w:firstColumn="1" w:lastColumn="0" w:noHBand="0" w:noVBand="1"/>
        <w:tblDescription w:val="This table shows the number of notified cases and notification rates by disease category from 2010 to 2015, the 5 year mean and ratio of 2015 notifications to the 5 year mean for each disease.&#10;"/>
      </w:tblPr>
      <w:tblGrid>
        <w:gridCol w:w="3632"/>
        <w:gridCol w:w="843"/>
        <w:gridCol w:w="843"/>
        <w:gridCol w:w="843"/>
        <w:gridCol w:w="843"/>
        <w:gridCol w:w="843"/>
        <w:gridCol w:w="843"/>
        <w:gridCol w:w="1186"/>
        <w:gridCol w:w="720"/>
        <w:gridCol w:w="661"/>
        <w:gridCol w:w="661"/>
        <w:gridCol w:w="661"/>
        <w:gridCol w:w="661"/>
        <w:gridCol w:w="661"/>
        <w:gridCol w:w="661"/>
      </w:tblGrid>
      <w:tr w:rsidR="00BE61A2" w:rsidRPr="00374CC9" w14:paraId="1B76A8DA" w14:textId="77777777" w:rsidTr="00E16E6C">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2978352D" w14:textId="77777777" w:rsidR="00BE61A2" w:rsidRPr="007D1C35" w:rsidRDefault="00BE61A2">
            <w:pPr>
              <w:rPr>
                <w:rFonts w:eastAsia="Times New Roman"/>
                <w:b w:val="0"/>
                <w:color w:val="FFFFFF" w:themeColor="background1"/>
                <w:sz w:val="18"/>
                <w:szCs w:val="18"/>
              </w:rPr>
            </w:pPr>
            <w:r w:rsidRPr="007D1C35">
              <w:rPr>
                <w:rFonts w:eastAsia="Times New Roman"/>
                <w:color w:val="FFFFFF" w:themeColor="background1"/>
                <w:sz w:val="18"/>
                <w:szCs w:val="18"/>
              </w:rPr>
              <w:t>Disease</w:t>
            </w:r>
          </w:p>
        </w:tc>
        <w:tc>
          <w:tcPr>
            <w:tcW w:w="0" w:type="auto"/>
            <w:gridSpan w:val="6"/>
            <w:hideMark/>
          </w:tcPr>
          <w:p w14:paraId="039CC6E8" w14:textId="77777777" w:rsidR="00BE61A2" w:rsidRPr="007D1C35" w:rsidRDefault="00BE61A2" w:rsidP="00E16E6C">
            <w:pPr>
              <w:jc w:val="center"/>
              <w:rPr>
                <w:rFonts w:eastAsia="Times New Roman"/>
                <w:color w:val="FFFFFF" w:themeColor="background1"/>
                <w:sz w:val="18"/>
                <w:szCs w:val="18"/>
              </w:rPr>
            </w:pPr>
            <w:r w:rsidRPr="007D1C35">
              <w:rPr>
                <w:rFonts w:eastAsia="Times New Roman"/>
                <w:color w:val="FFFFFF" w:themeColor="background1"/>
                <w:sz w:val="18"/>
                <w:szCs w:val="18"/>
              </w:rPr>
              <w:t>Number of notified cases</w:t>
            </w:r>
          </w:p>
        </w:tc>
        <w:tc>
          <w:tcPr>
            <w:tcW w:w="0" w:type="auto"/>
            <w:vMerge w:val="restart"/>
            <w:hideMark/>
          </w:tcPr>
          <w:p w14:paraId="308777AB"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5 year mean</w:t>
            </w:r>
          </w:p>
        </w:tc>
        <w:tc>
          <w:tcPr>
            <w:tcW w:w="0" w:type="auto"/>
            <w:vMerge w:val="restart"/>
            <w:textDirection w:val="btLr"/>
            <w:hideMark/>
          </w:tcPr>
          <w:p w14:paraId="5806963D" w14:textId="77777777" w:rsidR="00BE61A2" w:rsidRPr="007D1C35" w:rsidRDefault="00BE61A2" w:rsidP="00E16E6C">
            <w:pPr>
              <w:ind w:left="113" w:right="113"/>
              <w:rPr>
                <w:rFonts w:eastAsia="Times New Roman"/>
                <w:color w:val="FFFFFF" w:themeColor="background1"/>
                <w:sz w:val="18"/>
                <w:szCs w:val="18"/>
              </w:rPr>
            </w:pPr>
            <w:r w:rsidRPr="007D1C35">
              <w:rPr>
                <w:rFonts w:eastAsia="Times New Roman"/>
                <w:color w:val="FFFFFF" w:themeColor="background1"/>
                <w:sz w:val="18"/>
                <w:szCs w:val="18"/>
              </w:rPr>
              <w:t xml:space="preserve">Ratio </w:t>
            </w:r>
            <w:r w:rsidRPr="007D1C35">
              <w:rPr>
                <w:rFonts w:eastAsia="Times New Roman"/>
                <w:color w:val="FFFFFF" w:themeColor="background1"/>
                <w:sz w:val="18"/>
                <w:szCs w:val="18"/>
              </w:rPr>
              <w:br/>
              <w:t>(2015: 5 year mean)</w:t>
            </w:r>
          </w:p>
        </w:tc>
        <w:tc>
          <w:tcPr>
            <w:tcW w:w="0" w:type="auto"/>
            <w:gridSpan w:val="6"/>
            <w:hideMark/>
          </w:tcPr>
          <w:p w14:paraId="0FBE8811" w14:textId="77777777" w:rsidR="00BE61A2" w:rsidRPr="007D1C35" w:rsidRDefault="00BE61A2" w:rsidP="00E16E6C">
            <w:pPr>
              <w:jc w:val="center"/>
              <w:rPr>
                <w:rFonts w:eastAsia="Times New Roman"/>
                <w:color w:val="FFFFFF" w:themeColor="background1"/>
                <w:sz w:val="18"/>
                <w:szCs w:val="18"/>
              </w:rPr>
            </w:pPr>
            <w:r w:rsidRPr="007D1C35">
              <w:rPr>
                <w:rFonts w:eastAsia="Times New Roman"/>
                <w:color w:val="FFFFFF" w:themeColor="background1"/>
                <w:sz w:val="18"/>
                <w:szCs w:val="18"/>
              </w:rPr>
              <w:t>Notification rate per 100,000</w:t>
            </w:r>
          </w:p>
        </w:tc>
      </w:tr>
      <w:tr w:rsidR="00EE19C2" w:rsidRPr="00374CC9" w14:paraId="424E1019" w14:textId="77777777" w:rsidTr="00E16E6C">
        <w:trPr>
          <w:cnfStyle w:val="100000000000" w:firstRow="1" w:lastRow="0" w:firstColumn="0" w:lastColumn="0" w:oddVBand="0" w:evenVBand="0" w:oddHBand="0" w:evenHBand="0" w:firstRowFirstColumn="0" w:firstRowLastColumn="0" w:lastRowFirstColumn="0" w:lastRowLastColumn="0"/>
          <w:trHeight w:val="1312"/>
          <w:tblHeader/>
        </w:trPr>
        <w:tc>
          <w:tcPr>
            <w:tcW w:w="0" w:type="auto"/>
            <w:vMerge/>
            <w:hideMark/>
          </w:tcPr>
          <w:p w14:paraId="32388146" w14:textId="77777777" w:rsidR="00BE61A2" w:rsidRPr="007D1C35" w:rsidRDefault="00BE61A2">
            <w:pPr>
              <w:rPr>
                <w:rFonts w:eastAsia="Times New Roman"/>
                <w:color w:val="FFFFFF" w:themeColor="background1"/>
                <w:sz w:val="18"/>
                <w:szCs w:val="18"/>
              </w:rPr>
            </w:pPr>
          </w:p>
        </w:tc>
        <w:tc>
          <w:tcPr>
            <w:tcW w:w="0" w:type="auto"/>
            <w:hideMark/>
          </w:tcPr>
          <w:p w14:paraId="3CC4183F" w14:textId="77777777" w:rsidR="00BE61A2" w:rsidRPr="007D1C35" w:rsidRDefault="00BE61A2" w:rsidP="00E16E6C">
            <w:pPr>
              <w:rPr>
                <w:rFonts w:eastAsia="Times New Roman"/>
                <w:color w:val="FFFFFF" w:themeColor="background1"/>
                <w:sz w:val="18"/>
                <w:szCs w:val="18"/>
              </w:rPr>
            </w:pPr>
            <w:r w:rsidRPr="007D1C35">
              <w:rPr>
                <w:rFonts w:eastAsia="Times New Roman"/>
                <w:color w:val="FFFFFF" w:themeColor="background1"/>
                <w:sz w:val="18"/>
                <w:szCs w:val="18"/>
              </w:rPr>
              <w:t>2010</w:t>
            </w:r>
          </w:p>
        </w:tc>
        <w:tc>
          <w:tcPr>
            <w:tcW w:w="0" w:type="auto"/>
            <w:hideMark/>
          </w:tcPr>
          <w:p w14:paraId="49E2FD1B" w14:textId="77777777" w:rsidR="00BE61A2" w:rsidRPr="007D1C35" w:rsidRDefault="00BE61A2" w:rsidP="00E16E6C">
            <w:pPr>
              <w:rPr>
                <w:rFonts w:eastAsia="Times New Roman"/>
                <w:color w:val="FFFFFF" w:themeColor="background1"/>
                <w:sz w:val="18"/>
                <w:szCs w:val="18"/>
              </w:rPr>
            </w:pPr>
            <w:r w:rsidRPr="007D1C35">
              <w:rPr>
                <w:rFonts w:eastAsia="Times New Roman"/>
                <w:color w:val="FFFFFF" w:themeColor="background1"/>
                <w:sz w:val="18"/>
                <w:szCs w:val="18"/>
              </w:rPr>
              <w:t>2011</w:t>
            </w:r>
          </w:p>
        </w:tc>
        <w:tc>
          <w:tcPr>
            <w:tcW w:w="0" w:type="auto"/>
            <w:hideMark/>
          </w:tcPr>
          <w:p w14:paraId="2414D4F2" w14:textId="77777777" w:rsidR="00BE61A2" w:rsidRPr="007D1C35" w:rsidRDefault="00BE61A2" w:rsidP="00E16E6C">
            <w:pPr>
              <w:rPr>
                <w:rFonts w:eastAsia="Times New Roman"/>
                <w:color w:val="FFFFFF" w:themeColor="background1"/>
                <w:sz w:val="18"/>
                <w:szCs w:val="18"/>
              </w:rPr>
            </w:pPr>
            <w:r w:rsidRPr="007D1C35">
              <w:rPr>
                <w:rFonts w:eastAsia="Times New Roman"/>
                <w:color w:val="FFFFFF" w:themeColor="background1"/>
                <w:sz w:val="18"/>
                <w:szCs w:val="18"/>
              </w:rPr>
              <w:t>2012</w:t>
            </w:r>
          </w:p>
        </w:tc>
        <w:tc>
          <w:tcPr>
            <w:tcW w:w="0" w:type="auto"/>
            <w:hideMark/>
          </w:tcPr>
          <w:p w14:paraId="4E39FD1D" w14:textId="77777777" w:rsidR="00BE61A2" w:rsidRPr="007D1C35" w:rsidRDefault="00BE61A2" w:rsidP="00E16E6C">
            <w:pPr>
              <w:rPr>
                <w:rFonts w:eastAsia="Times New Roman"/>
                <w:color w:val="FFFFFF" w:themeColor="background1"/>
                <w:sz w:val="18"/>
                <w:szCs w:val="18"/>
              </w:rPr>
            </w:pPr>
            <w:r w:rsidRPr="007D1C35">
              <w:rPr>
                <w:rFonts w:eastAsia="Times New Roman"/>
                <w:color w:val="FFFFFF" w:themeColor="background1"/>
                <w:sz w:val="18"/>
                <w:szCs w:val="18"/>
              </w:rPr>
              <w:t>2013</w:t>
            </w:r>
          </w:p>
        </w:tc>
        <w:tc>
          <w:tcPr>
            <w:tcW w:w="0" w:type="auto"/>
            <w:hideMark/>
          </w:tcPr>
          <w:p w14:paraId="21B01A07" w14:textId="77777777" w:rsidR="00BE61A2" w:rsidRPr="007D1C35" w:rsidRDefault="00BE61A2" w:rsidP="00E16E6C">
            <w:pPr>
              <w:rPr>
                <w:rFonts w:eastAsia="Times New Roman"/>
                <w:color w:val="FFFFFF" w:themeColor="background1"/>
                <w:sz w:val="18"/>
                <w:szCs w:val="18"/>
              </w:rPr>
            </w:pPr>
            <w:r w:rsidRPr="007D1C35">
              <w:rPr>
                <w:rFonts w:eastAsia="Times New Roman"/>
                <w:color w:val="FFFFFF" w:themeColor="background1"/>
                <w:sz w:val="18"/>
                <w:szCs w:val="18"/>
              </w:rPr>
              <w:t>2014</w:t>
            </w:r>
          </w:p>
        </w:tc>
        <w:tc>
          <w:tcPr>
            <w:tcW w:w="0" w:type="auto"/>
            <w:hideMark/>
          </w:tcPr>
          <w:p w14:paraId="7BE345DF" w14:textId="77777777" w:rsidR="00BE61A2" w:rsidRPr="007D1C35" w:rsidRDefault="00BE61A2" w:rsidP="00E16E6C">
            <w:pPr>
              <w:rPr>
                <w:rFonts w:eastAsia="Times New Roman"/>
                <w:color w:val="FFFFFF" w:themeColor="background1"/>
                <w:sz w:val="18"/>
                <w:szCs w:val="18"/>
              </w:rPr>
            </w:pPr>
            <w:r w:rsidRPr="007D1C35">
              <w:rPr>
                <w:rFonts w:eastAsia="Times New Roman"/>
                <w:color w:val="FFFFFF" w:themeColor="background1"/>
                <w:sz w:val="18"/>
                <w:szCs w:val="18"/>
              </w:rPr>
              <w:t>2015</w:t>
            </w:r>
          </w:p>
        </w:tc>
        <w:tc>
          <w:tcPr>
            <w:tcW w:w="0" w:type="auto"/>
            <w:vMerge/>
            <w:hideMark/>
          </w:tcPr>
          <w:p w14:paraId="58FC7937" w14:textId="77777777" w:rsidR="00BE61A2" w:rsidRPr="007D1C35" w:rsidRDefault="00BE61A2">
            <w:pPr>
              <w:rPr>
                <w:rFonts w:eastAsia="Times New Roman"/>
                <w:color w:val="FFFFFF" w:themeColor="background1"/>
                <w:sz w:val="18"/>
                <w:szCs w:val="18"/>
              </w:rPr>
            </w:pPr>
          </w:p>
        </w:tc>
        <w:tc>
          <w:tcPr>
            <w:tcW w:w="0" w:type="auto"/>
            <w:vMerge/>
            <w:hideMark/>
          </w:tcPr>
          <w:p w14:paraId="68C320E6" w14:textId="77777777" w:rsidR="00BE61A2" w:rsidRPr="007D1C35" w:rsidRDefault="00BE61A2">
            <w:pPr>
              <w:rPr>
                <w:rFonts w:eastAsia="Times New Roman"/>
                <w:color w:val="FFFFFF" w:themeColor="background1"/>
                <w:sz w:val="18"/>
                <w:szCs w:val="18"/>
              </w:rPr>
            </w:pPr>
          </w:p>
        </w:tc>
        <w:tc>
          <w:tcPr>
            <w:tcW w:w="0" w:type="auto"/>
            <w:hideMark/>
          </w:tcPr>
          <w:p w14:paraId="20D2034E"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2010</w:t>
            </w:r>
          </w:p>
        </w:tc>
        <w:tc>
          <w:tcPr>
            <w:tcW w:w="0" w:type="auto"/>
            <w:hideMark/>
          </w:tcPr>
          <w:p w14:paraId="33D58275"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2011</w:t>
            </w:r>
          </w:p>
        </w:tc>
        <w:tc>
          <w:tcPr>
            <w:tcW w:w="0" w:type="auto"/>
            <w:hideMark/>
          </w:tcPr>
          <w:p w14:paraId="20FA820C"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2012</w:t>
            </w:r>
          </w:p>
        </w:tc>
        <w:tc>
          <w:tcPr>
            <w:tcW w:w="0" w:type="auto"/>
            <w:hideMark/>
          </w:tcPr>
          <w:p w14:paraId="455BBB09"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2013</w:t>
            </w:r>
          </w:p>
        </w:tc>
        <w:tc>
          <w:tcPr>
            <w:tcW w:w="0" w:type="auto"/>
            <w:hideMark/>
          </w:tcPr>
          <w:p w14:paraId="6B231658"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2014</w:t>
            </w:r>
          </w:p>
        </w:tc>
        <w:tc>
          <w:tcPr>
            <w:tcW w:w="0" w:type="auto"/>
            <w:hideMark/>
          </w:tcPr>
          <w:p w14:paraId="3C1D1226"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2015</w:t>
            </w:r>
          </w:p>
        </w:tc>
      </w:tr>
      <w:tr w:rsidR="00BE61A2" w:rsidRPr="00374CC9" w14:paraId="09DEC085" w14:textId="77777777" w:rsidTr="00240D6D">
        <w:tblPrEx>
          <w:tblCellMar>
            <w:right w:w="108" w:type="dxa"/>
          </w:tblCellMar>
        </w:tblPrEx>
        <w:tc>
          <w:tcPr>
            <w:tcW w:w="0" w:type="auto"/>
            <w:gridSpan w:val="15"/>
            <w:shd w:val="clear" w:color="auto" w:fill="D9D9D9" w:themeFill="background1" w:themeFillShade="D9"/>
            <w:hideMark/>
          </w:tcPr>
          <w:p w14:paraId="47CC762F" w14:textId="77777777" w:rsidR="00BE61A2" w:rsidRPr="00240D6D" w:rsidRDefault="00BE61A2" w:rsidP="00E16E6C">
            <w:pPr>
              <w:rPr>
                <w:rFonts w:asciiTheme="minorHAnsi" w:eastAsia="Times New Roman" w:hAnsiTheme="minorHAnsi"/>
                <w:b/>
                <w:sz w:val="18"/>
                <w:szCs w:val="18"/>
              </w:rPr>
            </w:pPr>
            <w:r w:rsidRPr="00240D6D">
              <w:rPr>
                <w:rFonts w:asciiTheme="minorHAnsi" w:eastAsia="Times New Roman" w:hAnsiTheme="minorHAnsi"/>
                <w:b/>
                <w:sz w:val="18"/>
                <w:szCs w:val="18"/>
              </w:rPr>
              <w:t>Bloodborne diseases</w:t>
            </w:r>
          </w:p>
        </w:tc>
      </w:tr>
      <w:tr w:rsidR="00EE19C2" w:rsidRPr="00374CC9" w14:paraId="4CB44C70"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18C60D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Hepatitis B (newly acquired)</w:t>
            </w:r>
            <w:r w:rsidRPr="00374CC9">
              <w:rPr>
                <w:rFonts w:asciiTheme="minorHAnsi" w:eastAsia="Times New Roman" w:hAnsiTheme="minorHAnsi"/>
                <w:sz w:val="18"/>
                <w:szCs w:val="18"/>
                <w:vertAlign w:val="superscript"/>
              </w:rPr>
              <w:t>*</w:t>
            </w:r>
          </w:p>
        </w:tc>
        <w:tc>
          <w:tcPr>
            <w:tcW w:w="0" w:type="auto"/>
            <w:hideMark/>
          </w:tcPr>
          <w:p w14:paraId="416B1C19"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233</w:t>
            </w:r>
          </w:p>
        </w:tc>
        <w:tc>
          <w:tcPr>
            <w:tcW w:w="0" w:type="auto"/>
            <w:hideMark/>
          </w:tcPr>
          <w:p w14:paraId="4521D3AF"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189</w:t>
            </w:r>
          </w:p>
        </w:tc>
        <w:tc>
          <w:tcPr>
            <w:tcW w:w="0" w:type="auto"/>
            <w:hideMark/>
          </w:tcPr>
          <w:p w14:paraId="3DC2A9EE"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192</w:t>
            </w:r>
          </w:p>
        </w:tc>
        <w:tc>
          <w:tcPr>
            <w:tcW w:w="0" w:type="auto"/>
            <w:hideMark/>
          </w:tcPr>
          <w:p w14:paraId="6FFDE2A1"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174</w:t>
            </w:r>
          </w:p>
        </w:tc>
        <w:tc>
          <w:tcPr>
            <w:tcW w:w="0" w:type="auto"/>
            <w:hideMark/>
          </w:tcPr>
          <w:p w14:paraId="79EC2C27"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171</w:t>
            </w:r>
          </w:p>
        </w:tc>
        <w:tc>
          <w:tcPr>
            <w:tcW w:w="0" w:type="auto"/>
            <w:hideMark/>
          </w:tcPr>
          <w:p w14:paraId="7466C322"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140</w:t>
            </w:r>
          </w:p>
        </w:tc>
        <w:tc>
          <w:tcPr>
            <w:tcW w:w="0" w:type="auto"/>
            <w:hideMark/>
          </w:tcPr>
          <w:p w14:paraId="2558F00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191.8</w:t>
            </w:r>
          </w:p>
        </w:tc>
        <w:tc>
          <w:tcPr>
            <w:tcW w:w="0" w:type="auto"/>
            <w:hideMark/>
          </w:tcPr>
          <w:p w14:paraId="5FFC2B8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0.7</w:t>
            </w:r>
          </w:p>
        </w:tc>
        <w:tc>
          <w:tcPr>
            <w:tcW w:w="0" w:type="auto"/>
            <w:hideMark/>
          </w:tcPr>
          <w:p w14:paraId="681FD49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1.1</w:t>
            </w:r>
          </w:p>
        </w:tc>
        <w:tc>
          <w:tcPr>
            <w:tcW w:w="0" w:type="auto"/>
            <w:hideMark/>
          </w:tcPr>
          <w:p w14:paraId="282B247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0.8</w:t>
            </w:r>
          </w:p>
        </w:tc>
        <w:tc>
          <w:tcPr>
            <w:tcW w:w="0" w:type="auto"/>
            <w:hideMark/>
          </w:tcPr>
          <w:p w14:paraId="1A23600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0.8</w:t>
            </w:r>
          </w:p>
        </w:tc>
        <w:tc>
          <w:tcPr>
            <w:tcW w:w="0" w:type="auto"/>
            <w:hideMark/>
          </w:tcPr>
          <w:p w14:paraId="5A286C4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0.8</w:t>
            </w:r>
          </w:p>
        </w:tc>
        <w:tc>
          <w:tcPr>
            <w:tcW w:w="0" w:type="auto"/>
            <w:hideMark/>
          </w:tcPr>
          <w:p w14:paraId="5BCE90F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0.7</w:t>
            </w:r>
          </w:p>
        </w:tc>
        <w:tc>
          <w:tcPr>
            <w:tcW w:w="0" w:type="auto"/>
            <w:hideMark/>
          </w:tcPr>
          <w:p w14:paraId="1E9B73C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0.6</w:t>
            </w:r>
          </w:p>
        </w:tc>
      </w:tr>
      <w:tr w:rsidR="00EE19C2" w:rsidRPr="00374CC9" w14:paraId="43509182" w14:textId="77777777" w:rsidTr="000A4FFE">
        <w:tblPrEx>
          <w:tblCellMar>
            <w:right w:w="108" w:type="dxa"/>
          </w:tblCellMar>
        </w:tblPrEx>
        <w:tc>
          <w:tcPr>
            <w:tcW w:w="0" w:type="auto"/>
            <w:hideMark/>
          </w:tcPr>
          <w:p w14:paraId="3BE54DA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Hepatitis B (unspecified)</w:t>
            </w:r>
            <w:r w:rsidRPr="00374CC9">
              <w:rPr>
                <w:rFonts w:asciiTheme="minorHAnsi" w:eastAsia="Times New Roman" w:hAnsiTheme="minorHAnsi"/>
                <w:sz w:val="18"/>
                <w:szCs w:val="18"/>
                <w:vertAlign w:val="superscript"/>
              </w:rPr>
              <w:t>†</w:t>
            </w:r>
          </w:p>
        </w:tc>
        <w:tc>
          <w:tcPr>
            <w:tcW w:w="0" w:type="auto"/>
            <w:hideMark/>
          </w:tcPr>
          <w:p w14:paraId="66E13897"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6,763</w:t>
            </w:r>
          </w:p>
        </w:tc>
        <w:tc>
          <w:tcPr>
            <w:tcW w:w="0" w:type="auto"/>
            <w:hideMark/>
          </w:tcPr>
          <w:p w14:paraId="6944DDC8"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6,328</w:t>
            </w:r>
          </w:p>
        </w:tc>
        <w:tc>
          <w:tcPr>
            <w:tcW w:w="0" w:type="auto"/>
            <w:hideMark/>
          </w:tcPr>
          <w:p w14:paraId="11FD3533"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6,384</w:t>
            </w:r>
          </w:p>
        </w:tc>
        <w:tc>
          <w:tcPr>
            <w:tcW w:w="0" w:type="auto"/>
            <w:hideMark/>
          </w:tcPr>
          <w:p w14:paraId="39EE9C73"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6,864</w:t>
            </w:r>
          </w:p>
        </w:tc>
        <w:tc>
          <w:tcPr>
            <w:tcW w:w="0" w:type="auto"/>
            <w:hideMark/>
          </w:tcPr>
          <w:p w14:paraId="11F4C717"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6,399</w:t>
            </w:r>
          </w:p>
        </w:tc>
        <w:tc>
          <w:tcPr>
            <w:tcW w:w="0" w:type="auto"/>
            <w:hideMark/>
          </w:tcPr>
          <w:p w14:paraId="768672A0"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6,365</w:t>
            </w:r>
          </w:p>
        </w:tc>
        <w:tc>
          <w:tcPr>
            <w:tcW w:w="0" w:type="auto"/>
            <w:hideMark/>
          </w:tcPr>
          <w:p w14:paraId="1EE869F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6,547.6</w:t>
            </w:r>
          </w:p>
        </w:tc>
        <w:tc>
          <w:tcPr>
            <w:tcW w:w="0" w:type="auto"/>
            <w:hideMark/>
          </w:tcPr>
          <w:p w14:paraId="553552A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w:t>
            </w:r>
          </w:p>
        </w:tc>
        <w:tc>
          <w:tcPr>
            <w:tcW w:w="0" w:type="auto"/>
            <w:hideMark/>
          </w:tcPr>
          <w:p w14:paraId="79B01C5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30.7</w:t>
            </w:r>
          </w:p>
        </w:tc>
        <w:tc>
          <w:tcPr>
            <w:tcW w:w="0" w:type="auto"/>
            <w:hideMark/>
          </w:tcPr>
          <w:p w14:paraId="743D243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28.3</w:t>
            </w:r>
          </w:p>
        </w:tc>
        <w:tc>
          <w:tcPr>
            <w:tcW w:w="0" w:type="auto"/>
            <w:hideMark/>
          </w:tcPr>
          <w:p w14:paraId="68A3BC6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28.1</w:t>
            </w:r>
          </w:p>
        </w:tc>
        <w:tc>
          <w:tcPr>
            <w:tcW w:w="0" w:type="auto"/>
            <w:hideMark/>
          </w:tcPr>
          <w:p w14:paraId="6C80AF6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29.7</w:t>
            </w:r>
          </w:p>
        </w:tc>
        <w:tc>
          <w:tcPr>
            <w:tcW w:w="0" w:type="auto"/>
            <w:hideMark/>
          </w:tcPr>
          <w:p w14:paraId="1FD72F9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27.3</w:t>
            </w:r>
          </w:p>
        </w:tc>
        <w:tc>
          <w:tcPr>
            <w:tcW w:w="0" w:type="auto"/>
            <w:hideMark/>
          </w:tcPr>
          <w:p w14:paraId="1D4A37E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26.8</w:t>
            </w:r>
          </w:p>
        </w:tc>
      </w:tr>
      <w:tr w:rsidR="00EE19C2" w:rsidRPr="00374CC9" w14:paraId="74613C86"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4EAFF3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Hepatitis C (newly acquired)</w:t>
            </w:r>
            <w:r w:rsidRPr="00374CC9">
              <w:rPr>
                <w:rFonts w:asciiTheme="minorHAnsi" w:eastAsia="Times New Roman" w:hAnsiTheme="minorHAnsi"/>
                <w:sz w:val="18"/>
                <w:szCs w:val="18"/>
                <w:vertAlign w:val="superscript"/>
              </w:rPr>
              <w:t>*‡</w:t>
            </w:r>
          </w:p>
        </w:tc>
        <w:tc>
          <w:tcPr>
            <w:tcW w:w="0" w:type="auto"/>
            <w:hideMark/>
          </w:tcPr>
          <w:p w14:paraId="464DDCC3"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383</w:t>
            </w:r>
          </w:p>
        </w:tc>
        <w:tc>
          <w:tcPr>
            <w:tcW w:w="0" w:type="auto"/>
            <w:hideMark/>
          </w:tcPr>
          <w:p w14:paraId="341B0161"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410</w:t>
            </w:r>
          </w:p>
        </w:tc>
        <w:tc>
          <w:tcPr>
            <w:tcW w:w="0" w:type="auto"/>
            <w:hideMark/>
          </w:tcPr>
          <w:p w14:paraId="0B10A63B"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471</w:t>
            </w:r>
          </w:p>
        </w:tc>
        <w:tc>
          <w:tcPr>
            <w:tcW w:w="0" w:type="auto"/>
            <w:hideMark/>
          </w:tcPr>
          <w:p w14:paraId="18C5DD8F"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399</w:t>
            </w:r>
          </w:p>
        </w:tc>
        <w:tc>
          <w:tcPr>
            <w:tcW w:w="0" w:type="auto"/>
            <w:hideMark/>
          </w:tcPr>
          <w:p w14:paraId="79D16C4C"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448</w:t>
            </w:r>
          </w:p>
        </w:tc>
        <w:tc>
          <w:tcPr>
            <w:tcW w:w="0" w:type="auto"/>
            <w:hideMark/>
          </w:tcPr>
          <w:p w14:paraId="72348609"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433</w:t>
            </w:r>
          </w:p>
        </w:tc>
        <w:tc>
          <w:tcPr>
            <w:tcW w:w="0" w:type="auto"/>
            <w:hideMark/>
          </w:tcPr>
          <w:p w14:paraId="6406ECC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422.2</w:t>
            </w:r>
          </w:p>
        </w:tc>
        <w:tc>
          <w:tcPr>
            <w:tcW w:w="0" w:type="auto"/>
            <w:hideMark/>
          </w:tcPr>
          <w:p w14:paraId="78B72CB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w:t>
            </w:r>
          </w:p>
        </w:tc>
        <w:tc>
          <w:tcPr>
            <w:tcW w:w="0" w:type="auto"/>
            <w:hideMark/>
          </w:tcPr>
          <w:p w14:paraId="263C5EA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2.2</w:t>
            </w:r>
          </w:p>
        </w:tc>
        <w:tc>
          <w:tcPr>
            <w:tcW w:w="0" w:type="auto"/>
            <w:hideMark/>
          </w:tcPr>
          <w:p w14:paraId="7508CAD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2.3</w:t>
            </w:r>
          </w:p>
        </w:tc>
        <w:tc>
          <w:tcPr>
            <w:tcW w:w="0" w:type="auto"/>
            <w:hideMark/>
          </w:tcPr>
          <w:p w14:paraId="6D59A81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2.6</w:t>
            </w:r>
          </w:p>
        </w:tc>
        <w:tc>
          <w:tcPr>
            <w:tcW w:w="0" w:type="auto"/>
            <w:hideMark/>
          </w:tcPr>
          <w:p w14:paraId="23915CA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2.2</w:t>
            </w:r>
          </w:p>
        </w:tc>
        <w:tc>
          <w:tcPr>
            <w:tcW w:w="0" w:type="auto"/>
            <w:hideMark/>
          </w:tcPr>
          <w:p w14:paraId="1A9B7F3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2.4</w:t>
            </w:r>
          </w:p>
        </w:tc>
        <w:tc>
          <w:tcPr>
            <w:tcW w:w="0" w:type="auto"/>
            <w:hideMark/>
          </w:tcPr>
          <w:p w14:paraId="5A6BCB4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2.3</w:t>
            </w:r>
          </w:p>
        </w:tc>
      </w:tr>
      <w:tr w:rsidR="00EE19C2" w:rsidRPr="00374CC9" w14:paraId="1570E2E4" w14:textId="77777777" w:rsidTr="000A4FFE">
        <w:tblPrEx>
          <w:tblCellMar>
            <w:right w:w="108" w:type="dxa"/>
          </w:tblCellMar>
        </w:tblPrEx>
        <w:tc>
          <w:tcPr>
            <w:tcW w:w="0" w:type="auto"/>
            <w:hideMark/>
          </w:tcPr>
          <w:p w14:paraId="515BDE8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 xml:space="preserve">Hepatitis C (unspecified) </w:t>
            </w:r>
            <w:r w:rsidRPr="00374CC9">
              <w:rPr>
                <w:rFonts w:asciiTheme="minorHAnsi" w:eastAsia="Times New Roman" w:hAnsiTheme="minorHAnsi"/>
                <w:sz w:val="18"/>
                <w:szCs w:val="18"/>
                <w:vertAlign w:val="superscript"/>
              </w:rPr>
              <w:t>†</w:t>
            </w:r>
          </w:p>
        </w:tc>
        <w:tc>
          <w:tcPr>
            <w:tcW w:w="0" w:type="auto"/>
            <w:hideMark/>
          </w:tcPr>
          <w:p w14:paraId="4C75F3C8"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11,019</w:t>
            </w:r>
          </w:p>
        </w:tc>
        <w:tc>
          <w:tcPr>
            <w:tcW w:w="0" w:type="auto"/>
            <w:hideMark/>
          </w:tcPr>
          <w:p w14:paraId="641625B5"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9,864</w:t>
            </w:r>
          </w:p>
        </w:tc>
        <w:tc>
          <w:tcPr>
            <w:tcW w:w="0" w:type="auto"/>
            <w:hideMark/>
          </w:tcPr>
          <w:p w14:paraId="40B179BB"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9,639</w:t>
            </w:r>
          </w:p>
        </w:tc>
        <w:tc>
          <w:tcPr>
            <w:tcW w:w="0" w:type="auto"/>
            <w:hideMark/>
          </w:tcPr>
          <w:p w14:paraId="7397C0C4"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10,307</w:t>
            </w:r>
          </w:p>
        </w:tc>
        <w:tc>
          <w:tcPr>
            <w:tcW w:w="0" w:type="auto"/>
            <w:hideMark/>
          </w:tcPr>
          <w:p w14:paraId="1FCB0422"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10,211</w:t>
            </w:r>
          </w:p>
        </w:tc>
        <w:tc>
          <w:tcPr>
            <w:tcW w:w="0" w:type="auto"/>
            <w:hideMark/>
          </w:tcPr>
          <w:p w14:paraId="4A6A599A"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10,360</w:t>
            </w:r>
          </w:p>
        </w:tc>
        <w:tc>
          <w:tcPr>
            <w:tcW w:w="0" w:type="auto"/>
            <w:hideMark/>
          </w:tcPr>
          <w:p w14:paraId="6CFC4D3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10,208.0</w:t>
            </w:r>
          </w:p>
        </w:tc>
        <w:tc>
          <w:tcPr>
            <w:tcW w:w="0" w:type="auto"/>
            <w:hideMark/>
          </w:tcPr>
          <w:p w14:paraId="262A78B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w:t>
            </w:r>
          </w:p>
        </w:tc>
        <w:tc>
          <w:tcPr>
            <w:tcW w:w="0" w:type="auto"/>
            <w:hideMark/>
          </w:tcPr>
          <w:p w14:paraId="4665E09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50.0</w:t>
            </w:r>
          </w:p>
        </w:tc>
        <w:tc>
          <w:tcPr>
            <w:tcW w:w="0" w:type="auto"/>
            <w:hideMark/>
          </w:tcPr>
          <w:p w14:paraId="4D64FD9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44.2</w:t>
            </w:r>
          </w:p>
        </w:tc>
        <w:tc>
          <w:tcPr>
            <w:tcW w:w="0" w:type="auto"/>
            <w:hideMark/>
          </w:tcPr>
          <w:p w14:paraId="36610DF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42.4</w:t>
            </w:r>
          </w:p>
        </w:tc>
        <w:tc>
          <w:tcPr>
            <w:tcW w:w="0" w:type="auto"/>
            <w:hideMark/>
          </w:tcPr>
          <w:p w14:paraId="4462094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44.6</w:t>
            </w:r>
          </w:p>
        </w:tc>
        <w:tc>
          <w:tcPr>
            <w:tcW w:w="0" w:type="auto"/>
            <w:hideMark/>
          </w:tcPr>
          <w:p w14:paraId="000B0AB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43.5</w:t>
            </w:r>
          </w:p>
        </w:tc>
        <w:tc>
          <w:tcPr>
            <w:tcW w:w="0" w:type="auto"/>
            <w:hideMark/>
          </w:tcPr>
          <w:p w14:paraId="42A6D61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43.6</w:t>
            </w:r>
          </w:p>
        </w:tc>
      </w:tr>
      <w:tr w:rsidR="00EE19C2" w:rsidRPr="00374CC9" w14:paraId="15258E5C"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6BD097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Hepatitis D</w:t>
            </w:r>
          </w:p>
        </w:tc>
        <w:tc>
          <w:tcPr>
            <w:tcW w:w="0" w:type="auto"/>
            <w:hideMark/>
          </w:tcPr>
          <w:p w14:paraId="3D20DC65"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44</w:t>
            </w:r>
          </w:p>
        </w:tc>
        <w:tc>
          <w:tcPr>
            <w:tcW w:w="0" w:type="auto"/>
            <w:hideMark/>
          </w:tcPr>
          <w:p w14:paraId="30B3D114"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48</w:t>
            </w:r>
          </w:p>
        </w:tc>
        <w:tc>
          <w:tcPr>
            <w:tcW w:w="0" w:type="auto"/>
            <w:hideMark/>
          </w:tcPr>
          <w:p w14:paraId="7D68C38E"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36</w:t>
            </w:r>
          </w:p>
        </w:tc>
        <w:tc>
          <w:tcPr>
            <w:tcW w:w="0" w:type="auto"/>
            <w:hideMark/>
          </w:tcPr>
          <w:p w14:paraId="37230FE1"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61</w:t>
            </w:r>
          </w:p>
        </w:tc>
        <w:tc>
          <w:tcPr>
            <w:tcW w:w="0" w:type="auto"/>
            <w:hideMark/>
          </w:tcPr>
          <w:p w14:paraId="5724F6CA"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57</w:t>
            </w:r>
          </w:p>
        </w:tc>
        <w:tc>
          <w:tcPr>
            <w:tcW w:w="0" w:type="auto"/>
            <w:hideMark/>
          </w:tcPr>
          <w:p w14:paraId="401C8B3C"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39</w:t>
            </w:r>
          </w:p>
        </w:tc>
        <w:tc>
          <w:tcPr>
            <w:tcW w:w="0" w:type="auto"/>
            <w:hideMark/>
          </w:tcPr>
          <w:p w14:paraId="22164D3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49.2</w:t>
            </w:r>
          </w:p>
        </w:tc>
        <w:tc>
          <w:tcPr>
            <w:tcW w:w="0" w:type="auto"/>
            <w:hideMark/>
          </w:tcPr>
          <w:p w14:paraId="4C9C4D2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0.8</w:t>
            </w:r>
          </w:p>
        </w:tc>
        <w:tc>
          <w:tcPr>
            <w:tcW w:w="0" w:type="auto"/>
            <w:hideMark/>
          </w:tcPr>
          <w:p w14:paraId="2349CBA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0.2</w:t>
            </w:r>
          </w:p>
        </w:tc>
        <w:tc>
          <w:tcPr>
            <w:tcW w:w="0" w:type="auto"/>
            <w:hideMark/>
          </w:tcPr>
          <w:p w14:paraId="6115CB3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0.2</w:t>
            </w:r>
          </w:p>
        </w:tc>
        <w:tc>
          <w:tcPr>
            <w:tcW w:w="0" w:type="auto"/>
            <w:hideMark/>
          </w:tcPr>
          <w:p w14:paraId="1C229E4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0.2</w:t>
            </w:r>
          </w:p>
        </w:tc>
        <w:tc>
          <w:tcPr>
            <w:tcW w:w="0" w:type="auto"/>
            <w:hideMark/>
          </w:tcPr>
          <w:p w14:paraId="771EEFB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0.3</w:t>
            </w:r>
          </w:p>
        </w:tc>
        <w:tc>
          <w:tcPr>
            <w:tcW w:w="0" w:type="auto"/>
            <w:hideMark/>
          </w:tcPr>
          <w:p w14:paraId="78DE5AB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0.2</w:t>
            </w:r>
          </w:p>
        </w:tc>
        <w:tc>
          <w:tcPr>
            <w:tcW w:w="0" w:type="auto"/>
            <w:hideMark/>
          </w:tcPr>
          <w:p w14:paraId="054A798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0.2</w:t>
            </w:r>
          </w:p>
        </w:tc>
      </w:tr>
      <w:tr w:rsidR="00BE61A2" w:rsidRPr="00374CC9" w14:paraId="281E7803" w14:textId="77777777" w:rsidTr="00240D6D">
        <w:tblPrEx>
          <w:tblCellMar>
            <w:right w:w="108" w:type="dxa"/>
          </w:tblCellMar>
        </w:tblPrEx>
        <w:tc>
          <w:tcPr>
            <w:tcW w:w="0" w:type="auto"/>
            <w:gridSpan w:val="15"/>
            <w:shd w:val="clear" w:color="auto" w:fill="D9D9D9" w:themeFill="background1" w:themeFillShade="D9"/>
            <w:hideMark/>
          </w:tcPr>
          <w:p w14:paraId="5CD31020" w14:textId="77777777" w:rsidR="00BE61A2" w:rsidRPr="00240D6D" w:rsidRDefault="00BE61A2" w:rsidP="00E16E6C">
            <w:pPr>
              <w:rPr>
                <w:rFonts w:asciiTheme="minorHAnsi" w:eastAsia="Times New Roman" w:hAnsiTheme="minorHAnsi"/>
                <w:b/>
                <w:sz w:val="18"/>
                <w:szCs w:val="18"/>
              </w:rPr>
            </w:pPr>
            <w:r w:rsidRPr="00240D6D">
              <w:rPr>
                <w:rFonts w:asciiTheme="minorHAnsi" w:eastAsia="Times New Roman" w:hAnsiTheme="minorHAnsi"/>
                <w:b/>
                <w:sz w:val="18"/>
                <w:szCs w:val="18"/>
                <w:shd w:val="clear" w:color="auto" w:fill="D9D9D9" w:themeFill="background1" w:themeFillShade="D9"/>
              </w:rPr>
              <w:t>Gastrointestinal</w:t>
            </w:r>
            <w:r w:rsidRPr="00240D6D">
              <w:rPr>
                <w:rFonts w:asciiTheme="minorHAnsi" w:eastAsia="Times New Roman" w:hAnsiTheme="minorHAnsi"/>
                <w:b/>
                <w:sz w:val="18"/>
                <w:szCs w:val="18"/>
              </w:rPr>
              <w:t xml:space="preserve"> diseases</w:t>
            </w:r>
          </w:p>
        </w:tc>
      </w:tr>
      <w:tr w:rsidR="00EE19C2" w:rsidRPr="00374CC9" w14:paraId="6584DB06"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3EEE38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Botulism</w:t>
            </w:r>
          </w:p>
        </w:tc>
        <w:tc>
          <w:tcPr>
            <w:tcW w:w="0" w:type="auto"/>
            <w:hideMark/>
          </w:tcPr>
          <w:p w14:paraId="6E9AB296"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3FC225D2"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1631B08C"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0B4EBABD"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4</w:t>
            </w:r>
          </w:p>
        </w:tc>
        <w:tc>
          <w:tcPr>
            <w:tcW w:w="0" w:type="auto"/>
            <w:hideMark/>
          </w:tcPr>
          <w:p w14:paraId="665E89E6"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53DD20F5"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0" w:type="auto"/>
            <w:hideMark/>
          </w:tcPr>
          <w:p w14:paraId="6546402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1.4</w:t>
            </w:r>
          </w:p>
        </w:tc>
        <w:tc>
          <w:tcPr>
            <w:tcW w:w="0" w:type="auto"/>
            <w:hideMark/>
          </w:tcPr>
          <w:p w14:paraId="531705C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2.1</w:t>
            </w:r>
          </w:p>
        </w:tc>
        <w:tc>
          <w:tcPr>
            <w:tcW w:w="0" w:type="auto"/>
            <w:hideMark/>
          </w:tcPr>
          <w:p w14:paraId="3544C02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298CD92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&lt;0.1</w:t>
            </w:r>
          </w:p>
        </w:tc>
        <w:tc>
          <w:tcPr>
            <w:tcW w:w="0" w:type="auto"/>
            <w:hideMark/>
          </w:tcPr>
          <w:p w14:paraId="1B74B65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67831DE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&lt;0.1</w:t>
            </w:r>
          </w:p>
        </w:tc>
        <w:tc>
          <w:tcPr>
            <w:tcW w:w="0" w:type="auto"/>
            <w:hideMark/>
          </w:tcPr>
          <w:p w14:paraId="2C1E6CD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&lt;0.1</w:t>
            </w:r>
          </w:p>
        </w:tc>
        <w:tc>
          <w:tcPr>
            <w:tcW w:w="0" w:type="auto"/>
            <w:hideMark/>
          </w:tcPr>
          <w:p w14:paraId="2642A37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&lt;0.1</w:t>
            </w:r>
          </w:p>
        </w:tc>
      </w:tr>
      <w:tr w:rsidR="00EE19C2" w:rsidRPr="00374CC9" w14:paraId="2E15E096" w14:textId="77777777" w:rsidTr="000A4FFE">
        <w:tblPrEx>
          <w:tblCellMar>
            <w:right w:w="108" w:type="dxa"/>
          </w:tblCellMar>
        </w:tblPrEx>
        <w:tc>
          <w:tcPr>
            <w:tcW w:w="0" w:type="auto"/>
            <w:hideMark/>
          </w:tcPr>
          <w:p w14:paraId="34D35F2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Campylobacteriosis</w:t>
            </w:r>
          </w:p>
        </w:tc>
        <w:tc>
          <w:tcPr>
            <w:tcW w:w="0" w:type="auto"/>
            <w:hideMark/>
          </w:tcPr>
          <w:p w14:paraId="2BF548AF"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16,995</w:t>
            </w:r>
          </w:p>
        </w:tc>
        <w:tc>
          <w:tcPr>
            <w:tcW w:w="0" w:type="auto"/>
            <w:hideMark/>
          </w:tcPr>
          <w:p w14:paraId="7BF2374A"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17,724</w:t>
            </w:r>
          </w:p>
        </w:tc>
        <w:tc>
          <w:tcPr>
            <w:tcW w:w="0" w:type="auto"/>
            <w:hideMark/>
          </w:tcPr>
          <w:p w14:paraId="16400A4C"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15,671</w:t>
            </w:r>
          </w:p>
        </w:tc>
        <w:tc>
          <w:tcPr>
            <w:tcW w:w="0" w:type="auto"/>
            <w:hideMark/>
          </w:tcPr>
          <w:p w14:paraId="31D7B531"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14,688</w:t>
            </w:r>
          </w:p>
        </w:tc>
        <w:tc>
          <w:tcPr>
            <w:tcW w:w="0" w:type="auto"/>
            <w:hideMark/>
          </w:tcPr>
          <w:p w14:paraId="3B4ED964"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19,945</w:t>
            </w:r>
          </w:p>
        </w:tc>
        <w:tc>
          <w:tcPr>
            <w:tcW w:w="0" w:type="auto"/>
            <w:hideMark/>
          </w:tcPr>
          <w:p w14:paraId="5AF69AD5"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22,573</w:t>
            </w:r>
          </w:p>
        </w:tc>
        <w:tc>
          <w:tcPr>
            <w:tcW w:w="0" w:type="auto"/>
            <w:hideMark/>
          </w:tcPr>
          <w:p w14:paraId="419EBE7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17,004.6</w:t>
            </w:r>
          </w:p>
        </w:tc>
        <w:tc>
          <w:tcPr>
            <w:tcW w:w="0" w:type="auto"/>
            <w:hideMark/>
          </w:tcPr>
          <w:p w14:paraId="01FE847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1.3</w:t>
            </w:r>
          </w:p>
        </w:tc>
        <w:tc>
          <w:tcPr>
            <w:tcW w:w="0" w:type="auto"/>
            <w:hideMark/>
          </w:tcPr>
          <w:p w14:paraId="1C2CDF3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114.2</w:t>
            </w:r>
          </w:p>
        </w:tc>
        <w:tc>
          <w:tcPr>
            <w:tcW w:w="0" w:type="auto"/>
            <w:hideMark/>
          </w:tcPr>
          <w:p w14:paraId="007CF35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117.2</w:t>
            </w:r>
          </w:p>
        </w:tc>
        <w:tc>
          <w:tcPr>
            <w:tcW w:w="0" w:type="auto"/>
            <w:hideMark/>
          </w:tcPr>
          <w:p w14:paraId="54911D3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101.6</w:t>
            </w:r>
          </w:p>
        </w:tc>
        <w:tc>
          <w:tcPr>
            <w:tcW w:w="0" w:type="auto"/>
            <w:hideMark/>
          </w:tcPr>
          <w:p w14:paraId="5E1A861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93.5</w:t>
            </w:r>
          </w:p>
        </w:tc>
        <w:tc>
          <w:tcPr>
            <w:tcW w:w="0" w:type="auto"/>
            <w:hideMark/>
          </w:tcPr>
          <w:p w14:paraId="3A96439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125.1</w:t>
            </w:r>
          </w:p>
        </w:tc>
        <w:tc>
          <w:tcPr>
            <w:tcW w:w="0" w:type="auto"/>
            <w:hideMark/>
          </w:tcPr>
          <w:p w14:paraId="31ABFD0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139.6</w:t>
            </w:r>
          </w:p>
        </w:tc>
      </w:tr>
      <w:tr w:rsidR="00EE19C2" w:rsidRPr="00374CC9" w14:paraId="2EB20332"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855B07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Cryptosporidiosis</w:t>
            </w:r>
          </w:p>
        </w:tc>
        <w:tc>
          <w:tcPr>
            <w:tcW w:w="0" w:type="auto"/>
            <w:hideMark/>
          </w:tcPr>
          <w:p w14:paraId="2A5E7947"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1,482</w:t>
            </w:r>
          </w:p>
        </w:tc>
        <w:tc>
          <w:tcPr>
            <w:tcW w:w="0" w:type="auto"/>
            <w:hideMark/>
          </w:tcPr>
          <w:p w14:paraId="055F624D"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1,812</w:t>
            </w:r>
          </w:p>
        </w:tc>
        <w:tc>
          <w:tcPr>
            <w:tcW w:w="0" w:type="auto"/>
            <w:hideMark/>
          </w:tcPr>
          <w:p w14:paraId="374ADEB8"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3,143</w:t>
            </w:r>
          </w:p>
        </w:tc>
        <w:tc>
          <w:tcPr>
            <w:tcW w:w="0" w:type="auto"/>
            <w:hideMark/>
          </w:tcPr>
          <w:p w14:paraId="4E4EFBE7"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3,851</w:t>
            </w:r>
          </w:p>
        </w:tc>
        <w:tc>
          <w:tcPr>
            <w:tcW w:w="0" w:type="auto"/>
            <w:hideMark/>
          </w:tcPr>
          <w:p w14:paraId="4722BC90"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2,408</w:t>
            </w:r>
          </w:p>
        </w:tc>
        <w:tc>
          <w:tcPr>
            <w:tcW w:w="0" w:type="auto"/>
            <w:hideMark/>
          </w:tcPr>
          <w:p w14:paraId="1AA8AC84"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4,064</w:t>
            </w:r>
          </w:p>
        </w:tc>
        <w:tc>
          <w:tcPr>
            <w:tcW w:w="0" w:type="auto"/>
            <w:hideMark/>
          </w:tcPr>
          <w:p w14:paraId="53EF136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2,539.2</w:t>
            </w:r>
          </w:p>
        </w:tc>
        <w:tc>
          <w:tcPr>
            <w:tcW w:w="0" w:type="auto"/>
            <w:hideMark/>
          </w:tcPr>
          <w:p w14:paraId="15C7386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1.6</w:t>
            </w:r>
          </w:p>
        </w:tc>
        <w:tc>
          <w:tcPr>
            <w:tcW w:w="0" w:type="auto"/>
            <w:hideMark/>
          </w:tcPr>
          <w:p w14:paraId="16CB517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6.7</w:t>
            </w:r>
          </w:p>
        </w:tc>
        <w:tc>
          <w:tcPr>
            <w:tcW w:w="0" w:type="auto"/>
            <w:hideMark/>
          </w:tcPr>
          <w:p w14:paraId="1100DC6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8.1</w:t>
            </w:r>
          </w:p>
        </w:tc>
        <w:tc>
          <w:tcPr>
            <w:tcW w:w="0" w:type="auto"/>
            <w:hideMark/>
          </w:tcPr>
          <w:p w14:paraId="69135E2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13.8</w:t>
            </w:r>
          </w:p>
        </w:tc>
        <w:tc>
          <w:tcPr>
            <w:tcW w:w="0" w:type="auto"/>
            <w:hideMark/>
          </w:tcPr>
          <w:p w14:paraId="270F49F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16.7</w:t>
            </w:r>
          </w:p>
        </w:tc>
        <w:tc>
          <w:tcPr>
            <w:tcW w:w="0" w:type="auto"/>
            <w:hideMark/>
          </w:tcPr>
          <w:p w14:paraId="10948B9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10.3</w:t>
            </w:r>
          </w:p>
        </w:tc>
        <w:tc>
          <w:tcPr>
            <w:tcW w:w="0" w:type="auto"/>
            <w:hideMark/>
          </w:tcPr>
          <w:p w14:paraId="2DBC5FC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17.1</w:t>
            </w:r>
          </w:p>
        </w:tc>
      </w:tr>
      <w:tr w:rsidR="00EE19C2" w:rsidRPr="00374CC9" w14:paraId="572AC05F" w14:textId="77777777" w:rsidTr="000A4FFE">
        <w:tblPrEx>
          <w:tblCellMar>
            <w:right w:w="108" w:type="dxa"/>
          </w:tblCellMar>
        </w:tblPrEx>
        <w:tc>
          <w:tcPr>
            <w:tcW w:w="0" w:type="auto"/>
            <w:hideMark/>
          </w:tcPr>
          <w:p w14:paraId="7E3162B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Haemolytic uraemic syndrome</w:t>
            </w:r>
          </w:p>
        </w:tc>
        <w:tc>
          <w:tcPr>
            <w:tcW w:w="0" w:type="auto"/>
            <w:hideMark/>
          </w:tcPr>
          <w:p w14:paraId="47A4E03F"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9</w:t>
            </w:r>
          </w:p>
        </w:tc>
        <w:tc>
          <w:tcPr>
            <w:tcW w:w="0" w:type="auto"/>
            <w:hideMark/>
          </w:tcPr>
          <w:p w14:paraId="1B3B9BBE"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13</w:t>
            </w:r>
          </w:p>
        </w:tc>
        <w:tc>
          <w:tcPr>
            <w:tcW w:w="0" w:type="auto"/>
            <w:hideMark/>
          </w:tcPr>
          <w:p w14:paraId="58D28D1B"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20</w:t>
            </w:r>
          </w:p>
        </w:tc>
        <w:tc>
          <w:tcPr>
            <w:tcW w:w="0" w:type="auto"/>
            <w:hideMark/>
          </w:tcPr>
          <w:p w14:paraId="207C30C8"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15</w:t>
            </w:r>
          </w:p>
        </w:tc>
        <w:tc>
          <w:tcPr>
            <w:tcW w:w="0" w:type="auto"/>
            <w:hideMark/>
          </w:tcPr>
          <w:p w14:paraId="576838AE"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21</w:t>
            </w:r>
          </w:p>
        </w:tc>
        <w:tc>
          <w:tcPr>
            <w:tcW w:w="0" w:type="auto"/>
            <w:hideMark/>
          </w:tcPr>
          <w:p w14:paraId="545344C0"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18</w:t>
            </w:r>
          </w:p>
        </w:tc>
        <w:tc>
          <w:tcPr>
            <w:tcW w:w="0" w:type="auto"/>
            <w:hideMark/>
          </w:tcPr>
          <w:p w14:paraId="198155E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15.6</w:t>
            </w:r>
          </w:p>
        </w:tc>
        <w:tc>
          <w:tcPr>
            <w:tcW w:w="0" w:type="auto"/>
            <w:hideMark/>
          </w:tcPr>
          <w:p w14:paraId="11C9B58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1.2</w:t>
            </w:r>
          </w:p>
        </w:tc>
        <w:tc>
          <w:tcPr>
            <w:tcW w:w="0" w:type="auto"/>
            <w:hideMark/>
          </w:tcPr>
          <w:p w14:paraId="02457C0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&lt;0.1</w:t>
            </w:r>
          </w:p>
        </w:tc>
        <w:tc>
          <w:tcPr>
            <w:tcW w:w="0" w:type="auto"/>
            <w:hideMark/>
          </w:tcPr>
          <w:p w14:paraId="3EB48BD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0.1</w:t>
            </w:r>
          </w:p>
        </w:tc>
        <w:tc>
          <w:tcPr>
            <w:tcW w:w="0" w:type="auto"/>
            <w:hideMark/>
          </w:tcPr>
          <w:p w14:paraId="2F65626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0.1</w:t>
            </w:r>
          </w:p>
        </w:tc>
        <w:tc>
          <w:tcPr>
            <w:tcW w:w="0" w:type="auto"/>
            <w:hideMark/>
          </w:tcPr>
          <w:p w14:paraId="5F7D6CE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0.1</w:t>
            </w:r>
          </w:p>
        </w:tc>
        <w:tc>
          <w:tcPr>
            <w:tcW w:w="0" w:type="auto"/>
            <w:hideMark/>
          </w:tcPr>
          <w:p w14:paraId="69C79F1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0.1</w:t>
            </w:r>
          </w:p>
        </w:tc>
        <w:tc>
          <w:tcPr>
            <w:tcW w:w="0" w:type="auto"/>
            <w:hideMark/>
          </w:tcPr>
          <w:p w14:paraId="2A2E8ED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0.1</w:t>
            </w:r>
          </w:p>
        </w:tc>
      </w:tr>
      <w:tr w:rsidR="00EE19C2" w:rsidRPr="00374CC9" w14:paraId="3636D09A"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E22D66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Hepatitis A</w:t>
            </w:r>
          </w:p>
        </w:tc>
        <w:tc>
          <w:tcPr>
            <w:tcW w:w="0" w:type="auto"/>
            <w:hideMark/>
          </w:tcPr>
          <w:p w14:paraId="3988EC3D"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267</w:t>
            </w:r>
          </w:p>
        </w:tc>
        <w:tc>
          <w:tcPr>
            <w:tcW w:w="0" w:type="auto"/>
            <w:hideMark/>
          </w:tcPr>
          <w:p w14:paraId="54DBB56D"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145</w:t>
            </w:r>
          </w:p>
        </w:tc>
        <w:tc>
          <w:tcPr>
            <w:tcW w:w="0" w:type="auto"/>
            <w:hideMark/>
          </w:tcPr>
          <w:p w14:paraId="0BCC0B90"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166</w:t>
            </w:r>
          </w:p>
        </w:tc>
        <w:tc>
          <w:tcPr>
            <w:tcW w:w="0" w:type="auto"/>
            <w:hideMark/>
          </w:tcPr>
          <w:p w14:paraId="2DE45B8B"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190</w:t>
            </w:r>
          </w:p>
        </w:tc>
        <w:tc>
          <w:tcPr>
            <w:tcW w:w="0" w:type="auto"/>
            <w:hideMark/>
          </w:tcPr>
          <w:p w14:paraId="2C98C13C"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231</w:t>
            </w:r>
          </w:p>
        </w:tc>
        <w:tc>
          <w:tcPr>
            <w:tcW w:w="0" w:type="auto"/>
            <w:hideMark/>
          </w:tcPr>
          <w:p w14:paraId="7B39D730"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178</w:t>
            </w:r>
          </w:p>
        </w:tc>
        <w:tc>
          <w:tcPr>
            <w:tcW w:w="0" w:type="auto"/>
            <w:hideMark/>
          </w:tcPr>
          <w:p w14:paraId="750135B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199.8</w:t>
            </w:r>
          </w:p>
        </w:tc>
        <w:tc>
          <w:tcPr>
            <w:tcW w:w="0" w:type="auto"/>
            <w:hideMark/>
          </w:tcPr>
          <w:p w14:paraId="4A7668E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0.9</w:t>
            </w:r>
          </w:p>
        </w:tc>
        <w:tc>
          <w:tcPr>
            <w:tcW w:w="0" w:type="auto"/>
            <w:hideMark/>
          </w:tcPr>
          <w:p w14:paraId="3BA31B0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1.2</w:t>
            </w:r>
          </w:p>
        </w:tc>
        <w:tc>
          <w:tcPr>
            <w:tcW w:w="0" w:type="auto"/>
            <w:hideMark/>
          </w:tcPr>
          <w:p w14:paraId="7B51468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0.6</w:t>
            </w:r>
          </w:p>
        </w:tc>
        <w:tc>
          <w:tcPr>
            <w:tcW w:w="0" w:type="auto"/>
            <w:hideMark/>
          </w:tcPr>
          <w:p w14:paraId="780B27C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0.7</w:t>
            </w:r>
          </w:p>
        </w:tc>
        <w:tc>
          <w:tcPr>
            <w:tcW w:w="0" w:type="auto"/>
            <w:hideMark/>
          </w:tcPr>
          <w:p w14:paraId="5F01871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0.8</w:t>
            </w:r>
          </w:p>
        </w:tc>
        <w:tc>
          <w:tcPr>
            <w:tcW w:w="0" w:type="auto"/>
            <w:hideMark/>
          </w:tcPr>
          <w:p w14:paraId="58A90F3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w:t>
            </w:r>
          </w:p>
        </w:tc>
        <w:tc>
          <w:tcPr>
            <w:tcW w:w="0" w:type="auto"/>
            <w:hideMark/>
          </w:tcPr>
          <w:p w14:paraId="68B9AD3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0.7</w:t>
            </w:r>
          </w:p>
        </w:tc>
      </w:tr>
      <w:tr w:rsidR="00EE19C2" w:rsidRPr="00374CC9" w14:paraId="2B841CE9" w14:textId="77777777" w:rsidTr="000A4FFE">
        <w:tblPrEx>
          <w:tblCellMar>
            <w:right w:w="108" w:type="dxa"/>
          </w:tblCellMar>
        </w:tblPrEx>
        <w:tc>
          <w:tcPr>
            <w:tcW w:w="0" w:type="auto"/>
            <w:hideMark/>
          </w:tcPr>
          <w:p w14:paraId="6FED719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Hepatitis E</w:t>
            </w:r>
          </w:p>
        </w:tc>
        <w:tc>
          <w:tcPr>
            <w:tcW w:w="0" w:type="auto"/>
            <w:hideMark/>
          </w:tcPr>
          <w:p w14:paraId="032ACEC7"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37</w:t>
            </w:r>
          </w:p>
        </w:tc>
        <w:tc>
          <w:tcPr>
            <w:tcW w:w="0" w:type="auto"/>
            <w:hideMark/>
          </w:tcPr>
          <w:p w14:paraId="1C4B4897"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41</w:t>
            </w:r>
          </w:p>
        </w:tc>
        <w:tc>
          <w:tcPr>
            <w:tcW w:w="0" w:type="auto"/>
            <w:hideMark/>
          </w:tcPr>
          <w:p w14:paraId="0F2C875A"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32</w:t>
            </w:r>
          </w:p>
        </w:tc>
        <w:tc>
          <w:tcPr>
            <w:tcW w:w="0" w:type="auto"/>
            <w:hideMark/>
          </w:tcPr>
          <w:p w14:paraId="3A513E8B"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34</w:t>
            </w:r>
          </w:p>
        </w:tc>
        <w:tc>
          <w:tcPr>
            <w:tcW w:w="0" w:type="auto"/>
            <w:hideMark/>
          </w:tcPr>
          <w:p w14:paraId="59D932D6"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57</w:t>
            </w:r>
          </w:p>
        </w:tc>
        <w:tc>
          <w:tcPr>
            <w:tcW w:w="0" w:type="auto"/>
            <w:hideMark/>
          </w:tcPr>
          <w:p w14:paraId="7C801B7F"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41</w:t>
            </w:r>
          </w:p>
        </w:tc>
        <w:tc>
          <w:tcPr>
            <w:tcW w:w="0" w:type="auto"/>
            <w:hideMark/>
          </w:tcPr>
          <w:p w14:paraId="59ABDC9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40.2</w:t>
            </w:r>
          </w:p>
        </w:tc>
        <w:tc>
          <w:tcPr>
            <w:tcW w:w="0" w:type="auto"/>
            <w:hideMark/>
          </w:tcPr>
          <w:p w14:paraId="313A2D4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w:t>
            </w:r>
          </w:p>
        </w:tc>
        <w:tc>
          <w:tcPr>
            <w:tcW w:w="0" w:type="auto"/>
            <w:hideMark/>
          </w:tcPr>
          <w:p w14:paraId="1FE8AF6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0.2</w:t>
            </w:r>
          </w:p>
        </w:tc>
        <w:tc>
          <w:tcPr>
            <w:tcW w:w="0" w:type="auto"/>
            <w:hideMark/>
          </w:tcPr>
          <w:p w14:paraId="3C9DC06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0.2</w:t>
            </w:r>
          </w:p>
        </w:tc>
        <w:tc>
          <w:tcPr>
            <w:tcW w:w="0" w:type="auto"/>
            <w:hideMark/>
          </w:tcPr>
          <w:p w14:paraId="0AEA51C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0.1</w:t>
            </w:r>
          </w:p>
        </w:tc>
        <w:tc>
          <w:tcPr>
            <w:tcW w:w="0" w:type="auto"/>
            <w:hideMark/>
          </w:tcPr>
          <w:p w14:paraId="5A4F575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0.1</w:t>
            </w:r>
          </w:p>
        </w:tc>
        <w:tc>
          <w:tcPr>
            <w:tcW w:w="0" w:type="auto"/>
            <w:hideMark/>
          </w:tcPr>
          <w:p w14:paraId="30D78D7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0.2</w:t>
            </w:r>
          </w:p>
        </w:tc>
        <w:tc>
          <w:tcPr>
            <w:tcW w:w="0" w:type="auto"/>
            <w:hideMark/>
          </w:tcPr>
          <w:p w14:paraId="585AB95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0.2</w:t>
            </w:r>
          </w:p>
        </w:tc>
      </w:tr>
      <w:tr w:rsidR="00EE19C2" w:rsidRPr="00374CC9" w14:paraId="29A6A55B"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655F13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Listeriosis</w:t>
            </w:r>
          </w:p>
        </w:tc>
        <w:tc>
          <w:tcPr>
            <w:tcW w:w="0" w:type="auto"/>
            <w:hideMark/>
          </w:tcPr>
          <w:p w14:paraId="2A14556D"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71</w:t>
            </w:r>
          </w:p>
        </w:tc>
        <w:tc>
          <w:tcPr>
            <w:tcW w:w="0" w:type="auto"/>
            <w:hideMark/>
          </w:tcPr>
          <w:p w14:paraId="691E0D23"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70</w:t>
            </w:r>
          </w:p>
        </w:tc>
        <w:tc>
          <w:tcPr>
            <w:tcW w:w="0" w:type="auto"/>
            <w:hideMark/>
          </w:tcPr>
          <w:p w14:paraId="40EAF00D"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93</w:t>
            </w:r>
          </w:p>
        </w:tc>
        <w:tc>
          <w:tcPr>
            <w:tcW w:w="0" w:type="auto"/>
            <w:hideMark/>
          </w:tcPr>
          <w:p w14:paraId="1007F1A0"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76</w:t>
            </w:r>
          </w:p>
        </w:tc>
        <w:tc>
          <w:tcPr>
            <w:tcW w:w="0" w:type="auto"/>
            <w:hideMark/>
          </w:tcPr>
          <w:p w14:paraId="1BCD44DE"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80</w:t>
            </w:r>
          </w:p>
        </w:tc>
        <w:tc>
          <w:tcPr>
            <w:tcW w:w="0" w:type="auto"/>
            <w:hideMark/>
          </w:tcPr>
          <w:p w14:paraId="2CD7C5E7"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70</w:t>
            </w:r>
          </w:p>
        </w:tc>
        <w:tc>
          <w:tcPr>
            <w:tcW w:w="0" w:type="auto"/>
            <w:hideMark/>
          </w:tcPr>
          <w:p w14:paraId="6CCFECC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78.0</w:t>
            </w:r>
          </w:p>
        </w:tc>
        <w:tc>
          <w:tcPr>
            <w:tcW w:w="0" w:type="auto"/>
            <w:hideMark/>
          </w:tcPr>
          <w:p w14:paraId="7FBC9C6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0.9</w:t>
            </w:r>
          </w:p>
        </w:tc>
        <w:tc>
          <w:tcPr>
            <w:tcW w:w="0" w:type="auto"/>
            <w:hideMark/>
          </w:tcPr>
          <w:p w14:paraId="01C85E0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0.3</w:t>
            </w:r>
          </w:p>
        </w:tc>
        <w:tc>
          <w:tcPr>
            <w:tcW w:w="0" w:type="auto"/>
            <w:hideMark/>
          </w:tcPr>
          <w:p w14:paraId="7ECCFBB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0.3</w:t>
            </w:r>
          </w:p>
        </w:tc>
        <w:tc>
          <w:tcPr>
            <w:tcW w:w="0" w:type="auto"/>
            <w:hideMark/>
          </w:tcPr>
          <w:p w14:paraId="18E1003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0.4</w:t>
            </w:r>
          </w:p>
        </w:tc>
        <w:tc>
          <w:tcPr>
            <w:tcW w:w="0" w:type="auto"/>
            <w:hideMark/>
          </w:tcPr>
          <w:p w14:paraId="0AD1DDA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0.3</w:t>
            </w:r>
          </w:p>
        </w:tc>
        <w:tc>
          <w:tcPr>
            <w:tcW w:w="0" w:type="auto"/>
            <w:hideMark/>
          </w:tcPr>
          <w:p w14:paraId="3032095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0.3</w:t>
            </w:r>
          </w:p>
        </w:tc>
        <w:tc>
          <w:tcPr>
            <w:tcW w:w="0" w:type="auto"/>
            <w:hideMark/>
          </w:tcPr>
          <w:p w14:paraId="0A9C4F9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0.3</w:t>
            </w:r>
          </w:p>
        </w:tc>
      </w:tr>
      <w:tr w:rsidR="00EE19C2" w:rsidRPr="00374CC9" w14:paraId="379F7F85" w14:textId="77777777" w:rsidTr="000A4FFE">
        <w:tblPrEx>
          <w:tblCellMar>
            <w:right w:w="108" w:type="dxa"/>
          </w:tblCellMar>
        </w:tblPrEx>
        <w:tc>
          <w:tcPr>
            <w:tcW w:w="0" w:type="auto"/>
            <w:hideMark/>
          </w:tcPr>
          <w:p w14:paraId="792268C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Paratyphoid</w:t>
            </w:r>
            <w:r w:rsidR="0062522E" w:rsidRPr="0062522E">
              <w:rPr>
                <w:rFonts w:asciiTheme="minorHAnsi" w:eastAsia="Times New Roman" w:hAnsiTheme="minorHAnsi"/>
                <w:sz w:val="18"/>
                <w:szCs w:val="18"/>
                <w:vertAlign w:val="superscript"/>
              </w:rPr>
              <w:t>§</w:t>
            </w:r>
          </w:p>
        </w:tc>
        <w:tc>
          <w:tcPr>
            <w:tcW w:w="0" w:type="auto"/>
            <w:hideMark/>
          </w:tcPr>
          <w:p w14:paraId="381B6B06"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84</w:t>
            </w:r>
          </w:p>
        </w:tc>
        <w:tc>
          <w:tcPr>
            <w:tcW w:w="0" w:type="auto"/>
            <w:hideMark/>
          </w:tcPr>
          <w:p w14:paraId="0EE5840C"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69</w:t>
            </w:r>
          </w:p>
        </w:tc>
        <w:tc>
          <w:tcPr>
            <w:tcW w:w="0" w:type="auto"/>
            <w:hideMark/>
          </w:tcPr>
          <w:p w14:paraId="1607830C"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74</w:t>
            </w:r>
          </w:p>
        </w:tc>
        <w:tc>
          <w:tcPr>
            <w:tcW w:w="0" w:type="auto"/>
            <w:hideMark/>
          </w:tcPr>
          <w:p w14:paraId="393B3029"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74</w:t>
            </w:r>
          </w:p>
        </w:tc>
        <w:tc>
          <w:tcPr>
            <w:tcW w:w="0" w:type="auto"/>
            <w:hideMark/>
          </w:tcPr>
          <w:p w14:paraId="2EB375B4"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70</w:t>
            </w:r>
          </w:p>
        </w:tc>
        <w:tc>
          <w:tcPr>
            <w:tcW w:w="0" w:type="auto"/>
            <w:hideMark/>
          </w:tcPr>
          <w:p w14:paraId="35B747F1"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76</w:t>
            </w:r>
          </w:p>
        </w:tc>
        <w:tc>
          <w:tcPr>
            <w:tcW w:w="0" w:type="auto"/>
            <w:hideMark/>
          </w:tcPr>
          <w:p w14:paraId="534FC25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74.2</w:t>
            </w:r>
          </w:p>
        </w:tc>
        <w:tc>
          <w:tcPr>
            <w:tcW w:w="0" w:type="auto"/>
            <w:hideMark/>
          </w:tcPr>
          <w:p w14:paraId="35DE682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w:t>
            </w:r>
          </w:p>
        </w:tc>
        <w:tc>
          <w:tcPr>
            <w:tcW w:w="0" w:type="auto"/>
            <w:hideMark/>
          </w:tcPr>
          <w:p w14:paraId="304D978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0.4</w:t>
            </w:r>
          </w:p>
        </w:tc>
        <w:tc>
          <w:tcPr>
            <w:tcW w:w="0" w:type="auto"/>
            <w:hideMark/>
          </w:tcPr>
          <w:p w14:paraId="2BB9D75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0.3</w:t>
            </w:r>
          </w:p>
        </w:tc>
        <w:tc>
          <w:tcPr>
            <w:tcW w:w="0" w:type="auto"/>
            <w:hideMark/>
          </w:tcPr>
          <w:p w14:paraId="138766F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0.3</w:t>
            </w:r>
          </w:p>
        </w:tc>
        <w:tc>
          <w:tcPr>
            <w:tcW w:w="0" w:type="auto"/>
            <w:hideMark/>
          </w:tcPr>
          <w:p w14:paraId="4C8618A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0.3</w:t>
            </w:r>
          </w:p>
        </w:tc>
        <w:tc>
          <w:tcPr>
            <w:tcW w:w="0" w:type="auto"/>
            <w:hideMark/>
          </w:tcPr>
          <w:p w14:paraId="4F6D83D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0.3</w:t>
            </w:r>
          </w:p>
        </w:tc>
        <w:tc>
          <w:tcPr>
            <w:tcW w:w="0" w:type="auto"/>
            <w:hideMark/>
          </w:tcPr>
          <w:p w14:paraId="37684EB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0.3</w:t>
            </w:r>
          </w:p>
        </w:tc>
      </w:tr>
      <w:tr w:rsidR="00EE19C2" w:rsidRPr="00374CC9" w14:paraId="1E558532"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CEBD30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lastRenderedPageBreak/>
              <w:t>Salmonellosis</w:t>
            </w:r>
          </w:p>
        </w:tc>
        <w:tc>
          <w:tcPr>
            <w:tcW w:w="0" w:type="auto"/>
            <w:hideMark/>
          </w:tcPr>
          <w:p w14:paraId="7E0B98D8"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11,830</w:t>
            </w:r>
          </w:p>
        </w:tc>
        <w:tc>
          <w:tcPr>
            <w:tcW w:w="0" w:type="auto"/>
            <w:hideMark/>
          </w:tcPr>
          <w:p w14:paraId="1DF3867D"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12,202</w:t>
            </w:r>
          </w:p>
        </w:tc>
        <w:tc>
          <w:tcPr>
            <w:tcW w:w="0" w:type="auto"/>
            <w:hideMark/>
          </w:tcPr>
          <w:p w14:paraId="227B322B"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11,170</w:t>
            </w:r>
          </w:p>
        </w:tc>
        <w:tc>
          <w:tcPr>
            <w:tcW w:w="0" w:type="auto"/>
            <w:hideMark/>
          </w:tcPr>
          <w:p w14:paraId="6B405D68"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12,723</w:t>
            </w:r>
          </w:p>
        </w:tc>
        <w:tc>
          <w:tcPr>
            <w:tcW w:w="0" w:type="auto"/>
            <w:hideMark/>
          </w:tcPr>
          <w:p w14:paraId="1F4C4B0E"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16,283</w:t>
            </w:r>
          </w:p>
        </w:tc>
        <w:tc>
          <w:tcPr>
            <w:tcW w:w="0" w:type="auto"/>
            <w:hideMark/>
          </w:tcPr>
          <w:p w14:paraId="4CE81DB2"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17,013</w:t>
            </w:r>
          </w:p>
        </w:tc>
        <w:tc>
          <w:tcPr>
            <w:tcW w:w="0" w:type="auto"/>
            <w:hideMark/>
          </w:tcPr>
          <w:p w14:paraId="7FC805A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12,841.6</w:t>
            </w:r>
          </w:p>
        </w:tc>
        <w:tc>
          <w:tcPr>
            <w:tcW w:w="0" w:type="auto"/>
            <w:hideMark/>
          </w:tcPr>
          <w:p w14:paraId="378F0A7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1.3</w:t>
            </w:r>
          </w:p>
        </w:tc>
        <w:tc>
          <w:tcPr>
            <w:tcW w:w="0" w:type="auto"/>
            <w:hideMark/>
          </w:tcPr>
          <w:p w14:paraId="0591C69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53.7</w:t>
            </w:r>
          </w:p>
        </w:tc>
        <w:tc>
          <w:tcPr>
            <w:tcW w:w="0" w:type="auto"/>
            <w:hideMark/>
          </w:tcPr>
          <w:p w14:paraId="447B266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54.6</w:t>
            </w:r>
          </w:p>
        </w:tc>
        <w:tc>
          <w:tcPr>
            <w:tcW w:w="0" w:type="auto"/>
            <w:hideMark/>
          </w:tcPr>
          <w:p w14:paraId="437E129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49.1</w:t>
            </w:r>
          </w:p>
        </w:tc>
        <w:tc>
          <w:tcPr>
            <w:tcW w:w="0" w:type="auto"/>
            <w:hideMark/>
          </w:tcPr>
          <w:p w14:paraId="569B1EE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55.0</w:t>
            </w:r>
          </w:p>
        </w:tc>
        <w:tc>
          <w:tcPr>
            <w:tcW w:w="0" w:type="auto"/>
            <w:hideMark/>
          </w:tcPr>
          <w:p w14:paraId="17FCDEF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69.4</w:t>
            </w:r>
          </w:p>
        </w:tc>
        <w:tc>
          <w:tcPr>
            <w:tcW w:w="0" w:type="auto"/>
            <w:hideMark/>
          </w:tcPr>
          <w:p w14:paraId="5B0307F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71.5</w:t>
            </w:r>
          </w:p>
        </w:tc>
      </w:tr>
      <w:tr w:rsidR="00EE19C2" w:rsidRPr="00374CC9" w14:paraId="7D4C3867" w14:textId="77777777" w:rsidTr="000A4FFE">
        <w:tblPrEx>
          <w:tblCellMar>
            <w:right w:w="108" w:type="dxa"/>
          </w:tblCellMar>
        </w:tblPrEx>
        <w:tc>
          <w:tcPr>
            <w:tcW w:w="0" w:type="auto"/>
            <w:hideMark/>
          </w:tcPr>
          <w:p w14:paraId="51E3894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Shigellosis</w:t>
            </w:r>
          </w:p>
        </w:tc>
        <w:tc>
          <w:tcPr>
            <w:tcW w:w="0" w:type="auto"/>
            <w:hideMark/>
          </w:tcPr>
          <w:p w14:paraId="211773BE"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552</w:t>
            </w:r>
          </w:p>
        </w:tc>
        <w:tc>
          <w:tcPr>
            <w:tcW w:w="0" w:type="auto"/>
            <w:hideMark/>
          </w:tcPr>
          <w:p w14:paraId="1BC003E9"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493</w:t>
            </w:r>
          </w:p>
        </w:tc>
        <w:tc>
          <w:tcPr>
            <w:tcW w:w="0" w:type="auto"/>
            <w:hideMark/>
          </w:tcPr>
          <w:p w14:paraId="3062CADA"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547</w:t>
            </w:r>
          </w:p>
        </w:tc>
        <w:tc>
          <w:tcPr>
            <w:tcW w:w="0" w:type="auto"/>
            <w:hideMark/>
          </w:tcPr>
          <w:p w14:paraId="590CD26E"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538</w:t>
            </w:r>
          </w:p>
        </w:tc>
        <w:tc>
          <w:tcPr>
            <w:tcW w:w="0" w:type="auto"/>
            <w:hideMark/>
          </w:tcPr>
          <w:p w14:paraId="5BF19981"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1,034</w:t>
            </w:r>
          </w:p>
        </w:tc>
        <w:tc>
          <w:tcPr>
            <w:tcW w:w="0" w:type="auto"/>
            <w:hideMark/>
          </w:tcPr>
          <w:p w14:paraId="5E9AD802"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1,038</w:t>
            </w:r>
          </w:p>
        </w:tc>
        <w:tc>
          <w:tcPr>
            <w:tcW w:w="0" w:type="auto"/>
            <w:hideMark/>
          </w:tcPr>
          <w:p w14:paraId="755D9F0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632.8</w:t>
            </w:r>
          </w:p>
        </w:tc>
        <w:tc>
          <w:tcPr>
            <w:tcW w:w="0" w:type="auto"/>
            <w:hideMark/>
          </w:tcPr>
          <w:p w14:paraId="23AA319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1.6</w:t>
            </w:r>
          </w:p>
        </w:tc>
        <w:tc>
          <w:tcPr>
            <w:tcW w:w="0" w:type="auto"/>
            <w:hideMark/>
          </w:tcPr>
          <w:p w14:paraId="533C951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2.5</w:t>
            </w:r>
          </w:p>
        </w:tc>
        <w:tc>
          <w:tcPr>
            <w:tcW w:w="0" w:type="auto"/>
            <w:hideMark/>
          </w:tcPr>
          <w:p w14:paraId="562F7DA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2.2</w:t>
            </w:r>
          </w:p>
        </w:tc>
        <w:tc>
          <w:tcPr>
            <w:tcW w:w="0" w:type="auto"/>
            <w:hideMark/>
          </w:tcPr>
          <w:p w14:paraId="76F4264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2.4</w:t>
            </w:r>
          </w:p>
        </w:tc>
        <w:tc>
          <w:tcPr>
            <w:tcW w:w="0" w:type="auto"/>
            <w:hideMark/>
          </w:tcPr>
          <w:p w14:paraId="0F6DCEA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2.3</w:t>
            </w:r>
          </w:p>
        </w:tc>
        <w:tc>
          <w:tcPr>
            <w:tcW w:w="0" w:type="auto"/>
            <w:hideMark/>
          </w:tcPr>
          <w:p w14:paraId="029ED55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4.4</w:t>
            </w:r>
          </w:p>
        </w:tc>
        <w:tc>
          <w:tcPr>
            <w:tcW w:w="0" w:type="auto"/>
            <w:hideMark/>
          </w:tcPr>
          <w:p w14:paraId="226AFBD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4.4</w:t>
            </w:r>
          </w:p>
        </w:tc>
      </w:tr>
      <w:tr w:rsidR="00EE19C2" w:rsidRPr="00374CC9" w14:paraId="0A8E104E"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01CBB5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Shiga toxin–producing Escherichia coli</w:t>
            </w:r>
          </w:p>
        </w:tc>
        <w:tc>
          <w:tcPr>
            <w:tcW w:w="0" w:type="auto"/>
            <w:hideMark/>
          </w:tcPr>
          <w:p w14:paraId="194B85B8"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80</w:t>
            </w:r>
          </w:p>
        </w:tc>
        <w:tc>
          <w:tcPr>
            <w:tcW w:w="0" w:type="auto"/>
            <w:hideMark/>
          </w:tcPr>
          <w:p w14:paraId="0155B598"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95</w:t>
            </w:r>
          </w:p>
        </w:tc>
        <w:tc>
          <w:tcPr>
            <w:tcW w:w="0" w:type="auto"/>
            <w:hideMark/>
          </w:tcPr>
          <w:p w14:paraId="50244236"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112</w:t>
            </w:r>
          </w:p>
        </w:tc>
        <w:tc>
          <w:tcPr>
            <w:tcW w:w="0" w:type="auto"/>
            <w:hideMark/>
          </w:tcPr>
          <w:p w14:paraId="1A0D0217"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180</w:t>
            </w:r>
          </w:p>
        </w:tc>
        <w:tc>
          <w:tcPr>
            <w:tcW w:w="0" w:type="auto"/>
            <w:hideMark/>
          </w:tcPr>
          <w:p w14:paraId="0015DD96"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115</w:t>
            </w:r>
          </w:p>
        </w:tc>
        <w:tc>
          <w:tcPr>
            <w:tcW w:w="0" w:type="auto"/>
            <w:hideMark/>
          </w:tcPr>
          <w:p w14:paraId="61E283EE"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137</w:t>
            </w:r>
          </w:p>
        </w:tc>
        <w:tc>
          <w:tcPr>
            <w:tcW w:w="0" w:type="auto"/>
            <w:hideMark/>
          </w:tcPr>
          <w:p w14:paraId="49EC236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116.4</w:t>
            </w:r>
          </w:p>
        </w:tc>
        <w:tc>
          <w:tcPr>
            <w:tcW w:w="0" w:type="auto"/>
            <w:hideMark/>
          </w:tcPr>
          <w:p w14:paraId="0316AA5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1.2</w:t>
            </w:r>
          </w:p>
        </w:tc>
        <w:tc>
          <w:tcPr>
            <w:tcW w:w="0" w:type="auto"/>
            <w:hideMark/>
          </w:tcPr>
          <w:p w14:paraId="1790A9F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0.4</w:t>
            </w:r>
          </w:p>
        </w:tc>
        <w:tc>
          <w:tcPr>
            <w:tcW w:w="0" w:type="auto"/>
            <w:hideMark/>
          </w:tcPr>
          <w:p w14:paraId="23D60A1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0.4</w:t>
            </w:r>
          </w:p>
        </w:tc>
        <w:tc>
          <w:tcPr>
            <w:tcW w:w="0" w:type="auto"/>
            <w:hideMark/>
          </w:tcPr>
          <w:p w14:paraId="654E8B5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0.5</w:t>
            </w:r>
          </w:p>
        </w:tc>
        <w:tc>
          <w:tcPr>
            <w:tcW w:w="0" w:type="auto"/>
            <w:hideMark/>
          </w:tcPr>
          <w:p w14:paraId="114396A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0.8</w:t>
            </w:r>
          </w:p>
        </w:tc>
        <w:tc>
          <w:tcPr>
            <w:tcW w:w="0" w:type="auto"/>
            <w:hideMark/>
          </w:tcPr>
          <w:p w14:paraId="68F6E0D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0.5</w:t>
            </w:r>
          </w:p>
        </w:tc>
        <w:tc>
          <w:tcPr>
            <w:tcW w:w="0" w:type="auto"/>
            <w:hideMark/>
          </w:tcPr>
          <w:p w14:paraId="621CEBC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0.6</w:t>
            </w:r>
          </w:p>
        </w:tc>
      </w:tr>
      <w:tr w:rsidR="00EE19C2" w:rsidRPr="00374CC9" w14:paraId="542D4F68" w14:textId="77777777" w:rsidTr="000A4FFE">
        <w:tblPrEx>
          <w:tblCellMar>
            <w:right w:w="108" w:type="dxa"/>
          </w:tblCellMar>
        </w:tblPrEx>
        <w:tc>
          <w:tcPr>
            <w:tcW w:w="0" w:type="auto"/>
            <w:hideMark/>
          </w:tcPr>
          <w:p w14:paraId="0714401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Typhoid fever</w:t>
            </w:r>
          </w:p>
        </w:tc>
        <w:tc>
          <w:tcPr>
            <w:tcW w:w="0" w:type="auto"/>
            <w:hideMark/>
          </w:tcPr>
          <w:p w14:paraId="2EEBEF07"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96</w:t>
            </w:r>
          </w:p>
        </w:tc>
        <w:tc>
          <w:tcPr>
            <w:tcW w:w="0" w:type="auto"/>
            <w:hideMark/>
          </w:tcPr>
          <w:p w14:paraId="2C3DA142"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135</w:t>
            </w:r>
          </w:p>
        </w:tc>
        <w:tc>
          <w:tcPr>
            <w:tcW w:w="0" w:type="auto"/>
            <w:hideMark/>
          </w:tcPr>
          <w:p w14:paraId="53601FEA"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123</w:t>
            </w:r>
          </w:p>
        </w:tc>
        <w:tc>
          <w:tcPr>
            <w:tcW w:w="0" w:type="auto"/>
            <w:hideMark/>
          </w:tcPr>
          <w:p w14:paraId="29B54407"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152</w:t>
            </w:r>
          </w:p>
        </w:tc>
        <w:tc>
          <w:tcPr>
            <w:tcW w:w="0" w:type="auto"/>
            <w:hideMark/>
          </w:tcPr>
          <w:p w14:paraId="29FF893A"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119</w:t>
            </w:r>
          </w:p>
        </w:tc>
        <w:tc>
          <w:tcPr>
            <w:tcW w:w="0" w:type="auto"/>
            <w:hideMark/>
          </w:tcPr>
          <w:p w14:paraId="4B4030E3"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115</w:t>
            </w:r>
          </w:p>
        </w:tc>
        <w:tc>
          <w:tcPr>
            <w:tcW w:w="0" w:type="auto"/>
            <w:hideMark/>
          </w:tcPr>
          <w:p w14:paraId="78A064D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125.0</w:t>
            </w:r>
          </w:p>
        </w:tc>
        <w:tc>
          <w:tcPr>
            <w:tcW w:w="0" w:type="auto"/>
            <w:hideMark/>
          </w:tcPr>
          <w:p w14:paraId="3C4A111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0.9</w:t>
            </w:r>
          </w:p>
        </w:tc>
        <w:tc>
          <w:tcPr>
            <w:tcW w:w="0" w:type="auto"/>
            <w:hideMark/>
          </w:tcPr>
          <w:p w14:paraId="007E1F4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0.4</w:t>
            </w:r>
          </w:p>
        </w:tc>
        <w:tc>
          <w:tcPr>
            <w:tcW w:w="0" w:type="auto"/>
            <w:hideMark/>
          </w:tcPr>
          <w:p w14:paraId="0182E00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0.6</w:t>
            </w:r>
          </w:p>
        </w:tc>
        <w:tc>
          <w:tcPr>
            <w:tcW w:w="0" w:type="auto"/>
            <w:hideMark/>
          </w:tcPr>
          <w:p w14:paraId="14D9425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0.5</w:t>
            </w:r>
          </w:p>
        </w:tc>
        <w:tc>
          <w:tcPr>
            <w:tcW w:w="0" w:type="auto"/>
            <w:hideMark/>
          </w:tcPr>
          <w:p w14:paraId="6DD2C1C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0.7</w:t>
            </w:r>
          </w:p>
        </w:tc>
        <w:tc>
          <w:tcPr>
            <w:tcW w:w="0" w:type="auto"/>
            <w:hideMark/>
          </w:tcPr>
          <w:p w14:paraId="495FF8D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0.5</w:t>
            </w:r>
          </w:p>
        </w:tc>
        <w:tc>
          <w:tcPr>
            <w:tcW w:w="0" w:type="auto"/>
            <w:hideMark/>
          </w:tcPr>
          <w:p w14:paraId="01DB468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0.5</w:t>
            </w:r>
          </w:p>
        </w:tc>
      </w:tr>
      <w:tr w:rsidR="00BE61A2" w:rsidRPr="00374CC9" w14:paraId="28D91670" w14:textId="77777777" w:rsidTr="00240D6D">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gridSpan w:val="15"/>
            <w:shd w:val="clear" w:color="auto" w:fill="D9D9D9" w:themeFill="background1" w:themeFillShade="D9"/>
            <w:hideMark/>
          </w:tcPr>
          <w:p w14:paraId="694C229F" w14:textId="77777777" w:rsidR="00BE61A2" w:rsidRPr="00240D6D" w:rsidRDefault="00BE61A2" w:rsidP="00E16E6C">
            <w:pPr>
              <w:rPr>
                <w:rFonts w:asciiTheme="minorHAnsi" w:eastAsia="Times New Roman" w:hAnsiTheme="minorHAnsi"/>
                <w:b/>
                <w:sz w:val="18"/>
                <w:szCs w:val="18"/>
              </w:rPr>
            </w:pPr>
            <w:r w:rsidRPr="00240D6D">
              <w:rPr>
                <w:rFonts w:asciiTheme="minorHAnsi" w:eastAsia="Times New Roman" w:hAnsiTheme="minorHAnsi"/>
                <w:b/>
                <w:sz w:val="18"/>
                <w:szCs w:val="18"/>
              </w:rPr>
              <w:t>Quarantinable diseases</w:t>
            </w:r>
          </w:p>
        </w:tc>
      </w:tr>
      <w:tr w:rsidR="00EE19C2" w:rsidRPr="00374CC9" w14:paraId="08E46370" w14:textId="77777777" w:rsidTr="000A4FFE">
        <w:tblPrEx>
          <w:tblCellMar>
            <w:right w:w="108" w:type="dxa"/>
          </w:tblCellMar>
        </w:tblPrEx>
        <w:tc>
          <w:tcPr>
            <w:tcW w:w="0" w:type="auto"/>
            <w:hideMark/>
          </w:tcPr>
          <w:p w14:paraId="2B3E970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Cholera</w:t>
            </w:r>
          </w:p>
        </w:tc>
        <w:tc>
          <w:tcPr>
            <w:tcW w:w="0" w:type="auto"/>
            <w:hideMark/>
          </w:tcPr>
          <w:p w14:paraId="1B341D24"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0" w:type="auto"/>
            <w:hideMark/>
          </w:tcPr>
          <w:p w14:paraId="394EB9C2"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6</w:t>
            </w:r>
          </w:p>
        </w:tc>
        <w:tc>
          <w:tcPr>
            <w:tcW w:w="0" w:type="auto"/>
            <w:hideMark/>
          </w:tcPr>
          <w:p w14:paraId="1C390C7D"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5</w:t>
            </w:r>
          </w:p>
        </w:tc>
        <w:tc>
          <w:tcPr>
            <w:tcW w:w="0" w:type="auto"/>
            <w:hideMark/>
          </w:tcPr>
          <w:p w14:paraId="53A0D60D"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0" w:type="auto"/>
            <w:hideMark/>
          </w:tcPr>
          <w:p w14:paraId="5C4084DE"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323611D0"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5F56383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3.8</w:t>
            </w:r>
          </w:p>
        </w:tc>
        <w:tc>
          <w:tcPr>
            <w:tcW w:w="0" w:type="auto"/>
            <w:hideMark/>
          </w:tcPr>
          <w:p w14:paraId="09B8A10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0.5</w:t>
            </w:r>
          </w:p>
        </w:tc>
        <w:tc>
          <w:tcPr>
            <w:tcW w:w="0" w:type="auto"/>
            <w:hideMark/>
          </w:tcPr>
          <w:p w14:paraId="0B056E3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&lt;0.1</w:t>
            </w:r>
          </w:p>
        </w:tc>
        <w:tc>
          <w:tcPr>
            <w:tcW w:w="0" w:type="auto"/>
            <w:hideMark/>
          </w:tcPr>
          <w:p w14:paraId="6A621F6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&lt;0.1</w:t>
            </w:r>
          </w:p>
        </w:tc>
        <w:tc>
          <w:tcPr>
            <w:tcW w:w="0" w:type="auto"/>
            <w:hideMark/>
          </w:tcPr>
          <w:p w14:paraId="515C849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&lt;0.1</w:t>
            </w:r>
          </w:p>
        </w:tc>
        <w:tc>
          <w:tcPr>
            <w:tcW w:w="0" w:type="auto"/>
            <w:hideMark/>
          </w:tcPr>
          <w:p w14:paraId="6556A50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&lt;0.1</w:t>
            </w:r>
          </w:p>
        </w:tc>
        <w:tc>
          <w:tcPr>
            <w:tcW w:w="0" w:type="auto"/>
            <w:hideMark/>
          </w:tcPr>
          <w:p w14:paraId="4807305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&lt;0.1</w:t>
            </w:r>
          </w:p>
        </w:tc>
        <w:tc>
          <w:tcPr>
            <w:tcW w:w="0" w:type="auto"/>
            <w:hideMark/>
          </w:tcPr>
          <w:p w14:paraId="56D6C8D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&lt;0.1</w:t>
            </w:r>
          </w:p>
        </w:tc>
      </w:tr>
      <w:tr w:rsidR="00EE19C2" w:rsidRPr="00374CC9" w14:paraId="37A22BB5"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CC7660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Highly pathogenic avian influenza in humans</w:t>
            </w:r>
          </w:p>
        </w:tc>
        <w:tc>
          <w:tcPr>
            <w:tcW w:w="0" w:type="auto"/>
            <w:hideMark/>
          </w:tcPr>
          <w:p w14:paraId="48A2DA90"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2AA797FC"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7A7E77EF"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0CC0069"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0D38AE44"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52820C51"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21F604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0.0</w:t>
            </w:r>
          </w:p>
        </w:tc>
        <w:tc>
          <w:tcPr>
            <w:tcW w:w="0" w:type="auto"/>
            <w:hideMark/>
          </w:tcPr>
          <w:p w14:paraId="68BE8B3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70EFB8F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37988CF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7265A00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3FB9D9E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57E9625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2F6E5AE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r>
      <w:tr w:rsidR="00EE19C2" w:rsidRPr="00374CC9" w14:paraId="21D25CF8" w14:textId="77777777" w:rsidTr="000A4FFE">
        <w:tblPrEx>
          <w:tblCellMar>
            <w:right w:w="108" w:type="dxa"/>
          </w:tblCellMar>
        </w:tblPrEx>
        <w:tc>
          <w:tcPr>
            <w:tcW w:w="0" w:type="auto"/>
            <w:hideMark/>
          </w:tcPr>
          <w:p w14:paraId="637385C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Middle East respiratory syndrome coronavirus</w:t>
            </w:r>
          </w:p>
        </w:tc>
        <w:tc>
          <w:tcPr>
            <w:tcW w:w="0" w:type="auto"/>
            <w:hideMark/>
          </w:tcPr>
          <w:p w14:paraId="61E0515A"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759DC1A8"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01B53AD"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7365E13F"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267F2014"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75FE7235"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3D705E6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0.0</w:t>
            </w:r>
          </w:p>
        </w:tc>
        <w:tc>
          <w:tcPr>
            <w:tcW w:w="0" w:type="auto"/>
            <w:hideMark/>
          </w:tcPr>
          <w:p w14:paraId="1AE1844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589C9E3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0B6E789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28147C0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34E66C6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06D9D28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6D6DA15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r>
      <w:tr w:rsidR="00EE19C2" w:rsidRPr="00374CC9" w14:paraId="727F6124"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E4566F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Plague</w:t>
            </w:r>
          </w:p>
        </w:tc>
        <w:tc>
          <w:tcPr>
            <w:tcW w:w="0" w:type="auto"/>
            <w:hideMark/>
          </w:tcPr>
          <w:p w14:paraId="678B0503"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5B4C3FA5"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17328AF0"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0908E58B"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355ABC7F"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74FE140C"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52540E3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0.0</w:t>
            </w:r>
          </w:p>
        </w:tc>
        <w:tc>
          <w:tcPr>
            <w:tcW w:w="0" w:type="auto"/>
            <w:hideMark/>
          </w:tcPr>
          <w:p w14:paraId="7DB319F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5AF90B5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1F34584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362B6F9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3B63C40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7D6301E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5A4DB75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r>
      <w:tr w:rsidR="00EE19C2" w:rsidRPr="00374CC9" w14:paraId="3A188CC7" w14:textId="77777777" w:rsidTr="000A4FFE">
        <w:tblPrEx>
          <w:tblCellMar>
            <w:right w:w="108" w:type="dxa"/>
          </w:tblCellMar>
        </w:tblPrEx>
        <w:tc>
          <w:tcPr>
            <w:tcW w:w="0" w:type="auto"/>
            <w:hideMark/>
          </w:tcPr>
          <w:p w14:paraId="1BBE886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Rabies</w:t>
            </w:r>
          </w:p>
        </w:tc>
        <w:tc>
          <w:tcPr>
            <w:tcW w:w="0" w:type="auto"/>
            <w:hideMark/>
          </w:tcPr>
          <w:p w14:paraId="7784C298"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3B2A2ADE"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5BBB64FB"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3F1DE553"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78F36974"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2D219236"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7BF2D9E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0.0</w:t>
            </w:r>
          </w:p>
        </w:tc>
        <w:tc>
          <w:tcPr>
            <w:tcW w:w="0" w:type="auto"/>
            <w:hideMark/>
          </w:tcPr>
          <w:p w14:paraId="2E9DC31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75530DD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0E47F1C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79139AD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0027F66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1823E42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33F4316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r>
      <w:tr w:rsidR="00EE19C2" w:rsidRPr="00374CC9" w14:paraId="27A276BB"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ADD6F1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Severe acute respiratory syndrome</w:t>
            </w:r>
          </w:p>
        </w:tc>
        <w:tc>
          <w:tcPr>
            <w:tcW w:w="0" w:type="auto"/>
            <w:hideMark/>
          </w:tcPr>
          <w:p w14:paraId="7BFC3D37"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16C56217"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2D50D09E"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10600316"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E63139F"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9F4902E"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64C113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0.0</w:t>
            </w:r>
          </w:p>
        </w:tc>
        <w:tc>
          <w:tcPr>
            <w:tcW w:w="0" w:type="auto"/>
            <w:hideMark/>
          </w:tcPr>
          <w:p w14:paraId="6F3E843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4C63F6A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31F9F3B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5D0813F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19F2CC1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128B59C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07000A9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r>
      <w:tr w:rsidR="00EE19C2" w:rsidRPr="00374CC9" w14:paraId="7045825D" w14:textId="77777777" w:rsidTr="000A4FFE">
        <w:tblPrEx>
          <w:tblCellMar>
            <w:right w:w="108" w:type="dxa"/>
          </w:tblCellMar>
        </w:tblPrEx>
        <w:tc>
          <w:tcPr>
            <w:tcW w:w="0" w:type="auto"/>
            <w:hideMark/>
          </w:tcPr>
          <w:p w14:paraId="1EB1A8C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Smallpox</w:t>
            </w:r>
          </w:p>
        </w:tc>
        <w:tc>
          <w:tcPr>
            <w:tcW w:w="0" w:type="auto"/>
            <w:hideMark/>
          </w:tcPr>
          <w:p w14:paraId="20A54AD1"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0033E9F4"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2A2E7B1"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1E9F5808"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200EDE4"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58B32C80"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CBF212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0.0</w:t>
            </w:r>
          </w:p>
        </w:tc>
        <w:tc>
          <w:tcPr>
            <w:tcW w:w="0" w:type="auto"/>
            <w:hideMark/>
          </w:tcPr>
          <w:p w14:paraId="7B68FD7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05D1702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4EC8C74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0793098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2EE2369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375647C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040C8B3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r>
      <w:tr w:rsidR="00EE19C2" w:rsidRPr="00374CC9" w14:paraId="5EB52657"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5A70B4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Viral haemorrhagic fever</w:t>
            </w:r>
          </w:p>
        </w:tc>
        <w:tc>
          <w:tcPr>
            <w:tcW w:w="0" w:type="auto"/>
            <w:hideMark/>
          </w:tcPr>
          <w:p w14:paraId="646815AE"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08149639"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18D3AC4D"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0B85C42B"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25C34FF5"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50DF3588"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1E157FD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0.0</w:t>
            </w:r>
          </w:p>
        </w:tc>
        <w:tc>
          <w:tcPr>
            <w:tcW w:w="0" w:type="auto"/>
            <w:hideMark/>
          </w:tcPr>
          <w:p w14:paraId="39D6485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6CA2781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2FE5EA9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226478D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037CCAD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657E61C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3C7B3BE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r>
      <w:tr w:rsidR="00EE19C2" w:rsidRPr="00374CC9" w14:paraId="4DECB480" w14:textId="77777777" w:rsidTr="000A4FFE">
        <w:tblPrEx>
          <w:tblCellMar>
            <w:right w:w="108" w:type="dxa"/>
          </w:tblCellMar>
        </w:tblPrEx>
        <w:tc>
          <w:tcPr>
            <w:tcW w:w="0" w:type="auto"/>
            <w:hideMark/>
          </w:tcPr>
          <w:p w14:paraId="668CBE4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Yellow fever</w:t>
            </w:r>
          </w:p>
        </w:tc>
        <w:tc>
          <w:tcPr>
            <w:tcW w:w="0" w:type="auto"/>
            <w:hideMark/>
          </w:tcPr>
          <w:p w14:paraId="406BBDF9"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0063C4B0"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0E7D5581"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7945E6DD"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09B6B2EB"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0FA8603"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5F3F41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0.4</w:t>
            </w:r>
          </w:p>
        </w:tc>
        <w:tc>
          <w:tcPr>
            <w:tcW w:w="0" w:type="auto"/>
            <w:hideMark/>
          </w:tcPr>
          <w:p w14:paraId="5AE8B9E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2D30A3B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3E048FC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&lt;0.1</w:t>
            </w:r>
          </w:p>
        </w:tc>
        <w:tc>
          <w:tcPr>
            <w:tcW w:w="0" w:type="auto"/>
            <w:hideMark/>
          </w:tcPr>
          <w:p w14:paraId="500D5E6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2BEC42D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21CD9B6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67D0BCE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r>
      <w:tr w:rsidR="00BE61A2" w:rsidRPr="00374CC9" w14:paraId="74F47CE4" w14:textId="77777777" w:rsidTr="00240D6D">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gridSpan w:val="15"/>
            <w:shd w:val="clear" w:color="auto" w:fill="D9D9D9" w:themeFill="background1" w:themeFillShade="D9"/>
            <w:hideMark/>
          </w:tcPr>
          <w:p w14:paraId="0CD57BA1" w14:textId="77777777" w:rsidR="00BE61A2" w:rsidRPr="00240D6D" w:rsidRDefault="00BE61A2" w:rsidP="00E16E6C">
            <w:pPr>
              <w:rPr>
                <w:rFonts w:asciiTheme="minorHAnsi" w:eastAsia="Times New Roman" w:hAnsiTheme="minorHAnsi"/>
                <w:b/>
                <w:sz w:val="18"/>
                <w:szCs w:val="18"/>
              </w:rPr>
            </w:pPr>
            <w:r w:rsidRPr="00240D6D">
              <w:rPr>
                <w:rFonts w:asciiTheme="minorHAnsi" w:eastAsia="Times New Roman" w:hAnsiTheme="minorHAnsi"/>
                <w:b/>
                <w:sz w:val="18"/>
                <w:szCs w:val="18"/>
              </w:rPr>
              <w:t>Sexually transmissible infections</w:t>
            </w:r>
          </w:p>
        </w:tc>
      </w:tr>
      <w:tr w:rsidR="00EE19C2" w:rsidRPr="00374CC9" w14:paraId="5ED350C3" w14:textId="77777777" w:rsidTr="000A4FFE">
        <w:tblPrEx>
          <w:tblCellMar>
            <w:right w:w="108" w:type="dxa"/>
          </w:tblCellMar>
        </w:tblPrEx>
        <w:tc>
          <w:tcPr>
            <w:tcW w:w="0" w:type="auto"/>
            <w:hideMark/>
          </w:tcPr>
          <w:p w14:paraId="626839E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lastRenderedPageBreak/>
              <w:t>Chlamydial infection</w:t>
            </w:r>
            <w:r w:rsidRPr="00374CC9">
              <w:rPr>
                <w:rFonts w:asciiTheme="minorHAnsi" w:eastAsia="Times New Roman" w:hAnsiTheme="minorHAnsi"/>
                <w:sz w:val="18"/>
                <w:szCs w:val="18"/>
                <w:vertAlign w:val="superscript"/>
              </w:rPr>
              <w:t>||¶</w:t>
            </w:r>
          </w:p>
        </w:tc>
        <w:tc>
          <w:tcPr>
            <w:tcW w:w="0" w:type="auto"/>
            <w:hideMark/>
          </w:tcPr>
          <w:p w14:paraId="53813ABD"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74,420</w:t>
            </w:r>
          </w:p>
        </w:tc>
        <w:tc>
          <w:tcPr>
            <w:tcW w:w="0" w:type="auto"/>
            <w:hideMark/>
          </w:tcPr>
          <w:p w14:paraId="1FB741E0"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81,105</w:t>
            </w:r>
          </w:p>
        </w:tc>
        <w:tc>
          <w:tcPr>
            <w:tcW w:w="0" w:type="auto"/>
            <w:hideMark/>
          </w:tcPr>
          <w:p w14:paraId="5466E05A"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83,148</w:t>
            </w:r>
          </w:p>
        </w:tc>
        <w:tc>
          <w:tcPr>
            <w:tcW w:w="0" w:type="auto"/>
            <w:hideMark/>
          </w:tcPr>
          <w:p w14:paraId="09B9BC75"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83,796</w:t>
            </w:r>
          </w:p>
        </w:tc>
        <w:tc>
          <w:tcPr>
            <w:tcW w:w="0" w:type="auto"/>
            <w:hideMark/>
          </w:tcPr>
          <w:p w14:paraId="357F8D3A"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86,782</w:t>
            </w:r>
          </w:p>
        </w:tc>
        <w:tc>
          <w:tcPr>
            <w:tcW w:w="0" w:type="auto"/>
            <w:hideMark/>
          </w:tcPr>
          <w:p w14:paraId="7959B0CD"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72,263</w:t>
            </w:r>
          </w:p>
        </w:tc>
        <w:tc>
          <w:tcPr>
            <w:tcW w:w="0" w:type="auto"/>
            <w:hideMark/>
          </w:tcPr>
          <w:p w14:paraId="00E0944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81,850.2</w:t>
            </w:r>
          </w:p>
        </w:tc>
        <w:tc>
          <w:tcPr>
            <w:tcW w:w="0" w:type="auto"/>
            <w:hideMark/>
          </w:tcPr>
          <w:p w14:paraId="42A5E9C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0.9</w:t>
            </w:r>
          </w:p>
        </w:tc>
        <w:tc>
          <w:tcPr>
            <w:tcW w:w="0" w:type="auto"/>
            <w:hideMark/>
          </w:tcPr>
          <w:p w14:paraId="7206135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337.8</w:t>
            </w:r>
          </w:p>
        </w:tc>
        <w:tc>
          <w:tcPr>
            <w:tcW w:w="0" w:type="auto"/>
            <w:hideMark/>
          </w:tcPr>
          <w:p w14:paraId="6E1FED2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363.0</w:t>
            </w:r>
          </w:p>
        </w:tc>
        <w:tc>
          <w:tcPr>
            <w:tcW w:w="0" w:type="auto"/>
            <w:hideMark/>
          </w:tcPr>
          <w:p w14:paraId="59DAE72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365.8</w:t>
            </w:r>
          </w:p>
        </w:tc>
        <w:tc>
          <w:tcPr>
            <w:tcW w:w="0" w:type="auto"/>
            <w:hideMark/>
          </w:tcPr>
          <w:p w14:paraId="3DE1F31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362.5</w:t>
            </w:r>
          </w:p>
        </w:tc>
        <w:tc>
          <w:tcPr>
            <w:tcW w:w="0" w:type="auto"/>
            <w:hideMark/>
          </w:tcPr>
          <w:p w14:paraId="2036CCB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369.9</w:t>
            </w:r>
          </w:p>
        </w:tc>
        <w:tc>
          <w:tcPr>
            <w:tcW w:w="0" w:type="auto"/>
            <w:hideMark/>
          </w:tcPr>
          <w:p w14:paraId="71582D6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303.8</w:t>
            </w:r>
          </w:p>
        </w:tc>
      </w:tr>
      <w:tr w:rsidR="00EE19C2" w:rsidRPr="00374CC9" w14:paraId="4564E4B8"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BCE427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Donovanosis</w:t>
            </w:r>
          </w:p>
        </w:tc>
        <w:tc>
          <w:tcPr>
            <w:tcW w:w="0" w:type="auto"/>
            <w:hideMark/>
          </w:tcPr>
          <w:p w14:paraId="62D8080C"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14B99F49"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30206EB7"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674428FC"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3CE548D4"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4327BB77"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64FA4E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0.6</w:t>
            </w:r>
          </w:p>
        </w:tc>
        <w:tc>
          <w:tcPr>
            <w:tcW w:w="0" w:type="auto"/>
            <w:hideMark/>
          </w:tcPr>
          <w:p w14:paraId="18757E7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&lt;0.1</w:t>
            </w:r>
          </w:p>
        </w:tc>
        <w:tc>
          <w:tcPr>
            <w:tcW w:w="0" w:type="auto"/>
            <w:hideMark/>
          </w:tcPr>
          <w:p w14:paraId="6E80970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&lt;0.1</w:t>
            </w:r>
          </w:p>
        </w:tc>
        <w:tc>
          <w:tcPr>
            <w:tcW w:w="0" w:type="auto"/>
            <w:hideMark/>
          </w:tcPr>
          <w:p w14:paraId="562FE46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065A280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&lt;0.1</w:t>
            </w:r>
          </w:p>
        </w:tc>
        <w:tc>
          <w:tcPr>
            <w:tcW w:w="0" w:type="auto"/>
            <w:hideMark/>
          </w:tcPr>
          <w:p w14:paraId="4BBF2C0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0008CFF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&lt;0.1</w:t>
            </w:r>
          </w:p>
        </w:tc>
        <w:tc>
          <w:tcPr>
            <w:tcW w:w="0" w:type="auto"/>
            <w:hideMark/>
          </w:tcPr>
          <w:p w14:paraId="6D1E7B1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r>
      <w:tr w:rsidR="00EE19C2" w:rsidRPr="00374CC9" w14:paraId="6DE3231F" w14:textId="77777777" w:rsidTr="000A4FFE">
        <w:tblPrEx>
          <w:tblCellMar>
            <w:right w:w="108" w:type="dxa"/>
          </w:tblCellMar>
        </w:tblPrEx>
        <w:tc>
          <w:tcPr>
            <w:tcW w:w="0" w:type="auto"/>
            <w:hideMark/>
          </w:tcPr>
          <w:p w14:paraId="4AA7335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Gonococcal infection|</w:t>
            </w:r>
            <w:r w:rsidRPr="00374CC9">
              <w:rPr>
                <w:rFonts w:asciiTheme="minorHAnsi" w:eastAsia="Times New Roman" w:hAnsiTheme="minorHAnsi"/>
                <w:sz w:val="18"/>
                <w:szCs w:val="18"/>
                <w:vertAlign w:val="superscript"/>
              </w:rPr>
              <w:t>¶</w:t>
            </w:r>
          </w:p>
        </w:tc>
        <w:tc>
          <w:tcPr>
            <w:tcW w:w="0" w:type="auto"/>
            <w:hideMark/>
          </w:tcPr>
          <w:p w14:paraId="0B69A245"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10,322</w:t>
            </w:r>
          </w:p>
        </w:tc>
        <w:tc>
          <w:tcPr>
            <w:tcW w:w="0" w:type="auto"/>
            <w:hideMark/>
          </w:tcPr>
          <w:p w14:paraId="6E82E8BC"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12,097</w:t>
            </w:r>
          </w:p>
        </w:tc>
        <w:tc>
          <w:tcPr>
            <w:tcW w:w="0" w:type="auto"/>
            <w:hideMark/>
          </w:tcPr>
          <w:p w14:paraId="2F2772ED"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13,889</w:t>
            </w:r>
          </w:p>
        </w:tc>
        <w:tc>
          <w:tcPr>
            <w:tcW w:w="0" w:type="auto"/>
            <w:hideMark/>
          </w:tcPr>
          <w:p w14:paraId="1770C70A"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14,912</w:t>
            </w:r>
          </w:p>
        </w:tc>
        <w:tc>
          <w:tcPr>
            <w:tcW w:w="0" w:type="auto"/>
            <w:hideMark/>
          </w:tcPr>
          <w:p w14:paraId="5C909569"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15,707</w:t>
            </w:r>
          </w:p>
        </w:tc>
        <w:tc>
          <w:tcPr>
            <w:tcW w:w="0" w:type="auto"/>
            <w:hideMark/>
          </w:tcPr>
          <w:p w14:paraId="31C0C1A0"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18,550</w:t>
            </w:r>
          </w:p>
        </w:tc>
        <w:tc>
          <w:tcPr>
            <w:tcW w:w="0" w:type="auto"/>
            <w:hideMark/>
          </w:tcPr>
          <w:p w14:paraId="4AD0E0D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13,385.4</w:t>
            </w:r>
          </w:p>
        </w:tc>
        <w:tc>
          <w:tcPr>
            <w:tcW w:w="0" w:type="auto"/>
            <w:hideMark/>
          </w:tcPr>
          <w:p w14:paraId="4A4F013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1.4</w:t>
            </w:r>
          </w:p>
        </w:tc>
        <w:tc>
          <w:tcPr>
            <w:tcW w:w="0" w:type="auto"/>
            <w:hideMark/>
          </w:tcPr>
          <w:p w14:paraId="53EE2B5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46.9</w:t>
            </w:r>
          </w:p>
        </w:tc>
        <w:tc>
          <w:tcPr>
            <w:tcW w:w="0" w:type="auto"/>
            <w:hideMark/>
          </w:tcPr>
          <w:p w14:paraId="73008CD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54.1</w:t>
            </w:r>
          </w:p>
        </w:tc>
        <w:tc>
          <w:tcPr>
            <w:tcW w:w="0" w:type="auto"/>
            <w:hideMark/>
          </w:tcPr>
          <w:p w14:paraId="7727890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61.1</w:t>
            </w:r>
          </w:p>
        </w:tc>
        <w:tc>
          <w:tcPr>
            <w:tcW w:w="0" w:type="auto"/>
            <w:hideMark/>
          </w:tcPr>
          <w:p w14:paraId="42C03CC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64.5</w:t>
            </w:r>
          </w:p>
        </w:tc>
        <w:tc>
          <w:tcPr>
            <w:tcW w:w="0" w:type="auto"/>
            <w:hideMark/>
          </w:tcPr>
          <w:p w14:paraId="63E8DF3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67.0</w:t>
            </w:r>
          </w:p>
        </w:tc>
        <w:tc>
          <w:tcPr>
            <w:tcW w:w="0" w:type="auto"/>
            <w:hideMark/>
          </w:tcPr>
          <w:p w14:paraId="77C8D01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78.0</w:t>
            </w:r>
          </w:p>
        </w:tc>
      </w:tr>
      <w:tr w:rsidR="00EE19C2" w:rsidRPr="00374CC9" w14:paraId="3C1928F5"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DC73B5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Syphilis – congenital|</w:t>
            </w:r>
            <w:r w:rsidRPr="00374CC9">
              <w:rPr>
                <w:rFonts w:asciiTheme="minorHAnsi" w:eastAsia="Times New Roman" w:hAnsiTheme="minorHAnsi"/>
                <w:sz w:val="18"/>
                <w:szCs w:val="18"/>
                <w:vertAlign w:val="superscript"/>
              </w:rPr>
              <w:t>¶</w:t>
            </w:r>
          </w:p>
        </w:tc>
        <w:tc>
          <w:tcPr>
            <w:tcW w:w="0" w:type="auto"/>
            <w:hideMark/>
          </w:tcPr>
          <w:p w14:paraId="1F3C8C24"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4</w:t>
            </w:r>
          </w:p>
        </w:tc>
        <w:tc>
          <w:tcPr>
            <w:tcW w:w="0" w:type="auto"/>
            <w:hideMark/>
          </w:tcPr>
          <w:p w14:paraId="70D90D81"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6</w:t>
            </w:r>
          </w:p>
        </w:tc>
        <w:tc>
          <w:tcPr>
            <w:tcW w:w="0" w:type="auto"/>
            <w:hideMark/>
          </w:tcPr>
          <w:p w14:paraId="51E7F231"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A432408"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8</w:t>
            </w:r>
          </w:p>
        </w:tc>
        <w:tc>
          <w:tcPr>
            <w:tcW w:w="0" w:type="auto"/>
            <w:hideMark/>
          </w:tcPr>
          <w:p w14:paraId="0CCA25C5"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0" w:type="auto"/>
            <w:hideMark/>
          </w:tcPr>
          <w:p w14:paraId="4217A865"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0" w:type="auto"/>
            <w:hideMark/>
          </w:tcPr>
          <w:p w14:paraId="20A3FC8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4.2</w:t>
            </w:r>
          </w:p>
        </w:tc>
        <w:tc>
          <w:tcPr>
            <w:tcW w:w="0" w:type="auto"/>
            <w:hideMark/>
          </w:tcPr>
          <w:p w14:paraId="4E1B14E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0.7</w:t>
            </w:r>
          </w:p>
        </w:tc>
        <w:tc>
          <w:tcPr>
            <w:tcW w:w="0" w:type="auto"/>
            <w:hideMark/>
          </w:tcPr>
          <w:p w14:paraId="7FFE415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&lt;0.1</w:t>
            </w:r>
          </w:p>
        </w:tc>
        <w:tc>
          <w:tcPr>
            <w:tcW w:w="0" w:type="auto"/>
            <w:hideMark/>
          </w:tcPr>
          <w:p w14:paraId="581E0C8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&lt;0.1</w:t>
            </w:r>
          </w:p>
        </w:tc>
        <w:tc>
          <w:tcPr>
            <w:tcW w:w="0" w:type="auto"/>
            <w:hideMark/>
          </w:tcPr>
          <w:p w14:paraId="13D4B55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623CEFC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&lt;0.1</w:t>
            </w:r>
          </w:p>
        </w:tc>
        <w:tc>
          <w:tcPr>
            <w:tcW w:w="0" w:type="auto"/>
            <w:hideMark/>
          </w:tcPr>
          <w:p w14:paraId="56C812E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&lt;0.1</w:t>
            </w:r>
          </w:p>
        </w:tc>
        <w:tc>
          <w:tcPr>
            <w:tcW w:w="0" w:type="auto"/>
            <w:hideMark/>
          </w:tcPr>
          <w:p w14:paraId="54898DF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&lt;0.1</w:t>
            </w:r>
          </w:p>
        </w:tc>
      </w:tr>
      <w:tr w:rsidR="00EE19C2" w:rsidRPr="00374CC9" w14:paraId="2E7A08C7" w14:textId="77777777" w:rsidTr="000A4FFE">
        <w:tblPrEx>
          <w:tblCellMar>
            <w:right w:w="108" w:type="dxa"/>
          </w:tblCellMar>
        </w:tblPrEx>
        <w:tc>
          <w:tcPr>
            <w:tcW w:w="0" w:type="auto"/>
            <w:hideMark/>
          </w:tcPr>
          <w:p w14:paraId="2C45171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Syphilis &lt; 2 years duration</w:t>
            </w:r>
            <w:r w:rsidRPr="00374CC9">
              <w:rPr>
                <w:rFonts w:asciiTheme="minorHAnsi" w:eastAsia="Times New Roman" w:hAnsiTheme="minorHAnsi"/>
                <w:sz w:val="18"/>
                <w:szCs w:val="18"/>
                <w:vertAlign w:val="superscript"/>
              </w:rPr>
              <w:t>*¶**</w:t>
            </w:r>
          </w:p>
        </w:tc>
        <w:tc>
          <w:tcPr>
            <w:tcW w:w="0" w:type="auto"/>
            <w:hideMark/>
          </w:tcPr>
          <w:p w14:paraId="7194CB1D"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1,118</w:t>
            </w:r>
          </w:p>
        </w:tc>
        <w:tc>
          <w:tcPr>
            <w:tcW w:w="0" w:type="auto"/>
            <w:hideMark/>
          </w:tcPr>
          <w:p w14:paraId="744102FB"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1,284</w:t>
            </w:r>
          </w:p>
        </w:tc>
        <w:tc>
          <w:tcPr>
            <w:tcW w:w="0" w:type="auto"/>
            <w:hideMark/>
          </w:tcPr>
          <w:p w14:paraId="7D1C434D"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1,558</w:t>
            </w:r>
          </w:p>
        </w:tc>
        <w:tc>
          <w:tcPr>
            <w:tcW w:w="0" w:type="auto"/>
            <w:hideMark/>
          </w:tcPr>
          <w:p w14:paraId="404EE55F"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1,767</w:t>
            </w:r>
          </w:p>
        </w:tc>
        <w:tc>
          <w:tcPr>
            <w:tcW w:w="0" w:type="auto"/>
            <w:hideMark/>
          </w:tcPr>
          <w:p w14:paraId="2DC245DB"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2,033</w:t>
            </w:r>
          </w:p>
        </w:tc>
        <w:tc>
          <w:tcPr>
            <w:tcW w:w="0" w:type="auto"/>
            <w:hideMark/>
          </w:tcPr>
          <w:p w14:paraId="10FE9BF5"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2,713</w:t>
            </w:r>
          </w:p>
        </w:tc>
        <w:tc>
          <w:tcPr>
            <w:tcW w:w="0" w:type="auto"/>
            <w:hideMark/>
          </w:tcPr>
          <w:p w14:paraId="12B1BEB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1,552.0</w:t>
            </w:r>
          </w:p>
        </w:tc>
        <w:tc>
          <w:tcPr>
            <w:tcW w:w="0" w:type="auto"/>
            <w:hideMark/>
          </w:tcPr>
          <w:p w14:paraId="47EEAC4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1.7</w:t>
            </w:r>
          </w:p>
        </w:tc>
        <w:tc>
          <w:tcPr>
            <w:tcW w:w="0" w:type="auto"/>
            <w:hideMark/>
          </w:tcPr>
          <w:p w14:paraId="2A54F1C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5.1</w:t>
            </w:r>
          </w:p>
        </w:tc>
        <w:tc>
          <w:tcPr>
            <w:tcW w:w="0" w:type="auto"/>
            <w:hideMark/>
          </w:tcPr>
          <w:p w14:paraId="17CCE13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5.7</w:t>
            </w:r>
          </w:p>
        </w:tc>
        <w:tc>
          <w:tcPr>
            <w:tcW w:w="0" w:type="auto"/>
            <w:hideMark/>
          </w:tcPr>
          <w:p w14:paraId="29E81CF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6.9</w:t>
            </w:r>
          </w:p>
        </w:tc>
        <w:tc>
          <w:tcPr>
            <w:tcW w:w="0" w:type="auto"/>
            <w:hideMark/>
          </w:tcPr>
          <w:p w14:paraId="48AB4B5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7.6</w:t>
            </w:r>
          </w:p>
        </w:tc>
        <w:tc>
          <w:tcPr>
            <w:tcW w:w="0" w:type="auto"/>
            <w:hideMark/>
          </w:tcPr>
          <w:p w14:paraId="6E75A01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8.7</w:t>
            </w:r>
          </w:p>
        </w:tc>
        <w:tc>
          <w:tcPr>
            <w:tcW w:w="0" w:type="auto"/>
            <w:hideMark/>
          </w:tcPr>
          <w:p w14:paraId="318AA21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11.4</w:t>
            </w:r>
          </w:p>
        </w:tc>
      </w:tr>
      <w:tr w:rsidR="00EE19C2" w:rsidRPr="00374CC9" w14:paraId="3437576D"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AAF96C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Syphilis &gt; 2 years or unspecified duration</w:t>
            </w:r>
            <w:r w:rsidRPr="00374CC9">
              <w:rPr>
                <w:rFonts w:asciiTheme="minorHAnsi" w:eastAsia="Times New Roman" w:hAnsiTheme="minorHAnsi"/>
                <w:sz w:val="18"/>
                <w:szCs w:val="18"/>
                <w:vertAlign w:val="superscript"/>
              </w:rPr>
              <w:t>†¶</w:t>
            </w:r>
          </w:p>
        </w:tc>
        <w:tc>
          <w:tcPr>
            <w:tcW w:w="0" w:type="auto"/>
            <w:hideMark/>
          </w:tcPr>
          <w:p w14:paraId="5D37497F"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1,360</w:t>
            </w:r>
          </w:p>
        </w:tc>
        <w:tc>
          <w:tcPr>
            <w:tcW w:w="0" w:type="auto"/>
            <w:hideMark/>
          </w:tcPr>
          <w:p w14:paraId="2D0B6FBE"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1,353</w:t>
            </w:r>
          </w:p>
        </w:tc>
        <w:tc>
          <w:tcPr>
            <w:tcW w:w="0" w:type="auto"/>
            <w:hideMark/>
          </w:tcPr>
          <w:p w14:paraId="2ACAA75D"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1,391</w:t>
            </w:r>
          </w:p>
        </w:tc>
        <w:tc>
          <w:tcPr>
            <w:tcW w:w="0" w:type="auto"/>
            <w:hideMark/>
          </w:tcPr>
          <w:p w14:paraId="3B835E5F"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1,747</w:t>
            </w:r>
          </w:p>
        </w:tc>
        <w:tc>
          <w:tcPr>
            <w:tcW w:w="0" w:type="auto"/>
            <w:hideMark/>
          </w:tcPr>
          <w:p w14:paraId="39C83635"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1,872</w:t>
            </w:r>
          </w:p>
        </w:tc>
        <w:tc>
          <w:tcPr>
            <w:tcW w:w="0" w:type="auto"/>
            <w:hideMark/>
          </w:tcPr>
          <w:p w14:paraId="50D464F9"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1,939</w:t>
            </w:r>
          </w:p>
        </w:tc>
        <w:tc>
          <w:tcPr>
            <w:tcW w:w="0" w:type="auto"/>
            <w:hideMark/>
          </w:tcPr>
          <w:p w14:paraId="7F32768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1,544.6</w:t>
            </w:r>
          </w:p>
        </w:tc>
        <w:tc>
          <w:tcPr>
            <w:tcW w:w="0" w:type="auto"/>
            <w:hideMark/>
          </w:tcPr>
          <w:p w14:paraId="4DF908B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1.3</w:t>
            </w:r>
          </w:p>
        </w:tc>
        <w:tc>
          <w:tcPr>
            <w:tcW w:w="0" w:type="auto"/>
            <w:hideMark/>
          </w:tcPr>
          <w:p w14:paraId="65D0CE1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6.7</w:t>
            </w:r>
          </w:p>
        </w:tc>
        <w:tc>
          <w:tcPr>
            <w:tcW w:w="0" w:type="auto"/>
            <w:hideMark/>
          </w:tcPr>
          <w:p w14:paraId="167E3DB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6.5</w:t>
            </w:r>
          </w:p>
        </w:tc>
        <w:tc>
          <w:tcPr>
            <w:tcW w:w="0" w:type="auto"/>
            <w:hideMark/>
          </w:tcPr>
          <w:p w14:paraId="0413542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6.1</w:t>
            </w:r>
          </w:p>
        </w:tc>
        <w:tc>
          <w:tcPr>
            <w:tcW w:w="0" w:type="auto"/>
            <w:hideMark/>
          </w:tcPr>
          <w:p w14:paraId="7490237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7.6</w:t>
            </w:r>
          </w:p>
        </w:tc>
        <w:tc>
          <w:tcPr>
            <w:tcW w:w="0" w:type="auto"/>
            <w:hideMark/>
          </w:tcPr>
          <w:p w14:paraId="58AEBC5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8.0</w:t>
            </w:r>
          </w:p>
        </w:tc>
        <w:tc>
          <w:tcPr>
            <w:tcW w:w="0" w:type="auto"/>
            <w:hideMark/>
          </w:tcPr>
          <w:p w14:paraId="427C438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8.2</w:t>
            </w:r>
          </w:p>
        </w:tc>
      </w:tr>
      <w:tr w:rsidR="00BE61A2" w:rsidRPr="00374CC9" w14:paraId="0E852F2C" w14:textId="77777777" w:rsidTr="00240D6D">
        <w:tblPrEx>
          <w:tblCellMar>
            <w:right w:w="108" w:type="dxa"/>
          </w:tblCellMar>
        </w:tblPrEx>
        <w:tc>
          <w:tcPr>
            <w:tcW w:w="0" w:type="auto"/>
            <w:gridSpan w:val="15"/>
            <w:shd w:val="clear" w:color="auto" w:fill="D9D9D9" w:themeFill="background1" w:themeFillShade="D9"/>
            <w:hideMark/>
          </w:tcPr>
          <w:p w14:paraId="4A21D214" w14:textId="77777777" w:rsidR="00BE61A2" w:rsidRPr="00240D6D" w:rsidRDefault="00BE61A2" w:rsidP="00E16E6C">
            <w:pPr>
              <w:rPr>
                <w:rFonts w:asciiTheme="minorHAnsi" w:eastAsia="Times New Roman" w:hAnsiTheme="minorHAnsi"/>
                <w:b/>
                <w:sz w:val="18"/>
                <w:szCs w:val="18"/>
              </w:rPr>
            </w:pPr>
            <w:r w:rsidRPr="00240D6D">
              <w:rPr>
                <w:rFonts w:asciiTheme="minorHAnsi" w:eastAsia="Times New Roman" w:hAnsiTheme="minorHAnsi"/>
                <w:b/>
                <w:sz w:val="18"/>
                <w:szCs w:val="18"/>
              </w:rPr>
              <w:t>Vaccine preventable diseases</w:t>
            </w:r>
          </w:p>
        </w:tc>
      </w:tr>
      <w:tr w:rsidR="00EE19C2" w:rsidRPr="00374CC9" w14:paraId="6EC28B62"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66F5FA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Diphtheria</w:t>
            </w:r>
            <w:r w:rsidRPr="00374CC9">
              <w:rPr>
                <w:rFonts w:asciiTheme="minorHAnsi" w:eastAsia="Times New Roman" w:hAnsiTheme="minorHAnsi"/>
                <w:sz w:val="18"/>
                <w:szCs w:val="18"/>
                <w:vertAlign w:val="superscript"/>
              </w:rPr>
              <w:t>††</w:t>
            </w:r>
          </w:p>
        </w:tc>
        <w:tc>
          <w:tcPr>
            <w:tcW w:w="0" w:type="auto"/>
            <w:hideMark/>
          </w:tcPr>
          <w:p w14:paraId="19B5A479"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687373C5"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4</w:t>
            </w:r>
          </w:p>
        </w:tc>
        <w:tc>
          <w:tcPr>
            <w:tcW w:w="0" w:type="auto"/>
            <w:hideMark/>
          </w:tcPr>
          <w:p w14:paraId="302D4726"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540F5CF0"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0" w:type="auto"/>
            <w:hideMark/>
          </w:tcPr>
          <w:p w14:paraId="6C6D3EBF"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360D243E"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313425E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1.8</w:t>
            </w:r>
          </w:p>
        </w:tc>
        <w:tc>
          <w:tcPr>
            <w:tcW w:w="0" w:type="auto"/>
            <w:hideMark/>
          </w:tcPr>
          <w:p w14:paraId="389FF94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1.1</w:t>
            </w:r>
          </w:p>
        </w:tc>
        <w:tc>
          <w:tcPr>
            <w:tcW w:w="0" w:type="auto"/>
            <w:hideMark/>
          </w:tcPr>
          <w:p w14:paraId="6C2AB5C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3D8CEB8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0.0</w:t>
            </w:r>
          </w:p>
        </w:tc>
        <w:tc>
          <w:tcPr>
            <w:tcW w:w="0" w:type="auto"/>
            <w:hideMark/>
          </w:tcPr>
          <w:p w14:paraId="6234C90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1E0FE3D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0.0</w:t>
            </w:r>
          </w:p>
        </w:tc>
        <w:tc>
          <w:tcPr>
            <w:tcW w:w="0" w:type="auto"/>
            <w:hideMark/>
          </w:tcPr>
          <w:p w14:paraId="62A5471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0.0</w:t>
            </w:r>
          </w:p>
        </w:tc>
        <w:tc>
          <w:tcPr>
            <w:tcW w:w="0" w:type="auto"/>
            <w:hideMark/>
          </w:tcPr>
          <w:p w14:paraId="79A5F55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0.0</w:t>
            </w:r>
          </w:p>
        </w:tc>
      </w:tr>
      <w:tr w:rsidR="00EE19C2" w:rsidRPr="00374CC9" w14:paraId="15CBB1AD" w14:textId="77777777" w:rsidTr="000A4FFE">
        <w:tblPrEx>
          <w:tblCellMar>
            <w:right w:w="108" w:type="dxa"/>
          </w:tblCellMar>
        </w:tblPrEx>
        <w:tc>
          <w:tcPr>
            <w:tcW w:w="0" w:type="auto"/>
            <w:hideMark/>
          </w:tcPr>
          <w:p w14:paraId="386A1B0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Haemophilus influenzae type b</w:t>
            </w:r>
          </w:p>
        </w:tc>
        <w:tc>
          <w:tcPr>
            <w:tcW w:w="0" w:type="auto"/>
            <w:hideMark/>
          </w:tcPr>
          <w:p w14:paraId="599B88B9"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23</w:t>
            </w:r>
          </w:p>
        </w:tc>
        <w:tc>
          <w:tcPr>
            <w:tcW w:w="0" w:type="auto"/>
            <w:hideMark/>
          </w:tcPr>
          <w:p w14:paraId="3ED90F5A"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13</w:t>
            </w:r>
          </w:p>
        </w:tc>
        <w:tc>
          <w:tcPr>
            <w:tcW w:w="0" w:type="auto"/>
            <w:hideMark/>
          </w:tcPr>
          <w:p w14:paraId="282EC9FC"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16</w:t>
            </w:r>
          </w:p>
        </w:tc>
        <w:tc>
          <w:tcPr>
            <w:tcW w:w="0" w:type="auto"/>
            <w:hideMark/>
          </w:tcPr>
          <w:p w14:paraId="26079DAB"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20</w:t>
            </w:r>
          </w:p>
        </w:tc>
        <w:tc>
          <w:tcPr>
            <w:tcW w:w="0" w:type="auto"/>
            <w:hideMark/>
          </w:tcPr>
          <w:p w14:paraId="0D3869CA"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21</w:t>
            </w:r>
          </w:p>
        </w:tc>
        <w:tc>
          <w:tcPr>
            <w:tcW w:w="0" w:type="auto"/>
            <w:hideMark/>
          </w:tcPr>
          <w:p w14:paraId="483F147E"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16</w:t>
            </w:r>
          </w:p>
        </w:tc>
        <w:tc>
          <w:tcPr>
            <w:tcW w:w="0" w:type="auto"/>
            <w:hideMark/>
          </w:tcPr>
          <w:p w14:paraId="370202C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18.6</w:t>
            </w:r>
          </w:p>
        </w:tc>
        <w:tc>
          <w:tcPr>
            <w:tcW w:w="0" w:type="auto"/>
            <w:hideMark/>
          </w:tcPr>
          <w:p w14:paraId="6330B64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0.9</w:t>
            </w:r>
          </w:p>
        </w:tc>
        <w:tc>
          <w:tcPr>
            <w:tcW w:w="0" w:type="auto"/>
            <w:hideMark/>
          </w:tcPr>
          <w:p w14:paraId="5ECD878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0.1</w:t>
            </w:r>
          </w:p>
        </w:tc>
        <w:tc>
          <w:tcPr>
            <w:tcW w:w="0" w:type="auto"/>
            <w:hideMark/>
          </w:tcPr>
          <w:p w14:paraId="0DD60A3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0.1</w:t>
            </w:r>
          </w:p>
        </w:tc>
        <w:tc>
          <w:tcPr>
            <w:tcW w:w="0" w:type="auto"/>
            <w:hideMark/>
          </w:tcPr>
          <w:p w14:paraId="67517E5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0.1</w:t>
            </w:r>
          </w:p>
        </w:tc>
        <w:tc>
          <w:tcPr>
            <w:tcW w:w="0" w:type="auto"/>
            <w:hideMark/>
          </w:tcPr>
          <w:p w14:paraId="3C69DF6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0.1</w:t>
            </w:r>
          </w:p>
        </w:tc>
        <w:tc>
          <w:tcPr>
            <w:tcW w:w="0" w:type="auto"/>
            <w:hideMark/>
          </w:tcPr>
          <w:p w14:paraId="44AD151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0.1</w:t>
            </w:r>
          </w:p>
        </w:tc>
        <w:tc>
          <w:tcPr>
            <w:tcW w:w="0" w:type="auto"/>
            <w:hideMark/>
          </w:tcPr>
          <w:p w14:paraId="3F0DF70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0.1</w:t>
            </w:r>
          </w:p>
        </w:tc>
      </w:tr>
      <w:tr w:rsidR="00EE19C2" w:rsidRPr="00374CC9" w14:paraId="4983A466"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26BE84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Influenza (laboratory confirmed)</w:t>
            </w:r>
          </w:p>
        </w:tc>
        <w:tc>
          <w:tcPr>
            <w:tcW w:w="0" w:type="auto"/>
            <w:hideMark/>
          </w:tcPr>
          <w:p w14:paraId="40BBC37D"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13,466</w:t>
            </w:r>
          </w:p>
        </w:tc>
        <w:tc>
          <w:tcPr>
            <w:tcW w:w="0" w:type="auto"/>
            <w:hideMark/>
          </w:tcPr>
          <w:p w14:paraId="7E47735D"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27,210</w:t>
            </w:r>
          </w:p>
        </w:tc>
        <w:tc>
          <w:tcPr>
            <w:tcW w:w="0" w:type="auto"/>
            <w:hideMark/>
          </w:tcPr>
          <w:p w14:paraId="1621B8A4"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44,564</w:t>
            </w:r>
          </w:p>
        </w:tc>
        <w:tc>
          <w:tcPr>
            <w:tcW w:w="0" w:type="auto"/>
            <w:hideMark/>
          </w:tcPr>
          <w:p w14:paraId="26B516D0"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28,309</w:t>
            </w:r>
          </w:p>
        </w:tc>
        <w:tc>
          <w:tcPr>
            <w:tcW w:w="0" w:type="auto"/>
            <w:hideMark/>
          </w:tcPr>
          <w:p w14:paraId="0C38FBFD"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67,699</w:t>
            </w:r>
          </w:p>
        </w:tc>
        <w:tc>
          <w:tcPr>
            <w:tcW w:w="0" w:type="auto"/>
            <w:hideMark/>
          </w:tcPr>
          <w:p w14:paraId="0127C4E6"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100,583</w:t>
            </w:r>
          </w:p>
        </w:tc>
        <w:tc>
          <w:tcPr>
            <w:tcW w:w="0" w:type="auto"/>
            <w:hideMark/>
          </w:tcPr>
          <w:p w14:paraId="6DB9509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36,249.6</w:t>
            </w:r>
          </w:p>
        </w:tc>
        <w:tc>
          <w:tcPr>
            <w:tcW w:w="0" w:type="auto"/>
            <w:hideMark/>
          </w:tcPr>
          <w:p w14:paraId="7954C08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2.8</w:t>
            </w:r>
          </w:p>
        </w:tc>
        <w:tc>
          <w:tcPr>
            <w:tcW w:w="0" w:type="auto"/>
            <w:hideMark/>
          </w:tcPr>
          <w:p w14:paraId="436B48D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61.1</w:t>
            </w:r>
          </w:p>
        </w:tc>
        <w:tc>
          <w:tcPr>
            <w:tcW w:w="0" w:type="auto"/>
            <w:hideMark/>
          </w:tcPr>
          <w:p w14:paraId="05D76BA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121.8</w:t>
            </w:r>
          </w:p>
        </w:tc>
        <w:tc>
          <w:tcPr>
            <w:tcW w:w="0" w:type="auto"/>
            <w:hideMark/>
          </w:tcPr>
          <w:p w14:paraId="3449BAF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196.1</w:t>
            </w:r>
          </w:p>
        </w:tc>
        <w:tc>
          <w:tcPr>
            <w:tcW w:w="0" w:type="auto"/>
            <w:hideMark/>
          </w:tcPr>
          <w:p w14:paraId="0B9557C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122.5</w:t>
            </w:r>
          </w:p>
        </w:tc>
        <w:tc>
          <w:tcPr>
            <w:tcW w:w="0" w:type="auto"/>
            <w:hideMark/>
          </w:tcPr>
          <w:p w14:paraId="7B55A89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288.6</w:t>
            </w:r>
          </w:p>
        </w:tc>
        <w:tc>
          <w:tcPr>
            <w:tcW w:w="0" w:type="auto"/>
            <w:hideMark/>
          </w:tcPr>
          <w:p w14:paraId="20326CC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422.9</w:t>
            </w:r>
          </w:p>
        </w:tc>
      </w:tr>
      <w:tr w:rsidR="00EE19C2" w:rsidRPr="00374CC9" w14:paraId="51F18353" w14:textId="77777777" w:rsidTr="000A4FFE">
        <w:tblPrEx>
          <w:tblCellMar>
            <w:right w:w="108" w:type="dxa"/>
          </w:tblCellMar>
        </w:tblPrEx>
        <w:tc>
          <w:tcPr>
            <w:tcW w:w="0" w:type="auto"/>
            <w:hideMark/>
          </w:tcPr>
          <w:p w14:paraId="5A46A6E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Measles</w:t>
            </w:r>
          </w:p>
        </w:tc>
        <w:tc>
          <w:tcPr>
            <w:tcW w:w="0" w:type="auto"/>
            <w:hideMark/>
          </w:tcPr>
          <w:p w14:paraId="637EFC68"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70</w:t>
            </w:r>
          </w:p>
        </w:tc>
        <w:tc>
          <w:tcPr>
            <w:tcW w:w="0" w:type="auto"/>
            <w:hideMark/>
          </w:tcPr>
          <w:p w14:paraId="19A61CF7"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194</w:t>
            </w:r>
          </w:p>
        </w:tc>
        <w:tc>
          <w:tcPr>
            <w:tcW w:w="0" w:type="auto"/>
            <w:hideMark/>
          </w:tcPr>
          <w:p w14:paraId="14B1FAE3"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199</w:t>
            </w:r>
          </w:p>
        </w:tc>
        <w:tc>
          <w:tcPr>
            <w:tcW w:w="0" w:type="auto"/>
            <w:hideMark/>
          </w:tcPr>
          <w:p w14:paraId="0AF29110"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158</w:t>
            </w:r>
          </w:p>
        </w:tc>
        <w:tc>
          <w:tcPr>
            <w:tcW w:w="0" w:type="auto"/>
            <w:hideMark/>
          </w:tcPr>
          <w:p w14:paraId="16B3C7F1"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339</w:t>
            </w:r>
          </w:p>
        </w:tc>
        <w:tc>
          <w:tcPr>
            <w:tcW w:w="0" w:type="auto"/>
            <w:hideMark/>
          </w:tcPr>
          <w:p w14:paraId="0A0A13B7"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74</w:t>
            </w:r>
          </w:p>
        </w:tc>
        <w:tc>
          <w:tcPr>
            <w:tcW w:w="0" w:type="auto"/>
            <w:hideMark/>
          </w:tcPr>
          <w:p w14:paraId="3FA2F89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192.0</w:t>
            </w:r>
          </w:p>
        </w:tc>
        <w:tc>
          <w:tcPr>
            <w:tcW w:w="0" w:type="auto"/>
            <w:hideMark/>
          </w:tcPr>
          <w:p w14:paraId="6A26CF8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0.4</w:t>
            </w:r>
          </w:p>
        </w:tc>
        <w:tc>
          <w:tcPr>
            <w:tcW w:w="0" w:type="auto"/>
            <w:hideMark/>
          </w:tcPr>
          <w:p w14:paraId="6DF3793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0.3</w:t>
            </w:r>
          </w:p>
        </w:tc>
        <w:tc>
          <w:tcPr>
            <w:tcW w:w="0" w:type="auto"/>
            <w:hideMark/>
          </w:tcPr>
          <w:p w14:paraId="307E9F7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0.9</w:t>
            </w:r>
          </w:p>
        </w:tc>
        <w:tc>
          <w:tcPr>
            <w:tcW w:w="0" w:type="auto"/>
            <w:hideMark/>
          </w:tcPr>
          <w:p w14:paraId="04B808E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0.9</w:t>
            </w:r>
          </w:p>
        </w:tc>
        <w:tc>
          <w:tcPr>
            <w:tcW w:w="0" w:type="auto"/>
            <w:hideMark/>
          </w:tcPr>
          <w:p w14:paraId="233923C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0.7</w:t>
            </w:r>
          </w:p>
        </w:tc>
        <w:tc>
          <w:tcPr>
            <w:tcW w:w="0" w:type="auto"/>
            <w:hideMark/>
          </w:tcPr>
          <w:p w14:paraId="621EA88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1.4</w:t>
            </w:r>
          </w:p>
        </w:tc>
        <w:tc>
          <w:tcPr>
            <w:tcW w:w="0" w:type="auto"/>
            <w:hideMark/>
          </w:tcPr>
          <w:p w14:paraId="4D33A94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0.3</w:t>
            </w:r>
          </w:p>
        </w:tc>
      </w:tr>
      <w:tr w:rsidR="00EE19C2" w:rsidRPr="00374CC9" w14:paraId="30F324BA"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947D70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Mumps</w:t>
            </w:r>
          </w:p>
        </w:tc>
        <w:tc>
          <w:tcPr>
            <w:tcW w:w="0" w:type="auto"/>
            <w:hideMark/>
          </w:tcPr>
          <w:p w14:paraId="1410F326"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97</w:t>
            </w:r>
          </w:p>
        </w:tc>
        <w:tc>
          <w:tcPr>
            <w:tcW w:w="0" w:type="auto"/>
            <w:hideMark/>
          </w:tcPr>
          <w:p w14:paraId="694CB6D8"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153</w:t>
            </w:r>
          </w:p>
        </w:tc>
        <w:tc>
          <w:tcPr>
            <w:tcW w:w="0" w:type="auto"/>
            <w:hideMark/>
          </w:tcPr>
          <w:p w14:paraId="3F0F6598"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201</w:t>
            </w:r>
          </w:p>
        </w:tc>
        <w:tc>
          <w:tcPr>
            <w:tcW w:w="0" w:type="auto"/>
            <w:hideMark/>
          </w:tcPr>
          <w:p w14:paraId="4CB94BFD"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217</w:t>
            </w:r>
          </w:p>
        </w:tc>
        <w:tc>
          <w:tcPr>
            <w:tcW w:w="0" w:type="auto"/>
            <w:hideMark/>
          </w:tcPr>
          <w:p w14:paraId="7BA50598"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186</w:t>
            </w:r>
          </w:p>
        </w:tc>
        <w:tc>
          <w:tcPr>
            <w:tcW w:w="0" w:type="auto"/>
            <w:hideMark/>
          </w:tcPr>
          <w:p w14:paraId="04D48C83"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644</w:t>
            </w:r>
          </w:p>
        </w:tc>
        <w:tc>
          <w:tcPr>
            <w:tcW w:w="0" w:type="auto"/>
            <w:hideMark/>
          </w:tcPr>
          <w:p w14:paraId="691F2D7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170.8</w:t>
            </w:r>
          </w:p>
        </w:tc>
        <w:tc>
          <w:tcPr>
            <w:tcW w:w="0" w:type="auto"/>
            <w:hideMark/>
          </w:tcPr>
          <w:p w14:paraId="6C20310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3.8</w:t>
            </w:r>
          </w:p>
        </w:tc>
        <w:tc>
          <w:tcPr>
            <w:tcW w:w="0" w:type="auto"/>
            <w:hideMark/>
          </w:tcPr>
          <w:p w14:paraId="2A06C57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0.4</w:t>
            </w:r>
          </w:p>
        </w:tc>
        <w:tc>
          <w:tcPr>
            <w:tcW w:w="0" w:type="auto"/>
            <w:hideMark/>
          </w:tcPr>
          <w:p w14:paraId="60D26F4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0.7</w:t>
            </w:r>
          </w:p>
        </w:tc>
        <w:tc>
          <w:tcPr>
            <w:tcW w:w="0" w:type="auto"/>
            <w:hideMark/>
          </w:tcPr>
          <w:p w14:paraId="0403B2B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0.9</w:t>
            </w:r>
          </w:p>
        </w:tc>
        <w:tc>
          <w:tcPr>
            <w:tcW w:w="0" w:type="auto"/>
            <w:hideMark/>
          </w:tcPr>
          <w:p w14:paraId="1CECBC2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0.9</w:t>
            </w:r>
          </w:p>
        </w:tc>
        <w:tc>
          <w:tcPr>
            <w:tcW w:w="0" w:type="auto"/>
            <w:hideMark/>
          </w:tcPr>
          <w:p w14:paraId="40F9EBB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0.8</w:t>
            </w:r>
          </w:p>
        </w:tc>
        <w:tc>
          <w:tcPr>
            <w:tcW w:w="0" w:type="auto"/>
            <w:hideMark/>
          </w:tcPr>
          <w:p w14:paraId="4ED3DDD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2.7</w:t>
            </w:r>
          </w:p>
        </w:tc>
      </w:tr>
      <w:tr w:rsidR="00EE19C2" w:rsidRPr="00374CC9" w14:paraId="74475F3B" w14:textId="77777777" w:rsidTr="000A4FFE">
        <w:tblPrEx>
          <w:tblCellMar>
            <w:right w:w="108" w:type="dxa"/>
          </w:tblCellMar>
        </w:tblPrEx>
        <w:tc>
          <w:tcPr>
            <w:tcW w:w="0" w:type="auto"/>
            <w:hideMark/>
          </w:tcPr>
          <w:p w14:paraId="7AD4CB4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Pertussis</w:t>
            </w:r>
          </w:p>
        </w:tc>
        <w:tc>
          <w:tcPr>
            <w:tcW w:w="0" w:type="auto"/>
            <w:hideMark/>
          </w:tcPr>
          <w:p w14:paraId="50888A70"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34,845</w:t>
            </w:r>
          </w:p>
        </w:tc>
        <w:tc>
          <w:tcPr>
            <w:tcW w:w="0" w:type="auto"/>
            <w:hideMark/>
          </w:tcPr>
          <w:p w14:paraId="2133C487"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38,752</w:t>
            </w:r>
          </w:p>
        </w:tc>
        <w:tc>
          <w:tcPr>
            <w:tcW w:w="0" w:type="auto"/>
            <w:hideMark/>
          </w:tcPr>
          <w:p w14:paraId="5A0740B7"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24,102</w:t>
            </w:r>
          </w:p>
        </w:tc>
        <w:tc>
          <w:tcPr>
            <w:tcW w:w="0" w:type="auto"/>
            <w:hideMark/>
          </w:tcPr>
          <w:p w14:paraId="634A85DE"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12,359</w:t>
            </w:r>
          </w:p>
        </w:tc>
        <w:tc>
          <w:tcPr>
            <w:tcW w:w="0" w:type="auto"/>
            <w:hideMark/>
          </w:tcPr>
          <w:p w14:paraId="3CFE8A3D"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11,867</w:t>
            </w:r>
          </w:p>
        </w:tc>
        <w:tc>
          <w:tcPr>
            <w:tcW w:w="0" w:type="auto"/>
            <w:hideMark/>
          </w:tcPr>
          <w:p w14:paraId="0C0A11EB"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22,546</w:t>
            </w:r>
          </w:p>
        </w:tc>
        <w:tc>
          <w:tcPr>
            <w:tcW w:w="0" w:type="auto"/>
            <w:hideMark/>
          </w:tcPr>
          <w:p w14:paraId="795E09F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24,385.0</w:t>
            </w:r>
          </w:p>
        </w:tc>
        <w:tc>
          <w:tcPr>
            <w:tcW w:w="0" w:type="auto"/>
            <w:hideMark/>
          </w:tcPr>
          <w:p w14:paraId="27B1E96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0.9</w:t>
            </w:r>
          </w:p>
        </w:tc>
        <w:tc>
          <w:tcPr>
            <w:tcW w:w="0" w:type="auto"/>
            <w:hideMark/>
          </w:tcPr>
          <w:p w14:paraId="6F54F58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158.2</w:t>
            </w:r>
          </w:p>
        </w:tc>
        <w:tc>
          <w:tcPr>
            <w:tcW w:w="0" w:type="auto"/>
            <w:hideMark/>
          </w:tcPr>
          <w:p w14:paraId="295D253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173.5</w:t>
            </w:r>
          </w:p>
        </w:tc>
        <w:tc>
          <w:tcPr>
            <w:tcW w:w="0" w:type="auto"/>
            <w:hideMark/>
          </w:tcPr>
          <w:p w14:paraId="7568DC7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106.0</w:t>
            </w:r>
          </w:p>
        </w:tc>
        <w:tc>
          <w:tcPr>
            <w:tcW w:w="0" w:type="auto"/>
            <w:hideMark/>
          </w:tcPr>
          <w:p w14:paraId="52DF5B6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53.5</w:t>
            </w:r>
          </w:p>
        </w:tc>
        <w:tc>
          <w:tcPr>
            <w:tcW w:w="0" w:type="auto"/>
            <w:hideMark/>
          </w:tcPr>
          <w:p w14:paraId="5DC2A76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50.6</w:t>
            </w:r>
          </w:p>
        </w:tc>
        <w:tc>
          <w:tcPr>
            <w:tcW w:w="0" w:type="auto"/>
            <w:hideMark/>
          </w:tcPr>
          <w:p w14:paraId="0F9C251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94.8</w:t>
            </w:r>
          </w:p>
        </w:tc>
      </w:tr>
      <w:tr w:rsidR="00EE19C2" w:rsidRPr="00374CC9" w14:paraId="05248CE9"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11D5B0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Pneumococcal disease (invasive)</w:t>
            </w:r>
          </w:p>
        </w:tc>
        <w:tc>
          <w:tcPr>
            <w:tcW w:w="0" w:type="auto"/>
            <w:hideMark/>
          </w:tcPr>
          <w:p w14:paraId="0E39503E"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1,640</w:t>
            </w:r>
          </w:p>
        </w:tc>
        <w:tc>
          <w:tcPr>
            <w:tcW w:w="0" w:type="auto"/>
            <w:hideMark/>
          </w:tcPr>
          <w:p w14:paraId="47C81F62"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1,884</w:t>
            </w:r>
          </w:p>
        </w:tc>
        <w:tc>
          <w:tcPr>
            <w:tcW w:w="0" w:type="auto"/>
            <w:hideMark/>
          </w:tcPr>
          <w:p w14:paraId="6368C9AB"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1,822</w:t>
            </w:r>
          </w:p>
        </w:tc>
        <w:tc>
          <w:tcPr>
            <w:tcW w:w="0" w:type="auto"/>
            <w:hideMark/>
          </w:tcPr>
          <w:p w14:paraId="460D8182"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1,549</w:t>
            </w:r>
          </w:p>
        </w:tc>
        <w:tc>
          <w:tcPr>
            <w:tcW w:w="0" w:type="auto"/>
            <w:hideMark/>
          </w:tcPr>
          <w:p w14:paraId="0F2E30A5"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1,563</w:t>
            </w:r>
          </w:p>
        </w:tc>
        <w:tc>
          <w:tcPr>
            <w:tcW w:w="0" w:type="auto"/>
            <w:hideMark/>
          </w:tcPr>
          <w:p w14:paraId="7A0CEA4D"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1,499</w:t>
            </w:r>
          </w:p>
        </w:tc>
        <w:tc>
          <w:tcPr>
            <w:tcW w:w="0" w:type="auto"/>
            <w:hideMark/>
          </w:tcPr>
          <w:p w14:paraId="5C858D4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1,691.6</w:t>
            </w:r>
          </w:p>
        </w:tc>
        <w:tc>
          <w:tcPr>
            <w:tcW w:w="0" w:type="auto"/>
            <w:hideMark/>
          </w:tcPr>
          <w:p w14:paraId="0A8A8A3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0.9</w:t>
            </w:r>
          </w:p>
        </w:tc>
        <w:tc>
          <w:tcPr>
            <w:tcW w:w="0" w:type="auto"/>
            <w:hideMark/>
          </w:tcPr>
          <w:p w14:paraId="7FE5C94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7.4</w:t>
            </w:r>
          </w:p>
        </w:tc>
        <w:tc>
          <w:tcPr>
            <w:tcW w:w="0" w:type="auto"/>
            <w:hideMark/>
          </w:tcPr>
          <w:p w14:paraId="2D68A74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8.4</w:t>
            </w:r>
          </w:p>
        </w:tc>
        <w:tc>
          <w:tcPr>
            <w:tcW w:w="0" w:type="auto"/>
            <w:hideMark/>
          </w:tcPr>
          <w:p w14:paraId="22E7197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8.0</w:t>
            </w:r>
          </w:p>
        </w:tc>
        <w:tc>
          <w:tcPr>
            <w:tcW w:w="0" w:type="auto"/>
            <w:hideMark/>
          </w:tcPr>
          <w:p w14:paraId="16C840D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6.7</w:t>
            </w:r>
          </w:p>
        </w:tc>
        <w:tc>
          <w:tcPr>
            <w:tcW w:w="0" w:type="auto"/>
            <w:hideMark/>
          </w:tcPr>
          <w:p w14:paraId="1B6D7AA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6.7</w:t>
            </w:r>
          </w:p>
        </w:tc>
        <w:tc>
          <w:tcPr>
            <w:tcW w:w="0" w:type="auto"/>
            <w:hideMark/>
          </w:tcPr>
          <w:p w14:paraId="5207827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6.3</w:t>
            </w:r>
          </w:p>
        </w:tc>
      </w:tr>
      <w:tr w:rsidR="00EE19C2" w:rsidRPr="00374CC9" w14:paraId="10788619" w14:textId="77777777" w:rsidTr="000A4FFE">
        <w:tblPrEx>
          <w:tblCellMar>
            <w:right w:w="108" w:type="dxa"/>
          </w:tblCellMar>
        </w:tblPrEx>
        <w:tc>
          <w:tcPr>
            <w:tcW w:w="0" w:type="auto"/>
            <w:hideMark/>
          </w:tcPr>
          <w:p w14:paraId="663E884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Poliomyelitis</w:t>
            </w:r>
          </w:p>
        </w:tc>
        <w:tc>
          <w:tcPr>
            <w:tcW w:w="0" w:type="auto"/>
            <w:hideMark/>
          </w:tcPr>
          <w:p w14:paraId="07FF107F"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5F287F8C"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2FB20C88"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5C977BBF"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3A732D06"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F930276"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75D26D6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0.0</w:t>
            </w:r>
          </w:p>
        </w:tc>
        <w:tc>
          <w:tcPr>
            <w:tcW w:w="0" w:type="auto"/>
            <w:hideMark/>
          </w:tcPr>
          <w:p w14:paraId="24BC61C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6A00339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24C8CE7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46A5D9E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63A4C2D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42D28E3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22A78A7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r>
      <w:tr w:rsidR="00EE19C2" w:rsidRPr="00374CC9" w14:paraId="75555945"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ABD38C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lastRenderedPageBreak/>
              <w:t>Rubella</w:t>
            </w:r>
          </w:p>
        </w:tc>
        <w:tc>
          <w:tcPr>
            <w:tcW w:w="0" w:type="auto"/>
            <w:hideMark/>
          </w:tcPr>
          <w:p w14:paraId="483755D9"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44</w:t>
            </w:r>
          </w:p>
        </w:tc>
        <w:tc>
          <w:tcPr>
            <w:tcW w:w="0" w:type="auto"/>
            <w:hideMark/>
          </w:tcPr>
          <w:p w14:paraId="0DE54AEA"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58</w:t>
            </w:r>
          </w:p>
        </w:tc>
        <w:tc>
          <w:tcPr>
            <w:tcW w:w="0" w:type="auto"/>
            <w:hideMark/>
          </w:tcPr>
          <w:p w14:paraId="3077A7C2"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36</w:t>
            </w:r>
          </w:p>
        </w:tc>
        <w:tc>
          <w:tcPr>
            <w:tcW w:w="0" w:type="auto"/>
            <w:hideMark/>
          </w:tcPr>
          <w:p w14:paraId="796B9284"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25</w:t>
            </w:r>
          </w:p>
        </w:tc>
        <w:tc>
          <w:tcPr>
            <w:tcW w:w="0" w:type="auto"/>
            <w:hideMark/>
          </w:tcPr>
          <w:p w14:paraId="2EE0D860"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17</w:t>
            </w:r>
          </w:p>
        </w:tc>
        <w:tc>
          <w:tcPr>
            <w:tcW w:w="0" w:type="auto"/>
            <w:hideMark/>
          </w:tcPr>
          <w:p w14:paraId="02D9AF9F"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17</w:t>
            </w:r>
          </w:p>
        </w:tc>
        <w:tc>
          <w:tcPr>
            <w:tcW w:w="0" w:type="auto"/>
            <w:hideMark/>
          </w:tcPr>
          <w:p w14:paraId="74332AF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36.0</w:t>
            </w:r>
          </w:p>
        </w:tc>
        <w:tc>
          <w:tcPr>
            <w:tcW w:w="0" w:type="auto"/>
            <w:hideMark/>
          </w:tcPr>
          <w:p w14:paraId="6A036AF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0.5</w:t>
            </w:r>
          </w:p>
        </w:tc>
        <w:tc>
          <w:tcPr>
            <w:tcW w:w="0" w:type="auto"/>
            <w:hideMark/>
          </w:tcPr>
          <w:p w14:paraId="202C846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0.2</w:t>
            </w:r>
          </w:p>
        </w:tc>
        <w:tc>
          <w:tcPr>
            <w:tcW w:w="0" w:type="auto"/>
            <w:hideMark/>
          </w:tcPr>
          <w:p w14:paraId="66DFBC4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0.3</w:t>
            </w:r>
          </w:p>
        </w:tc>
        <w:tc>
          <w:tcPr>
            <w:tcW w:w="0" w:type="auto"/>
            <w:hideMark/>
          </w:tcPr>
          <w:p w14:paraId="3047DD3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0.2</w:t>
            </w:r>
          </w:p>
        </w:tc>
        <w:tc>
          <w:tcPr>
            <w:tcW w:w="0" w:type="auto"/>
            <w:hideMark/>
          </w:tcPr>
          <w:p w14:paraId="4FFE81D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0.1</w:t>
            </w:r>
          </w:p>
        </w:tc>
        <w:tc>
          <w:tcPr>
            <w:tcW w:w="0" w:type="auto"/>
            <w:hideMark/>
          </w:tcPr>
          <w:p w14:paraId="71C8D0E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0.1</w:t>
            </w:r>
          </w:p>
        </w:tc>
        <w:tc>
          <w:tcPr>
            <w:tcW w:w="0" w:type="auto"/>
            <w:hideMark/>
          </w:tcPr>
          <w:p w14:paraId="4004058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0.1</w:t>
            </w:r>
          </w:p>
        </w:tc>
      </w:tr>
      <w:tr w:rsidR="00EE19C2" w:rsidRPr="00374CC9" w14:paraId="785D41DD" w14:textId="77777777" w:rsidTr="000A4FFE">
        <w:tblPrEx>
          <w:tblCellMar>
            <w:right w:w="108" w:type="dxa"/>
          </w:tblCellMar>
        </w:tblPrEx>
        <w:tc>
          <w:tcPr>
            <w:tcW w:w="0" w:type="auto"/>
            <w:hideMark/>
          </w:tcPr>
          <w:p w14:paraId="664E999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Rubella – congenital</w:t>
            </w:r>
          </w:p>
        </w:tc>
        <w:tc>
          <w:tcPr>
            <w:tcW w:w="0" w:type="auto"/>
            <w:hideMark/>
          </w:tcPr>
          <w:p w14:paraId="7067E516"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5CCC8104"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2C7E5264"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052B9B4D"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74F18BB2"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71892ABD"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3639974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0.6</w:t>
            </w:r>
          </w:p>
        </w:tc>
        <w:tc>
          <w:tcPr>
            <w:tcW w:w="0" w:type="auto"/>
            <w:hideMark/>
          </w:tcPr>
          <w:p w14:paraId="5A6CAFE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1.7</w:t>
            </w:r>
          </w:p>
        </w:tc>
        <w:tc>
          <w:tcPr>
            <w:tcW w:w="0" w:type="auto"/>
            <w:hideMark/>
          </w:tcPr>
          <w:p w14:paraId="16A4B3C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47913C4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29C2FE2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0.0</w:t>
            </w:r>
          </w:p>
        </w:tc>
        <w:tc>
          <w:tcPr>
            <w:tcW w:w="0" w:type="auto"/>
            <w:hideMark/>
          </w:tcPr>
          <w:p w14:paraId="389C45F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0.0</w:t>
            </w:r>
          </w:p>
        </w:tc>
        <w:tc>
          <w:tcPr>
            <w:tcW w:w="0" w:type="auto"/>
            <w:hideMark/>
          </w:tcPr>
          <w:p w14:paraId="5E3569A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4223F43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0.0</w:t>
            </w:r>
          </w:p>
        </w:tc>
      </w:tr>
      <w:tr w:rsidR="00EE19C2" w:rsidRPr="00374CC9" w14:paraId="52FED61F"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CB4B19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Tetanus</w:t>
            </w:r>
          </w:p>
        </w:tc>
        <w:tc>
          <w:tcPr>
            <w:tcW w:w="0" w:type="auto"/>
            <w:hideMark/>
          </w:tcPr>
          <w:p w14:paraId="2B0E0D3B"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551E5152"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0" w:type="auto"/>
            <w:hideMark/>
          </w:tcPr>
          <w:p w14:paraId="07229C2C"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7</w:t>
            </w:r>
          </w:p>
        </w:tc>
        <w:tc>
          <w:tcPr>
            <w:tcW w:w="0" w:type="auto"/>
            <w:hideMark/>
          </w:tcPr>
          <w:p w14:paraId="55CDEE3E"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4</w:t>
            </w:r>
          </w:p>
        </w:tc>
        <w:tc>
          <w:tcPr>
            <w:tcW w:w="0" w:type="auto"/>
            <w:hideMark/>
          </w:tcPr>
          <w:p w14:paraId="5839AB72"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0" w:type="auto"/>
            <w:hideMark/>
          </w:tcPr>
          <w:p w14:paraId="377315F9"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551EB7F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3.8</w:t>
            </w:r>
          </w:p>
        </w:tc>
        <w:tc>
          <w:tcPr>
            <w:tcW w:w="0" w:type="auto"/>
            <w:hideMark/>
          </w:tcPr>
          <w:p w14:paraId="168455A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0.5</w:t>
            </w:r>
          </w:p>
        </w:tc>
        <w:tc>
          <w:tcPr>
            <w:tcW w:w="0" w:type="auto"/>
            <w:hideMark/>
          </w:tcPr>
          <w:p w14:paraId="6DD68FC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0.0</w:t>
            </w:r>
          </w:p>
        </w:tc>
        <w:tc>
          <w:tcPr>
            <w:tcW w:w="0" w:type="auto"/>
            <w:hideMark/>
          </w:tcPr>
          <w:p w14:paraId="5B55BFC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0.0</w:t>
            </w:r>
          </w:p>
        </w:tc>
        <w:tc>
          <w:tcPr>
            <w:tcW w:w="0" w:type="auto"/>
            <w:hideMark/>
          </w:tcPr>
          <w:p w14:paraId="03AACEB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0.0</w:t>
            </w:r>
          </w:p>
        </w:tc>
        <w:tc>
          <w:tcPr>
            <w:tcW w:w="0" w:type="auto"/>
            <w:hideMark/>
          </w:tcPr>
          <w:p w14:paraId="4AC84C3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0.0</w:t>
            </w:r>
          </w:p>
        </w:tc>
        <w:tc>
          <w:tcPr>
            <w:tcW w:w="0" w:type="auto"/>
            <w:hideMark/>
          </w:tcPr>
          <w:p w14:paraId="0121CE9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0.0</w:t>
            </w:r>
          </w:p>
        </w:tc>
        <w:tc>
          <w:tcPr>
            <w:tcW w:w="0" w:type="auto"/>
            <w:hideMark/>
          </w:tcPr>
          <w:p w14:paraId="08FFA8E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0.0</w:t>
            </w:r>
          </w:p>
        </w:tc>
      </w:tr>
      <w:tr w:rsidR="00EE19C2" w:rsidRPr="00374CC9" w14:paraId="4B9D7DD7" w14:textId="77777777" w:rsidTr="000A4FFE">
        <w:tblPrEx>
          <w:tblCellMar>
            <w:right w:w="108" w:type="dxa"/>
          </w:tblCellMar>
        </w:tblPrEx>
        <w:tc>
          <w:tcPr>
            <w:tcW w:w="0" w:type="auto"/>
            <w:hideMark/>
          </w:tcPr>
          <w:p w14:paraId="1569377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Varicella zoster (chickenpox)</w:t>
            </w:r>
          </w:p>
        </w:tc>
        <w:tc>
          <w:tcPr>
            <w:tcW w:w="0" w:type="auto"/>
            <w:hideMark/>
          </w:tcPr>
          <w:p w14:paraId="0080D9D9"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1,793</w:t>
            </w:r>
          </w:p>
        </w:tc>
        <w:tc>
          <w:tcPr>
            <w:tcW w:w="0" w:type="auto"/>
            <w:hideMark/>
          </w:tcPr>
          <w:p w14:paraId="6A320D9B"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2,100</w:t>
            </w:r>
          </w:p>
        </w:tc>
        <w:tc>
          <w:tcPr>
            <w:tcW w:w="0" w:type="auto"/>
            <w:hideMark/>
          </w:tcPr>
          <w:p w14:paraId="1D40E0DB"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1,990</w:t>
            </w:r>
          </w:p>
        </w:tc>
        <w:tc>
          <w:tcPr>
            <w:tcW w:w="0" w:type="auto"/>
            <w:hideMark/>
          </w:tcPr>
          <w:p w14:paraId="5CFF05ED"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2,122</w:t>
            </w:r>
          </w:p>
        </w:tc>
        <w:tc>
          <w:tcPr>
            <w:tcW w:w="0" w:type="auto"/>
            <w:hideMark/>
          </w:tcPr>
          <w:p w14:paraId="3E93432B"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2,103</w:t>
            </w:r>
          </w:p>
        </w:tc>
        <w:tc>
          <w:tcPr>
            <w:tcW w:w="0" w:type="auto"/>
            <w:hideMark/>
          </w:tcPr>
          <w:p w14:paraId="32849BF1"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2,479</w:t>
            </w:r>
          </w:p>
        </w:tc>
        <w:tc>
          <w:tcPr>
            <w:tcW w:w="0" w:type="auto"/>
            <w:hideMark/>
          </w:tcPr>
          <w:p w14:paraId="245F45C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2,021.6</w:t>
            </w:r>
          </w:p>
        </w:tc>
        <w:tc>
          <w:tcPr>
            <w:tcW w:w="0" w:type="auto"/>
            <w:hideMark/>
          </w:tcPr>
          <w:p w14:paraId="76053D0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1.2</w:t>
            </w:r>
          </w:p>
        </w:tc>
        <w:tc>
          <w:tcPr>
            <w:tcW w:w="0" w:type="auto"/>
            <w:hideMark/>
          </w:tcPr>
          <w:p w14:paraId="4203564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12.0</w:t>
            </w:r>
          </w:p>
        </w:tc>
        <w:tc>
          <w:tcPr>
            <w:tcW w:w="0" w:type="auto"/>
            <w:hideMark/>
          </w:tcPr>
          <w:p w14:paraId="15113A0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13.9</w:t>
            </w:r>
          </w:p>
        </w:tc>
        <w:tc>
          <w:tcPr>
            <w:tcW w:w="0" w:type="auto"/>
            <w:hideMark/>
          </w:tcPr>
          <w:p w14:paraId="50EB274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12.9</w:t>
            </w:r>
          </w:p>
        </w:tc>
        <w:tc>
          <w:tcPr>
            <w:tcW w:w="0" w:type="auto"/>
            <w:hideMark/>
          </w:tcPr>
          <w:p w14:paraId="684DE23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13.5</w:t>
            </w:r>
          </w:p>
        </w:tc>
        <w:tc>
          <w:tcPr>
            <w:tcW w:w="0" w:type="auto"/>
            <w:hideMark/>
          </w:tcPr>
          <w:p w14:paraId="0EEC76F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13.2</w:t>
            </w:r>
          </w:p>
        </w:tc>
        <w:tc>
          <w:tcPr>
            <w:tcW w:w="0" w:type="auto"/>
            <w:hideMark/>
          </w:tcPr>
          <w:p w14:paraId="209D3F9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15.3</w:t>
            </w:r>
          </w:p>
        </w:tc>
      </w:tr>
      <w:tr w:rsidR="00EE19C2" w:rsidRPr="00374CC9" w14:paraId="4DB466AF"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3F16FD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Varicella zoster (shingles)</w:t>
            </w:r>
          </w:p>
        </w:tc>
        <w:tc>
          <w:tcPr>
            <w:tcW w:w="0" w:type="auto"/>
            <w:hideMark/>
          </w:tcPr>
          <w:p w14:paraId="105CFABB"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3,046</w:t>
            </w:r>
          </w:p>
        </w:tc>
        <w:tc>
          <w:tcPr>
            <w:tcW w:w="0" w:type="auto"/>
            <w:hideMark/>
          </w:tcPr>
          <w:p w14:paraId="5A0B8736"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4,022</w:t>
            </w:r>
          </w:p>
        </w:tc>
        <w:tc>
          <w:tcPr>
            <w:tcW w:w="0" w:type="auto"/>
            <w:hideMark/>
          </w:tcPr>
          <w:p w14:paraId="074F1410"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4,507</w:t>
            </w:r>
          </w:p>
        </w:tc>
        <w:tc>
          <w:tcPr>
            <w:tcW w:w="0" w:type="auto"/>
            <w:hideMark/>
          </w:tcPr>
          <w:p w14:paraId="7FC15D6F"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5,005</w:t>
            </w:r>
          </w:p>
        </w:tc>
        <w:tc>
          <w:tcPr>
            <w:tcW w:w="0" w:type="auto"/>
            <w:hideMark/>
          </w:tcPr>
          <w:p w14:paraId="382A714C"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5,520</w:t>
            </w:r>
          </w:p>
        </w:tc>
        <w:tc>
          <w:tcPr>
            <w:tcW w:w="0" w:type="auto"/>
            <w:hideMark/>
          </w:tcPr>
          <w:p w14:paraId="4F4941C2"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6,343</w:t>
            </w:r>
          </w:p>
        </w:tc>
        <w:tc>
          <w:tcPr>
            <w:tcW w:w="0" w:type="auto"/>
            <w:hideMark/>
          </w:tcPr>
          <w:p w14:paraId="486C7E7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4,420.0</w:t>
            </w:r>
          </w:p>
        </w:tc>
        <w:tc>
          <w:tcPr>
            <w:tcW w:w="0" w:type="auto"/>
            <w:hideMark/>
          </w:tcPr>
          <w:p w14:paraId="053BECD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1.4</w:t>
            </w:r>
          </w:p>
        </w:tc>
        <w:tc>
          <w:tcPr>
            <w:tcW w:w="0" w:type="auto"/>
            <w:hideMark/>
          </w:tcPr>
          <w:p w14:paraId="66FA305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20.5</w:t>
            </w:r>
          </w:p>
        </w:tc>
        <w:tc>
          <w:tcPr>
            <w:tcW w:w="0" w:type="auto"/>
            <w:hideMark/>
          </w:tcPr>
          <w:p w14:paraId="271CC4C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26.6</w:t>
            </w:r>
          </w:p>
        </w:tc>
        <w:tc>
          <w:tcPr>
            <w:tcW w:w="0" w:type="auto"/>
            <w:hideMark/>
          </w:tcPr>
          <w:p w14:paraId="15B6045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29.2</w:t>
            </w:r>
          </w:p>
        </w:tc>
        <w:tc>
          <w:tcPr>
            <w:tcW w:w="0" w:type="auto"/>
            <w:hideMark/>
          </w:tcPr>
          <w:p w14:paraId="02D0AB9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31.9</w:t>
            </w:r>
          </w:p>
        </w:tc>
        <w:tc>
          <w:tcPr>
            <w:tcW w:w="0" w:type="auto"/>
            <w:hideMark/>
          </w:tcPr>
          <w:p w14:paraId="1A526AC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34.6</w:t>
            </w:r>
          </w:p>
        </w:tc>
        <w:tc>
          <w:tcPr>
            <w:tcW w:w="0" w:type="auto"/>
            <w:hideMark/>
          </w:tcPr>
          <w:p w14:paraId="66D67E3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39.2</w:t>
            </w:r>
          </w:p>
        </w:tc>
      </w:tr>
      <w:tr w:rsidR="00EE19C2" w:rsidRPr="00374CC9" w14:paraId="1DB6CA8F" w14:textId="77777777" w:rsidTr="000A4FFE">
        <w:tblPrEx>
          <w:tblCellMar>
            <w:right w:w="108" w:type="dxa"/>
          </w:tblCellMar>
        </w:tblPrEx>
        <w:tc>
          <w:tcPr>
            <w:tcW w:w="0" w:type="auto"/>
            <w:hideMark/>
          </w:tcPr>
          <w:p w14:paraId="1CD4209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Varicella zoster (unspecified)</w:t>
            </w:r>
          </w:p>
        </w:tc>
        <w:tc>
          <w:tcPr>
            <w:tcW w:w="0" w:type="auto"/>
            <w:hideMark/>
          </w:tcPr>
          <w:p w14:paraId="10F3129B"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8,150</w:t>
            </w:r>
          </w:p>
        </w:tc>
        <w:tc>
          <w:tcPr>
            <w:tcW w:w="0" w:type="auto"/>
            <w:hideMark/>
          </w:tcPr>
          <w:p w14:paraId="581D7E4D"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8,605</w:t>
            </w:r>
          </w:p>
        </w:tc>
        <w:tc>
          <w:tcPr>
            <w:tcW w:w="0" w:type="auto"/>
            <w:hideMark/>
          </w:tcPr>
          <w:p w14:paraId="7E834070"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9,414</w:t>
            </w:r>
          </w:p>
        </w:tc>
        <w:tc>
          <w:tcPr>
            <w:tcW w:w="0" w:type="auto"/>
            <w:hideMark/>
          </w:tcPr>
          <w:p w14:paraId="0C4BFB2E"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11,008</w:t>
            </w:r>
          </w:p>
        </w:tc>
        <w:tc>
          <w:tcPr>
            <w:tcW w:w="0" w:type="auto"/>
            <w:hideMark/>
          </w:tcPr>
          <w:p w14:paraId="59EFDC2A"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12,017</w:t>
            </w:r>
          </w:p>
        </w:tc>
        <w:tc>
          <w:tcPr>
            <w:tcW w:w="0" w:type="auto"/>
            <w:hideMark/>
          </w:tcPr>
          <w:p w14:paraId="61DE29E5"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13,363</w:t>
            </w:r>
          </w:p>
        </w:tc>
        <w:tc>
          <w:tcPr>
            <w:tcW w:w="0" w:type="auto"/>
            <w:hideMark/>
          </w:tcPr>
          <w:p w14:paraId="22FA32F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9,838.8</w:t>
            </w:r>
          </w:p>
        </w:tc>
        <w:tc>
          <w:tcPr>
            <w:tcW w:w="0" w:type="auto"/>
            <w:hideMark/>
          </w:tcPr>
          <w:p w14:paraId="7381584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1.4</w:t>
            </w:r>
          </w:p>
        </w:tc>
        <w:tc>
          <w:tcPr>
            <w:tcW w:w="0" w:type="auto"/>
            <w:hideMark/>
          </w:tcPr>
          <w:p w14:paraId="4425CC3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54.7</w:t>
            </w:r>
          </w:p>
        </w:tc>
        <w:tc>
          <w:tcPr>
            <w:tcW w:w="0" w:type="auto"/>
            <w:hideMark/>
          </w:tcPr>
          <w:p w14:paraId="7917CA5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56.9</w:t>
            </w:r>
          </w:p>
        </w:tc>
        <w:tc>
          <w:tcPr>
            <w:tcW w:w="0" w:type="auto"/>
            <w:hideMark/>
          </w:tcPr>
          <w:p w14:paraId="20B9870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61.0</w:t>
            </w:r>
          </w:p>
        </w:tc>
        <w:tc>
          <w:tcPr>
            <w:tcW w:w="0" w:type="auto"/>
            <w:hideMark/>
          </w:tcPr>
          <w:p w14:paraId="087EE0D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70.1</w:t>
            </w:r>
          </w:p>
        </w:tc>
        <w:tc>
          <w:tcPr>
            <w:tcW w:w="0" w:type="auto"/>
            <w:hideMark/>
          </w:tcPr>
          <w:p w14:paraId="0684F0F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75.4</w:t>
            </w:r>
          </w:p>
        </w:tc>
        <w:tc>
          <w:tcPr>
            <w:tcW w:w="0" w:type="auto"/>
            <w:hideMark/>
          </w:tcPr>
          <w:p w14:paraId="351C676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82.7</w:t>
            </w:r>
          </w:p>
        </w:tc>
      </w:tr>
      <w:tr w:rsidR="00BE61A2" w:rsidRPr="00374CC9" w14:paraId="067FADB8" w14:textId="77777777" w:rsidTr="00240D6D">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gridSpan w:val="15"/>
            <w:shd w:val="clear" w:color="auto" w:fill="D9D9D9" w:themeFill="background1" w:themeFillShade="D9"/>
            <w:hideMark/>
          </w:tcPr>
          <w:p w14:paraId="08858D05" w14:textId="77777777" w:rsidR="00BE61A2" w:rsidRPr="00240D6D" w:rsidRDefault="00BE61A2" w:rsidP="00E16E6C">
            <w:pPr>
              <w:rPr>
                <w:rFonts w:asciiTheme="minorHAnsi" w:eastAsia="Times New Roman" w:hAnsiTheme="minorHAnsi"/>
                <w:b/>
                <w:sz w:val="18"/>
                <w:szCs w:val="18"/>
              </w:rPr>
            </w:pPr>
            <w:r w:rsidRPr="00240D6D">
              <w:rPr>
                <w:rFonts w:asciiTheme="minorHAnsi" w:eastAsia="Times New Roman" w:hAnsiTheme="minorHAnsi"/>
                <w:b/>
                <w:sz w:val="18"/>
                <w:szCs w:val="18"/>
              </w:rPr>
              <w:t>Vectorborne diseases</w:t>
            </w:r>
          </w:p>
        </w:tc>
      </w:tr>
      <w:tr w:rsidR="00EE19C2" w:rsidRPr="00374CC9" w14:paraId="6395DE5C" w14:textId="77777777" w:rsidTr="000A4FFE">
        <w:tblPrEx>
          <w:tblCellMar>
            <w:right w:w="108" w:type="dxa"/>
          </w:tblCellMar>
        </w:tblPrEx>
        <w:tc>
          <w:tcPr>
            <w:tcW w:w="0" w:type="auto"/>
            <w:hideMark/>
          </w:tcPr>
          <w:p w14:paraId="6B38287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Barmah Forest virus infection</w:t>
            </w:r>
          </w:p>
        </w:tc>
        <w:tc>
          <w:tcPr>
            <w:tcW w:w="0" w:type="auto"/>
            <w:hideMark/>
          </w:tcPr>
          <w:p w14:paraId="64750EAE"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1,470</w:t>
            </w:r>
          </w:p>
        </w:tc>
        <w:tc>
          <w:tcPr>
            <w:tcW w:w="0" w:type="auto"/>
            <w:hideMark/>
          </w:tcPr>
          <w:p w14:paraId="79C124EA"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1,863</w:t>
            </w:r>
          </w:p>
        </w:tc>
        <w:tc>
          <w:tcPr>
            <w:tcW w:w="0" w:type="auto"/>
            <w:hideMark/>
          </w:tcPr>
          <w:p w14:paraId="01B220F1"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1,730</w:t>
            </w:r>
          </w:p>
        </w:tc>
        <w:tc>
          <w:tcPr>
            <w:tcW w:w="0" w:type="auto"/>
            <w:hideMark/>
          </w:tcPr>
          <w:p w14:paraId="29A681D0"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4,238</w:t>
            </w:r>
          </w:p>
        </w:tc>
        <w:tc>
          <w:tcPr>
            <w:tcW w:w="0" w:type="auto"/>
            <w:hideMark/>
          </w:tcPr>
          <w:p w14:paraId="73CECE3F"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742</w:t>
            </w:r>
          </w:p>
        </w:tc>
        <w:tc>
          <w:tcPr>
            <w:tcW w:w="0" w:type="auto"/>
            <w:hideMark/>
          </w:tcPr>
          <w:p w14:paraId="5FCB34E1"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628</w:t>
            </w:r>
          </w:p>
        </w:tc>
        <w:tc>
          <w:tcPr>
            <w:tcW w:w="0" w:type="auto"/>
            <w:hideMark/>
          </w:tcPr>
          <w:p w14:paraId="11B88E7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2,008.6</w:t>
            </w:r>
          </w:p>
        </w:tc>
        <w:tc>
          <w:tcPr>
            <w:tcW w:w="0" w:type="auto"/>
            <w:hideMark/>
          </w:tcPr>
          <w:p w14:paraId="703DD58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0.3</w:t>
            </w:r>
          </w:p>
        </w:tc>
        <w:tc>
          <w:tcPr>
            <w:tcW w:w="0" w:type="auto"/>
            <w:hideMark/>
          </w:tcPr>
          <w:p w14:paraId="0F3475C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6.7</w:t>
            </w:r>
          </w:p>
        </w:tc>
        <w:tc>
          <w:tcPr>
            <w:tcW w:w="0" w:type="auto"/>
            <w:hideMark/>
          </w:tcPr>
          <w:p w14:paraId="6A972AE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8.3</w:t>
            </w:r>
          </w:p>
        </w:tc>
        <w:tc>
          <w:tcPr>
            <w:tcW w:w="0" w:type="auto"/>
            <w:hideMark/>
          </w:tcPr>
          <w:p w14:paraId="445506E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7.6</w:t>
            </w:r>
          </w:p>
        </w:tc>
        <w:tc>
          <w:tcPr>
            <w:tcW w:w="0" w:type="auto"/>
            <w:hideMark/>
          </w:tcPr>
          <w:p w14:paraId="0CF6ADD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18.3</w:t>
            </w:r>
          </w:p>
        </w:tc>
        <w:tc>
          <w:tcPr>
            <w:tcW w:w="0" w:type="auto"/>
            <w:hideMark/>
          </w:tcPr>
          <w:p w14:paraId="6E78472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3.2</w:t>
            </w:r>
          </w:p>
        </w:tc>
        <w:tc>
          <w:tcPr>
            <w:tcW w:w="0" w:type="auto"/>
            <w:hideMark/>
          </w:tcPr>
          <w:p w14:paraId="174F986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2.6</w:t>
            </w:r>
          </w:p>
        </w:tc>
      </w:tr>
      <w:tr w:rsidR="00EE19C2" w:rsidRPr="00374CC9" w14:paraId="76D8F827"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7806BC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Chikungunya virus infection</w:t>
            </w:r>
          </w:p>
        </w:tc>
        <w:tc>
          <w:tcPr>
            <w:tcW w:w="0" w:type="auto"/>
            <w:hideMark/>
          </w:tcPr>
          <w:p w14:paraId="64B48564"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62</w:t>
            </w:r>
          </w:p>
        </w:tc>
        <w:tc>
          <w:tcPr>
            <w:tcW w:w="0" w:type="auto"/>
            <w:hideMark/>
          </w:tcPr>
          <w:p w14:paraId="7C6E3912"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39</w:t>
            </w:r>
          </w:p>
        </w:tc>
        <w:tc>
          <w:tcPr>
            <w:tcW w:w="0" w:type="auto"/>
            <w:hideMark/>
          </w:tcPr>
          <w:p w14:paraId="2B906F63"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19</w:t>
            </w:r>
          </w:p>
        </w:tc>
        <w:tc>
          <w:tcPr>
            <w:tcW w:w="0" w:type="auto"/>
            <w:hideMark/>
          </w:tcPr>
          <w:p w14:paraId="5F0DE894"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134</w:t>
            </w:r>
          </w:p>
        </w:tc>
        <w:tc>
          <w:tcPr>
            <w:tcW w:w="0" w:type="auto"/>
            <w:hideMark/>
          </w:tcPr>
          <w:p w14:paraId="33A057C6"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110</w:t>
            </w:r>
          </w:p>
        </w:tc>
        <w:tc>
          <w:tcPr>
            <w:tcW w:w="0" w:type="auto"/>
            <w:hideMark/>
          </w:tcPr>
          <w:p w14:paraId="295410E3"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110</w:t>
            </w:r>
          </w:p>
        </w:tc>
        <w:tc>
          <w:tcPr>
            <w:tcW w:w="0" w:type="auto"/>
            <w:hideMark/>
          </w:tcPr>
          <w:p w14:paraId="191892A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72.8</w:t>
            </w:r>
          </w:p>
        </w:tc>
        <w:tc>
          <w:tcPr>
            <w:tcW w:w="0" w:type="auto"/>
            <w:hideMark/>
          </w:tcPr>
          <w:p w14:paraId="5EBF07B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1.5</w:t>
            </w:r>
          </w:p>
        </w:tc>
        <w:tc>
          <w:tcPr>
            <w:tcW w:w="0" w:type="auto"/>
            <w:hideMark/>
          </w:tcPr>
          <w:p w14:paraId="61985C7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0.3</w:t>
            </w:r>
          </w:p>
        </w:tc>
        <w:tc>
          <w:tcPr>
            <w:tcW w:w="0" w:type="auto"/>
            <w:hideMark/>
          </w:tcPr>
          <w:p w14:paraId="2D1FF84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0.2</w:t>
            </w:r>
          </w:p>
        </w:tc>
        <w:tc>
          <w:tcPr>
            <w:tcW w:w="0" w:type="auto"/>
            <w:hideMark/>
          </w:tcPr>
          <w:p w14:paraId="3E858F3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0.1</w:t>
            </w:r>
          </w:p>
        </w:tc>
        <w:tc>
          <w:tcPr>
            <w:tcW w:w="0" w:type="auto"/>
            <w:hideMark/>
          </w:tcPr>
          <w:p w14:paraId="24D42AB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0.6</w:t>
            </w:r>
          </w:p>
        </w:tc>
        <w:tc>
          <w:tcPr>
            <w:tcW w:w="0" w:type="auto"/>
            <w:hideMark/>
          </w:tcPr>
          <w:p w14:paraId="7A7874D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0.5</w:t>
            </w:r>
          </w:p>
        </w:tc>
        <w:tc>
          <w:tcPr>
            <w:tcW w:w="0" w:type="auto"/>
            <w:hideMark/>
          </w:tcPr>
          <w:p w14:paraId="7A284B2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0.5</w:t>
            </w:r>
          </w:p>
        </w:tc>
      </w:tr>
      <w:tr w:rsidR="00EE19C2" w:rsidRPr="00374CC9" w14:paraId="496B0FCE" w14:textId="77777777" w:rsidTr="000A4FFE">
        <w:tblPrEx>
          <w:tblCellMar>
            <w:right w:w="108" w:type="dxa"/>
          </w:tblCellMar>
        </w:tblPrEx>
        <w:tc>
          <w:tcPr>
            <w:tcW w:w="0" w:type="auto"/>
            <w:hideMark/>
          </w:tcPr>
          <w:p w14:paraId="7CB4E54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Dengue virus infection</w:t>
            </w:r>
          </w:p>
        </w:tc>
        <w:tc>
          <w:tcPr>
            <w:tcW w:w="0" w:type="auto"/>
            <w:hideMark/>
          </w:tcPr>
          <w:p w14:paraId="42CCD166"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1,228</w:t>
            </w:r>
          </w:p>
        </w:tc>
        <w:tc>
          <w:tcPr>
            <w:tcW w:w="0" w:type="auto"/>
            <w:hideMark/>
          </w:tcPr>
          <w:p w14:paraId="468A1297"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822</w:t>
            </w:r>
          </w:p>
        </w:tc>
        <w:tc>
          <w:tcPr>
            <w:tcW w:w="0" w:type="auto"/>
            <w:hideMark/>
          </w:tcPr>
          <w:p w14:paraId="39F81135"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1,540</w:t>
            </w:r>
          </w:p>
        </w:tc>
        <w:tc>
          <w:tcPr>
            <w:tcW w:w="0" w:type="auto"/>
            <w:hideMark/>
          </w:tcPr>
          <w:p w14:paraId="7CB8FCBC"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1,841</w:t>
            </w:r>
          </w:p>
        </w:tc>
        <w:tc>
          <w:tcPr>
            <w:tcW w:w="0" w:type="auto"/>
            <w:hideMark/>
          </w:tcPr>
          <w:p w14:paraId="5FC4BA5F"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1,721</w:t>
            </w:r>
          </w:p>
        </w:tc>
        <w:tc>
          <w:tcPr>
            <w:tcW w:w="0" w:type="auto"/>
            <w:hideMark/>
          </w:tcPr>
          <w:p w14:paraId="192EB4F1"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1,714</w:t>
            </w:r>
          </w:p>
        </w:tc>
        <w:tc>
          <w:tcPr>
            <w:tcW w:w="0" w:type="auto"/>
            <w:hideMark/>
          </w:tcPr>
          <w:p w14:paraId="2FE040A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1,430.4</w:t>
            </w:r>
          </w:p>
        </w:tc>
        <w:tc>
          <w:tcPr>
            <w:tcW w:w="0" w:type="auto"/>
            <w:hideMark/>
          </w:tcPr>
          <w:p w14:paraId="491CAB2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1.2</w:t>
            </w:r>
          </w:p>
        </w:tc>
        <w:tc>
          <w:tcPr>
            <w:tcW w:w="0" w:type="auto"/>
            <w:hideMark/>
          </w:tcPr>
          <w:p w14:paraId="6BDF776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5.6</w:t>
            </w:r>
          </w:p>
        </w:tc>
        <w:tc>
          <w:tcPr>
            <w:tcW w:w="0" w:type="auto"/>
            <w:hideMark/>
          </w:tcPr>
          <w:p w14:paraId="76F54C2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3.7</w:t>
            </w:r>
          </w:p>
        </w:tc>
        <w:tc>
          <w:tcPr>
            <w:tcW w:w="0" w:type="auto"/>
            <w:hideMark/>
          </w:tcPr>
          <w:p w14:paraId="3B77D0A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6.8</w:t>
            </w:r>
          </w:p>
        </w:tc>
        <w:tc>
          <w:tcPr>
            <w:tcW w:w="0" w:type="auto"/>
            <w:hideMark/>
          </w:tcPr>
          <w:p w14:paraId="7E8D92E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8.0</w:t>
            </w:r>
          </w:p>
        </w:tc>
        <w:tc>
          <w:tcPr>
            <w:tcW w:w="0" w:type="auto"/>
            <w:hideMark/>
          </w:tcPr>
          <w:p w14:paraId="184A87A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7.3</w:t>
            </w:r>
          </w:p>
        </w:tc>
        <w:tc>
          <w:tcPr>
            <w:tcW w:w="0" w:type="auto"/>
            <w:hideMark/>
          </w:tcPr>
          <w:p w14:paraId="7E421D4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7.2</w:t>
            </w:r>
          </w:p>
        </w:tc>
      </w:tr>
      <w:tr w:rsidR="00EE19C2" w:rsidRPr="00374CC9" w14:paraId="30A80270"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B4A1CF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Flavivirus infection (unspecified)</w:t>
            </w:r>
          </w:p>
        </w:tc>
        <w:tc>
          <w:tcPr>
            <w:tcW w:w="0" w:type="auto"/>
            <w:hideMark/>
          </w:tcPr>
          <w:p w14:paraId="5546F6DE"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14</w:t>
            </w:r>
          </w:p>
        </w:tc>
        <w:tc>
          <w:tcPr>
            <w:tcW w:w="0" w:type="auto"/>
            <w:hideMark/>
          </w:tcPr>
          <w:p w14:paraId="1E797E23"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10</w:t>
            </w:r>
          </w:p>
        </w:tc>
        <w:tc>
          <w:tcPr>
            <w:tcW w:w="0" w:type="auto"/>
            <w:hideMark/>
          </w:tcPr>
          <w:p w14:paraId="35E8D63D"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6</w:t>
            </w:r>
          </w:p>
        </w:tc>
        <w:tc>
          <w:tcPr>
            <w:tcW w:w="0" w:type="auto"/>
            <w:hideMark/>
          </w:tcPr>
          <w:p w14:paraId="406FAD9D"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16</w:t>
            </w:r>
          </w:p>
        </w:tc>
        <w:tc>
          <w:tcPr>
            <w:tcW w:w="0" w:type="auto"/>
            <w:hideMark/>
          </w:tcPr>
          <w:p w14:paraId="17643681"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20</w:t>
            </w:r>
          </w:p>
        </w:tc>
        <w:tc>
          <w:tcPr>
            <w:tcW w:w="0" w:type="auto"/>
            <w:hideMark/>
          </w:tcPr>
          <w:p w14:paraId="7A8BBDDD"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12</w:t>
            </w:r>
          </w:p>
        </w:tc>
        <w:tc>
          <w:tcPr>
            <w:tcW w:w="0" w:type="auto"/>
            <w:hideMark/>
          </w:tcPr>
          <w:p w14:paraId="5DFFC0A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13.2</w:t>
            </w:r>
          </w:p>
        </w:tc>
        <w:tc>
          <w:tcPr>
            <w:tcW w:w="0" w:type="auto"/>
            <w:hideMark/>
          </w:tcPr>
          <w:p w14:paraId="378F43D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0.9</w:t>
            </w:r>
          </w:p>
        </w:tc>
        <w:tc>
          <w:tcPr>
            <w:tcW w:w="0" w:type="auto"/>
            <w:hideMark/>
          </w:tcPr>
          <w:p w14:paraId="0E2AD2F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0.1</w:t>
            </w:r>
          </w:p>
        </w:tc>
        <w:tc>
          <w:tcPr>
            <w:tcW w:w="0" w:type="auto"/>
            <w:hideMark/>
          </w:tcPr>
          <w:p w14:paraId="1BEC469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0.0</w:t>
            </w:r>
          </w:p>
        </w:tc>
        <w:tc>
          <w:tcPr>
            <w:tcW w:w="0" w:type="auto"/>
            <w:hideMark/>
          </w:tcPr>
          <w:p w14:paraId="525CE82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0.0</w:t>
            </w:r>
          </w:p>
        </w:tc>
        <w:tc>
          <w:tcPr>
            <w:tcW w:w="0" w:type="auto"/>
            <w:hideMark/>
          </w:tcPr>
          <w:p w14:paraId="5143A73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0.1</w:t>
            </w:r>
          </w:p>
        </w:tc>
        <w:tc>
          <w:tcPr>
            <w:tcW w:w="0" w:type="auto"/>
            <w:hideMark/>
          </w:tcPr>
          <w:p w14:paraId="2B73C56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0.1</w:t>
            </w:r>
          </w:p>
        </w:tc>
        <w:tc>
          <w:tcPr>
            <w:tcW w:w="0" w:type="auto"/>
            <w:hideMark/>
          </w:tcPr>
          <w:p w14:paraId="1368A5A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0.1</w:t>
            </w:r>
          </w:p>
        </w:tc>
      </w:tr>
      <w:tr w:rsidR="00EE19C2" w:rsidRPr="00374CC9" w14:paraId="4AC74A4A" w14:textId="77777777" w:rsidTr="000A4FFE">
        <w:tblPrEx>
          <w:tblCellMar>
            <w:right w:w="108" w:type="dxa"/>
          </w:tblCellMar>
        </w:tblPrEx>
        <w:tc>
          <w:tcPr>
            <w:tcW w:w="0" w:type="auto"/>
            <w:hideMark/>
          </w:tcPr>
          <w:p w14:paraId="3872457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Japanese encephalitis virus infection</w:t>
            </w:r>
          </w:p>
        </w:tc>
        <w:tc>
          <w:tcPr>
            <w:tcW w:w="0" w:type="auto"/>
            <w:hideMark/>
          </w:tcPr>
          <w:p w14:paraId="12DF208D"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14F0778C"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682703C8"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3BC90C43"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4</w:t>
            </w:r>
          </w:p>
        </w:tc>
        <w:tc>
          <w:tcPr>
            <w:tcW w:w="0" w:type="auto"/>
            <w:hideMark/>
          </w:tcPr>
          <w:p w14:paraId="2AE842CE"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2B5791DC"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0" w:type="auto"/>
            <w:hideMark/>
          </w:tcPr>
          <w:p w14:paraId="5983612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1.2</w:t>
            </w:r>
          </w:p>
        </w:tc>
        <w:tc>
          <w:tcPr>
            <w:tcW w:w="0" w:type="auto"/>
            <w:hideMark/>
          </w:tcPr>
          <w:p w14:paraId="2033639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2.5</w:t>
            </w:r>
          </w:p>
        </w:tc>
        <w:tc>
          <w:tcPr>
            <w:tcW w:w="0" w:type="auto"/>
            <w:hideMark/>
          </w:tcPr>
          <w:p w14:paraId="6E80A82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58C04D5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6462F23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0.0</w:t>
            </w:r>
          </w:p>
        </w:tc>
        <w:tc>
          <w:tcPr>
            <w:tcW w:w="0" w:type="auto"/>
            <w:hideMark/>
          </w:tcPr>
          <w:p w14:paraId="42F3275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0.0</w:t>
            </w:r>
          </w:p>
        </w:tc>
        <w:tc>
          <w:tcPr>
            <w:tcW w:w="0" w:type="auto"/>
            <w:hideMark/>
          </w:tcPr>
          <w:p w14:paraId="0539C62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0.0</w:t>
            </w:r>
          </w:p>
        </w:tc>
        <w:tc>
          <w:tcPr>
            <w:tcW w:w="0" w:type="auto"/>
            <w:hideMark/>
          </w:tcPr>
          <w:p w14:paraId="14743FF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0.0</w:t>
            </w:r>
          </w:p>
        </w:tc>
      </w:tr>
      <w:tr w:rsidR="00EE19C2" w:rsidRPr="00374CC9" w14:paraId="36CD85BD"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A79C50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Malaria</w:t>
            </w:r>
          </w:p>
        </w:tc>
        <w:tc>
          <w:tcPr>
            <w:tcW w:w="0" w:type="auto"/>
            <w:hideMark/>
          </w:tcPr>
          <w:p w14:paraId="0C87CC8D"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405</w:t>
            </w:r>
          </w:p>
        </w:tc>
        <w:tc>
          <w:tcPr>
            <w:tcW w:w="0" w:type="auto"/>
            <w:hideMark/>
          </w:tcPr>
          <w:p w14:paraId="50BEE323"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418</w:t>
            </w:r>
          </w:p>
        </w:tc>
        <w:tc>
          <w:tcPr>
            <w:tcW w:w="0" w:type="auto"/>
            <w:hideMark/>
          </w:tcPr>
          <w:p w14:paraId="461C8C1B"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344</w:t>
            </w:r>
          </w:p>
        </w:tc>
        <w:tc>
          <w:tcPr>
            <w:tcW w:w="0" w:type="auto"/>
            <w:hideMark/>
          </w:tcPr>
          <w:p w14:paraId="5037D235"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416</w:t>
            </w:r>
          </w:p>
        </w:tc>
        <w:tc>
          <w:tcPr>
            <w:tcW w:w="0" w:type="auto"/>
            <w:hideMark/>
          </w:tcPr>
          <w:p w14:paraId="08881266"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324</w:t>
            </w:r>
          </w:p>
        </w:tc>
        <w:tc>
          <w:tcPr>
            <w:tcW w:w="0" w:type="auto"/>
            <w:hideMark/>
          </w:tcPr>
          <w:p w14:paraId="6736900B"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233</w:t>
            </w:r>
          </w:p>
        </w:tc>
        <w:tc>
          <w:tcPr>
            <w:tcW w:w="0" w:type="auto"/>
            <w:hideMark/>
          </w:tcPr>
          <w:p w14:paraId="3340F0A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381.4</w:t>
            </w:r>
          </w:p>
        </w:tc>
        <w:tc>
          <w:tcPr>
            <w:tcW w:w="0" w:type="auto"/>
            <w:hideMark/>
          </w:tcPr>
          <w:p w14:paraId="5D5D1DC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0.6</w:t>
            </w:r>
          </w:p>
        </w:tc>
        <w:tc>
          <w:tcPr>
            <w:tcW w:w="0" w:type="auto"/>
            <w:hideMark/>
          </w:tcPr>
          <w:p w14:paraId="584BE60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1.8</w:t>
            </w:r>
          </w:p>
        </w:tc>
        <w:tc>
          <w:tcPr>
            <w:tcW w:w="0" w:type="auto"/>
            <w:hideMark/>
          </w:tcPr>
          <w:p w14:paraId="72C3B39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1.9</w:t>
            </w:r>
          </w:p>
        </w:tc>
        <w:tc>
          <w:tcPr>
            <w:tcW w:w="0" w:type="auto"/>
            <w:hideMark/>
          </w:tcPr>
          <w:p w14:paraId="58CD920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1.5</w:t>
            </w:r>
          </w:p>
        </w:tc>
        <w:tc>
          <w:tcPr>
            <w:tcW w:w="0" w:type="auto"/>
            <w:hideMark/>
          </w:tcPr>
          <w:p w14:paraId="6167FF3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1.8</w:t>
            </w:r>
          </w:p>
        </w:tc>
        <w:tc>
          <w:tcPr>
            <w:tcW w:w="0" w:type="auto"/>
            <w:hideMark/>
          </w:tcPr>
          <w:p w14:paraId="6DB6D7A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1.4</w:t>
            </w:r>
          </w:p>
        </w:tc>
        <w:tc>
          <w:tcPr>
            <w:tcW w:w="0" w:type="auto"/>
            <w:hideMark/>
          </w:tcPr>
          <w:p w14:paraId="1A7C8A2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w:t>
            </w:r>
          </w:p>
        </w:tc>
      </w:tr>
      <w:tr w:rsidR="00EE19C2" w:rsidRPr="00374CC9" w14:paraId="5D94437C" w14:textId="77777777" w:rsidTr="000A4FFE">
        <w:tblPrEx>
          <w:tblCellMar>
            <w:right w:w="108" w:type="dxa"/>
          </w:tblCellMar>
        </w:tblPrEx>
        <w:tc>
          <w:tcPr>
            <w:tcW w:w="0" w:type="auto"/>
            <w:hideMark/>
          </w:tcPr>
          <w:p w14:paraId="05906FA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Murray Valley encephalitis virus infection</w:t>
            </w:r>
          </w:p>
        </w:tc>
        <w:tc>
          <w:tcPr>
            <w:tcW w:w="0" w:type="auto"/>
            <w:hideMark/>
          </w:tcPr>
          <w:p w14:paraId="1117A11A"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528C109A"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16</w:t>
            </w:r>
          </w:p>
        </w:tc>
        <w:tc>
          <w:tcPr>
            <w:tcW w:w="0" w:type="auto"/>
            <w:hideMark/>
          </w:tcPr>
          <w:p w14:paraId="6265B996"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738DA0EE"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1B63CAD1"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5E686D3F"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6733E20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3.4</w:t>
            </w:r>
          </w:p>
        </w:tc>
        <w:tc>
          <w:tcPr>
            <w:tcW w:w="0" w:type="auto"/>
            <w:hideMark/>
          </w:tcPr>
          <w:p w14:paraId="4C720B3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0.6</w:t>
            </w:r>
          </w:p>
        </w:tc>
        <w:tc>
          <w:tcPr>
            <w:tcW w:w="0" w:type="auto"/>
            <w:hideMark/>
          </w:tcPr>
          <w:p w14:paraId="4E25286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028CC99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0.1</w:t>
            </w:r>
          </w:p>
        </w:tc>
        <w:tc>
          <w:tcPr>
            <w:tcW w:w="0" w:type="auto"/>
            <w:hideMark/>
          </w:tcPr>
          <w:p w14:paraId="6E1DB60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0.0</w:t>
            </w:r>
          </w:p>
        </w:tc>
        <w:tc>
          <w:tcPr>
            <w:tcW w:w="0" w:type="auto"/>
            <w:hideMark/>
          </w:tcPr>
          <w:p w14:paraId="04DE5D5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61B038D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408230B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0.0</w:t>
            </w:r>
          </w:p>
        </w:tc>
      </w:tr>
      <w:tr w:rsidR="00EE19C2" w:rsidRPr="00374CC9" w14:paraId="670DBB07"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BEDC5D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Ross River virus infection</w:t>
            </w:r>
          </w:p>
        </w:tc>
        <w:tc>
          <w:tcPr>
            <w:tcW w:w="0" w:type="auto"/>
            <w:hideMark/>
          </w:tcPr>
          <w:p w14:paraId="0BCA8745"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5,128</w:t>
            </w:r>
          </w:p>
        </w:tc>
        <w:tc>
          <w:tcPr>
            <w:tcW w:w="0" w:type="auto"/>
            <w:hideMark/>
          </w:tcPr>
          <w:p w14:paraId="73B41936"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5,136</w:t>
            </w:r>
          </w:p>
        </w:tc>
        <w:tc>
          <w:tcPr>
            <w:tcW w:w="0" w:type="auto"/>
            <w:hideMark/>
          </w:tcPr>
          <w:p w14:paraId="5F3820D4"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4,681</w:t>
            </w:r>
          </w:p>
        </w:tc>
        <w:tc>
          <w:tcPr>
            <w:tcW w:w="0" w:type="auto"/>
            <w:hideMark/>
          </w:tcPr>
          <w:p w14:paraId="07505ABB"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4,317</w:t>
            </w:r>
          </w:p>
        </w:tc>
        <w:tc>
          <w:tcPr>
            <w:tcW w:w="0" w:type="auto"/>
            <w:hideMark/>
          </w:tcPr>
          <w:p w14:paraId="30B5791F"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5,316</w:t>
            </w:r>
          </w:p>
        </w:tc>
        <w:tc>
          <w:tcPr>
            <w:tcW w:w="0" w:type="auto"/>
            <w:hideMark/>
          </w:tcPr>
          <w:p w14:paraId="3CF47526"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9,550</w:t>
            </w:r>
          </w:p>
        </w:tc>
        <w:tc>
          <w:tcPr>
            <w:tcW w:w="0" w:type="auto"/>
            <w:hideMark/>
          </w:tcPr>
          <w:p w14:paraId="093F194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4,915.6</w:t>
            </w:r>
          </w:p>
        </w:tc>
        <w:tc>
          <w:tcPr>
            <w:tcW w:w="0" w:type="auto"/>
            <w:hideMark/>
          </w:tcPr>
          <w:p w14:paraId="54BAB1C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1.9</w:t>
            </w:r>
          </w:p>
        </w:tc>
        <w:tc>
          <w:tcPr>
            <w:tcW w:w="0" w:type="auto"/>
            <w:hideMark/>
          </w:tcPr>
          <w:p w14:paraId="194232F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23.3</w:t>
            </w:r>
          </w:p>
        </w:tc>
        <w:tc>
          <w:tcPr>
            <w:tcW w:w="0" w:type="auto"/>
            <w:hideMark/>
          </w:tcPr>
          <w:p w14:paraId="1BA9551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23.0</w:t>
            </w:r>
          </w:p>
        </w:tc>
        <w:tc>
          <w:tcPr>
            <w:tcW w:w="0" w:type="auto"/>
            <w:hideMark/>
          </w:tcPr>
          <w:p w14:paraId="4A3231C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20.6</w:t>
            </w:r>
          </w:p>
        </w:tc>
        <w:tc>
          <w:tcPr>
            <w:tcW w:w="0" w:type="auto"/>
            <w:hideMark/>
          </w:tcPr>
          <w:p w14:paraId="02AC00F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18.7</w:t>
            </w:r>
          </w:p>
        </w:tc>
        <w:tc>
          <w:tcPr>
            <w:tcW w:w="0" w:type="auto"/>
            <w:hideMark/>
          </w:tcPr>
          <w:p w14:paraId="1BAD2E7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22.7</w:t>
            </w:r>
          </w:p>
        </w:tc>
        <w:tc>
          <w:tcPr>
            <w:tcW w:w="0" w:type="auto"/>
            <w:hideMark/>
          </w:tcPr>
          <w:p w14:paraId="5DDC49F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40.1</w:t>
            </w:r>
          </w:p>
        </w:tc>
      </w:tr>
      <w:tr w:rsidR="00EE19C2" w:rsidRPr="00374CC9" w14:paraId="7FFA5AF3" w14:textId="77777777" w:rsidTr="000A4FFE">
        <w:tblPrEx>
          <w:tblCellMar>
            <w:right w:w="108" w:type="dxa"/>
          </w:tblCellMar>
        </w:tblPrEx>
        <w:tc>
          <w:tcPr>
            <w:tcW w:w="0" w:type="auto"/>
            <w:hideMark/>
          </w:tcPr>
          <w:p w14:paraId="14CCEDE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lastRenderedPageBreak/>
              <w:t>West Nile/</w:t>
            </w:r>
            <w:proofErr w:type="spellStart"/>
            <w:r w:rsidRPr="00374CC9">
              <w:rPr>
                <w:rFonts w:asciiTheme="minorHAnsi" w:eastAsia="Times New Roman" w:hAnsiTheme="minorHAnsi"/>
                <w:sz w:val="18"/>
                <w:szCs w:val="18"/>
              </w:rPr>
              <w:t>Kunjin</w:t>
            </w:r>
            <w:proofErr w:type="spellEnd"/>
            <w:r w:rsidRPr="00374CC9">
              <w:rPr>
                <w:rFonts w:asciiTheme="minorHAnsi" w:eastAsia="Times New Roman" w:hAnsiTheme="minorHAnsi"/>
                <w:sz w:val="18"/>
                <w:szCs w:val="18"/>
              </w:rPr>
              <w:t xml:space="preserve"> virus infection</w:t>
            </w:r>
          </w:p>
        </w:tc>
        <w:tc>
          <w:tcPr>
            <w:tcW w:w="0" w:type="auto"/>
            <w:hideMark/>
          </w:tcPr>
          <w:p w14:paraId="14CED7FD"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5E40B311"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732268D1"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0A1C0B5F"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70ECEF49"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4CA4B110"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6529A23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1.4</w:t>
            </w:r>
          </w:p>
        </w:tc>
        <w:tc>
          <w:tcPr>
            <w:tcW w:w="0" w:type="auto"/>
            <w:hideMark/>
          </w:tcPr>
          <w:p w14:paraId="09418F1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0.7</w:t>
            </w:r>
          </w:p>
        </w:tc>
        <w:tc>
          <w:tcPr>
            <w:tcW w:w="0" w:type="auto"/>
            <w:hideMark/>
          </w:tcPr>
          <w:p w14:paraId="331B678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0.0</w:t>
            </w:r>
          </w:p>
        </w:tc>
        <w:tc>
          <w:tcPr>
            <w:tcW w:w="0" w:type="auto"/>
            <w:hideMark/>
          </w:tcPr>
          <w:p w14:paraId="3D5EAD4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0.0</w:t>
            </w:r>
          </w:p>
        </w:tc>
        <w:tc>
          <w:tcPr>
            <w:tcW w:w="0" w:type="auto"/>
            <w:hideMark/>
          </w:tcPr>
          <w:p w14:paraId="74299E4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7BAB14A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0.0</w:t>
            </w:r>
          </w:p>
        </w:tc>
        <w:tc>
          <w:tcPr>
            <w:tcW w:w="0" w:type="auto"/>
            <w:hideMark/>
          </w:tcPr>
          <w:p w14:paraId="6D44A12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0.0</w:t>
            </w:r>
          </w:p>
        </w:tc>
        <w:tc>
          <w:tcPr>
            <w:tcW w:w="0" w:type="auto"/>
            <w:hideMark/>
          </w:tcPr>
          <w:p w14:paraId="7CE889C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0.0</w:t>
            </w:r>
          </w:p>
        </w:tc>
      </w:tr>
      <w:tr w:rsidR="00BE61A2" w:rsidRPr="00374CC9" w14:paraId="47F3EAE1" w14:textId="77777777" w:rsidTr="00240D6D">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gridSpan w:val="15"/>
            <w:shd w:val="clear" w:color="auto" w:fill="D9D9D9" w:themeFill="background1" w:themeFillShade="D9"/>
            <w:hideMark/>
          </w:tcPr>
          <w:p w14:paraId="42801D61" w14:textId="77777777" w:rsidR="00BE61A2" w:rsidRPr="00240D6D" w:rsidRDefault="00BE61A2" w:rsidP="00E16E6C">
            <w:pPr>
              <w:rPr>
                <w:rFonts w:asciiTheme="minorHAnsi" w:eastAsia="Times New Roman" w:hAnsiTheme="minorHAnsi"/>
                <w:b/>
                <w:sz w:val="18"/>
                <w:szCs w:val="18"/>
              </w:rPr>
            </w:pPr>
            <w:r w:rsidRPr="00240D6D">
              <w:rPr>
                <w:rFonts w:asciiTheme="minorHAnsi" w:eastAsia="Times New Roman" w:hAnsiTheme="minorHAnsi"/>
                <w:b/>
                <w:sz w:val="18"/>
                <w:szCs w:val="18"/>
              </w:rPr>
              <w:t>Zoonoses</w:t>
            </w:r>
          </w:p>
        </w:tc>
      </w:tr>
      <w:tr w:rsidR="00EE19C2" w:rsidRPr="00374CC9" w14:paraId="0234D4DA" w14:textId="77777777" w:rsidTr="000A4FFE">
        <w:tblPrEx>
          <w:tblCellMar>
            <w:right w:w="108" w:type="dxa"/>
          </w:tblCellMar>
        </w:tblPrEx>
        <w:tc>
          <w:tcPr>
            <w:tcW w:w="0" w:type="auto"/>
            <w:hideMark/>
          </w:tcPr>
          <w:p w14:paraId="73868F0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Anthrax</w:t>
            </w:r>
          </w:p>
        </w:tc>
        <w:tc>
          <w:tcPr>
            <w:tcW w:w="0" w:type="auto"/>
            <w:hideMark/>
          </w:tcPr>
          <w:p w14:paraId="0C290E54"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1E1774D3"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04E980FF"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0D066EE9"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AD9A3EE"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1A72BFA6"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3F2F032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0.2</w:t>
            </w:r>
          </w:p>
        </w:tc>
        <w:tc>
          <w:tcPr>
            <w:tcW w:w="0" w:type="auto"/>
            <w:hideMark/>
          </w:tcPr>
          <w:p w14:paraId="099872F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388037D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&lt;0.1</w:t>
            </w:r>
          </w:p>
        </w:tc>
        <w:tc>
          <w:tcPr>
            <w:tcW w:w="0" w:type="auto"/>
            <w:hideMark/>
          </w:tcPr>
          <w:p w14:paraId="29EBFEF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5DA10FD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06EA6BB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6A337B4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540C982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r>
      <w:tr w:rsidR="00EE19C2" w:rsidRPr="00374CC9" w14:paraId="3E21F73E"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FD65EC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Australian bat lyssavirus</w:t>
            </w:r>
          </w:p>
        </w:tc>
        <w:tc>
          <w:tcPr>
            <w:tcW w:w="0" w:type="auto"/>
            <w:hideMark/>
          </w:tcPr>
          <w:p w14:paraId="1DFEB8E3"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5007969C"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E29B6B6"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31534E5E"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63F2355A"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5DF5A94A"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346C75C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0.2</w:t>
            </w:r>
          </w:p>
        </w:tc>
        <w:tc>
          <w:tcPr>
            <w:tcW w:w="0" w:type="auto"/>
            <w:hideMark/>
          </w:tcPr>
          <w:p w14:paraId="3FEFB48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69ED795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565486F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03CBCBA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3C51093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&lt;0.1</w:t>
            </w:r>
          </w:p>
        </w:tc>
        <w:tc>
          <w:tcPr>
            <w:tcW w:w="0" w:type="auto"/>
            <w:hideMark/>
          </w:tcPr>
          <w:p w14:paraId="0BDBF96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10FC67A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r>
      <w:tr w:rsidR="00EE19C2" w:rsidRPr="00374CC9" w14:paraId="1B204823" w14:textId="77777777" w:rsidTr="000A4FFE">
        <w:tblPrEx>
          <w:tblCellMar>
            <w:right w:w="108" w:type="dxa"/>
          </w:tblCellMar>
        </w:tblPrEx>
        <w:tc>
          <w:tcPr>
            <w:tcW w:w="0" w:type="auto"/>
            <w:hideMark/>
          </w:tcPr>
          <w:p w14:paraId="3816E37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Brucellosis</w:t>
            </w:r>
          </w:p>
        </w:tc>
        <w:tc>
          <w:tcPr>
            <w:tcW w:w="0" w:type="auto"/>
            <w:hideMark/>
          </w:tcPr>
          <w:p w14:paraId="6121DD58"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21</w:t>
            </w:r>
          </w:p>
        </w:tc>
        <w:tc>
          <w:tcPr>
            <w:tcW w:w="0" w:type="auto"/>
            <w:hideMark/>
          </w:tcPr>
          <w:p w14:paraId="6B3555E1"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37</w:t>
            </w:r>
          </w:p>
        </w:tc>
        <w:tc>
          <w:tcPr>
            <w:tcW w:w="0" w:type="auto"/>
            <w:hideMark/>
          </w:tcPr>
          <w:p w14:paraId="782C7B91"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31</w:t>
            </w:r>
          </w:p>
        </w:tc>
        <w:tc>
          <w:tcPr>
            <w:tcW w:w="0" w:type="auto"/>
            <w:hideMark/>
          </w:tcPr>
          <w:p w14:paraId="5D8D59FE"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14</w:t>
            </w:r>
          </w:p>
        </w:tc>
        <w:tc>
          <w:tcPr>
            <w:tcW w:w="0" w:type="auto"/>
            <w:hideMark/>
          </w:tcPr>
          <w:p w14:paraId="12C249E8"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17</w:t>
            </w:r>
          </w:p>
        </w:tc>
        <w:tc>
          <w:tcPr>
            <w:tcW w:w="0" w:type="auto"/>
            <w:hideMark/>
          </w:tcPr>
          <w:p w14:paraId="4299FA96"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19</w:t>
            </w:r>
          </w:p>
        </w:tc>
        <w:tc>
          <w:tcPr>
            <w:tcW w:w="0" w:type="auto"/>
            <w:hideMark/>
          </w:tcPr>
          <w:p w14:paraId="282F13E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24.0</w:t>
            </w:r>
          </w:p>
        </w:tc>
        <w:tc>
          <w:tcPr>
            <w:tcW w:w="0" w:type="auto"/>
            <w:hideMark/>
          </w:tcPr>
          <w:p w14:paraId="311B3C5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0.8</w:t>
            </w:r>
          </w:p>
        </w:tc>
        <w:tc>
          <w:tcPr>
            <w:tcW w:w="0" w:type="auto"/>
            <w:hideMark/>
          </w:tcPr>
          <w:p w14:paraId="7CE7A58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0.1</w:t>
            </w:r>
          </w:p>
        </w:tc>
        <w:tc>
          <w:tcPr>
            <w:tcW w:w="0" w:type="auto"/>
            <w:hideMark/>
          </w:tcPr>
          <w:p w14:paraId="5DC5516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0.2</w:t>
            </w:r>
          </w:p>
        </w:tc>
        <w:tc>
          <w:tcPr>
            <w:tcW w:w="0" w:type="auto"/>
            <w:hideMark/>
          </w:tcPr>
          <w:p w14:paraId="75CFD87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0.1</w:t>
            </w:r>
          </w:p>
        </w:tc>
        <w:tc>
          <w:tcPr>
            <w:tcW w:w="0" w:type="auto"/>
            <w:hideMark/>
          </w:tcPr>
          <w:p w14:paraId="41B0527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0.1</w:t>
            </w:r>
          </w:p>
        </w:tc>
        <w:tc>
          <w:tcPr>
            <w:tcW w:w="0" w:type="auto"/>
            <w:hideMark/>
          </w:tcPr>
          <w:p w14:paraId="2458047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0.1</w:t>
            </w:r>
          </w:p>
        </w:tc>
        <w:tc>
          <w:tcPr>
            <w:tcW w:w="0" w:type="auto"/>
            <w:hideMark/>
          </w:tcPr>
          <w:p w14:paraId="5FB0C27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0.1</w:t>
            </w:r>
          </w:p>
        </w:tc>
      </w:tr>
      <w:tr w:rsidR="00EE19C2" w:rsidRPr="00374CC9" w14:paraId="6A8DB122"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07C2D7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Leptospirosis</w:t>
            </w:r>
          </w:p>
        </w:tc>
        <w:tc>
          <w:tcPr>
            <w:tcW w:w="0" w:type="auto"/>
            <w:hideMark/>
          </w:tcPr>
          <w:p w14:paraId="76E85A3C"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131</w:t>
            </w:r>
          </w:p>
        </w:tc>
        <w:tc>
          <w:tcPr>
            <w:tcW w:w="0" w:type="auto"/>
            <w:hideMark/>
          </w:tcPr>
          <w:p w14:paraId="4ADA983F"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215</w:t>
            </w:r>
          </w:p>
        </w:tc>
        <w:tc>
          <w:tcPr>
            <w:tcW w:w="0" w:type="auto"/>
            <w:hideMark/>
          </w:tcPr>
          <w:p w14:paraId="3F0F8AD2"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114</w:t>
            </w:r>
          </w:p>
        </w:tc>
        <w:tc>
          <w:tcPr>
            <w:tcW w:w="0" w:type="auto"/>
            <w:hideMark/>
          </w:tcPr>
          <w:p w14:paraId="524D5D46"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87</w:t>
            </w:r>
          </w:p>
        </w:tc>
        <w:tc>
          <w:tcPr>
            <w:tcW w:w="0" w:type="auto"/>
            <w:hideMark/>
          </w:tcPr>
          <w:p w14:paraId="7D002F1A"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86</w:t>
            </w:r>
          </w:p>
        </w:tc>
        <w:tc>
          <w:tcPr>
            <w:tcW w:w="0" w:type="auto"/>
            <w:hideMark/>
          </w:tcPr>
          <w:p w14:paraId="0B1BEF23"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74</w:t>
            </w:r>
          </w:p>
        </w:tc>
        <w:tc>
          <w:tcPr>
            <w:tcW w:w="0" w:type="auto"/>
            <w:hideMark/>
          </w:tcPr>
          <w:p w14:paraId="49B1BA6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126.6</w:t>
            </w:r>
          </w:p>
        </w:tc>
        <w:tc>
          <w:tcPr>
            <w:tcW w:w="0" w:type="auto"/>
            <w:hideMark/>
          </w:tcPr>
          <w:p w14:paraId="4248CD1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0.6</w:t>
            </w:r>
          </w:p>
        </w:tc>
        <w:tc>
          <w:tcPr>
            <w:tcW w:w="0" w:type="auto"/>
            <w:hideMark/>
          </w:tcPr>
          <w:p w14:paraId="7DF0FD1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0.6</w:t>
            </w:r>
          </w:p>
        </w:tc>
        <w:tc>
          <w:tcPr>
            <w:tcW w:w="0" w:type="auto"/>
            <w:hideMark/>
          </w:tcPr>
          <w:p w14:paraId="212A405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w:t>
            </w:r>
          </w:p>
        </w:tc>
        <w:tc>
          <w:tcPr>
            <w:tcW w:w="0" w:type="auto"/>
            <w:hideMark/>
          </w:tcPr>
          <w:p w14:paraId="6CF3DD9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0.5</w:t>
            </w:r>
          </w:p>
        </w:tc>
        <w:tc>
          <w:tcPr>
            <w:tcW w:w="0" w:type="auto"/>
            <w:hideMark/>
          </w:tcPr>
          <w:p w14:paraId="6287DCD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0.4</w:t>
            </w:r>
          </w:p>
        </w:tc>
        <w:tc>
          <w:tcPr>
            <w:tcW w:w="0" w:type="auto"/>
            <w:hideMark/>
          </w:tcPr>
          <w:p w14:paraId="113003F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0.4</w:t>
            </w:r>
          </w:p>
        </w:tc>
        <w:tc>
          <w:tcPr>
            <w:tcW w:w="0" w:type="auto"/>
            <w:hideMark/>
          </w:tcPr>
          <w:p w14:paraId="7A13F43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0.3</w:t>
            </w:r>
          </w:p>
        </w:tc>
      </w:tr>
      <w:tr w:rsidR="00EE19C2" w:rsidRPr="00374CC9" w14:paraId="3E6704E9" w14:textId="77777777" w:rsidTr="000A4FFE">
        <w:tblPrEx>
          <w:tblCellMar>
            <w:right w:w="108" w:type="dxa"/>
          </w:tblCellMar>
        </w:tblPrEx>
        <w:tc>
          <w:tcPr>
            <w:tcW w:w="0" w:type="auto"/>
            <w:hideMark/>
          </w:tcPr>
          <w:p w14:paraId="58D1519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Lyssavirus (NEC)</w:t>
            </w:r>
          </w:p>
        </w:tc>
        <w:tc>
          <w:tcPr>
            <w:tcW w:w="0" w:type="auto"/>
            <w:hideMark/>
          </w:tcPr>
          <w:p w14:paraId="71352CA8"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1FFF1874"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1859D184"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8C77158"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2654263F"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054BFA3C"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ECB7DE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0.0</w:t>
            </w:r>
          </w:p>
        </w:tc>
        <w:tc>
          <w:tcPr>
            <w:tcW w:w="0" w:type="auto"/>
            <w:hideMark/>
          </w:tcPr>
          <w:p w14:paraId="6FA8EF6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3EF584B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6BF0ED7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14D1F22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55437D6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192FFF2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615CC10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r>
      <w:tr w:rsidR="00EE19C2" w:rsidRPr="00374CC9" w14:paraId="20065534"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1343BC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Ornithosis</w:t>
            </w:r>
          </w:p>
        </w:tc>
        <w:tc>
          <w:tcPr>
            <w:tcW w:w="0" w:type="auto"/>
            <w:hideMark/>
          </w:tcPr>
          <w:p w14:paraId="1BE63908"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58</w:t>
            </w:r>
          </w:p>
        </w:tc>
        <w:tc>
          <w:tcPr>
            <w:tcW w:w="0" w:type="auto"/>
            <w:hideMark/>
          </w:tcPr>
          <w:p w14:paraId="6A26A56C"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89</w:t>
            </w:r>
          </w:p>
        </w:tc>
        <w:tc>
          <w:tcPr>
            <w:tcW w:w="0" w:type="auto"/>
            <w:hideMark/>
          </w:tcPr>
          <w:p w14:paraId="67A4FEF1"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76</w:t>
            </w:r>
          </w:p>
        </w:tc>
        <w:tc>
          <w:tcPr>
            <w:tcW w:w="0" w:type="auto"/>
            <w:hideMark/>
          </w:tcPr>
          <w:p w14:paraId="3FD5542B"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47</w:t>
            </w:r>
          </w:p>
        </w:tc>
        <w:tc>
          <w:tcPr>
            <w:tcW w:w="0" w:type="auto"/>
            <w:hideMark/>
          </w:tcPr>
          <w:p w14:paraId="760ACFAF"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41</w:t>
            </w:r>
          </w:p>
        </w:tc>
        <w:tc>
          <w:tcPr>
            <w:tcW w:w="0" w:type="auto"/>
            <w:hideMark/>
          </w:tcPr>
          <w:p w14:paraId="17CE5327"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16</w:t>
            </w:r>
          </w:p>
        </w:tc>
        <w:tc>
          <w:tcPr>
            <w:tcW w:w="0" w:type="auto"/>
            <w:hideMark/>
          </w:tcPr>
          <w:p w14:paraId="6158CC4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62.2</w:t>
            </w:r>
          </w:p>
        </w:tc>
        <w:tc>
          <w:tcPr>
            <w:tcW w:w="0" w:type="auto"/>
            <w:hideMark/>
          </w:tcPr>
          <w:p w14:paraId="26A1496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0.3</w:t>
            </w:r>
          </w:p>
        </w:tc>
        <w:tc>
          <w:tcPr>
            <w:tcW w:w="0" w:type="auto"/>
            <w:hideMark/>
          </w:tcPr>
          <w:p w14:paraId="1489180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0.3</w:t>
            </w:r>
          </w:p>
        </w:tc>
        <w:tc>
          <w:tcPr>
            <w:tcW w:w="0" w:type="auto"/>
            <w:hideMark/>
          </w:tcPr>
          <w:p w14:paraId="6A6BC62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0.4</w:t>
            </w:r>
          </w:p>
        </w:tc>
        <w:tc>
          <w:tcPr>
            <w:tcW w:w="0" w:type="auto"/>
            <w:hideMark/>
          </w:tcPr>
          <w:p w14:paraId="439E429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0.3</w:t>
            </w:r>
          </w:p>
        </w:tc>
        <w:tc>
          <w:tcPr>
            <w:tcW w:w="0" w:type="auto"/>
            <w:hideMark/>
          </w:tcPr>
          <w:p w14:paraId="296DE5C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0.2</w:t>
            </w:r>
          </w:p>
        </w:tc>
        <w:tc>
          <w:tcPr>
            <w:tcW w:w="0" w:type="auto"/>
            <w:hideMark/>
          </w:tcPr>
          <w:p w14:paraId="78143F2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0.2</w:t>
            </w:r>
          </w:p>
        </w:tc>
        <w:tc>
          <w:tcPr>
            <w:tcW w:w="0" w:type="auto"/>
            <w:hideMark/>
          </w:tcPr>
          <w:p w14:paraId="3BC8C3A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0.1</w:t>
            </w:r>
          </w:p>
        </w:tc>
      </w:tr>
      <w:tr w:rsidR="00EE19C2" w:rsidRPr="00374CC9" w14:paraId="3C3B2D2E" w14:textId="77777777" w:rsidTr="000A4FFE">
        <w:tblPrEx>
          <w:tblCellMar>
            <w:right w:w="108" w:type="dxa"/>
          </w:tblCellMar>
        </w:tblPrEx>
        <w:tc>
          <w:tcPr>
            <w:tcW w:w="0" w:type="auto"/>
            <w:hideMark/>
          </w:tcPr>
          <w:p w14:paraId="2DFF719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Q fever</w:t>
            </w:r>
          </w:p>
        </w:tc>
        <w:tc>
          <w:tcPr>
            <w:tcW w:w="0" w:type="auto"/>
            <w:hideMark/>
          </w:tcPr>
          <w:p w14:paraId="3BB4EB65"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338</w:t>
            </w:r>
          </w:p>
        </w:tc>
        <w:tc>
          <w:tcPr>
            <w:tcW w:w="0" w:type="auto"/>
            <w:hideMark/>
          </w:tcPr>
          <w:p w14:paraId="26B7571D"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359</w:t>
            </w:r>
          </w:p>
        </w:tc>
        <w:tc>
          <w:tcPr>
            <w:tcW w:w="0" w:type="auto"/>
            <w:hideMark/>
          </w:tcPr>
          <w:p w14:paraId="6295A9B5"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369</w:t>
            </w:r>
          </w:p>
        </w:tc>
        <w:tc>
          <w:tcPr>
            <w:tcW w:w="0" w:type="auto"/>
            <w:hideMark/>
          </w:tcPr>
          <w:p w14:paraId="229C6B1C"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486</w:t>
            </w:r>
          </w:p>
        </w:tc>
        <w:tc>
          <w:tcPr>
            <w:tcW w:w="0" w:type="auto"/>
            <w:hideMark/>
          </w:tcPr>
          <w:p w14:paraId="65C5C94B"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475</w:t>
            </w:r>
          </w:p>
        </w:tc>
        <w:tc>
          <w:tcPr>
            <w:tcW w:w="0" w:type="auto"/>
            <w:hideMark/>
          </w:tcPr>
          <w:p w14:paraId="6FC81DF5"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601</w:t>
            </w:r>
          </w:p>
        </w:tc>
        <w:tc>
          <w:tcPr>
            <w:tcW w:w="0" w:type="auto"/>
            <w:hideMark/>
          </w:tcPr>
          <w:p w14:paraId="6B32266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405.4</w:t>
            </w:r>
          </w:p>
        </w:tc>
        <w:tc>
          <w:tcPr>
            <w:tcW w:w="0" w:type="auto"/>
            <w:hideMark/>
          </w:tcPr>
          <w:p w14:paraId="7DF92F7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1.5</w:t>
            </w:r>
          </w:p>
        </w:tc>
        <w:tc>
          <w:tcPr>
            <w:tcW w:w="0" w:type="auto"/>
            <w:hideMark/>
          </w:tcPr>
          <w:p w14:paraId="5B9FAD0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1.5</w:t>
            </w:r>
          </w:p>
        </w:tc>
        <w:tc>
          <w:tcPr>
            <w:tcW w:w="0" w:type="auto"/>
            <w:hideMark/>
          </w:tcPr>
          <w:p w14:paraId="17BE68B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1.6</w:t>
            </w:r>
          </w:p>
        </w:tc>
        <w:tc>
          <w:tcPr>
            <w:tcW w:w="0" w:type="auto"/>
            <w:hideMark/>
          </w:tcPr>
          <w:p w14:paraId="7EC43FF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1.6</w:t>
            </w:r>
          </w:p>
        </w:tc>
        <w:tc>
          <w:tcPr>
            <w:tcW w:w="0" w:type="auto"/>
            <w:hideMark/>
          </w:tcPr>
          <w:p w14:paraId="49D7FBB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2.1</w:t>
            </w:r>
          </w:p>
        </w:tc>
        <w:tc>
          <w:tcPr>
            <w:tcW w:w="0" w:type="auto"/>
            <w:hideMark/>
          </w:tcPr>
          <w:p w14:paraId="7DE092D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w:t>
            </w:r>
          </w:p>
        </w:tc>
        <w:tc>
          <w:tcPr>
            <w:tcW w:w="0" w:type="auto"/>
            <w:hideMark/>
          </w:tcPr>
          <w:p w14:paraId="2B6E298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2.5</w:t>
            </w:r>
          </w:p>
        </w:tc>
      </w:tr>
      <w:tr w:rsidR="00EE19C2" w:rsidRPr="00374CC9" w14:paraId="4365542E"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541061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Tularaemia</w:t>
            </w:r>
          </w:p>
        </w:tc>
        <w:tc>
          <w:tcPr>
            <w:tcW w:w="0" w:type="auto"/>
            <w:hideMark/>
          </w:tcPr>
          <w:p w14:paraId="6A938C06"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396FC30F"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0F9ADA1D"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2AE3ED6"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31AD6957"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4AF0106"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28C73BE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0.4</w:t>
            </w:r>
          </w:p>
        </w:tc>
        <w:tc>
          <w:tcPr>
            <w:tcW w:w="0" w:type="auto"/>
            <w:hideMark/>
          </w:tcPr>
          <w:p w14:paraId="7E51653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13A471C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26ACC85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&lt;0.1</w:t>
            </w:r>
          </w:p>
        </w:tc>
        <w:tc>
          <w:tcPr>
            <w:tcW w:w="0" w:type="auto"/>
            <w:hideMark/>
          </w:tcPr>
          <w:p w14:paraId="4D8D7EA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484195F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17237D9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c>
          <w:tcPr>
            <w:tcW w:w="0" w:type="auto"/>
            <w:hideMark/>
          </w:tcPr>
          <w:p w14:paraId="47953D8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t>
            </w:r>
          </w:p>
        </w:tc>
      </w:tr>
      <w:tr w:rsidR="00BE61A2" w:rsidRPr="00374CC9" w14:paraId="4684DC57" w14:textId="77777777" w:rsidTr="00240D6D">
        <w:tblPrEx>
          <w:tblCellMar>
            <w:right w:w="108" w:type="dxa"/>
          </w:tblCellMar>
        </w:tblPrEx>
        <w:tc>
          <w:tcPr>
            <w:tcW w:w="0" w:type="auto"/>
            <w:gridSpan w:val="15"/>
            <w:shd w:val="clear" w:color="auto" w:fill="D9D9D9" w:themeFill="background1" w:themeFillShade="D9"/>
            <w:hideMark/>
          </w:tcPr>
          <w:p w14:paraId="215B4C25" w14:textId="77777777" w:rsidR="00BE61A2" w:rsidRPr="00240D6D" w:rsidRDefault="00BE61A2" w:rsidP="00E16E6C">
            <w:pPr>
              <w:rPr>
                <w:rFonts w:asciiTheme="minorHAnsi" w:eastAsia="Times New Roman" w:hAnsiTheme="minorHAnsi"/>
                <w:b/>
                <w:sz w:val="18"/>
                <w:szCs w:val="18"/>
              </w:rPr>
            </w:pPr>
            <w:r w:rsidRPr="00240D6D">
              <w:rPr>
                <w:rFonts w:asciiTheme="minorHAnsi" w:eastAsia="Times New Roman" w:hAnsiTheme="minorHAnsi"/>
                <w:b/>
                <w:sz w:val="18"/>
                <w:szCs w:val="18"/>
              </w:rPr>
              <w:t>Other bacterial infections</w:t>
            </w:r>
          </w:p>
        </w:tc>
      </w:tr>
      <w:tr w:rsidR="000A4FFE" w:rsidRPr="00374CC9" w14:paraId="38026636"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205D89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Legionellosis</w:t>
            </w:r>
          </w:p>
        </w:tc>
        <w:tc>
          <w:tcPr>
            <w:tcW w:w="0" w:type="auto"/>
            <w:hideMark/>
          </w:tcPr>
          <w:p w14:paraId="6552CA4E"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307</w:t>
            </w:r>
          </w:p>
        </w:tc>
        <w:tc>
          <w:tcPr>
            <w:tcW w:w="0" w:type="auto"/>
            <w:hideMark/>
          </w:tcPr>
          <w:p w14:paraId="34280E0B"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357</w:t>
            </w:r>
          </w:p>
        </w:tc>
        <w:tc>
          <w:tcPr>
            <w:tcW w:w="0" w:type="auto"/>
            <w:hideMark/>
          </w:tcPr>
          <w:p w14:paraId="7FAF9190"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382</w:t>
            </w:r>
          </w:p>
        </w:tc>
        <w:tc>
          <w:tcPr>
            <w:tcW w:w="0" w:type="auto"/>
            <w:hideMark/>
          </w:tcPr>
          <w:p w14:paraId="0D702BCA"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509</w:t>
            </w:r>
          </w:p>
        </w:tc>
        <w:tc>
          <w:tcPr>
            <w:tcW w:w="0" w:type="auto"/>
            <w:hideMark/>
          </w:tcPr>
          <w:p w14:paraId="234C9C35"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425</w:t>
            </w:r>
          </w:p>
        </w:tc>
        <w:tc>
          <w:tcPr>
            <w:tcW w:w="0" w:type="auto"/>
            <w:hideMark/>
          </w:tcPr>
          <w:p w14:paraId="4D115D18"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365</w:t>
            </w:r>
          </w:p>
        </w:tc>
        <w:tc>
          <w:tcPr>
            <w:tcW w:w="0" w:type="auto"/>
            <w:hideMark/>
          </w:tcPr>
          <w:p w14:paraId="2E2D324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396.0</w:t>
            </w:r>
          </w:p>
        </w:tc>
        <w:tc>
          <w:tcPr>
            <w:tcW w:w="0" w:type="auto"/>
            <w:hideMark/>
          </w:tcPr>
          <w:p w14:paraId="16EE3EA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0.9</w:t>
            </w:r>
          </w:p>
        </w:tc>
        <w:tc>
          <w:tcPr>
            <w:tcW w:w="0" w:type="auto"/>
            <w:hideMark/>
          </w:tcPr>
          <w:p w14:paraId="4CE698B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1.4</w:t>
            </w:r>
          </w:p>
        </w:tc>
        <w:tc>
          <w:tcPr>
            <w:tcW w:w="0" w:type="auto"/>
            <w:hideMark/>
          </w:tcPr>
          <w:p w14:paraId="457D444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1.6</w:t>
            </w:r>
          </w:p>
        </w:tc>
        <w:tc>
          <w:tcPr>
            <w:tcW w:w="0" w:type="auto"/>
            <w:hideMark/>
          </w:tcPr>
          <w:p w14:paraId="71B025B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1.7</w:t>
            </w:r>
          </w:p>
        </w:tc>
        <w:tc>
          <w:tcPr>
            <w:tcW w:w="0" w:type="auto"/>
            <w:hideMark/>
          </w:tcPr>
          <w:p w14:paraId="0DA2B3F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2.2</w:t>
            </w:r>
          </w:p>
        </w:tc>
        <w:tc>
          <w:tcPr>
            <w:tcW w:w="0" w:type="auto"/>
            <w:hideMark/>
          </w:tcPr>
          <w:p w14:paraId="35DFF63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1.8</w:t>
            </w:r>
          </w:p>
        </w:tc>
        <w:tc>
          <w:tcPr>
            <w:tcW w:w="0" w:type="auto"/>
            <w:hideMark/>
          </w:tcPr>
          <w:p w14:paraId="6BF52E6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1.5</w:t>
            </w:r>
          </w:p>
        </w:tc>
      </w:tr>
      <w:tr w:rsidR="00EE19C2" w:rsidRPr="00374CC9" w14:paraId="24890C74" w14:textId="77777777" w:rsidTr="000A4FFE">
        <w:tblPrEx>
          <w:tblCellMar>
            <w:right w:w="108" w:type="dxa"/>
          </w:tblCellMar>
        </w:tblPrEx>
        <w:tc>
          <w:tcPr>
            <w:tcW w:w="0" w:type="auto"/>
            <w:hideMark/>
          </w:tcPr>
          <w:p w14:paraId="4F17E70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Leprosy</w:t>
            </w:r>
          </w:p>
        </w:tc>
        <w:tc>
          <w:tcPr>
            <w:tcW w:w="0" w:type="auto"/>
            <w:hideMark/>
          </w:tcPr>
          <w:p w14:paraId="6306E756"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10</w:t>
            </w:r>
          </w:p>
        </w:tc>
        <w:tc>
          <w:tcPr>
            <w:tcW w:w="0" w:type="auto"/>
            <w:hideMark/>
          </w:tcPr>
          <w:p w14:paraId="1AE5A862"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9</w:t>
            </w:r>
          </w:p>
        </w:tc>
        <w:tc>
          <w:tcPr>
            <w:tcW w:w="0" w:type="auto"/>
            <w:hideMark/>
          </w:tcPr>
          <w:p w14:paraId="77797EC8"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8</w:t>
            </w:r>
          </w:p>
        </w:tc>
        <w:tc>
          <w:tcPr>
            <w:tcW w:w="0" w:type="auto"/>
            <w:hideMark/>
          </w:tcPr>
          <w:p w14:paraId="0B01ADEE"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14</w:t>
            </w:r>
          </w:p>
        </w:tc>
        <w:tc>
          <w:tcPr>
            <w:tcW w:w="0" w:type="auto"/>
            <w:hideMark/>
          </w:tcPr>
          <w:p w14:paraId="5A7A2CE5"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10</w:t>
            </w:r>
          </w:p>
        </w:tc>
        <w:tc>
          <w:tcPr>
            <w:tcW w:w="0" w:type="auto"/>
            <w:hideMark/>
          </w:tcPr>
          <w:p w14:paraId="1C193831"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13</w:t>
            </w:r>
          </w:p>
        </w:tc>
        <w:tc>
          <w:tcPr>
            <w:tcW w:w="0" w:type="auto"/>
            <w:hideMark/>
          </w:tcPr>
          <w:p w14:paraId="0E8D71F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10.2</w:t>
            </w:r>
          </w:p>
        </w:tc>
        <w:tc>
          <w:tcPr>
            <w:tcW w:w="0" w:type="auto"/>
            <w:hideMark/>
          </w:tcPr>
          <w:p w14:paraId="6359D31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1.3</w:t>
            </w:r>
          </w:p>
        </w:tc>
        <w:tc>
          <w:tcPr>
            <w:tcW w:w="0" w:type="auto"/>
            <w:hideMark/>
          </w:tcPr>
          <w:p w14:paraId="0804FD3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0.0</w:t>
            </w:r>
          </w:p>
        </w:tc>
        <w:tc>
          <w:tcPr>
            <w:tcW w:w="0" w:type="auto"/>
            <w:hideMark/>
          </w:tcPr>
          <w:p w14:paraId="42720BB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0.0</w:t>
            </w:r>
          </w:p>
        </w:tc>
        <w:tc>
          <w:tcPr>
            <w:tcW w:w="0" w:type="auto"/>
            <w:hideMark/>
          </w:tcPr>
          <w:p w14:paraId="2C38D0F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0.0</w:t>
            </w:r>
          </w:p>
        </w:tc>
        <w:tc>
          <w:tcPr>
            <w:tcW w:w="0" w:type="auto"/>
            <w:hideMark/>
          </w:tcPr>
          <w:p w14:paraId="1AB63B6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0.1</w:t>
            </w:r>
          </w:p>
        </w:tc>
        <w:tc>
          <w:tcPr>
            <w:tcW w:w="0" w:type="auto"/>
            <w:hideMark/>
          </w:tcPr>
          <w:p w14:paraId="5C11887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0.0</w:t>
            </w:r>
          </w:p>
        </w:tc>
        <w:tc>
          <w:tcPr>
            <w:tcW w:w="0" w:type="auto"/>
            <w:hideMark/>
          </w:tcPr>
          <w:p w14:paraId="27ACA02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0.1</w:t>
            </w:r>
          </w:p>
        </w:tc>
      </w:tr>
      <w:tr w:rsidR="000A4FFE" w:rsidRPr="00374CC9" w14:paraId="346E4617"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8AF838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Meningococcal infection</w:t>
            </w:r>
            <w:r w:rsidR="0062522E" w:rsidRPr="0062522E">
              <w:rPr>
                <w:rFonts w:asciiTheme="minorHAnsi" w:eastAsia="Times New Roman" w:hAnsiTheme="minorHAnsi"/>
                <w:sz w:val="18"/>
                <w:szCs w:val="18"/>
                <w:vertAlign w:val="superscript"/>
              </w:rPr>
              <w:t>§§</w:t>
            </w:r>
          </w:p>
        </w:tc>
        <w:tc>
          <w:tcPr>
            <w:tcW w:w="0" w:type="auto"/>
            <w:hideMark/>
          </w:tcPr>
          <w:p w14:paraId="40558D29"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228</w:t>
            </w:r>
          </w:p>
        </w:tc>
        <w:tc>
          <w:tcPr>
            <w:tcW w:w="0" w:type="auto"/>
            <w:hideMark/>
          </w:tcPr>
          <w:p w14:paraId="2D1543CC"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242</w:t>
            </w:r>
          </w:p>
        </w:tc>
        <w:tc>
          <w:tcPr>
            <w:tcW w:w="0" w:type="auto"/>
            <w:hideMark/>
          </w:tcPr>
          <w:p w14:paraId="23D6C426"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223</w:t>
            </w:r>
          </w:p>
        </w:tc>
        <w:tc>
          <w:tcPr>
            <w:tcW w:w="0" w:type="auto"/>
            <w:hideMark/>
          </w:tcPr>
          <w:p w14:paraId="012FB3E2"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149</w:t>
            </w:r>
          </w:p>
        </w:tc>
        <w:tc>
          <w:tcPr>
            <w:tcW w:w="0" w:type="auto"/>
            <w:hideMark/>
          </w:tcPr>
          <w:p w14:paraId="1E14A2EB"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169</w:t>
            </w:r>
          </w:p>
        </w:tc>
        <w:tc>
          <w:tcPr>
            <w:tcW w:w="0" w:type="auto"/>
            <w:hideMark/>
          </w:tcPr>
          <w:p w14:paraId="18BAE598"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182</w:t>
            </w:r>
          </w:p>
        </w:tc>
        <w:tc>
          <w:tcPr>
            <w:tcW w:w="0" w:type="auto"/>
            <w:hideMark/>
          </w:tcPr>
          <w:p w14:paraId="5506BD7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202.2</w:t>
            </w:r>
          </w:p>
        </w:tc>
        <w:tc>
          <w:tcPr>
            <w:tcW w:w="0" w:type="auto"/>
            <w:hideMark/>
          </w:tcPr>
          <w:p w14:paraId="7EA04E9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0.9</w:t>
            </w:r>
          </w:p>
        </w:tc>
        <w:tc>
          <w:tcPr>
            <w:tcW w:w="0" w:type="auto"/>
            <w:hideMark/>
          </w:tcPr>
          <w:p w14:paraId="66F502A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w:t>
            </w:r>
          </w:p>
        </w:tc>
        <w:tc>
          <w:tcPr>
            <w:tcW w:w="0" w:type="auto"/>
            <w:hideMark/>
          </w:tcPr>
          <w:p w14:paraId="60729E7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1.1</w:t>
            </w:r>
          </w:p>
        </w:tc>
        <w:tc>
          <w:tcPr>
            <w:tcW w:w="0" w:type="auto"/>
            <w:hideMark/>
          </w:tcPr>
          <w:p w14:paraId="283571F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w:t>
            </w:r>
          </w:p>
        </w:tc>
        <w:tc>
          <w:tcPr>
            <w:tcW w:w="0" w:type="auto"/>
            <w:hideMark/>
          </w:tcPr>
          <w:p w14:paraId="25615EC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0.6</w:t>
            </w:r>
          </w:p>
        </w:tc>
        <w:tc>
          <w:tcPr>
            <w:tcW w:w="0" w:type="auto"/>
            <w:hideMark/>
          </w:tcPr>
          <w:p w14:paraId="237CE60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0.7</w:t>
            </w:r>
          </w:p>
        </w:tc>
        <w:tc>
          <w:tcPr>
            <w:tcW w:w="0" w:type="auto"/>
            <w:hideMark/>
          </w:tcPr>
          <w:p w14:paraId="0991AB8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0.8</w:t>
            </w:r>
          </w:p>
        </w:tc>
      </w:tr>
      <w:tr w:rsidR="00EE19C2" w:rsidRPr="00374CC9" w14:paraId="6FDE0F51" w14:textId="77777777" w:rsidTr="000A4FFE">
        <w:tblPrEx>
          <w:tblCellMar>
            <w:right w:w="108" w:type="dxa"/>
          </w:tblCellMar>
        </w:tblPrEx>
        <w:tc>
          <w:tcPr>
            <w:tcW w:w="0" w:type="auto"/>
            <w:hideMark/>
          </w:tcPr>
          <w:p w14:paraId="0583B75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Tuberculosis</w:t>
            </w:r>
          </w:p>
        </w:tc>
        <w:tc>
          <w:tcPr>
            <w:tcW w:w="0" w:type="auto"/>
            <w:hideMark/>
          </w:tcPr>
          <w:p w14:paraId="291DA6C1"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1,363</w:t>
            </w:r>
          </w:p>
        </w:tc>
        <w:tc>
          <w:tcPr>
            <w:tcW w:w="0" w:type="auto"/>
            <w:hideMark/>
          </w:tcPr>
          <w:p w14:paraId="7192F049"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1,388</w:t>
            </w:r>
          </w:p>
        </w:tc>
        <w:tc>
          <w:tcPr>
            <w:tcW w:w="0" w:type="auto"/>
            <w:hideMark/>
          </w:tcPr>
          <w:p w14:paraId="2D1906E0"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1,316</w:t>
            </w:r>
          </w:p>
        </w:tc>
        <w:tc>
          <w:tcPr>
            <w:tcW w:w="0" w:type="auto"/>
            <w:hideMark/>
          </w:tcPr>
          <w:p w14:paraId="342977A6"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1,261</w:t>
            </w:r>
          </w:p>
        </w:tc>
        <w:tc>
          <w:tcPr>
            <w:tcW w:w="0" w:type="auto"/>
            <w:hideMark/>
          </w:tcPr>
          <w:p w14:paraId="35DFDE97"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1,343</w:t>
            </w:r>
          </w:p>
        </w:tc>
        <w:tc>
          <w:tcPr>
            <w:tcW w:w="0" w:type="auto"/>
            <w:hideMark/>
          </w:tcPr>
          <w:p w14:paraId="686B250A"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1,255</w:t>
            </w:r>
          </w:p>
        </w:tc>
        <w:tc>
          <w:tcPr>
            <w:tcW w:w="0" w:type="auto"/>
            <w:hideMark/>
          </w:tcPr>
          <w:p w14:paraId="7178D6D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1,334.2</w:t>
            </w:r>
          </w:p>
        </w:tc>
        <w:tc>
          <w:tcPr>
            <w:tcW w:w="0" w:type="auto"/>
            <w:hideMark/>
          </w:tcPr>
          <w:p w14:paraId="43D6A04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0.9</w:t>
            </w:r>
          </w:p>
        </w:tc>
        <w:tc>
          <w:tcPr>
            <w:tcW w:w="0" w:type="auto"/>
            <w:hideMark/>
          </w:tcPr>
          <w:p w14:paraId="1BD01AE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6.2</w:t>
            </w:r>
          </w:p>
        </w:tc>
        <w:tc>
          <w:tcPr>
            <w:tcW w:w="0" w:type="auto"/>
            <w:hideMark/>
          </w:tcPr>
          <w:p w14:paraId="19A5494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6.2</w:t>
            </w:r>
          </w:p>
        </w:tc>
        <w:tc>
          <w:tcPr>
            <w:tcW w:w="0" w:type="auto"/>
            <w:hideMark/>
          </w:tcPr>
          <w:p w14:paraId="74F9844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5.8</w:t>
            </w:r>
          </w:p>
        </w:tc>
        <w:tc>
          <w:tcPr>
            <w:tcW w:w="0" w:type="auto"/>
            <w:hideMark/>
          </w:tcPr>
          <w:p w14:paraId="2353B2C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5.5</w:t>
            </w:r>
          </w:p>
        </w:tc>
        <w:tc>
          <w:tcPr>
            <w:tcW w:w="0" w:type="auto"/>
            <w:hideMark/>
          </w:tcPr>
          <w:p w14:paraId="5CFECEE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5.7</w:t>
            </w:r>
          </w:p>
        </w:tc>
        <w:tc>
          <w:tcPr>
            <w:tcW w:w="0" w:type="auto"/>
            <w:hideMark/>
          </w:tcPr>
          <w:p w14:paraId="3654D78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5.3</w:t>
            </w:r>
          </w:p>
        </w:tc>
      </w:tr>
      <w:tr w:rsidR="001047AB" w:rsidRPr="00374CC9" w14:paraId="3078178D" w14:textId="77777777" w:rsidTr="00871AD1">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34FE812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lastRenderedPageBreak/>
              <w:t>Total</w:t>
            </w:r>
          </w:p>
        </w:tc>
        <w:tc>
          <w:tcPr>
            <w:tcW w:w="0" w:type="auto"/>
            <w:shd w:val="clear" w:color="auto" w:fill="FDE9D9" w:themeFill="accent6" w:themeFillTint="33"/>
            <w:hideMark/>
          </w:tcPr>
          <w:p w14:paraId="22AC7547"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211,115</w:t>
            </w:r>
          </w:p>
        </w:tc>
        <w:tc>
          <w:tcPr>
            <w:tcW w:w="0" w:type="auto"/>
            <w:shd w:val="clear" w:color="auto" w:fill="FDE9D9" w:themeFill="accent6" w:themeFillTint="33"/>
            <w:hideMark/>
          </w:tcPr>
          <w:p w14:paraId="4D1BF7AA"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239,495</w:t>
            </w:r>
          </w:p>
        </w:tc>
        <w:tc>
          <w:tcPr>
            <w:tcW w:w="0" w:type="auto"/>
            <w:shd w:val="clear" w:color="auto" w:fill="FDE9D9" w:themeFill="accent6" w:themeFillTint="33"/>
            <w:hideMark/>
          </w:tcPr>
          <w:p w14:paraId="44F90A8D"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245,565</w:t>
            </w:r>
          </w:p>
        </w:tc>
        <w:tc>
          <w:tcPr>
            <w:tcW w:w="0" w:type="auto"/>
            <w:shd w:val="clear" w:color="auto" w:fill="FDE9D9" w:themeFill="accent6" w:themeFillTint="33"/>
            <w:hideMark/>
          </w:tcPr>
          <w:p w14:paraId="21169C3D"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226,880</w:t>
            </w:r>
          </w:p>
        </w:tc>
        <w:tc>
          <w:tcPr>
            <w:tcW w:w="0" w:type="auto"/>
            <w:shd w:val="clear" w:color="auto" w:fill="FDE9D9" w:themeFill="accent6" w:themeFillTint="33"/>
            <w:hideMark/>
          </w:tcPr>
          <w:p w14:paraId="7B74A1E7"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276,188</w:t>
            </w:r>
          </w:p>
        </w:tc>
        <w:tc>
          <w:tcPr>
            <w:tcW w:w="0" w:type="auto"/>
            <w:shd w:val="clear" w:color="auto" w:fill="FDE9D9" w:themeFill="accent6" w:themeFillTint="33"/>
            <w:hideMark/>
          </w:tcPr>
          <w:p w14:paraId="447421A4" w14:textId="77777777" w:rsidR="00BE61A2" w:rsidRPr="00374CC9" w:rsidRDefault="00BE61A2" w:rsidP="00E16E6C">
            <w:pPr>
              <w:rPr>
                <w:rFonts w:asciiTheme="minorHAnsi" w:eastAsia="Times New Roman" w:hAnsiTheme="minorHAnsi"/>
                <w:sz w:val="18"/>
                <w:szCs w:val="18"/>
              </w:rPr>
            </w:pPr>
            <w:r w:rsidRPr="00374CC9">
              <w:rPr>
                <w:rFonts w:asciiTheme="minorHAnsi" w:eastAsia="Times New Roman" w:hAnsiTheme="minorHAnsi"/>
                <w:sz w:val="18"/>
                <w:szCs w:val="18"/>
              </w:rPr>
              <w:t>320,480</w:t>
            </w:r>
          </w:p>
        </w:tc>
        <w:tc>
          <w:tcPr>
            <w:tcW w:w="0" w:type="auto"/>
            <w:shd w:val="clear" w:color="auto" w:fill="FDE9D9" w:themeFill="accent6" w:themeFillTint="33"/>
            <w:hideMark/>
          </w:tcPr>
          <w:p w14:paraId="363B5AD5" w14:textId="77777777" w:rsidR="00BE61A2" w:rsidRPr="00374CC9" w:rsidRDefault="00BE61A2">
            <w:pPr>
              <w:rPr>
                <w:rFonts w:asciiTheme="minorHAnsi" w:eastAsia="Times New Roman" w:hAnsiTheme="minorHAnsi"/>
                <w:sz w:val="18"/>
                <w:szCs w:val="18"/>
              </w:rPr>
            </w:pPr>
          </w:p>
        </w:tc>
        <w:tc>
          <w:tcPr>
            <w:tcW w:w="0" w:type="auto"/>
            <w:shd w:val="clear" w:color="auto" w:fill="FDE9D9" w:themeFill="accent6" w:themeFillTint="33"/>
            <w:hideMark/>
          </w:tcPr>
          <w:p w14:paraId="1E187772" w14:textId="77777777" w:rsidR="00BE61A2" w:rsidRPr="00374CC9" w:rsidRDefault="00BE61A2">
            <w:pPr>
              <w:rPr>
                <w:rFonts w:asciiTheme="minorHAnsi" w:eastAsia="Times New Roman" w:hAnsiTheme="minorHAnsi"/>
                <w:sz w:val="18"/>
                <w:szCs w:val="18"/>
              </w:rPr>
            </w:pPr>
          </w:p>
        </w:tc>
        <w:tc>
          <w:tcPr>
            <w:tcW w:w="0" w:type="auto"/>
            <w:shd w:val="clear" w:color="auto" w:fill="FDE9D9" w:themeFill="accent6" w:themeFillTint="33"/>
            <w:hideMark/>
          </w:tcPr>
          <w:p w14:paraId="2BAB10A1" w14:textId="77777777" w:rsidR="00BE61A2" w:rsidRPr="00374CC9" w:rsidRDefault="00BE61A2">
            <w:pPr>
              <w:rPr>
                <w:rFonts w:asciiTheme="minorHAnsi" w:eastAsia="Times New Roman" w:hAnsiTheme="minorHAnsi"/>
                <w:sz w:val="18"/>
                <w:szCs w:val="18"/>
              </w:rPr>
            </w:pPr>
          </w:p>
        </w:tc>
        <w:tc>
          <w:tcPr>
            <w:tcW w:w="0" w:type="auto"/>
            <w:shd w:val="clear" w:color="auto" w:fill="FDE9D9" w:themeFill="accent6" w:themeFillTint="33"/>
            <w:hideMark/>
          </w:tcPr>
          <w:p w14:paraId="5CA9BD83" w14:textId="77777777" w:rsidR="00BE61A2" w:rsidRPr="00374CC9" w:rsidRDefault="00BE61A2">
            <w:pPr>
              <w:rPr>
                <w:rFonts w:asciiTheme="minorHAnsi" w:eastAsia="Times New Roman" w:hAnsiTheme="minorHAnsi"/>
                <w:sz w:val="18"/>
                <w:szCs w:val="18"/>
              </w:rPr>
            </w:pPr>
          </w:p>
        </w:tc>
        <w:tc>
          <w:tcPr>
            <w:tcW w:w="0" w:type="auto"/>
            <w:shd w:val="clear" w:color="auto" w:fill="FDE9D9" w:themeFill="accent6" w:themeFillTint="33"/>
            <w:hideMark/>
          </w:tcPr>
          <w:p w14:paraId="76D8404D" w14:textId="77777777" w:rsidR="00BE61A2" w:rsidRPr="00374CC9" w:rsidRDefault="00BE61A2">
            <w:pPr>
              <w:rPr>
                <w:rFonts w:asciiTheme="minorHAnsi" w:eastAsia="Times New Roman" w:hAnsiTheme="minorHAnsi"/>
                <w:sz w:val="18"/>
                <w:szCs w:val="18"/>
              </w:rPr>
            </w:pPr>
          </w:p>
        </w:tc>
        <w:tc>
          <w:tcPr>
            <w:tcW w:w="0" w:type="auto"/>
            <w:shd w:val="clear" w:color="auto" w:fill="FDE9D9" w:themeFill="accent6" w:themeFillTint="33"/>
            <w:hideMark/>
          </w:tcPr>
          <w:p w14:paraId="6127B186" w14:textId="77777777" w:rsidR="00BE61A2" w:rsidRPr="00374CC9" w:rsidRDefault="00BE61A2">
            <w:pPr>
              <w:rPr>
                <w:rFonts w:asciiTheme="minorHAnsi" w:eastAsia="Times New Roman" w:hAnsiTheme="minorHAnsi"/>
                <w:sz w:val="18"/>
                <w:szCs w:val="18"/>
              </w:rPr>
            </w:pPr>
          </w:p>
        </w:tc>
        <w:tc>
          <w:tcPr>
            <w:tcW w:w="0" w:type="auto"/>
            <w:shd w:val="clear" w:color="auto" w:fill="FDE9D9" w:themeFill="accent6" w:themeFillTint="33"/>
            <w:hideMark/>
          </w:tcPr>
          <w:p w14:paraId="4AD23CB8" w14:textId="77777777" w:rsidR="00BE61A2" w:rsidRPr="00374CC9" w:rsidRDefault="00BE61A2">
            <w:pPr>
              <w:rPr>
                <w:rFonts w:asciiTheme="minorHAnsi" w:eastAsia="Times New Roman" w:hAnsiTheme="minorHAnsi"/>
                <w:sz w:val="18"/>
                <w:szCs w:val="18"/>
              </w:rPr>
            </w:pPr>
          </w:p>
        </w:tc>
        <w:tc>
          <w:tcPr>
            <w:tcW w:w="0" w:type="auto"/>
            <w:shd w:val="clear" w:color="auto" w:fill="FDE9D9" w:themeFill="accent6" w:themeFillTint="33"/>
            <w:hideMark/>
          </w:tcPr>
          <w:p w14:paraId="7E702CEA" w14:textId="77777777" w:rsidR="00BE61A2" w:rsidRPr="00374CC9" w:rsidRDefault="00BE61A2">
            <w:pPr>
              <w:rPr>
                <w:rFonts w:asciiTheme="minorHAnsi" w:eastAsia="Times New Roman" w:hAnsiTheme="minorHAnsi"/>
                <w:sz w:val="18"/>
                <w:szCs w:val="18"/>
              </w:rPr>
            </w:pPr>
          </w:p>
        </w:tc>
      </w:tr>
    </w:tbl>
    <w:p w14:paraId="0A2C5085" w14:textId="77777777" w:rsidR="00A81C71" w:rsidRDefault="00BE61A2" w:rsidP="00A81C71">
      <w:pPr>
        <w:pStyle w:val="CDIfootnotes"/>
        <w:spacing w:line="240" w:lineRule="auto"/>
        <w:ind w:left="720" w:hanging="720"/>
        <w:rPr>
          <w:rFonts w:eastAsia="Times New Roman"/>
        </w:rPr>
      </w:pPr>
      <w:r w:rsidRPr="00AE2F1B">
        <w:rPr>
          <w:rFonts w:eastAsia="Times New Roman"/>
          <w:vertAlign w:val="superscript"/>
        </w:rPr>
        <w:t>*</w:t>
      </w:r>
      <w:r w:rsidRPr="00AE2F1B">
        <w:rPr>
          <w:rFonts w:eastAsia="Times New Roman"/>
        </w:rPr>
        <w:tab/>
        <w:t>Newly acquired hepatitis and syphilis &lt; 2 years duration includes cases where the infection was determined to be acquired withi</w:t>
      </w:r>
      <w:r w:rsidR="00BB4A6D">
        <w:rPr>
          <w:rFonts w:eastAsia="Times New Roman"/>
        </w:rPr>
        <w:t>n 24 months prior to diagnosis.</w:t>
      </w:r>
    </w:p>
    <w:p w14:paraId="6119BF0E" w14:textId="77777777" w:rsidR="00A81C71" w:rsidRDefault="00BE61A2" w:rsidP="00A81C71">
      <w:pPr>
        <w:pStyle w:val="CDIfootnotes"/>
        <w:spacing w:line="240" w:lineRule="auto"/>
        <w:ind w:left="720" w:hanging="720"/>
        <w:rPr>
          <w:rFonts w:eastAsia="Times New Roman"/>
        </w:rPr>
      </w:pPr>
      <w:r w:rsidRPr="00AE2F1B">
        <w:rPr>
          <w:rFonts w:eastAsia="Times New Roman"/>
          <w:vertAlign w:val="superscript"/>
        </w:rPr>
        <w:t>†</w:t>
      </w:r>
      <w:r w:rsidRPr="00AE2F1B">
        <w:rPr>
          <w:rFonts w:eastAsia="Times New Roman"/>
        </w:rPr>
        <w:tab/>
        <w:t xml:space="preserve">Unspecified hepatitis and syphilis </w:t>
      </w:r>
      <w:proofErr w:type="gramStart"/>
      <w:r w:rsidRPr="00AE2F1B">
        <w:rPr>
          <w:rFonts w:eastAsia="Times New Roman"/>
        </w:rPr>
        <w:t>includes</w:t>
      </w:r>
      <w:proofErr w:type="gramEnd"/>
      <w:r w:rsidRPr="00AE2F1B">
        <w:rPr>
          <w:rFonts w:eastAsia="Times New Roman"/>
        </w:rPr>
        <w:t xml:space="preserve"> cases where the duration of infection could not be determine</w:t>
      </w:r>
      <w:r w:rsidR="00BB4A6D">
        <w:rPr>
          <w:rFonts w:eastAsia="Times New Roman"/>
        </w:rPr>
        <w:t>d or is greater than 24 months.</w:t>
      </w:r>
    </w:p>
    <w:p w14:paraId="33C35387" w14:textId="77777777" w:rsidR="00A81C71" w:rsidRDefault="00BE61A2" w:rsidP="00A81C71">
      <w:pPr>
        <w:pStyle w:val="CDIfootnotes"/>
        <w:spacing w:line="240" w:lineRule="auto"/>
        <w:ind w:left="720" w:hanging="720"/>
        <w:rPr>
          <w:rFonts w:eastAsia="Times New Roman"/>
        </w:rPr>
      </w:pPr>
      <w:r w:rsidRPr="00AE2F1B">
        <w:rPr>
          <w:rFonts w:eastAsia="Times New Roman"/>
          <w:vertAlign w:val="superscript"/>
        </w:rPr>
        <w:t>‡</w:t>
      </w:r>
      <w:r w:rsidRPr="00AE2F1B">
        <w:rPr>
          <w:rFonts w:eastAsia="Times New Roman"/>
        </w:rPr>
        <w:tab/>
        <w:t>In Queensland, includes ne</w:t>
      </w:r>
      <w:r w:rsidR="00BB4A6D">
        <w:rPr>
          <w:rFonts w:eastAsia="Times New Roman"/>
        </w:rPr>
        <w:t>wly acquired hepatitis C cases.</w:t>
      </w:r>
    </w:p>
    <w:p w14:paraId="67683AE8" w14:textId="77777777" w:rsidR="00A81C71" w:rsidRDefault="00BE61A2" w:rsidP="00A81C71">
      <w:pPr>
        <w:pStyle w:val="CDIfootnotes"/>
        <w:spacing w:line="240" w:lineRule="auto"/>
        <w:ind w:left="720" w:hanging="720"/>
        <w:rPr>
          <w:rFonts w:eastAsia="Times New Roman"/>
        </w:rPr>
      </w:pPr>
      <w:r w:rsidRPr="00AE2F1B">
        <w:rPr>
          <w:rFonts w:eastAsia="Times New Roman"/>
        </w:rPr>
        <w:t>§</w:t>
      </w:r>
      <w:r w:rsidRPr="00AE2F1B">
        <w:rPr>
          <w:rFonts w:eastAsia="Times New Roman"/>
        </w:rPr>
        <w:tab/>
        <w:t>From 1 January 2016 a case definition for paratyphoid was created and for the first time it became reportable on as a separate condition from salmonella. Changes were made to paratyphoid notific</w:t>
      </w:r>
      <w:r w:rsidR="00BB4A6D">
        <w:rPr>
          <w:rFonts w:eastAsia="Times New Roman"/>
        </w:rPr>
        <w:t>ations retrospectively to 1991.</w:t>
      </w:r>
    </w:p>
    <w:p w14:paraId="24A8C075" w14:textId="77777777" w:rsidR="00A81C71" w:rsidRDefault="00BE61A2" w:rsidP="00A81C71">
      <w:pPr>
        <w:pStyle w:val="CDIfootnotes"/>
        <w:spacing w:line="240" w:lineRule="auto"/>
        <w:ind w:left="720" w:hanging="720"/>
        <w:rPr>
          <w:rFonts w:eastAsia="Times New Roman"/>
        </w:rPr>
      </w:pPr>
      <w:r w:rsidRPr="00AE2F1B">
        <w:rPr>
          <w:rFonts w:eastAsia="Times New Roman"/>
          <w:vertAlign w:val="superscript"/>
        </w:rPr>
        <w:t>||</w:t>
      </w:r>
      <w:r w:rsidRPr="00AE2F1B">
        <w:rPr>
          <w:rFonts w:eastAsia="Times New Roman"/>
        </w:rPr>
        <w:tab/>
        <w:t>Includes Chlamydia trachomatis identified from cervical, rectal, urine, urethral and throat samples, except for South Australia, which reports only cervical, urine and urethral specimens. From 1 July 2013 the case definition changed to</w:t>
      </w:r>
      <w:r w:rsidR="00BB4A6D">
        <w:rPr>
          <w:rFonts w:eastAsia="Times New Roman"/>
        </w:rPr>
        <w:t xml:space="preserve"> exclude all ocular infections.</w:t>
      </w:r>
    </w:p>
    <w:p w14:paraId="78EC0ABD" w14:textId="77777777" w:rsidR="00A81C71" w:rsidRDefault="00BE61A2" w:rsidP="00A81C71">
      <w:pPr>
        <w:pStyle w:val="CDIfootnotes"/>
        <w:spacing w:line="240" w:lineRule="auto"/>
        <w:ind w:left="720" w:hanging="720"/>
        <w:rPr>
          <w:rFonts w:eastAsia="Times New Roman"/>
        </w:rPr>
      </w:pPr>
      <w:r w:rsidRPr="00AE2F1B">
        <w:rPr>
          <w:rFonts w:eastAsia="Times New Roman"/>
          <w:vertAlign w:val="superscript"/>
        </w:rPr>
        <w:t>¶</w:t>
      </w:r>
      <w:r w:rsidRPr="00AE2F1B">
        <w:rPr>
          <w:rFonts w:eastAsia="Times New Roman"/>
        </w:rPr>
        <w:tab/>
        <w:t>The national case definitions for chlamydial, gonococcal and syphilis diagnoses include infections that may be acquired through a non-sexual mode (especially in children – e.g. perinatal infections, epide</w:t>
      </w:r>
      <w:r w:rsidR="00A81C71">
        <w:rPr>
          <w:rFonts w:eastAsia="Times New Roman"/>
        </w:rPr>
        <w:t>mic gonococcal conjunctivitis).</w:t>
      </w:r>
    </w:p>
    <w:p w14:paraId="1264E462" w14:textId="77777777" w:rsidR="00A81C71" w:rsidRDefault="00BE61A2" w:rsidP="00A81C71">
      <w:pPr>
        <w:pStyle w:val="CDIfootnotes"/>
        <w:spacing w:line="240" w:lineRule="auto"/>
        <w:ind w:left="720" w:hanging="720"/>
        <w:rPr>
          <w:rFonts w:eastAsia="Times New Roman"/>
        </w:rPr>
      </w:pPr>
      <w:r w:rsidRPr="00AE2F1B">
        <w:rPr>
          <w:rFonts w:eastAsia="Times New Roman"/>
          <w:vertAlign w:val="superscript"/>
        </w:rPr>
        <w:t>**</w:t>
      </w:r>
      <w:r w:rsidRPr="00AE2F1B">
        <w:rPr>
          <w:rFonts w:eastAsia="Times New Roman"/>
        </w:rPr>
        <w:tab/>
        <w:t>Data for all states and territories are reported by diagnosis date, except Queensland, where data are reporte</w:t>
      </w:r>
      <w:r w:rsidR="00A81C71">
        <w:rPr>
          <w:rFonts w:eastAsia="Times New Roman"/>
        </w:rPr>
        <w:t>d by notification receive date.</w:t>
      </w:r>
    </w:p>
    <w:p w14:paraId="439A307C" w14:textId="77777777" w:rsidR="00A81C71" w:rsidRDefault="00BE61A2" w:rsidP="00A81C71">
      <w:pPr>
        <w:pStyle w:val="CDIfootnotes"/>
        <w:spacing w:line="240" w:lineRule="auto"/>
        <w:ind w:left="720" w:hanging="720"/>
        <w:rPr>
          <w:rFonts w:eastAsia="Times New Roman"/>
        </w:rPr>
      </w:pPr>
      <w:r w:rsidRPr="00AE2F1B">
        <w:rPr>
          <w:rFonts w:eastAsia="Times New Roman"/>
          <w:vertAlign w:val="superscript"/>
        </w:rPr>
        <w:t>††</w:t>
      </w:r>
      <w:r w:rsidRPr="00AE2F1B">
        <w:rPr>
          <w:rFonts w:eastAsia="Times New Roman"/>
        </w:rPr>
        <w:tab/>
        <w:t xml:space="preserve">This number may underrepresent the number of diphtheria cases in Australia in 2015. For more </w:t>
      </w:r>
      <w:proofErr w:type="gramStart"/>
      <w:r w:rsidRPr="00AE2F1B">
        <w:rPr>
          <w:rFonts w:eastAsia="Times New Roman"/>
        </w:rPr>
        <w:t>details</w:t>
      </w:r>
      <w:proofErr w:type="gramEnd"/>
      <w:r w:rsidRPr="00AE2F1B">
        <w:rPr>
          <w:rFonts w:eastAsia="Times New Roman"/>
        </w:rPr>
        <w:t xml:space="preserve"> please see the summary of diphtheria in the Vaccine Preventable D</w:t>
      </w:r>
      <w:r w:rsidR="00A81C71">
        <w:rPr>
          <w:rFonts w:eastAsia="Times New Roman"/>
        </w:rPr>
        <w:t>iseases section of this report.</w:t>
      </w:r>
    </w:p>
    <w:p w14:paraId="0D42D752" w14:textId="77777777" w:rsidR="00A81C71" w:rsidRDefault="00BE61A2" w:rsidP="00A81C71">
      <w:pPr>
        <w:pStyle w:val="CDIfootnotes"/>
        <w:spacing w:line="240" w:lineRule="auto"/>
        <w:ind w:left="720" w:hanging="720"/>
        <w:rPr>
          <w:rFonts w:eastAsia="Times New Roman"/>
        </w:rPr>
      </w:pPr>
      <w:r w:rsidRPr="00AE2F1B">
        <w:rPr>
          <w:rFonts w:eastAsia="Times New Roman"/>
          <w:vertAlign w:val="superscript"/>
        </w:rPr>
        <w:t>‡‡</w:t>
      </w:r>
      <w:r w:rsidRPr="00AE2F1B">
        <w:rPr>
          <w:rFonts w:eastAsia="Times New Roman"/>
        </w:rPr>
        <w:tab/>
      </w:r>
      <w:r w:rsidR="009320B7" w:rsidRPr="00AE2F1B">
        <w:rPr>
          <w:rFonts w:eastAsia="Times New Roman"/>
        </w:rPr>
        <w:t>Arbovirus</w:t>
      </w:r>
      <w:r w:rsidRPr="00AE2F1B">
        <w:rPr>
          <w:rFonts w:eastAsia="Times New Roman"/>
        </w:rPr>
        <w:t xml:space="preserve"> infection NEC changed to flavivirus </w:t>
      </w:r>
      <w:r w:rsidR="00A81C71">
        <w:rPr>
          <w:rFonts w:eastAsia="Times New Roman"/>
        </w:rPr>
        <w:t>infection (unspecified) in 2015</w:t>
      </w:r>
    </w:p>
    <w:p w14:paraId="584B2933" w14:textId="77777777" w:rsidR="00A81C71" w:rsidRDefault="00BE61A2" w:rsidP="00A81C71">
      <w:pPr>
        <w:pStyle w:val="CDIfootnotes"/>
        <w:spacing w:line="240" w:lineRule="auto"/>
        <w:ind w:left="720" w:hanging="720"/>
        <w:rPr>
          <w:rFonts w:eastAsia="Times New Roman"/>
        </w:rPr>
      </w:pPr>
      <w:r w:rsidRPr="00AE2F1B">
        <w:rPr>
          <w:rFonts w:eastAsia="Times New Roman"/>
        </w:rPr>
        <w:t>§§</w:t>
      </w:r>
      <w:r w:rsidRPr="00AE2F1B">
        <w:rPr>
          <w:rFonts w:eastAsia="Times New Roman"/>
        </w:rPr>
        <w:tab/>
        <w:t xml:space="preserve">Only invasive meningococcal disease is nationally notifiable. However, the Australian Capital Territory and New South Wales </w:t>
      </w:r>
      <w:r w:rsidR="00772AF5">
        <w:rPr>
          <w:rFonts w:eastAsia="Times New Roman"/>
        </w:rPr>
        <w:t xml:space="preserve">also report </w:t>
      </w:r>
      <w:r w:rsidR="00A81C71">
        <w:rPr>
          <w:rFonts w:eastAsia="Times New Roman"/>
        </w:rPr>
        <w:t>conjunctival cases.</w:t>
      </w:r>
    </w:p>
    <w:p w14:paraId="56785D25" w14:textId="77777777" w:rsidR="00A81C71" w:rsidRDefault="00A81C71" w:rsidP="00A81C71">
      <w:pPr>
        <w:pStyle w:val="CDIfootnotes"/>
        <w:spacing w:line="240" w:lineRule="auto"/>
        <w:ind w:left="720" w:hanging="720"/>
        <w:rPr>
          <w:rFonts w:eastAsia="Times New Roman"/>
        </w:rPr>
      </w:pPr>
      <w:r>
        <w:rPr>
          <w:rFonts w:eastAsia="Times New Roman"/>
        </w:rPr>
        <w:t>NEC</w:t>
      </w:r>
      <w:r>
        <w:rPr>
          <w:rFonts w:eastAsia="Times New Roman"/>
        </w:rPr>
        <w:tab/>
        <w:t>Not elsewhere classified.</w:t>
      </w:r>
    </w:p>
    <w:p w14:paraId="629A498D" w14:textId="77777777" w:rsidR="00E16E6C" w:rsidRDefault="00BE61A2" w:rsidP="00A81C71">
      <w:pPr>
        <w:pStyle w:val="CDIfootnotes"/>
        <w:spacing w:line="240" w:lineRule="auto"/>
        <w:ind w:left="720" w:hanging="720"/>
        <w:rPr>
          <w:rFonts w:eastAsia="Times New Roman"/>
        </w:rPr>
        <w:sectPr w:rsidR="00E16E6C" w:rsidSect="00041DDA">
          <w:pgSz w:w="16838" w:h="11906" w:orient="landscape"/>
          <w:pgMar w:top="720" w:right="720" w:bottom="720" w:left="1134" w:header="709" w:footer="284" w:gutter="0"/>
          <w:cols w:space="708"/>
          <w:titlePg/>
          <w:docGrid w:linePitch="360"/>
        </w:sectPr>
      </w:pPr>
      <w:r w:rsidRPr="00AE2F1B">
        <w:rPr>
          <w:rFonts w:eastAsia="Times New Roman"/>
        </w:rPr>
        <w:t xml:space="preserve">NN </w:t>
      </w:r>
      <w:r w:rsidRPr="00AE2F1B">
        <w:rPr>
          <w:rFonts w:eastAsia="Times New Roman"/>
        </w:rPr>
        <w:tab/>
        <w:t xml:space="preserve">Not notifiable. </w:t>
      </w:r>
    </w:p>
    <w:p w14:paraId="5404A2C1" w14:textId="77777777" w:rsidR="00BE61A2" w:rsidRPr="00AE2F1B" w:rsidRDefault="00BE61A2" w:rsidP="00E16E6C">
      <w:pPr>
        <w:pStyle w:val="CDIfootnotes"/>
        <w:rPr>
          <w:rFonts w:eastAsia="Times New Roman"/>
        </w:rPr>
      </w:pPr>
    </w:p>
    <w:p w14:paraId="50E49B9B" w14:textId="77777777" w:rsidR="00BE61A2" w:rsidRPr="00095AA3" w:rsidRDefault="00BE61A2" w:rsidP="00095AA3">
      <w:pPr>
        <w:pStyle w:val="Heading1"/>
        <w:rPr>
          <w:rFonts w:eastAsiaTheme="minorEastAsia"/>
        </w:rPr>
      </w:pPr>
      <w:bookmarkStart w:id="6" w:name="_Toc1747160"/>
      <w:r w:rsidRPr="00095AA3">
        <w:rPr>
          <w:rStyle w:val="Heading1Char"/>
          <w:b/>
        </w:rPr>
        <w:t>Data completeness</w:t>
      </w:r>
      <w:bookmarkEnd w:id="6"/>
    </w:p>
    <w:p w14:paraId="6D326CD0" w14:textId="77777777" w:rsidR="00BE61A2" w:rsidRPr="004E056D" w:rsidRDefault="00BE61A2" w:rsidP="004E056D">
      <w:pPr>
        <w:pStyle w:val="Heading2"/>
      </w:pPr>
      <w:bookmarkStart w:id="7" w:name="_Toc1747161"/>
      <w:r w:rsidRPr="004E056D">
        <w:rPr>
          <w:bCs w:val="0"/>
          <w:sz w:val="27"/>
          <w:szCs w:val="27"/>
        </w:rPr>
        <w:t>Indigenous status</w:t>
      </w:r>
      <w:bookmarkEnd w:id="7"/>
    </w:p>
    <w:p w14:paraId="428549CB" w14:textId="77777777" w:rsidR="00BE61A2" w:rsidRPr="00AE2F1B" w:rsidRDefault="00BE61A2" w:rsidP="00AE2F1B">
      <w:r w:rsidRPr="00AE2F1B">
        <w:t>Indigenous status is usually obtained from clinical notifications, and completeness varies by disease and by state and territory. This reflects differences in notification requirements (i.e. depending on the jurisdiction, some diseases are primarily or completely notified by pathology laboratories rather than clinicians) and the fact that it is not possible to follow up all cases for diseases that have a large volume of notifications and/or do not require specific case-based public health action.</w:t>
      </w:r>
    </w:p>
    <w:p w14:paraId="0E6CCFAF" w14:textId="77777777" w:rsidR="00BE61A2" w:rsidRPr="00AE2F1B" w:rsidRDefault="00BE61A2" w:rsidP="00AE2F1B">
      <w:r w:rsidRPr="00AE2F1B">
        <w:t>Indigenous status was complete in 46% of all notifications reported to NNDSS in 2015. Indigenous status was complete in 94% of data reported in the Northern Territory and Western Australia, and 88% in South Australia. In the remaining jurisdictions, Indigenous status completeness ranged from 17% to 67% (Table 7).</w:t>
      </w:r>
    </w:p>
    <w:p w14:paraId="7F68255E" w14:textId="77777777" w:rsidR="00BE61A2" w:rsidRPr="00AE2F1B" w:rsidRDefault="00BE61A2" w:rsidP="00400BAA">
      <w:pPr>
        <w:pStyle w:val="CDIFigures"/>
      </w:pPr>
      <w:r w:rsidRPr="00AE2F1B">
        <w:t xml:space="preserve">Table 7: Indigenous status completeness of National Notifiable Diseases Surveillance System data, Australia, 2015, by state or territory </w:t>
      </w:r>
    </w:p>
    <w:tbl>
      <w:tblPr>
        <w:tblStyle w:val="CDI-StandardTable"/>
        <w:tblW w:w="0" w:type="auto"/>
        <w:tblCellMar>
          <w:top w:w="142" w:type="dxa"/>
          <w:left w:w="142" w:type="dxa"/>
          <w:bottom w:w="142" w:type="dxa"/>
        </w:tblCellMar>
        <w:tblLook w:val="04A0" w:firstRow="1" w:lastRow="0" w:firstColumn="1" w:lastColumn="0" w:noHBand="0" w:noVBand="1"/>
        <w:tblDescription w:val="This table shows the number of notifications where the Indigenous status field is unknown or missing and the percentage of notifications that are complete by state or territory and Australia.&#10;"/>
      </w:tblPr>
      <w:tblGrid>
        <w:gridCol w:w="1588"/>
        <w:gridCol w:w="660"/>
        <w:gridCol w:w="752"/>
        <w:gridCol w:w="660"/>
        <w:gridCol w:w="752"/>
        <w:gridCol w:w="752"/>
        <w:gridCol w:w="660"/>
        <w:gridCol w:w="752"/>
        <w:gridCol w:w="752"/>
        <w:gridCol w:w="3112"/>
      </w:tblGrid>
      <w:tr w:rsidR="00BE61A2" w:rsidRPr="00374CC9" w14:paraId="1D242220" w14:textId="77777777" w:rsidTr="000708D8">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596E7B36" w14:textId="77777777" w:rsidR="00BE61A2" w:rsidRPr="007D1C35" w:rsidRDefault="00BE61A2">
            <w:pPr>
              <w:rPr>
                <w:color w:val="FFFFFF" w:themeColor="background1"/>
                <w:sz w:val="18"/>
                <w:szCs w:val="18"/>
              </w:rPr>
            </w:pPr>
          </w:p>
        </w:tc>
        <w:tc>
          <w:tcPr>
            <w:tcW w:w="8852" w:type="dxa"/>
            <w:gridSpan w:val="9"/>
            <w:hideMark/>
          </w:tcPr>
          <w:p w14:paraId="7E79AE64"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State or territory</w:t>
            </w:r>
          </w:p>
        </w:tc>
      </w:tr>
      <w:tr w:rsidR="00BE61A2" w:rsidRPr="00374CC9" w14:paraId="4E621573" w14:textId="77777777" w:rsidTr="000708D8">
        <w:tblPrEx>
          <w:tblCellMar>
            <w:right w:w="108" w:type="dxa"/>
          </w:tblCellMar>
        </w:tblPrEx>
        <w:tc>
          <w:tcPr>
            <w:tcW w:w="0" w:type="auto"/>
            <w:shd w:val="clear" w:color="auto" w:fill="BFBFBF" w:themeFill="background1" w:themeFillShade="BF"/>
            <w:hideMark/>
          </w:tcPr>
          <w:p w14:paraId="0E3DD967" w14:textId="77777777" w:rsidR="00BE61A2" w:rsidRPr="000708D8" w:rsidRDefault="00BE61A2">
            <w:pPr>
              <w:rPr>
                <w:rFonts w:asciiTheme="minorHAnsi" w:eastAsia="Times New Roman" w:hAnsiTheme="minorHAnsi"/>
                <w:b/>
                <w:sz w:val="18"/>
                <w:szCs w:val="18"/>
              </w:rPr>
            </w:pPr>
          </w:p>
        </w:tc>
        <w:tc>
          <w:tcPr>
            <w:tcW w:w="0" w:type="auto"/>
            <w:shd w:val="clear" w:color="auto" w:fill="BFBFBF" w:themeFill="background1" w:themeFillShade="BF"/>
            <w:hideMark/>
          </w:tcPr>
          <w:p w14:paraId="75CA0B99" w14:textId="77777777" w:rsidR="00BE61A2" w:rsidRPr="000708D8" w:rsidRDefault="00BE61A2">
            <w:pPr>
              <w:rPr>
                <w:rFonts w:asciiTheme="minorHAnsi" w:eastAsia="Times New Roman" w:hAnsiTheme="minorHAnsi"/>
                <w:b/>
                <w:sz w:val="18"/>
                <w:szCs w:val="18"/>
              </w:rPr>
            </w:pPr>
            <w:r w:rsidRPr="000708D8">
              <w:rPr>
                <w:rFonts w:asciiTheme="minorHAnsi" w:eastAsia="Times New Roman" w:hAnsiTheme="minorHAnsi"/>
                <w:b/>
                <w:sz w:val="18"/>
                <w:szCs w:val="18"/>
              </w:rPr>
              <w:t>ACT</w:t>
            </w:r>
          </w:p>
        </w:tc>
        <w:tc>
          <w:tcPr>
            <w:tcW w:w="0" w:type="auto"/>
            <w:shd w:val="clear" w:color="auto" w:fill="BFBFBF" w:themeFill="background1" w:themeFillShade="BF"/>
            <w:hideMark/>
          </w:tcPr>
          <w:p w14:paraId="632BDBD9" w14:textId="77777777" w:rsidR="00BE61A2" w:rsidRPr="000708D8" w:rsidRDefault="00BE61A2">
            <w:pPr>
              <w:rPr>
                <w:rFonts w:asciiTheme="minorHAnsi" w:eastAsia="Times New Roman" w:hAnsiTheme="minorHAnsi"/>
                <w:b/>
                <w:sz w:val="18"/>
                <w:szCs w:val="18"/>
              </w:rPr>
            </w:pPr>
            <w:r w:rsidRPr="000708D8">
              <w:rPr>
                <w:rFonts w:asciiTheme="minorHAnsi" w:eastAsia="Times New Roman" w:hAnsiTheme="minorHAnsi"/>
                <w:b/>
                <w:sz w:val="18"/>
                <w:szCs w:val="18"/>
              </w:rPr>
              <w:t>NSW</w:t>
            </w:r>
          </w:p>
        </w:tc>
        <w:tc>
          <w:tcPr>
            <w:tcW w:w="0" w:type="auto"/>
            <w:shd w:val="clear" w:color="auto" w:fill="BFBFBF" w:themeFill="background1" w:themeFillShade="BF"/>
            <w:hideMark/>
          </w:tcPr>
          <w:p w14:paraId="249E09FF" w14:textId="77777777" w:rsidR="00BE61A2" w:rsidRPr="000708D8" w:rsidRDefault="00BE61A2">
            <w:pPr>
              <w:rPr>
                <w:rFonts w:asciiTheme="minorHAnsi" w:eastAsia="Times New Roman" w:hAnsiTheme="minorHAnsi"/>
                <w:b/>
                <w:sz w:val="18"/>
                <w:szCs w:val="18"/>
              </w:rPr>
            </w:pPr>
            <w:r w:rsidRPr="000708D8">
              <w:rPr>
                <w:rFonts w:asciiTheme="minorHAnsi" w:eastAsia="Times New Roman" w:hAnsiTheme="minorHAnsi"/>
                <w:b/>
                <w:sz w:val="18"/>
                <w:szCs w:val="18"/>
              </w:rPr>
              <w:t>NT</w:t>
            </w:r>
          </w:p>
        </w:tc>
        <w:tc>
          <w:tcPr>
            <w:tcW w:w="0" w:type="auto"/>
            <w:shd w:val="clear" w:color="auto" w:fill="BFBFBF" w:themeFill="background1" w:themeFillShade="BF"/>
            <w:hideMark/>
          </w:tcPr>
          <w:p w14:paraId="5DF24045" w14:textId="77777777" w:rsidR="00BE61A2" w:rsidRPr="000708D8" w:rsidRDefault="00BE61A2">
            <w:pPr>
              <w:rPr>
                <w:rFonts w:asciiTheme="minorHAnsi" w:eastAsia="Times New Roman" w:hAnsiTheme="minorHAnsi"/>
                <w:b/>
                <w:sz w:val="18"/>
                <w:szCs w:val="18"/>
              </w:rPr>
            </w:pPr>
            <w:r w:rsidRPr="000708D8">
              <w:rPr>
                <w:rFonts w:asciiTheme="minorHAnsi" w:eastAsia="Times New Roman" w:hAnsiTheme="minorHAnsi"/>
                <w:b/>
                <w:sz w:val="18"/>
                <w:szCs w:val="18"/>
              </w:rPr>
              <w:t>Qld</w:t>
            </w:r>
          </w:p>
        </w:tc>
        <w:tc>
          <w:tcPr>
            <w:tcW w:w="0" w:type="auto"/>
            <w:shd w:val="clear" w:color="auto" w:fill="BFBFBF" w:themeFill="background1" w:themeFillShade="BF"/>
            <w:hideMark/>
          </w:tcPr>
          <w:p w14:paraId="31987F98" w14:textId="77777777" w:rsidR="00BE61A2" w:rsidRPr="000708D8" w:rsidRDefault="00BE61A2">
            <w:pPr>
              <w:rPr>
                <w:rFonts w:asciiTheme="minorHAnsi" w:eastAsia="Times New Roman" w:hAnsiTheme="minorHAnsi"/>
                <w:b/>
                <w:sz w:val="18"/>
                <w:szCs w:val="18"/>
              </w:rPr>
            </w:pPr>
            <w:r w:rsidRPr="000708D8">
              <w:rPr>
                <w:rFonts w:asciiTheme="minorHAnsi" w:eastAsia="Times New Roman" w:hAnsiTheme="minorHAnsi"/>
                <w:b/>
                <w:sz w:val="18"/>
                <w:szCs w:val="18"/>
              </w:rPr>
              <w:t>SA</w:t>
            </w:r>
          </w:p>
        </w:tc>
        <w:tc>
          <w:tcPr>
            <w:tcW w:w="0" w:type="auto"/>
            <w:shd w:val="clear" w:color="auto" w:fill="BFBFBF" w:themeFill="background1" w:themeFillShade="BF"/>
            <w:hideMark/>
          </w:tcPr>
          <w:p w14:paraId="4263AC9B" w14:textId="77777777" w:rsidR="00BE61A2" w:rsidRPr="000708D8" w:rsidRDefault="00BE61A2">
            <w:pPr>
              <w:rPr>
                <w:rFonts w:asciiTheme="minorHAnsi" w:eastAsia="Times New Roman" w:hAnsiTheme="minorHAnsi"/>
                <w:b/>
                <w:sz w:val="18"/>
                <w:szCs w:val="18"/>
              </w:rPr>
            </w:pPr>
            <w:r w:rsidRPr="000708D8">
              <w:rPr>
                <w:rFonts w:asciiTheme="minorHAnsi" w:eastAsia="Times New Roman" w:hAnsiTheme="minorHAnsi"/>
                <w:b/>
                <w:sz w:val="18"/>
                <w:szCs w:val="18"/>
              </w:rPr>
              <w:t>Tas</w:t>
            </w:r>
          </w:p>
        </w:tc>
        <w:tc>
          <w:tcPr>
            <w:tcW w:w="0" w:type="auto"/>
            <w:shd w:val="clear" w:color="auto" w:fill="BFBFBF" w:themeFill="background1" w:themeFillShade="BF"/>
            <w:hideMark/>
          </w:tcPr>
          <w:p w14:paraId="04E18D9B" w14:textId="77777777" w:rsidR="00BE61A2" w:rsidRPr="000708D8" w:rsidRDefault="00BE61A2">
            <w:pPr>
              <w:rPr>
                <w:rFonts w:asciiTheme="minorHAnsi" w:eastAsia="Times New Roman" w:hAnsiTheme="minorHAnsi"/>
                <w:b/>
                <w:sz w:val="18"/>
                <w:szCs w:val="18"/>
              </w:rPr>
            </w:pPr>
            <w:r w:rsidRPr="000708D8">
              <w:rPr>
                <w:rFonts w:asciiTheme="minorHAnsi" w:eastAsia="Times New Roman" w:hAnsiTheme="minorHAnsi"/>
                <w:b/>
                <w:sz w:val="18"/>
                <w:szCs w:val="18"/>
              </w:rPr>
              <w:t>Vic</w:t>
            </w:r>
          </w:p>
        </w:tc>
        <w:tc>
          <w:tcPr>
            <w:tcW w:w="0" w:type="auto"/>
            <w:shd w:val="clear" w:color="auto" w:fill="BFBFBF" w:themeFill="background1" w:themeFillShade="BF"/>
            <w:hideMark/>
          </w:tcPr>
          <w:p w14:paraId="5C0217DF" w14:textId="77777777" w:rsidR="00BE61A2" w:rsidRPr="000708D8" w:rsidRDefault="00BE61A2">
            <w:pPr>
              <w:rPr>
                <w:rFonts w:asciiTheme="minorHAnsi" w:eastAsia="Times New Roman" w:hAnsiTheme="minorHAnsi"/>
                <w:b/>
                <w:sz w:val="18"/>
                <w:szCs w:val="18"/>
              </w:rPr>
            </w:pPr>
            <w:r w:rsidRPr="000708D8">
              <w:rPr>
                <w:rFonts w:asciiTheme="minorHAnsi" w:eastAsia="Times New Roman" w:hAnsiTheme="minorHAnsi"/>
                <w:b/>
                <w:sz w:val="18"/>
                <w:szCs w:val="18"/>
              </w:rPr>
              <w:t>WA</w:t>
            </w:r>
          </w:p>
        </w:tc>
        <w:tc>
          <w:tcPr>
            <w:tcW w:w="3112" w:type="dxa"/>
            <w:shd w:val="clear" w:color="auto" w:fill="BFBFBF" w:themeFill="background1" w:themeFillShade="BF"/>
            <w:hideMark/>
          </w:tcPr>
          <w:p w14:paraId="575AB86D" w14:textId="77777777" w:rsidR="00BE61A2" w:rsidRPr="000708D8" w:rsidRDefault="00BE61A2">
            <w:pPr>
              <w:rPr>
                <w:rFonts w:asciiTheme="minorHAnsi" w:eastAsia="Times New Roman" w:hAnsiTheme="minorHAnsi"/>
                <w:b/>
                <w:sz w:val="18"/>
                <w:szCs w:val="18"/>
              </w:rPr>
            </w:pPr>
            <w:r w:rsidRPr="000708D8">
              <w:rPr>
                <w:rFonts w:asciiTheme="minorHAnsi" w:eastAsia="Times New Roman" w:hAnsiTheme="minorHAnsi"/>
                <w:b/>
                <w:sz w:val="18"/>
                <w:szCs w:val="18"/>
              </w:rPr>
              <w:t>Aust.</w:t>
            </w:r>
          </w:p>
        </w:tc>
      </w:tr>
      <w:tr w:rsidR="00BE61A2" w:rsidRPr="00374CC9" w14:paraId="1EC1AD13" w14:textId="77777777" w:rsidTr="000708D8">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3DDAD2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Total notifications</w:t>
            </w:r>
          </w:p>
        </w:tc>
        <w:tc>
          <w:tcPr>
            <w:tcW w:w="0" w:type="auto"/>
            <w:hideMark/>
          </w:tcPr>
          <w:p w14:paraId="0A496D5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4,747</w:t>
            </w:r>
          </w:p>
        </w:tc>
        <w:tc>
          <w:tcPr>
            <w:tcW w:w="0" w:type="auto"/>
            <w:hideMark/>
          </w:tcPr>
          <w:p w14:paraId="3DF576B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87,162</w:t>
            </w:r>
          </w:p>
        </w:tc>
        <w:tc>
          <w:tcPr>
            <w:tcW w:w="0" w:type="auto"/>
            <w:hideMark/>
          </w:tcPr>
          <w:p w14:paraId="0CD7C32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8,189</w:t>
            </w:r>
          </w:p>
        </w:tc>
        <w:tc>
          <w:tcPr>
            <w:tcW w:w="0" w:type="auto"/>
            <w:hideMark/>
          </w:tcPr>
          <w:p w14:paraId="4C65F73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87,848</w:t>
            </w:r>
          </w:p>
        </w:tc>
        <w:tc>
          <w:tcPr>
            <w:tcW w:w="0" w:type="auto"/>
            <w:hideMark/>
          </w:tcPr>
          <w:p w14:paraId="7EC91F1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31,219</w:t>
            </w:r>
          </w:p>
        </w:tc>
        <w:tc>
          <w:tcPr>
            <w:tcW w:w="0" w:type="auto"/>
            <w:hideMark/>
          </w:tcPr>
          <w:p w14:paraId="04B9AA3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5,401</w:t>
            </w:r>
          </w:p>
        </w:tc>
        <w:tc>
          <w:tcPr>
            <w:tcW w:w="0" w:type="auto"/>
            <w:hideMark/>
          </w:tcPr>
          <w:p w14:paraId="61C3CE2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61,808</w:t>
            </w:r>
          </w:p>
        </w:tc>
        <w:tc>
          <w:tcPr>
            <w:tcW w:w="0" w:type="auto"/>
            <w:hideMark/>
          </w:tcPr>
          <w:p w14:paraId="2FC7B32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34,106</w:t>
            </w:r>
          </w:p>
        </w:tc>
        <w:tc>
          <w:tcPr>
            <w:tcW w:w="3112" w:type="dxa"/>
            <w:hideMark/>
          </w:tcPr>
          <w:p w14:paraId="1B3015D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320,480</w:t>
            </w:r>
          </w:p>
        </w:tc>
      </w:tr>
      <w:tr w:rsidR="00BE61A2" w:rsidRPr="00374CC9" w14:paraId="740E0F03" w14:textId="77777777" w:rsidTr="000708D8">
        <w:tblPrEx>
          <w:tblCellMar>
            <w:right w:w="108" w:type="dxa"/>
          </w:tblCellMar>
        </w:tblPrEx>
        <w:tc>
          <w:tcPr>
            <w:tcW w:w="10440" w:type="dxa"/>
            <w:gridSpan w:val="10"/>
            <w:shd w:val="clear" w:color="auto" w:fill="BFBFBF" w:themeFill="background1" w:themeFillShade="BF"/>
            <w:hideMark/>
          </w:tcPr>
          <w:p w14:paraId="07196395" w14:textId="77777777" w:rsidR="00BE61A2" w:rsidRPr="000708D8" w:rsidRDefault="00BE61A2">
            <w:pPr>
              <w:rPr>
                <w:rFonts w:asciiTheme="minorHAnsi" w:eastAsia="Times New Roman" w:hAnsiTheme="minorHAnsi"/>
                <w:b/>
                <w:sz w:val="18"/>
                <w:szCs w:val="18"/>
              </w:rPr>
            </w:pPr>
            <w:r w:rsidRPr="000708D8">
              <w:rPr>
                <w:rFonts w:asciiTheme="minorHAnsi" w:eastAsia="Times New Roman" w:hAnsiTheme="minorHAnsi"/>
                <w:b/>
                <w:sz w:val="18"/>
                <w:szCs w:val="18"/>
              </w:rPr>
              <w:t>Indigenous status</w:t>
            </w:r>
          </w:p>
        </w:tc>
      </w:tr>
      <w:tr w:rsidR="00BE61A2" w:rsidRPr="00374CC9" w14:paraId="5A4C4CE1" w14:textId="77777777" w:rsidTr="000708D8">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A62D5A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Unknown/missing</w:t>
            </w:r>
          </w:p>
        </w:tc>
        <w:tc>
          <w:tcPr>
            <w:tcW w:w="0" w:type="auto"/>
            <w:hideMark/>
          </w:tcPr>
          <w:p w14:paraId="1CAB79B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1,545</w:t>
            </w:r>
          </w:p>
        </w:tc>
        <w:tc>
          <w:tcPr>
            <w:tcW w:w="0" w:type="auto"/>
            <w:hideMark/>
          </w:tcPr>
          <w:p w14:paraId="7968C8E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72,629</w:t>
            </w:r>
          </w:p>
        </w:tc>
        <w:tc>
          <w:tcPr>
            <w:tcW w:w="0" w:type="auto"/>
            <w:hideMark/>
          </w:tcPr>
          <w:p w14:paraId="43F02FF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473</w:t>
            </w:r>
          </w:p>
        </w:tc>
        <w:tc>
          <w:tcPr>
            <w:tcW w:w="0" w:type="auto"/>
            <w:hideMark/>
          </w:tcPr>
          <w:p w14:paraId="706C0B4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49,638</w:t>
            </w:r>
          </w:p>
        </w:tc>
        <w:tc>
          <w:tcPr>
            <w:tcW w:w="0" w:type="auto"/>
            <w:hideMark/>
          </w:tcPr>
          <w:p w14:paraId="7BF9EE7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3,728</w:t>
            </w:r>
          </w:p>
        </w:tc>
        <w:tc>
          <w:tcPr>
            <w:tcW w:w="0" w:type="auto"/>
            <w:hideMark/>
          </w:tcPr>
          <w:p w14:paraId="3E3D803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4,191</w:t>
            </w:r>
          </w:p>
        </w:tc>
        <w:tc>
          <w:tcPr>
            <w:tcW w:w="0" w:type="auto"/>
            <w:hideMark/>
          </w:tcPr>
          <w:p w14:paraId="586D11C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40,127</w:t>
            </w:r>
          </w:p>
        </w:tc>
        <w:tc>
          <w:tcPr>
            <w:tcW w:w="0" w:type="auto"/>
            <w:hideMark/>
          </w:tcPr>
          <w:p w14:paraId="6B50D26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2,146</w:t>
            </w:r>
          </w:p>
        </w:tc>
        <w:tc>
          <w:tcPr>
            <w:tcW w:w="3112" w:type="dxa"/>
            <w:hideMark/>
          </w:tcPr>
          <w:p w14:paraId="16A530C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174,477</w:t>
            </w:r>
          </w:p>
        </w:tc>
      </w:tr>
      <w:tr w:rsidR="00BE61A2" w:rsidRPr="00374CC9" w14:paraId="1A4A88D2" w14:textId="77777777" w:rsidTr="000708D8">
        <w:tblPrEx>
          <w:tblCellMar>
            <w:right w:w="108" w:type="dxa"/>
          </w:tblCellMar>
        </w:tblPrEx>
        <w:tc>
          <w:tcPr>
            <w:tcW w:w="0" w:type="auto"/>
            <w:hideMark/>
          </w:tcPr>
          <w:p w14:paraId="3C2E3BB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Per cent complete</w:t>
            </w:r>
          </w:p>
        </w:tc>
        <w:tc>
          <w:tcPr>
            <w:tcW w:w="0" w:type="auto"/>
            <w:hideMark/>
          </w:tcPr>
          <w:p w14:paraId="54B69FF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67</w:t>
            </w:r>
          </w:p>
        </w:tc>
        <w:tc>
          <w:tcPr>
            <w:tcW w:w="0" w:type="auto"/>
            <w:hideMark/>
          </w:tcPr>
          <w:p w14:paraId="7D24C76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17</w:t>
            </w:r>
          </w:p>
        </w:tc>
        <w:tc>
          <w:tcPr>
            <w:tcW w:w="0" w:type="auto"/>
            <w:hideMark/>
          </w:tcPr>
          <w:p w14:paraId="0702F5D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94</w:t>
            </w:r>
          </w:p>
        </w:tc>
        <w:tc>
          <w:tcPr>
            <w:tcW w:w="0" w:type="auto"/>
            <w:hideMark/>
          </w:tcPr>
          <w:p w14:paraId="179D115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43</w:t>
            </w:r>
          </w:p>
        </w:tc>
        <w:tc>
          <w:tcPr>
            <w:tcW w:w="0" w:type="auto"/>
            <w:hideMark/>
          </w:tcPr>
          <w:p w14:paraId="7FAF1C3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88</w:t>
            </w:r>
          </w:p>
        </w:tc>
        <w:tc>
          <w:tcPr>
            <w:tcW w:w="0" w:type="auto"/>
            <w:hideMark/>
          </w:tcPr>
          <w:p w14:paraId="7BDA02C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22</w:t>
            </w:r>
          </w:p>
        </w:tc>
        <w:tc>
          <w:tcPr>
            <w:tcW w:w="0" w:type="auto"/>
            <w:hideMark/>
          </w:tcPr>
          <w:p w14:paraId="75A9914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35</w:t>
            </w:r>
          </w:p>
        </w:tc>
        <w:tc>
          <w:tcPr>
            <w:tcW w:w="0" w:type="auto"/>
            <w:hideMark/>
          </w:tcPr>
          <w:p w14:paraId="0537AD9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94</w:t>
            </w:r>
          </w:p>
        </w:tc>
        <w:tc>
          <w:tcPr>
            <w:tcW w:w="3112" w:type="dxa"/>
            <w:hideMark/>
          </w:tcPr>
          <w:p w14:paraId="440BF88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46</w:t>
            </w:r>
          </w:p>
        </w:tc>
      </w:tr>
    </w:tbl>
    <w:p w14:paraId="386FAD17" w14:textId="77777777" w:rsidR="000708D8" w:rsidRDefault="000708D8" w:rsidP="00AE2F1B"/>
    <w:p w14:paraId="2F502C2A" w14:textId="77777777" w:rsidR="00D751DF" w:rsidRDefault="00BE61A2" w:rsidP="00AE2F1B">
      <w:pPr>
        <w:sectPr w:rsidR="00D751DF" w:rsidSect="00EB1802">
          <w:pgSz w:w="11906" w:h="16838"/>
          <w:pgMar w:top="720" w:right="720" w:bottom="1134" w:left="720" w:header="709" w:footer="284" w:gutter="0"/>
          <w:cols w:space="708"/>
          <w:titlePg/>
          <w:docGrid w:linePitch="360"/>
        </w:sectPr>
      </w:pPr>
      <w:r w:rsidRPr="00AE2F1B">
        <w:t xml:space="preserve">Data completeness on Indigenous status also varied by disease as summarised in Appendix 3. In 2009, CDNA set target thresholds of 95% completeness for 18 priority diseases (17 notifiable to NNDSS and HIV, which are provided to the Kirby Institute) (Table 8), and 80% completeness for the remainder of the notifiable diseases, as part of its ‘Closing the Gap’ strategy. There were 53 diseases with cases notified to the NNDSS in 2015, of which 36 (68%) equalled or exceeded 80% completeness for Indigenous status and 13 (36%) were priority diseases. </w:t>
      </w:r>
    </w:p>
    <w:p w14:paraId="31BB14CF" w14:textId="77777777" w:rsidR="00BE61A2" w:rsidRPr="00AE2F1B" w:rsidRDefault="00BE61A2" w:rsidP="00330792">
      <w:pPr>
        <w:pStyle w:val="CDIFigures"/>
      </w:pPr>
      <w:r w:rsidRPr="00AE2F1B">
        <w:lastRenderedPageBreak/>
        <w:t xml:space="preserve">Table 8: Percentage completeness of priority diseases for Indigenous status completeness of National Notifiable Diseases Surveillance System data, Australia, 2015, by state or territory </w:t>
      </w:r>
    </w:p>
    <w:tbl>
      <w:tblPr>
        <w:tblStyle w:val="CDI-StandardTable"/>
        <w:tblW w:w="0" w:type="auto"/>
        <w:tblCellMar>
          <w:top w:w="142" w:type="dxa"/>
          <w:left w:w="142" w:type="dxa"/>
          <w:bottom w:w="142" w:type="dxa"/>
        </w:tblCellMar>
        <w:tblLook w:val="04A0" w:firstRow="1" w:lastRow="0" w:firstColumn="1" w:lastColumn="0" w:noHBand="0" w:noVBand="1"/>
        <w:tblDescription w:val="This table shows the percentage of notifications for diseases identified as a priority by Communicable Diseases Network Australia that are complete for Indigenous status by state or territory and Australia.&#10;"/>
      </w:tblPr>
      <w:tblGrid>
        <w:gridCol w:w="2679"/>
        <w:gridCol w:w="1362"/>
        <w:gridCol w:w="1362"/>
        <w:gridCol w:w="1363"/>
        <w:gridCol w:w="1362"/>
        <w:gridCol w:w="1362"/>
        <w:gridCol w:w="1363"/>
        <w:gridCol w:w="1362"/>
        <w:gridCol w:w="1362"/>
        <w:gridCol w:w="1363"/>
      </w:tblGrid>
      <w:tr w:rsidR="007D1C35" w:rsidRPr="007D1C35" w14:paraId="74B7B4BA" w14:textId="77777777" w:rsidTr="00E627AF">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711A22F6"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Priority disease</w:t>
            </w:r>
          </w:p>
        </w:tc>
        <w:tc>
          <w:tcPr>
            <w:tcW w:w="1362" w:type="dxa"/>
            <w:hideMark/>
          </w:tcPr>
          <w:p w14:paraId="12BC2870"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ACT</w:t>
            </w:r>
          </w:p>
        </w:tc>
        <w:tc>
          <w:tcPr>
            <w:tcW w:w="1362" w:type="dxa"/>
            <w:hideMark/>
          </w:tcPr>
          <w:p w14:paraId="576807E9"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NSW</w:t>
            </w:r>
          </w:p>
        </w:tc>
        <w:tc>
          <w:tcPr>
            <w:tcW w:w="1363" w:type="dxa"/>
            <w:hideMark/>
          </w:tcPr>
          <w:p w14:paraId="4D044A76"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NT</w:t>
            </w:r>
          </w:p>
        </w:tc>
        <w:tc>
          <w:tcPr>
            <w:tcW w:w="1362" w:type="dxa"/>
            <w:hideMark/>
          </w:tcPr>
          <w:p w14:paraId="38A98262"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Qld</w:t>
            </w:r>
          </w:p>
        </w:tc>
        <w:tc>
          <w:tcPr>
            <w:tcW w:w="1362" w:type="dxa"/>
            <w:hideMark/>
          </w:tcPr>
          <w:p w14:paraId="59FBCA8F"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SA</w:t>
            </w:r>
          </w:p>
        </w:tc>
        <w:tc>
          <w:tcPr>
            <w:tcW w:w="1363" w:type="dxa"/>
            <w:hideMark/>
          </w:tcPr>
          <w:p w14:paraId="2B96AB70"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Tas.</w:t>
            </w:r>
          </w:p>
        </w:tc>
        <w:tc>
          <w:tcPr>
            <w:tcW w:w="1362" w:type="dxa"/>
            <w:hideMark/>
          </w:tcPr>
          <w:p w14:paraId="4E3BB935"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Vic.</w:t>
            </w:r>
          </w:p>
        </w:tc>
        <w:tc>
          <w:tcPr>
            <w:tcW w:w="1362" w:type="dxa"/>
            <w:hideMark/>
          </w:tcPr>
          <w:p w14:paraId="643D1811"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WA</w:t>
            </w:r>
          </w:p>
        </w:tc>
        <w:tc>
          <w:tcPr>
            <w:tcW w:w="1363" w:type="dxa"/>
            <w:hideMark/>
          </w:tcPr>
          <w:p w14:paraId="16D14102"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lang w:val="en-US"/>
              </w:rPr>
              <w:t>Aust.</w:t>
            </w:r>
          </w:p>
        </w:tc>
      </w:tr>
      <w:tr w:rsidR="00BE61A2" w:rsidRPr="00374CC9" w14:paraId="72C8657C" w14:textId="77777777" w:rsidTr="00E627AF">
        <w:tblPrEx>
          <w:tblCellMar>
            <w:right w:w="108" w:type="dxa"/>
          </w:tblCellMar>
        </w:tblPrEx>
        <w:tc>
          <w:tcPr>
            <w:tcW w:w="0" w:type="auto"/>
            <w:hideMark/>
          </w:tcPr>
          <w:p w14:paraId="469D3CF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Congenital syphilis</w:t>
            </w:r>
          </w:p>
        </w:tc>
        <w:tc>
          <w:tcPr>
            <w:tcW w:w="1362" w:type="dxa"/>
            <w:hideMark/>
          </w:tcPr>
          <w:p w14:paraId="1938405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No cases</w:t>
            </w:r>
          </w:p>
        </w:tc>
        <w:tc>
          <w:tcPr>
            <w:tcW w:w="1362" w:type="dxa"/>
            <w:hideMark/>
          </w:tcPr>
          <w:p w14:paraId="1E0A4D4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No cases</w:t>
            </w:r>
          </w:p>
        </w:tc>
        <w:tc>
          <w:tcPr>
            <w:tcW w:w="1363" w:type="dxa"/>
            <w:hideMark/>
          </w:tcPr>
          <w:p w14:paraId="0C43BC0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No cases</w:t>
            </w:r>
          </w:p>
        </w:tc>
        <w:tc>
          <w:tcPr>
            <w:tcW w:w="1362" w:type="dxa"/>
            <w:hideMark/>
          </w:tcPr>
          <w:p w14:paraId="1D90BEC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2" w:type="dxa"/>
            <w:hideMark/>
          </w:tcPr>
          <w:p w14:paraId="54F352D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No cases</w:t>
            </w:r>
          </w:p>
        </w:tc>
        <w:tc>
          <w:tcPr>
            <w:tcW w:w="1363" w:type="dxa"/>
            <w:hideMark/>
          </w:tcPr>
          <w:p w14:paraId="15BD388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No cases</w:t>
            </w:r>
          </w:p>
        </w:tc>
        <w:tc>
          <w:tcPr>
            <w:tcW w:w="1362" w:type="dxa"/>
            <w:hideMark/>
          </w:tcPr>
          <w:p w14:paraId="172E5EA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No cases</w:t>
            </w:r>
          </w:p>
        </w:tc>
        <w:tc>
          <w:tcPr>
            <w:tcW w:w="1362" w:type="dxa"/>
            <w:hideMark/>
          </w:tcPr>
          <w:p w14:paraId="68F1C45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No cases</w:t>
            </w:r>
          </w:p>
        </w:tc>
        <w:tc>
          <w:tcPr>
            <w:tcW w:w="1363" w:type="dxa"/>
            <w:hideMark/>
          </w:tcPr>
          <w:p w14:paraId="1E064D1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lang w:val="en-US"/>
              </w:rPr>
              <w:t>100</w:t>
            </w:r>
          </w:p>
        </w:tc>
      </w:tr>
      <w:tr w:rsidR="00BE61A2" w:rsidRPr="00374CC9" w14:paraId="385EE0DB" w14:textId="77777777" w:rsidTr="00E627AF">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CEA491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Dengue virus (locally acquired)</w:t>
            </w:r>
          </w:p>
        </w:tc>
        <w:tc>
          <w:tcPr>
            <w:tcW w:w="1362" w:type="dxa"/>
            <w:hideMark/>
          </w:tcPr>
          <w:p w14:paraId="1303121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No cases</w:t>
            </w:r>
          </w:p>
        </w:tc>
        <w:tc>
          <w:tcPr>
            <w:tcW w:w="1362" w:type="dxa"/>
            <w:hideMark/>
          </w:tcPr>
          <w:p w14:paraId="77D98CD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3" w:type="dxa"/>
            <w:hideMark/>
          </w:tcPr>
          <w:p w14:paraId="6FFCEC7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No cases</w:t>
            </w:r>
          </w:p>
        </w:tc>
        <w:tc>
          <w:tcPr>
            <w:tcW w:w="1362" w:type="dxa"/>
            <w:hideMark/>
          </w:tcPr>
          <w:p w14:paraId="5507B13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2" w:type="dxa"/>
            <w:hideMark/>
          </w:tcPr>
          <w:p w14:paraId="2327A40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No cases</w:t>
            </w:r>
          </w:p>
        </w:tc>
        <w:tc>
          <w:tcPr>
            <w:tcW w:w="1363" w:type="dxa"/>
            <w:hideMark/>
          </w:tcPr>
          <w:p w14:paraId="42CBF70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No cases</w:t>
            </w:r>
          </w:p>
        </w:tc>
        <w:tc>
          <w:tcPr>
            <w:tcW w:w="1362" w:type="dxa"/>
            <w:hideMark/>
          </w:tcPr>
          <w:p w14:paraId="25D0D5F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No cases</w:t>
            </w:r>
          </w:p>
        </w:tc>
        <w:tc>
          <w:tcPr>
            <w:tcW w:w="1362" w:type="dxa"/>
            <w:hideMark/>
          </w:tcPr>
          <w:p w14:paraId="57ADE37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No cases</w:t>
            </w:r>
          </w:p>
        </w:tc>
        <w:tc>
          <w:tcPr>
            <w:tcW w:w="1363" w:type="dxa"/>
            <w:hideMark/>
          </w:tcPr>
          <w:p w14:paraId="44FCFC1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lang w:val="en-US"/>
              </w:rPr>
              <w:t>100</w:t>
            </w:r>
          </w:p>
        </w:tc>
      </w:tr>
      <w:tr w:rsidR="00BE61A2" w:rsidRPr="00374CC9" w14:paraId="0E9EDC47" w14:textId="77777777" w:rsidTr="00E627AF">
        <w:tblPrEx>
          <w:tblCellMar>
            <w:right w:w="108" w:type="dxa"/>
          </w:tblCellMar>
        </w:tblPrEx>
        <w:tc>
          <w:tcPr>
            <w:tcW w:w="0" w:type="auto"/>
            <w:hideMark/>
          </w:tcPr>
          <w:p w14:paraId="2AE512B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Donovanosis</w:t>
            </w:r>
          </w:p>
        </w:tc>
        <w:tc>
          <w:tcPr>
            <w:tcW w:w="1362" w:type="dxa"/>
            <w:hideMark/>
          </w:tcPr>
          <w:p w14:paraId="310CCD0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No cases</w:t>
            </w:r>
          </w:p>
        </w:tc>
        <w:tc>
          <w:tcPr>
            <w:tcW w:w="1362" w:type="dxa"/>
            <w:hideMark/>
          </w:tcPr>
          <w:p w14:paraId="5323573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No cases</w:t>
            </w:r>
          </w:p>
        </w:tc>
        <w:tc>
          <w:tcPr>
            <w:tcW w:w="1363" w:type="dxa"/>
            <w:hideMark/>
          </w:tcPr>
          <w:p w14:paraId="0DD6D87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No cases</w:t>
            </w:r>
          </w:p>
        </w:tc>
        <w:tc>
          <w:tcPr>
            <w:tcW w:w="1362" w:type="dxa"/>
            <w:hideMark/>
          </w:tcPr>
          <w:p w14:paraId="063B192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No cases</w:t>
            </w:r>
          </w:p>
        </w:tc>
        <w:tc>
          <w:tcPr>
            <w:tcW w:w="1362" w:type="dxa"/>
            <w:hideMark/>
          </w:tcPr>
          <w:p w14:paraId="2440074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No cases</w:t>
            </w:r>
          </w:p>
        </w:tc>
        <w:tc>
          <w:tcPr>
            <w:tcW w:w="1363" w:type="dxa"/>
            <w:hideMark/>
          </w:tcPr>
          <w:p w14:paraId="4763945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No cases</w:t>
            </w:r>
          </w:p>
        </w:tc>
        <w:tc>
          <w:tcPr>
            <w:tcW w:w="1362" w:type="dxa"/>
            <w:hideMark/>
          </w:tcPr>
          <w:p w14:paraId="523EC93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No cases</w:t>
            </w:r>
          </w:p>
        </w:tc>
        <w:tc>
          <w:tcPr>
            <w:tcW w:w="1362" w:type="dxa"/>
            <w:hideMark/>
          </w:tcPr>
          <w:p w14:paraId="4DBAF7C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No cases</w:t>
            </w:r>
          </w:p>
        </w:tc>
        <w:tc>
          <w:tcPr>
            <w:tcW w:w="1363" w:type="dxa"/>
            <w:hideMark/>
          </w:tcPr>
          <w:p w14:paraId="18BFBC1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lang w:val="en-US"/>
              </w:rPr>
              <w:t>No cases</w:t>
            </w:r>
          </w:p>
        </w:tc>
      </w:tr>
      <w:tr w:rsidR="00BE61A2" w:rsidRPr="00374CC9" w14:paraId="07C9A6AB" w14:textId="77777777" w:rsidTr="00E627AF">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F754C2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Gonococcal infection</w:t>
            </w:r>
          </w:p>
        </w:tc>
        <w:tc>
          <w:tcPr>
            <w:tcW w:w="1362" w:type="dxa"/>
            <w:hideMark/>
          </w:tcPr>
          <w:p w14:paraId="51F8905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2" w:type="dxa"/>
            <w:hideMark/>
          </w:tcPr>
          <w:p w14:paraId="47C6881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42</w:t>
            </w:r>
          </w:p>
        </w:tc>
        <w:tc>
          <w:tcPr>
            <w:tcW w:w="1363" w:type="dxa"/>
            <w:hideMark/>
          </w:tcPr>
          <w:p w14:paraId="26609BF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98</w:t>
            </w:r>
          </w:p>
        </w:tc>
        <w:tc>
          <w:tcPr>
            <w:tcW w:w="1362" w:type="dxa"/>
            <w:hideMark/>
          </w:tcPr>
          <w:p w14:paraId="634B83D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63</w:t>
            </w:r>
          </w:p>
        </w:tc>
        <w:tc>
          <w:tcPr>
            <w:tcW w:w="1362" w:type="dxa"/>
            <w:hideMark/>
          </w:tcPr>
          <w:p w14:paraId="630D51F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97</w:t>
            </w:r>
          </w:p>
        </w:tc>
        <w:tc>
          <w:tcPr>
            <w:tcW w:w="1363" w:type="dxa"/>
            <w:hideMark/>
          </w:tcPr>
          <w:p w14:paraId="110DD3B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80</w:t>
            </w:r>
          </w:p>
        </w:tc>
        <w:tc>
          <w:tcPr>
            <w:tcW w:w="1362" w:type="dxa"/>
            <w:hideMark/>
          </w:tcPr>
          <w:p w14:paraId="5A80A1D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53</w:t>
            </w:r>
          </w:p>
        </w:tc>
        <w:tc>
          <w:tcPr>
            <w:tcW w:w="1362" w:type="dxa"/>
            <w:hideMark/>
          </w:tcPr>
          <w:p w14:paraId="13CCDCE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3" w:type="dxa"/>
            <w:hideMark/>
          </w:tcPr>
          <w:p w14:paraId="3543DED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lang w:val="en-US"/>
              </w:rPr>
              <w:t>64</w:t>
            </w:r>
          </w:p>
        </w:tc>
      </w:tr>
      <w:tr w:rsidR="00BE61A2" w:rsidRPr="00374CC9" w14:paraId="3087E24D" w14:textId="77777777" w:rsidTr="00E627AF">
        <w:tblPrEx>
          <w:tblCellMar>
            <w:right w:w="108" w:type="dxa"/>
          </w:tblCellMar>
        </w:tblPrEx>
        <w:tc>
          <w:tcPr>
            <w:tcW w:w="0" w:type="auto"/>
            <w:hideMark/>
          </w:tcPr>
          <w:p w14:paraId="5E0BB48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Haemophilus influenzae type b</w:t>
            </w:r>
          </w:p>
        </w:tc>
        <w:tc>
          <w:tcPr>
            <w:tcW w:w="1362" w:type="dxa"/>
            <w:hideMark/>
          </w:tcPr>
          <w:p w14:paraId="021A7B8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No cases</w:t>
            </w:r>
          </w:p>
        </w:tc>
        <w:tc>
          <w:tcPr>
            <w:tcW w:w="1362" w:type="dxa"/>
            <w:hideMark/>
          </w:tcPr>
          <w:p w14:paraId="4D02095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3" w:type="dxa"/>
            <w:hideMark/>
          </w:tcPr>
          <w:p w14:paraId="622D2EE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2" w:type="dxa"/>
            <w:hideMark/>
          </w:tcPr>
          <w:p w14:paraId="7A6CBAF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2" w:type="dxa"/>
            <w:hideMark/>
          </w:tcPr>
          <w:p w14:paraId="384D834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No cases</w:t>
            </w:r>
          </w:p>
        </w:tc>
        <w:tc>
          <w:tcPr>
            <w:tcW w:w="1363" w:type="dxa"/>
            <w:hideMark/>
          </w:tcPr>
          <w:p w14:paraId="10B203D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No cases</w:t>
            </w:r>
          </w:p>
        </w:tc>
        <w:tc>
          <w:tcPr>
            <w:tcW w:w="1362" w:type="dxa"/>
            <w:hideMark/>
          </w:tcPr>
          <w:p w14:paraId="184A797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2" w:type="dxa"/>
            <w:hideMark/>
          </w:tcPr>
          <w:p w14:paraId="7C23B28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3" w:type="dxa"/>
            <w:hideMark/>
          </w:tcPr>
          <w:p w14:paraId="0086055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lang w:val="en-US"/>
              </w:rPr>
              <w:t>100</w:t>
            </w:r>
          </w:p>
        </w:tc>
      </w:tr>
      <w:tr w:rsidR="00BE61A2" w:rsidRPr="00374CC9" w14:paraId="4BA231DF" w14:textId="77777777" w:rsidTr="00E627AF">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8017BF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Hepatitis A</w:t>
            </w:r>
          </w:p>
        </w:tc>
        <w:tc>
          <w:tcPr>
            <w:tcW w:w="1362" w:type="dxa"/>
            <w:hideMark/>
          </w:tcPr>
          <w:p w14:paraId="1BFC94F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2" w:type="dxa"/>
            <w:hideMark/>
          </w:tcPr>
          <w:p w14:paraId="43EBCA1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99</w:t>
            </w:r>
          </w:p>
        </w:tc>
        <w:tc>
          <w:tcPr>
            <w:tcW w:w="1363" w:type="dxa"/>
            <w:hideMark/>
          </w:tcPr>
          <w:p w14:paraId="47B549B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2" w:type="dxa"/>
            <w:hideMark/>
          </w:tcPr>
          <w:p w14:paraId="10DAF95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91</w:t>
            </w:r>
          </w:p>
        </w:tc>
        <w:tc>
          <w:tcPr>
            <w:tcW w:w="1362" w:type="dxa"/>
            <w:hideMark/>
          </w:tcPr>
          <w:p w14:paraId="3B9CF12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3" w:type="dxa"/>
            <w:hideMark/>
          </w:tcPr>
          <w:p w14:paraId="0EDC178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2" w:type="dxa"/>
            <w:hideMark/>
          </w:tcPr>
          <w:p w14:paraId="2C7F258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97</w:t>
            </w:r>
          </w:p>
        </w:tc>
        <w:tc>
          <w:tcPr>
            <w:tcW w:w="1362" w:type="dxa"/>
            <w:hideMark/>
          </w:tcPr>
          <w:p w14:paraId="24D0831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3" w:type="dxa"/>
            <w:hideMark/>
          </w:tcPr>
          <w:p w14:paraId="6E40EBC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lang w:val="en-US"/>
              </w:rPr>
              <w:t>97</w:t>
            </w:r>
          </w:p>
        </w:tc>
      </w:tr>
      <w:tr w:rsidR="00BE61A2" w:rsidRPr="00374CC9" w14:paraId="29224E4B" w14:textId="77777777" w:rsidTr="00E627AF">
        <w:tblPrEx>
          <w:tblCellMar>
            <w:right w:w="108" w:type="dxa"/>
          </w:tblCellMar>
        </w:tblPrEx>
        <w:tc>
          <w:tcPr>
            <w:tcW w:w="0" w:type="auto"/>
            <w:hideMark/>
          </w:tcPr>
          <w:p w14:paraId="2860062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Hepatitis B (newly acquired)</w:t>
            </w:r>
          </w:p>
        </w:tc>
        <w:tc>
          <w:tcPr>
            <w:tcW w:w="1362" w:type="dxa"/>
            <w:hideMark/>
          </w:tcPr>
          <w:p w14:paraId="06D93E0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No cases</w:t>
            </w:r>
          </w:p>
        </w:tc>
        <w:tc>
          <w:tcPr>
            <w:tcW w:w="1362" w:type="dxa"/>
            <w:hideMark/>
          </w:tcPr>
          <w:p w14:paraId="572DFC1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97</w:t>
            </w:r>
          </w:p>
        </w:tc>
        <w:tc>
          <w:tcPr>
            <w:tcW w:w="1363" w:type="dxa"/>
            <w:hideMark/>
          </w:tcPr>
          <w:p w14:paraId="1A2D053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2" w:type="dxa"/>
            <w:hideMark/>
          </w:tcPr>
          <w:p w14:paraId="4C2E5A1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84</w:t>
            </w:r>
          </w:p>
        </w:tc>
        <w:tc>
          <w:tcPr>
            <w:tcW w:w="1362" w:type="dxa"/>
            <w:hideMark/>
          </w:tcPr>
          <w:p w14:paraId="2943CE6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3" w:type="dxa"/>
            <w:hideMark/>
          </w:tcPr>
          <w:p w14:paraId="2952CE7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2" w:type="dxa"/>
            <w:hideMark/>
          </w:tcPr>
          <w:p w14:paraId="68C68A4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93</w:t>
            </w:r>
          </w:p>
        </w:tc>
        <w:tc>
          <w:tcPr>
            <w:tcW w:w="1362" w:type="dxa"/>
            <w:hideMark/>
          </w:tcPr>
          <w:p w14:paraId="23B3E61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3" w:type="dxa"/>
            <w:hideMark/>
          </w:tcPr>
          <w:p w14:paraId="478DE1F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lang w:val="en-US"/>
              </w:rPr>
              <w:t>93</w:t>
            </w:r>
          </w:p>
        </w:tc>
      </w:tr>
      <w:tr w:rsidR="00BE61A2" w:rsidRPr="00374CC9" w14:paraId="742BFFE7" w14:textId="77777777" w:rsidTr="00E627AF">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422685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Hepatitis C (newly acquired)</w:t>
            </w:r>
          </w:p>
        </w:tc>
        <w:tc>
          <w:tcPr>
            <w:tcW w:w="1362" w:type="dxa"/>
            <w:hideMark/>
          </w:tcPr>
          <w:p w14:paraId="570A9EC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92</w:t>
            </w:r>
          </w:p>
        </w:tc>
        <w:tc>
          <w:tcPr>
            <w:tcW w:w="1362" w:type="dxa"/>
            <w:hideMark/>
          </w:tcPr>
          <w:p w14:paraId="4D7B620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96</w:t>
            </w:r>
          </w:p>
        </w:tc>
        <w:tc>
          <w:tcPr>
            <w:tcW w:w="1363" w:type="dxa"/>
            <w:hideMark/>
          </w:tcPr>
          <w:p w14:paraId="116CD04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2" w:type="dxa"/>
            <w:hideMark/>
          </w:tcPr>
          <w:p w14:paraId="167E376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NN</w:t>
            </w:r>
          </w:p>
        </w:tc>
        <w:tc>
          <w:tcPr>
            <w:tcW w:w="1362" w:type="dxa"/>
            <w:hideMark/>
          </w:tcPr>
          <w:p w14:paraId="0320A34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3" w:type="dxa"/>
            <w:hideMark/>
          </w:tcPr>
          <w:p w14:paraId="162445A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96</w:t>
            </w:r>
          </w:p>
        </w:tc>
        <w:tc>
          <w:tcPr>
            <w:tcW w:w="1362" w:type="dxa"/>
            <w:hideMark/>
          </w:tcPr>
          <w:p w14:paraId="08915C1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86</w:t>
            </w:r>
          </w:p>
        </w:tc>
        <w:tc>
          <w:tcPr>
            <w:tcW w:w="1362" w:type="dxa"/>
            <w:hideMark/>
          </w:tcPr>
          <w:p w14:paraId="4B85790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3" w:type="dxa"/>
            <w:hideMark/>
          </w:tcPr>
          <w:p w14:paraId="5A7FCEC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lang w:val="en-US"/>
              </w:rPr>
              <w:t>95</w:t>
            </w:r>
          </w:p>
        </w:tc>
      </w:tr>
      <w:tr w:rsidR="00BE61A2" w:rsidRPr="00374CC9" w14:paraId="2E679482" w14:textId="77777777" w:rsidTr="00E627AF">
        <w:tblPrEx>
          <w:tblCellMar>
            <w:right w:w="108" w:type="dxa"/>
          </w:tblCellMar>
        </w:tblPrEx>
        <w:tc>
          <w:tcPr>
            <w:tcW w:w="0" w:type="auto"/>
            <w:hideMark/>
          </w:tcPr>
          <w:p w14:paraId="570544C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Leprosy</w:t>
            </w:r>
          </w:p>
        </w:tc>
        <w:tc>
          <w:tcPr>
            <w:tcW w:w="1362" w:type="dxa"/>
            <w:hideMark/>
          </w:tcPr>
          <w:p w14:paraId="002CED9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No cases</w:t>
            </w:r>
          </w:p>
        </w:tc>
        <w:tc>
          <w:tcPr>
            <w:tcW w:w="1362" w:type="dxa"/>
            <w:hideMark/>
          </w:tcPr>
          <w:p w14:paraId="56A3D5D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3" w:type="dxa"/>
            <w:hideMark/>
          </w:tcPr>
          <w:p w14:paraId="6650132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2" w:type="dxa"/>
            <w:hideMark/>
          </w:tcPr>
          <w:p w14:paraId="28FB397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lang w:val="en-US"/>
              </w:rPr>
              <w:t>100</w:t>
            </w:r>
          </w:p>
        </w:tc>
        <w:tc>
          <w:tcPr>
            <w:tcW w:w="1362" w:type="dxa"/>
            <w:hideMark/>
          </w:tcPr>
          <w:p w14:paraId="48D8B84A" w14:textId="77777777" w:rsidR="00BE61A2" w:rsidRPr="00374CC9" w:rsidRDefault="00BE61A2">
            <w:pPr>
              <w:rPr>
                <w:rFonts w:asciiTheme="minorHAnsi" w:eastAsia="Times New Roman" w:hAnsiTheme="minorHAnsi"/>
                <w:sz w:val="18"/>
                <w:szCs w:val="18"/>
              </w:rPr>
            </w:pPr>
          </w:p>
        </w:tc>
        <w:tc>
          <w:tcPr>
            <w:tcW w:w="1363" w:type="dxa"/>
            <w:hideMark/>
          </w:tcPr>
          <w:p w14:paraId="3D22C6D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No cases</w:t>
            </w:r>
          </w:p>
        </w:tc>
        <w:tc>
          <w:tcPr>
            <w:tcW w:w="1362" w:type="dxa"/>
            <w:hideMark/>
          </w:tcPr>
          <w:p w14:paraId="7A33561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2" w:type="dxa"/>
            <w:hideMark/>
          </w:tcPr>
          <w:p w14:paraId="1E7B63D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3" w:type="dxa"/>
            <w:hideMark/>
          </w:tcPr>
          <w:p w14:paraId="7EB2DA2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lang w:val="en-US"/>
              </w:rPr>
              <w:t>100</w:t>
            </w:r>
          </w:p>
        </w:tc>
      </w:tr>
      <w:tr w:rsidR="00BE61A2" w:rsidRPr="00374CC9" w14:paraId="2DAA3A08" w14:textId="77777777" w:rsidTr="00E627AF">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6B91BC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Measles</w:t>
            </w:r>
          </w:p>
        </w:tc>
        <w:tc>
          <w:tcPr>
            <w:tcW w:w="1362" w:type="dxa"/>
            <w:hideMark/>
          </w:tcPr>
          <w:p w14:paraId="166AEE3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2" w:type="dxa"/>
            <w:hideMark/>
          </w:tcPr>
          <w:p w14:paraId="1F40AC4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3" w:type="dxa"/>
            <w:hideMark/>
          </w:tcPr>
          <w:p w14:paraId="0F1E483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No cases</w:t>
            </w:r>
          </w:p>
        </w:tc>
        <w:tc>
          <w:tcPr>
            <w:tcW w:w="1362" w:type="dxa"/>
            <w:hideMark/>
          </w:tcPr>
          <w:p w14:paraId="17C5E5D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2" w:type="dxa"/>
            <w:hideMark/>
          </w:tcPr>
          <w:p w14:paraId="1E100E6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3" w:type="dxa"/>
            <w:hideMark/>
          </w:tcPr>
          <w:p w14:paraId="6904507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No cases</w:t>
            </w:r>
          </w:p>
        </w:tc>
        <w:tc>
          <w:tcPr>
            <w:tcW w:w="1362" w:type="dxa"/>
            <w:hideMark/>
          </w:tcPr>
          <w:p w14:paraId="658FCC0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2" w:type="dxa"/>
            <w:hideMark/>
          </w:tcPr>
          <w:p w14:paraId="589330D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3" w:type="dxa"/>
            <w:hideMark/>
          </w:tcPr>
          <w:p w14:paraId="21C56B1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lang w:val="en-US"/>
              </w:rPr>
              <w:t>100</w:t>
            </w:r>
          </w:p>
        </w:tc>
      </w:tr>
      <w:tr w:rsidR="00BE61A2" w:rsidRPr="00374CC9" w14:paraId="7816D210" w14:textId="77777777" w:rsidTr="00E627AF">
        <w:tblPrEx>
          <w:tblCellMar>
            <w:right w:w="108" w:type="dxa"/>
          </w:tblCellMar>
        </w:tblPrEx>
        <w:tc>
          <w:tcPr>
            <w:tcW w:w="0" w:type="auto"/>
            <w:hideMark/>
          </w:tcPr>
          <w:p w14:paraId="7681153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Meningococcal disease (invasive)</w:t>
            </w:r>
          </w:p>
        </w:tc>
        <w:tc>
          <w:tcPr>
            <w:tcW w:w="1362" w:type="dxa"/>
            <w:hideMark/>
          </w:tcPr>
          <w:p w14:paraId="5118477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2" w:type="dxa"/>
            <w:hideMark/>
          </w:tcPr>
          <w:p w14:paraId="2B7B2BC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98</w:t>
            </w:r>
          </w:p>
        </w:tc>
        <w:tc>
          <w:tcPr>
            <w:tcW w:w="1363" w:type="dxa"/>
            <w:hideMark/>
          </w:tcPr>
          <w:p w14:paraId="2F4C237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2" w:type="dxa"/>
            <w:hideMark/>
          </w:tcPr>
          <w:p w14:paraId="16F8D3A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2" w:type="dxa"/>
            <w:hideMark/>
          </w:tcPr>
          <w:p w14:paraId="62DCCEE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3" w:type="dxa"/>
            <w:hideMark/>
          </w:tcPr>
          <w:p w14:paraId="4BFABCA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2" w:type="dxa"/>
            <w:hideMark/>
          </w:tcPr>
          <w:p w14:paraId="6D241DB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96</w:t>
            </w:r>
          </w:p>
        </w:tc>
        <w:tc>
          <w:tcPr>
            <w:tcW w:w="1362" w:type="dxa"/>
            <w:hideMark/>
          </w:tcPr>
          <w:p w14:paraId="1D96026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3" w:type="dxa"/>
            <w:hideMark/>
          </w:tcPr>
          <w:p w14:paraId="1EE5FC9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lang w:val="en-US"/>
              </w:rPr>
              <w:t>98</w:t>
            </w:r>
          </w:p>
        </w:tc>
      </w:tr>
      <w:tr w:rsidR="00BE61A2" w:rsidRPr="00374CC9" w14:paraId="29AA8BBA" w14:textId="77777777" w:rsidTr="00E627AF">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E85A10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Pertussis &lt; 5 years</w:t>
            </w:r>
          </w:p>
        </w:tc>
        <w:tc>
          <w:tcPr>
            <w:tcW w:w="1362" w:type="dxa"/>
            <w:hideMark/>
          </w:tcPr>
          <w:p w14:paraId="077F751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97</w:t>
            </w:r>
          </w:p>
        </w:tc>
        <w:tc>
          <w:tcPr>
            <w:tcW w:w="1362" w:type="dxa"/>
            <w:hideMark/>
          </w:tcPr>
          <w:p w14:paraId="3FBAD9C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93</w:t>
            </w:r>
          </w:p>
        </w:tc>
        <w:tc>
          <w:tcPr>
            <w:tcW w:w="1363" w:type="dxa"/>
            <w:hideMark/>
          </w:tcPr>
          <w:p w14:paraId="7E408D0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2" w:type="dxa"/>
            <w:hideMark/>
          </w:tcPr>
          <w:p w14:paraId="0D6EAC5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99</w:t>
            </w:r>
          </w:p>
        </w:tc>
        <w:tc>
          <w:tcPr>
            <w:tcW w:w="1362" w:type="dxa"/>
            <w:hideMark/>
          </w:tcPr>
          <w:p w14:paraId="69D76AC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3" w:type="dxa"/>
            <w:hideMark/>
          </w:tcPr>
          <w:p w14:paraId="08289CA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83</w:t>
            </w:r>
          </w:p>
        </w:tc>
        <w:tc>
          <w:tcPr>
            <w:tcW w:w="1362" w:type="dxa"/>
            <w:hideMark/>
          </w:tcPr>
          <w:p w14:paraId="190E814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74</w:t>
            </w:r>
          </w:p>
        </w:tc>
        <w:tc>
          <w:tcPr>
            <w:tcW w:w="1362" w:type="dxa"/>
            <w:hideMark/>
          </w:tcPr>
          <w:p w14:paraId="5C81FC4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93</w:t>
            </w:r>
          </w:p>
        </w:tc>
        <w:tc>
          <w:tcPr>
            <w:tcW w:w="1363" w:type="dxa"/>
            <w:hideMark/>
          </w:tcPr>
          <w:p w14:paraId="01B8CD5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lang w:val="en-US"/>
              </w:rPr>
              <w:t>91</w:t>
            </w:r>
          </w:p>
        </w:tc>
      </w:tr>
      <w:tr w:rsidR="00BE61A2" w:rsidRPr="00374CC9" w14:paraId="19428B01" w14:textId="77777777" w:rsidTr="00E627AF">
        <w:tblPrEx>
          <w:tblCellMar>
            <w:right w:w="108" w:type="dxa"/>
          </w:tblCellMar>
        </w:tblPrEx>
        <w:tc>
          <w:tcPr>
            <w:tcW w:w="0" w:type="auto"/>
            <w:hideMark/>
          </w:tcPr>
          <w:p w14:paraId="0EBF217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Pneumococcal disease &lt; 5 years</w:t>
            </w:r>
          </w:p>
        </w:tc>
        <w:tc>
          <w:tcPr>
            <w:tcW w:w="1362" w:type="dxa"/>
            <w:hideMark/>
          </w:tcPr>
          <w:p w14:paraId="5574646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2" w:type="dxa"/>
            <w:hideMark/>
          </w:tcPr>
          <w:p w14:paraId="6D3C421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3" w:type="dxa"/>
            <w:hideMark/>
          </w:tcPr>
          <w:p w14:paraId="3BBF7C0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2" w:type="dxa"/>
            <w:hideMark/>
          </w:tcPr>
          <w:p w14:paraId="3C065AD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2" w:type="dxa"/>
            <w:hideMark/>
          </w:tcPr>
          <w:p w14:paraId="5AD776F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3" w:type="dxa"/>
            <w:hideMark/>
          </w:tcPr>
          <w:p w14:paraId="16FCD16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2" w:type="dxa"/>
            <w:hideMark/>
          </w:tcPr>
          <w:p w14:paraId="7BFA422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89</w:t>
            </w:r>
          </w:p>
        </w:tc>
        <w:tc>
          <w:tcPr>
            <w:tcW w:w="1362" w:type="dxa"/>
            <w:hideMark/>
          </w:tcPr>
          <w:p w14:paraId="4AC95F1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3" w:type="dxa"/>
            <w:hideMark/>
          </w:tcPr>
          <w:p w14:paraId="2A51A56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lang w:val="en-US"/>
              </w:rPr>
              <w:t>98</w:t>
            </w:r>
          </w:p>
        </w:tc>
      </w:tr>
      <w:tr w:rsidR="00BE61A2" w:rsidRPr="00374CC9" w14:paraId="33F2CE95" w14:textId="77777777" w:rsidTr="00E627AF">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8DB562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Pneumococcal disease ≥ 50 years</w:t>
            </w:r>
          </w:p>
        </w:tc>
        <w:tc>
          <w:tcPr>
            <w:tcW w:w="1362" w:type="dxa"/>
            <w:hideMark/>
          </w:tcPr>
          <w:p w14:paraId="0184867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2" w:type="dxa"/>
            <w:hideMark/>
          </w:tcPr>
          <w:p w14:paraId="5426249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99.7</w:t>
            </w:r>
          </w:p>
        </w:tc>
        <w:tc>
          <w:tcPr>
            <w:tcW w:w="1363" w:type="dxa"/>
            <w:hideMark/>
          </w:tcPr>
          <w:p w14:paraId="5657A88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2" w:type="dxa"/>
            <w:hideMark/>
          </w:tcPr>
          <w:p w14:paraId="7BE8196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96.5</w:t>
            </w:r>
          </w:p>
        </w:tc>
        <w:tc>
          <w:tcPr>
            <w:tcW w:w="1362" w:type="dxa"/>
            <w:hideMark/>
          </w:tcPr>
          <w:p w14:paraId="12237BA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3" w:type="dxa"/>
            <w:hideMark/>
          </w:tcPr>
          <w:p w14:paraId="764AA90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2" w:type="dxa"/>
            <w:hideMark/>
          </w:tcPr>
          <w:p w14:paraId="29434DB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92</w:t>
            </w:r>
          </w:p>
        </w:tc>
        <w:tc>
          <w:tcPr>
            <w:tcW w:w="1362" w:type="dxa"/>
            <w:hideMark/>
          </w:tcPr>
          <w:p w14:paraId="1608DC6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3" w:type="dxa"/>
            <w:hideMark/>
          </w:tcPr>
          <w:p w14:paraId="6CFCA92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lang w:val="en-US"/>
              </w:rPr>
              <w:t>97</w:t>
            </w:r>
          </w:p>
        </w:tc>
      </w:tr>
      <w:tr w:rsidR="00BE61A2" w:rsidRPr="00374CC9" w14:paraId="54F2BD73" w14:textId="77777777" w:rsidTr="00E627AF">
        <w:tblPrEx>
          <w:tblCellMar>
            <w:right w:w="108" w:type="dxa"/>
          </w:tblCellMar>
        </w:tblPrEx>
        <w:tc>
          <w:tcPr>
            <w:tcW w:w="0" w:type="auto"/>
            <w:hideMark/>
          </w:tcPr>
          <w:p w14:paraId="04EBFCA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Shigellosis</w:t>
            </w:r>
          </w:p>
        </w:tc>
        <w:tc>
          <w:tcPr>
            <w:tcW w:w="1362" w:type="dxa"/>
            <w:hideMark/>
          </w:tcPr>
          <w:p w14:paraId="6C475F7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85.7</w:t>
            </w:r>
          </w:p>
        </w:tc>
        <w:tc>
          <w:tcPr>
            <w:tcW w:w="1362" w:type="dxa"/>
            <w:hideMark/>
          </w:tcPr>
          <w:p w14:paraId="0925395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87.4</w:t>
            </w:r>
          </w:p>
        </w:tc>
        <w:tc>
          <w:tcPr>
            <w:tcW w:w="1363" w:type="dxa"/>
            <w:hideMark/>
          </w:tcPr>
          <w:p w14:paraId="74145BA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2" w:type="dxa"/>
            <w:hideMark/>
          </w:tcPr>
          <w:p w14:paraId="4C0CC1E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84.5</w:t>
            </w:r>
          </w:p>
        </w:tc>
        <w:tc>
          <w:tcPr>
            <w:tcW w:w="1362" w:type="dxa"/>
            <w:hideMark/>
          </w:tcPr>
          <w:p w14:paraId="20768EC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3" w:type="dxa"/>
            <w:hideMark/>
          </w:tcPr>
          <w:p w14:paraId="7F516C4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2" w:type="dxa"/>
            <w:hideMark/>
          </w:tcPr>
          <w:p w14:paraId="71B3816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82</w:t>
            </w:r>
          </w:p>
        </w:tc>
        <w:tc>
          <w:tcPr>
            <w:tcW w:w="1362" w:type="dxa"/>
            <w:hideMark/>
          </w:tcPr>
          <w:p w14:paraId="0E796E9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3" w:type="dxa"/>
            <w:hideMark/>
          </w:tcPr>
          <w:p w14:paraId="63948D0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lang w:val="en-US"/>
              </w:rPr>
              <w:t>88</w:t>
            </w:r>
          </w:p>
        </w:tc>
      </w:tr>
      <w:tr w:rsidR="00BE61A2" w:rsidRPr="00374CC9" w14:paraId="0FA84451" w14:textId="77777777" w:rsidTr="00E627AF">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F5ACD4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Syphilis &lt; 2 years</w:t>
            </w:r>
          </w:p>
        </w:tc>
        <w:tc>
          <w:tcPr>
            <w:tcW w:w="1362" w:type="dxa"/>
            <w:hideMark/>
          </w:tcPr>
          <w:p w14:paraId="5982EBB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2" w:type="dxa"/>
            <w:hideMark/>
          </w:tcPr>
          <w:p w14:paraId="0E99EFA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85.9</w:t>
            </w:r>
          </w:p>
        </w:tc>
        <w:tc>
          <w:tcPr>
            <w:tcW w:w="1363" w:type="dxa"/>
            <w:hideMark/>
          </w:tcPr>
          <w:p w14:paraId="428B8C2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2" w:type="dxa"/>
            <w:hideMark/>
          </w:tcPr>
          <w:p w14:paraId="7E8D37C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97.5</w:t>
            </w:r>
          </w:p>
        </w:tc>
        <w:tc>
          <w:tcPr>
            <w:tcW w:w="1362" w:type="dxa"/>
            <w:hideMark/>
          </w:tcPr>
          <w:p w14:paraId="0AA24F5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3" w:type="dxa"/>
            <w:hideMark/>
          </w:tcPr>
          <w:p w14:paraId="0FCAD2B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2" w:type="dxa"/>
            <w:hideMark/>
          </w:tcPr>
          <w:p w14:paraId="73017D1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86</w:t>
            </w:r>
          </w:p>
        </w:tc>
        <w:tc>
          <w:tcPr>
            <w:tcW w:w="1362" w:type="dxa"/>
            <w:hideMark/>
          </w:tcPr>
          <w:p w14:paraId="1B29667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3" w:type="dxa"/>
            <w:hideMark/>
          </w:tcPr>
          <w:p w14:paraId="1E4D1EE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lang w:val="en-US"/>
              </w:rPr>
              <w:t>91</w:t>
            </w:r>
          </w:p>
        </w:tc>
      </w:tr>
      <w:tr w:rsidR="00BE61A2" w:rsidRPr="00374CC9" w14:paraId="529ACE25" w14:textId="77777777" w:rsidTr="00E627AF">
        <w:tblPrEx>
          <w:tblCellMar>
            <w:right w:w="108" w:type="dxa"/>
          </w:tblCellMar>
        </w:tblPrEx>
        <w:tc>
          <w:tcPr>
            <w:tcW w:w="0" w:type="auto"/>
            <w:hideMark/>
          </w:tcPr>
          <w:p w14:paraId="45517F3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Tuberculosis</w:t>
            </w:r>
          </w:p>
        </w:tc>
        <w:tc>
          <w:tcPr>
            <w:tcW w:w="1362" w:type="dxa"/>
            <w:hideMark/>
          </w:tcPr>
          <w:p w14:paraId="628A25C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2" w:type="dxa"/>
            <w:hideMark/>
          </w:tcPr>
          <w:p w14:paraId="68D7A04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98</w:t>
            </w:r>
          </w:p>
        </w:tc>
        <w:tc>
          <w:tcPr>
            <w:tcW w:w="1363" w:type="dxa"/>
            <w:hideMark/>
          </w:tcPr>
          <w:p w14:paraId="332D8A7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2" w:type="dxa"/>
            <w:hideMark/>
          </w:tcPr>
          <w:p w14:paraId="752668B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2" w:type="dxa"/>
            <w:hideMark/>
          </w:tcPr>
          <w:p w14:paraId="5D8C6B7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3" w:type="dxa"/>
            <w:hideMark/>
          </w:tcPr>
          <w:p w14:paraId="6F0330D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2" w:type="dxa"/>
            <w:hideMark/>
          </w:tcPr>
          <w:p w14:paraId="68763B1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2" w:type="dxa"/>
            <w:hideMark/>
          </w:tcPr>
          <w:p w14:paraId="1AC5D32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363" w:type="dxa"/>
            <w:hideMark/>
          </w:tcPr>
          <w:p w14:paraId="3243157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lang w:val="en-US"/>
              </w:rPr>
              <w:t>99</w:t>
            </w:r>
          </w:p>
        </w:tc>
      </w:tr>
    </w:tbl>
    <w:p w14:paraId="17E33477" w14:textId="77777777" w:rsidR="00BF2294" w:rsidRDefault="00BF2294" w:rsidP="00AE2F1B">
      <w:pPr>
        <w:sectPr w:rsidR="00BF2294" w:rsidSect="00330792">
          <w:pgSz w:w="16838" w:h="11906" w:orient="landscape"/>
          <w:pgMar w:top="720" w:right="720" w:bottom="720" w:left="1134" w:header="709" w:footer="284" w:gutter="0"/>
          <w:cols w:space="708"/>
          <w:titlePg/>
          <w:docGrid w:linePitch="360"/>
        </w:sectPr>
      </w:pPr>
    </w:p>
    <w:p w14:paraId="0260769A" w14:textId="77777777" w:rsidR="00BE61A2" w:rsidRPr="00AE2F1B" w:rsidRDefault="00BE61A2" w:rsidP="00AE2F1B">
      <w:r w:rsidRPr="00AE2F1B">
        <w:lastRenderedPageBreak/>
        <w:t xml:space="preserve">In 2015, 16 of the 17 priority diseases were notified to NNDSS. Of the 16 notified, 11 had an Indigenous completeness that exceeded 95% (congenital syphilis, dengue virus (locally acquired), </w:t>
      </w:r>
      <w:r w:rsidRPr="00DF12AB">
        <w:rPr>
          <w:rStyle w:val="Emphasis"/>
          <w:b w:val="0"/>
        </w:rPr>
        <w:t>Haemophilus influenzae</w:t>
      </w:r>
      <w:r w:rsidRPr="00AE2F1B">
        <w:t xml:space="preserve"> type b, hepatitis A, hepatitis C (newly acquired), leprosy, measles, meningococcal infection, pneumococcal disease &lt; 5 years, pneumococcal disease ≥ 50 years, and tuberculosis). While pertussis &lt; 5 years notifications are still below the 95% threshold there has been a notable improvement in the completeness of Indigenous identification. From 2004 to 2014 the average completeness was 83% with the highest completeness in this period 86%, in 2013. In 2015 the completeness was 91%.</w:t>
      </w:r>
    </w:p>
    <w:p w14:paraId="49B29C5B" w14:textId="77777777" w:rsidR="00BE61A2" w:rsidRPr="004E056D" w:rsidRDefault="00BE61A2" w:rsidP="004E056D">
      <w:pPr>
        <w:pStyle w:val="Heading2"/>
      </w:pPr>
      <w:bookmarkStart w:id="8" w:name="_Toc1747162"/>
      <w:r w:rsidRPr="004E056D">
        <w:rPr>
          <w:bCs w:val="0"/>
          <w:sz w:val="27"/>
          <w:szCs w:val="27"/>
        </w:rPr>
        <w:t>Place of acquisition</w:t>
      </w:r>
      <w:bookmarkEnd w:id="8"/>
    </w:p>
    <w:p w14:paraId="6425218E" w14:textId="77777777" w:rsidR="00BE61A2" w:rsidRPr="00AE2F1B" w:rsidRDefault="00BE61A2" w:rsidP="00AE2F1B">
      <w:r w:rsidRPr="00AE2F1B">
        <w:t>The place of acquisition is where the disease is determined to have been acquired, either locally or overseas. This information is usually obtained through public health follow-up. Follow-up, and thus completeness, varies by disease and by jurisdiction. It is not possible to follow up all cases for diseases with a large volume of notifications. Place of acquisition is not usually completed for diseases unless overseas travel is known to be a risk factor. In this analysis a notification is considered to be complete where a valid SACC is used; this includes values for ‘not stated’. This differs from where the aim of the analysis on place of acquisition is to determine whether a disease has been acquired either locally or overseas.</w:t>
      </w:r>
    </w:p>
    <w:p w14:paraId="7F8534E6" w14:textId="77777777" w:rsidR="00BE61A2" w:rsidRPr="00AE2F1B" w:rsidRDefault="00BE61A2" w:rsidP="00AE2F1B">
      <w:r w:rsidRPr="00AE2F1B">
        <w:t>Through the NSC, jurisdictions have agreed that completeness for place of acquisition should be 100% for the following 32 priority diseases:</w:t>
      </w:r>
    </w:p>
    <w:p w14:paraId="344B6679" w14:textId="77777777" w:rsidR="00BE61A2" w:rsidRPr="00400BAA" w:rsidRDefault="00BE61A2" w:rsidP="00400BAA">
      <w:pPr>
        <w:pStyle w:val="ListParagraph"/>
        <w:numPr>
          <w:ilvl w:val="0"/>
          <w:numId w:val="41"/>
        </w:numPr>
        <w:rPr>
          <w:rFonts w:eastAsia="Times New Roman"/>
        </w:rPr>
      </w:pPr>
      <w:r w:rsidRPr="00400BAA">
        <w:rPr>
          <w:rFonts w:eastAsia="Times New Roman"/>
        </w:rPr>
        <w:t xml:space="preserve">anthrax </w:t>
      </w:r>
    </w:p>
    <w:p w14:paraId="4BA700CE" w14:textId="77777777" w:rsidR="00BE61A2" w:rsidRPr="00400BAA" w:rsidRDefault="00BE61A2" w:rsidP="00400BAA">
      <w:pPr>
        <w:pStyle w:val="ListParagraph"/>
        <w:numPr>
          <w:ilvl w:val="0"/>
          <w:numId w:val="41"/>
        </w:numPr>
        <w:rPr>
          <w:rFonts w:eastAsia="Times New Roman"/>
        </w:rPr>
      </w:pPr>
      <w:r w:rsidRPr="00400BAA">
        <w:rPr>
          <w:rFonts w:eastAsia="Times New Roman"/>
        </w:rPr>
        <w:t xml:space="preserve">brucellosis </w:t>
      </w:r>
    </w:p>
    <w:p w14:paraId="60D6B84C" w14:textId="77777777" w:rsidR="00BE61A2" w:rsidRPr="00400BAA" w:rsidRDefault="00BE61A2" w:rsidP="00400BAA">
      <w:pPr>
        <w:pStyle w:val="ListParagraph"/>
        <w:numPr>
          <w:ilvl w:val="0"/>
          <w:numId w:val="41"/>
        </w:numPr>
        <w:rPr>
          <w:rFonts w:eastAsia="Times New Roman"/>
        </w:rPr>
      </w:pPr>
      <w:r w:rsidRPr="00400BAA">
        <w:rPr>
          <w:rFonts w:eastAsia="Times New Roman"/>
        </w:rPr>
        <w:t xml:space="preserve">chikungunya virus infection </w:t>
      </w:r>
    </w:p>
    <w:p w14:paraId="2869372B" w14:textId="77777777" w:rsidR="00BE61A2" w:rsidRPr="00400BAA" w:rsidRDefault="00BE61A2" w:rsidP="00400BAA">
      <w:pPr>
        <w:pStyle w:val="ListParagraph"/>
        <w:numPr>
          <w:ilvl w:val="0"/>
          <w:numId w:val="41"/>
        </w:numPr>
        <w:rPr>
          <w:rFonts w:eastAsia="Times New Roman"/>
        </w:rPr>
      </w:pPr>
      <w:r w:rsidRPr="00400BAA">
        <w:rPr>
          <w:rFonts w:eastAsia="Times New Roman"/>
        </w:rPr>
        <w:t xml:space="preserve">cholera </w:t>
      </w:r>
    </w:p>
    <w:p w14:paraId="67763440" w14:textId="77777777" w:rsidR="00BE61A2" w:rsidRPr="00400BAA" w:rsidRDefault="00BE61A2" w:rsidP="00400BAA">
      <w:pPr>
        <w:pStyle w:val="ListParagraph"/>
        <w:numPr>
          <w:ilvl w:val="0"/>
          <w:numId w:val="41"/>
        </w:numPr>
        <w:rPr>
          <w:rFonts w:eastAsia="Times New Roman"/>
        </w:rPr>
      </w:pPr>
      <w:r w:rsidRPr="00400BAA">
        <w:rPr>
          <w:rFonts w:eastAsia="Times New Roman"/>
        </w:rPr>
        <w:t xml:space="preserve">dengue virus infection </w:t>
      </w:r>
    </w:p>
    <w:p w14:paraId="3CBF6DF7" w14:textId="77777777" w:rsidR="00BE61A2" w:rsidRPr="00400BAA" w:rsidRDefault="00BE61A2" w:rsidP="00400BAA">
      <w:pPr>
        <w:pStyle w:val="ListParagraph"/>
        <w:numPr>
          <w:ilvl w:val="0"/>
          <w:numId w:val="41"/>
        </w:numPr>
        <w:rPr>
          <w:rFonts w:eastAsia="Times New Roman"/>
        </w:rPr>
      </w:pPr>
      <w:r w:rsidRPr="00400BAA">
        <w:rPr>
          <w:rFonts w:eastAsia="Times New Roman"/>
        </w:rPr>
        <w:t xml:space="preserve">diphtheria </w:t>
      </w:r>
    </w:p>
    <w:p w14:paraId="16EA7A18" w14:textId="77777777" w:rsidR="00BE61A2" w:rsidRPr="00400BAA" w:rsidRDefault="00BE61A2" w:rsidP="00400BAA">
      <w:pPr>
        <w:pStyle w:val="ListParagraph"/>
        <w:numPr>
          <w:ilvl w:val="0"/>
          <w:numId w:val="41"/>
        </w:numPr>
        <w:rPr>
          <w:rFonts w:eastAsia="Times New Roman"/>
        </w:rPr>
      </w:pPr>
      <w:r w:rsidRPr="00400BAA">
        <w:rPr>
          <w:rFonts w:eastAsia="Times New Roman"/>
        </w:rPr>
        <w:t xml:space="preserve">flavivirus infection (unspecified) </w:t>
      </w:r>
    </w:p>
    <w:p w14:paraId="3C5AAAA2" w14:textId="77777777" w:rsidR="00BE61A2" w:rsidRPr="00400BAA" w:rsidRDefault="00BE61A2" w:rsidP="00400BAA">
      <w:pPr>
        <w:pStyle w:val="ListParagraph"/>
        <w:numPr>
          <w:ilvl w:val="0"/>
          <w:numId w:val="41"/>
        </w:numPr>
        <w:rPr>
          <w:rFonts w:eastAsia="Times New Roman"/>
        </w:rPr>
      </w:pPr>
      <w:r w:rsidRPr="00400BAA">
        <w:rPr>
          <w:rFonts w:eastAsia="Times New Roman"/>
        </w:rPr>
        <w:t xml:space="preserve">hepatitis A </w:t>
      </w:r>
    </w:p>
    <w:p w14:paraId="7D50E05D" w14:textId="77777777" w:rsidR="00BE61A2" w:rsidRPr="00400BAA" w:rsidRDefault="00BE61A2" w:rsidP="00400BAA">
      <w:pPr>
        <w:pStyle w:val="ListParagraph"/>
        <w:numPr>
          <w:ilvl w:val="0"/>
          <w:numId w:val="41"/>
        </w:numPr>
        <w:rPr>
          <w:rFonts w:eastAsia="Times New Roman"/>
        </w:rPr>
      </w:pPr>
      <w:r w:rsidRPr="00400BAA">
        <w:rPr>
          <w:rFonts w:eastAsia="Times New Roman"/>
        </w:rPr>
        <w:t xml:space="preserve">hepatitis B (newly acquired) </w:t>
      </w:r>
    </w:p>
    <w:p w14:paraId="22BC55FC" w14:textId="77777777" w:rsidR="00BE61A2" w:rsidRPr="00400BAA" w:rsidRDefault="00BE61A2" w:rsidP="00400BAA">
      <w:pPr>
        <w:pStyle w:val="ListParagraph"/>
        <w:numPr>
          <w:ilvl w:val="0"/>
          <w:numId w:val="41"/>
        </w:numPr>
        <w:rPr>
          <w:rFonts w:eastAsia="Times New Roman"/>
        </w:rPr>
      </w:pPr>
      <w:r w:rsidRPr="00400BAA">
        <w:rPr>
          <w:rFonts w:eastAsia="Times New Roman"/>
        </w:rPr>
        <w:t xml:space="preserve">hepatitis E </w:t>
      </w:r>
    </w:p>
    <w:p w14:paraId="2E3B6450" w14:textId="77777777" w:rsidR="00BE61A2" w:rsidRPr="00400BAA" w:rsidRDefault="00BE61A2" w:rsidP="00400BAA">
      <w:pPr>
        <w:pStyle w:val="ListParagraph"/>
        <w:numPr>
          <w:ilvl w:val="0"/>
          <w:numId w:val="41"/>
        </w:numPr>
        <w:rPr>
          <w:rFonts w:eastAsia="Times New Roman"/>
        </w:rPr>
      </w:pPr>
      <w:r w:rsidRPr="00400BAA">
        <w:rPr>
          <w:rFonts w:eastAsia="Times New Roman"/>
        </w:rPr>
        <w:t xml:space="preserve">highly Pathogenic Avian influenza in humans (HPAIH) </w:t>
      </w:r>
    </w:p>
    <w:p w14:paraId="37841AA5" w14:textId="77777777" w:rsidR="00BE61A2" w:rsidRPr="00400BAA" w:rsidRDefault="00BE61A2" w:rsidP="00400BAA">
      <w:pPr>
        <w:pStyle w:val="ListParagraph"/>
        <w:numPr>
          <w:ilvl w:val="0"/>
          <w:numId w:val="41"/>
        </w:numPr>
        <w:rPr>
          <w:rFonts w:eastAsia="Times New Roman"/>
        </w:rPr>
      </w:pPr>
      <w:r w:rsidRPr="00400BAA">
        <w:rPr>
          <w:rFonts w:eastAsia="Times New Roman"/>
        </w:rPr>
        <w:t xml:space="preserve">Japanese encephalitis virus infection </w:t>
      </w:r>
    </w:p>
    <w:p w14:paraId="61FEEDA7" w14:textId="77777777" w:rsidR="00BE61A2" w:rsidRPr="00400BAA" w:rsidRDefault="00BE61A2" w:rsidP="00400BAA">
      <w:pPr>
        <w:pStyle w:val="ListParagraph"/>
        <w:numPr>
          <w:ilvl w:val="0"/>
          <w:numId w:val="41"/>
        </w:numPr>
        <w:rPr>
          <w:rFonts w:eastAsia="Times New Roman"/>
        </w:rPr>
      </w:pPr>
      <w:proofErr w:type="spellStart"/>
      <w:r w:rsidRPr="00400BAA">
        <w:rPr>
          <w:rFonts w:eastAsia="Times New Roman"/>
        </w:rPr>
        <w:t>Kunjin</w:t>
      </w:r>
      <w:proofErr w:type="spellEnd"/>
      <w:r w:rsidRPr="00400BAA">
        <w:rPr>
          <w:rFonts w:eastAsia="Times New Roman"/>
        </w:rPr>
        <w:t xml:space="preserve"> virus / West Nile virus infection </w:t>
      </w:r>
    </w:p>
    <w:p w14:paraId="0BF004F9" w14:textId="77777777" w:rsidR="00BE61A2" w:rsidRPr="00400BAA" w:rsidRDefault="00BE61A2" w:rsidP="00400BAA">
      <w:pPr>
        <w:pStyle w:val="ListParagraph"/>
        <w:numPr>
          <w:ilvl w:val="0"/>
          <w:numId w:val="41"/>
        </w:numPr>
        <w:rPr>
          <w:rFonts w:eastAsia="Times New Roman"/>
        </w:rPr>
      </w:pPr>
      <w:r w:rsidRPr="00400BAA">
        <w:rPr>
          <w:rFonts w:eastAsia="Times New Roman"/>
        </w:rPr>
        <w:t xml:space="preserve">legionellosis </w:t>
      </w:r>
    </w:p>
    <w:p w14:paraId="11FB8E1D" w14:textId="77777777" w:rsidR="00BE61A2" w:rsidRPr="00400BAA" w:rsidRDefault="00BE61A2" w:rsidP="00400BAA">
      <w:pPr>
        <w:pStyle w:val="ListParagraph"/>
        <w:numPr>
          <w:ilvl w:val="0"/>
          <w:numId w:val="41"/>
        </w:numPr>
        <w:rPr>
          <w:rFonts w:eastAsia="Times New Roman"/>
        </w:rPr>
      </w:pPr>
      <w:r w:rsidRPr="00400BAA">
        <w:rPr>
          <w:rFonts w:eastAsia="Times New Roman"/>
        </w:rPr>
        <w:t xml:space="preserve">leprosy </w:t>
      </w:r>
    </w:p>
    <w:p w14:paraId="7A87B736" w14:textId="77777777" w:rsidR="00BE61A2" w:rsidRPr="00400BAA" w:rsidRDefault="00BE61A2" w:rsidP="00400BAA">
      <w:pPr>
        <w:pStyle w:val="ListParagraph"/>
        <w:numPr>
          <w:ilvl w:val="0"/>
          <w:numId w:val="41"/>
        </w:numPr>
        <w:rPr>
          <w:rFonts w:eastAsia="Times New Roman"/>
        </w:rPr>
      </w:pPr>
      <w:r w:rsidRPr="00400BAA">
        <w:rPr>
          <w:rFonts w:eastAsia="Times New Roman"/>
        </w:rPr>
        <w:t xml:space="preserve">malaria </w:t>
      </w:r>
    </w:p>
    <w:p w14:paraId="438C9A2A" w14:textId="77777777" w:rsidR="00BE61A2" w:rsidRPr="00400BAA" w:rsidRDefault="00BE61A2" w:rsidP="00400BAA">
      <w:pPr>
        <w:pStyle w:val="ListParagraph"/>
        <w:numPr>
          <w:ilvl w:val="0"/>
          <w:numId w:val="41"/>
        </w:numPr>
        <w:rPr>
          <w:rFonts w:eastAsia="Times New Roman"/>
        </w:rPr>
      </w:pPr>
      <w:r w:rsidRPr="00400BAA">
        <w:rPr>
          <w:rFonts w:eastAsia="Times New Roman"/>
        </w:rPr>
        <w:t xml:space="preserve">measles </w:t>
      </w:r>
    </w:p>
    <w:p w14:paraId="0403075E" w14:textId="77777777" w:rsidR="00BE61A2" w:rsidRPr="00400BAA" w:rsidRDefault="00BE61A2" w:rsidP="00400BAA">
      <w:pPr>
        <w:pStyle w:val="ListParagraph"/>
        <w:numPr>
          <w:ilvl w:val="0"/>
          <w:numId w:val="41"/>
        </w:numPr>
        <w:rPr>
          <w:rFonts w:eastAsia="Times New Roman"/>
        </w:rPr>
      </w:pPr>
      <w:r w:rsidRPr="00400BAA">
        <w:rPr>
          <w:rFonts w:eastAsia="Times New Roman"/>
        </w:rPr>
        <w:t>Middle East respiratory syndrome coronavirus (MERS-</w:t>
      </w:r>
      <w:proofErr w:type="spellStart"/>
      <w:r w:rsidRPr="00400BAA">
        <w:rPr>
          <w:rFonts w:eastAsia="Times New Roman"/>
        </w:rPr>
        <w:t>CoV</w:t>
      </w:r>
      <w:proofErr w:type="spellEnd"/>
      <w:r w:rsidRPr="00400BAA">
        <w:rPr>
          <w:rFonts w:eastAsia="Times New Roman"/>
        </w:rPr>
        <w:t xml:space="preserve">) </w:t>
      </w:r>
    </w:p>
    <w:p w14:paraId="033E46EB" w14:textId="77777777" w:rsidR="00BE61A2" w:rsidRPr="00400BAA" w:rsidRDefault="00BE61A2" w:rsidP="00400BAA">
      <w:pPr>
        <w:pStyle w:val="ListParagraph"/>
        <w:numPr>
          <w:ilvl w:val="0"/>
          <w:numId w:val="41"/>
        </w:numPr>
        <w:rPr>
          <w:rFonts w:eastAsia="Times New Roman"/>
        </w:rPr>
      </w:pPr>
      <w:r w:rsidRPr="00400BAA">
        <w:rPr>
          <w:rFonts w:eastAsia="Times New Roman"/>
        </w:rPr>
        <w:t xml:space="preserve">mumps </w:t>
      </w:r>
    </w:p>
    <w:p w14:paraId="07334778" w14:textId="77777777" w:rsidR="00BE61A2" w:rsidRPr="00400BAA" w:rsidRDefault="00BE61A2" w:rsidP="00400BAA">
      <w:pPr>
        <w:pStyle w:val="ListParagraph"/>
        <w:numPr>
          <w:ilvl w:val="0"/>
          <w:numId w:val="41"/>
        </w:numPr>
        <w:rPr>
          <w:rFonts w:eastAsia="Times New Roman"/>
        </w:rPr>
      </w:pPr>
      <w:r w:rsidRPr="00400BAA">
        <w:rPr>
          <w:rFonts w:eastAsia="Times New Roman"/>
        </w:rPr>
        <w:t xml:space="preserve">Murray Valley encephalitis virus infection </w:t>
      </w:r>
    </w:p>
    <w:p w14:paraId="55496C82" w14:textId="77777777" w:rsidR="00BE61A2" w:rsidRPr="00400BAA" w:rsidRDefault="00BE61A2" w:rsidP="00400BAA">
      <w:pPr>
        <w:pStyle w:val="ListParagraph"/>
        <w:numPr>
          <w:ilvl w:val="0"/>
          <w:numId w:val="41"/>
        </w:numPr>
        <w:rPr>
          <w:rFonts w:eastAsia="Times New Roman"/>
        </w:rPr>
      </w:pPr>
      <w:r w:rsidRPr="00400BAA">
        <w:rPr>
          <w:rFonts w:eastAsia="Times New Roman"/>
        </w:rPr>
        <w:t xml:space="preserve">plague </w:t>
      </w:r>
    </w:p>
    <w:p w14:paraId="7CD4A49C" w14:textId="77777777" w:rsidR="00BE61A2" w:rsidRPr="00400BAA" w:rsidRDefault="00BE61A2" w:rsidP="00400BAA">
      <w:pPr>
        <w:pStyle w:val="ListParagraph"/>
        <w:numPr>
          <w:ilvl w:val="0"/>
          <w:numId w:val="41"/>
        </w:numPr>
        <w:rPr>
          <w:rFonts w:eastAsia="Times New Roman"/>
        </w:rPr>
      </w:pPr>
      <w:r w:rsidRPr="00400BAA">
        <w:rPr>
          <w:rFonts w:eastAsia="Times New Roman"/>
        </w:rPr>
        <w:t xml:space="preserve">poliovirus infection </w:t>
      </w:r>
    </w:p>
    <w:p w14:paraId="04BBED16" w14:textId="77777777" w:rsidR="00BE61A2" w:rsidRPr="00400BAA" w:rsidRDefault="00BE61A2" w:rsidP="00400BAA">
      <w:pPr>
        <w:pStyle w:val="ListParagraph"/>
        <w:numPr>
          <w:ilvl w:val="0"/>
          <w:numId w:val="41"/>
        </w:numPr>
        <w:rPr>
          <w:rFonts w:eastAsia="Times New Roman"/>
        </w:rPr>
      </w:pPr>
      <w:r w:rsidRPr="00400BAA">
        <w:rPr>
          <w:rFonts w:eastAsia="Times New Roman"/>
        </w:rPr>
        <w:t xml:space="preserve">Q fever </w:t>
      </w:r>
    </w:p>
    <w:p w14:paraId="38831493" w14:textId="77777777" w:rsidR="00BE61A2" w:rsidRPr="00400BAA" w:rsidRDefault="00BE61A2" w:rsidP="00400BAA">
      <w:pPr>
        <w:pStyle w:val="ListParagraph"/>
        <w:numPr>
          <w:ilvl w:val="0"/>
          <w:numId w:val="41"/>
        </w:numPr>
        <w:rPr>
          <w:rFonts w:eastAsia="Times New Roman"/>
        </w:rPr>
      </w:pPr>
      <w:r w:rsidRPr="00400BAA">
        <w:rPr>
          <w:rFonts w:eastAsia="Times New Roman"/>
        </w:rPr>
        <w:t xml:space="preserve">rabies </w:t>
      </w:r>
    </w:p>
    <w:p w14:paraId="17B90BFE" w14:textId="77777777" w:rsidR="00BE61A2" w:rsidRPr="00400BAA" w:rsidRDefault="00BE61A2" w:rsidP="00400BAA">
      <w:pPr>
        <w:pStyle w:val="ListParagraph"/>
        <w:numPr>
          <w:ilvl w:val="0"/>
          <w:numId w:val="41"/>
        </w:numPr>
        <w:rPr>
          <w:rFonts w:eastAsia="Times New Roman"/>
        </w:rPr>
      </w:pPr>
      <w:r w:rsidRPr="00400BAA">
        <w:rPr>
          <w:rFonts w:eastAsia="Times New Roman"/>
        </w:rPr>
        <w:t xml:space="preserve">Rubella </w:t>
      </w:r>
    </w:p>
    <w:p w14:paraId="310DD8C8" w14:textId="77777777" w:rsidR="00BE61A2" w:rsidRPr="00400BAA" w:rsidRDefault="00BE61A2" w:rsidP="00400BAA">
      <w:pPr>
        <w:pStyle w:val="ListParagraph"/>
        <w:numPr>
          <w:ilvl w:val="0"/>
          <w:numId w:val="41"/>
        </w:numPr>
        <w:rPr>
          <w:rFonts w:eastAsia="Times New Roman"/>
        </w:rPr>
      </w:pPr>
      <w:r w:rsidRPr="00400BAA">
        <w:rPr>
          <w:rFonts w:eastAsia="Times New Roman"/>
        </w:rPr>
        <w:t xml:space="preserve">severe acute respiratory syndrome (SARS) </w:t>
      </w:r>
    </w:p>
    <w:p w14:paraId="7B422B66" w14:textId="77777777" w:rsidR="00BE61A2" w:rsidRPr="00400BAA" w:rsidRDefault="00BE61A2" w:rsidP="00400BAA">
      <w:pPr>
        <w:pStyle w:val="ListParagraph"/>
        <w:numPr>
          <w:ilvl w:val="0"/>
          <w:numId w:val="41"/>
        </w:numPr>
        <w:rPr>
          <w:rFonts w:eastAsia="Times New Roman"/>
        </w:rPr>
      </w:pPr>
      <w:r w:rsidRPr="00400BAA">
        <w:rPr>
          <w:rFonts w:eastAsia="Times New Roman"/>
        </w:rPr>
        <w:t xml:space="preserve">shigellosis </w:t>
      </w:r>
    </w:p>
    <w:p w14:paraId="3487D17B" w14:textId="77777777" w:rsidR="00BE61A2" w:rsidRPr="00400BAA" w:rsidRDefault="00BE61A2" w:rsidP="00400BAA">
      <w:pPr>
        <w:pStyle w:val="ListParagraph"/>
        <w:numPr>
          <w:ilvl w:val="0"/>
          <w:numId w:val="41"/>
        </w:numPr>
        <w:rPr>
          <w:rFonts w:eastAsia="Times New Roman"/>
        </w:rPr>
      </w:pPr>
      <w:r w:rsidRPr="00400BAA">
        <w:rPr>
          <w:rFonts w:eastAsia="Times New Roman"/>
        </w:rPr>
        <w:t xml:space="preserve">smallpox </w:t>
      </w:r>
    </w:p>
    <w:p w14:paraId="597C250A" w14:textId="77777777" w:rsidR="00BE61A2" w:rsidRPr="00400BAA" w:rsidRDefault="00BE61A2" w:rsidP="00400BAA">
      <w:pPr>
        <w:pStyle w:val="ListParagraph"/>
        <w:numPr>
          <w:ilvl w:val="0"/>
          <w:numId w:val="41"/>
        </w:numPr>
        <w:rPr>
          <w:rFonts w:eastAsia="Times New Roman"/>
        </w:rPr>
      </w:pPr>
      <w:r w:rsidRPr="00400BAA">
        <w:rPr>
          <w:rFonts w:eastAsia="Times New Roman"/>
        </w:rPr>
        <w:lastRenderedPageBreak/>
        <w:t xml:space="preserve">tularaemia </w:t>
      </w:r>
    </w:p>
    <w:p w14:paraId="0AA5C3CF" w14:textId="77777777" w:rsidR="00BE61A2" w:rsidRPr="00400BAA" w:rsidRDefault="00BE61A2" w:rsidP="00400BAA">
      <w:pPr>
        <w:pStyle w:val="ListParagraph"/>
        <w:numPr>
          <w:ilvl w:val="0"/>
          <w:numId w:val="41"/>
        </w:numPr>
        <w:rPr>
          <w:rFonts w:eastAsia="Times New Roman"/>
        </w:rPr>
      </w:pPr>
      <w:r w:rsidRPr="00400BAA">
        <w:rPr>
          <w:rFonts w:eastAsia="Times New Roman"/>
        </w:rPr>
        <w:t xml:space="preserve">typhoid fever </w:t>
      </w:r>
    </w:p>
    <w:p w14:paraId="14558124" w14:textId="77777777" w:rsidR="00BE61A2" w:rsidRPr="00400BAA" w:rsidRDefault="00BE61A2" w:rsidP="00400BAA">
      <w:pPr>
        <w:pStyle w:val="ListParagraph"/>
        <w:numPr>
          <w:ilvl w:val="0"/>
          <w:numId w:val="41"/>
        </w:numPr>
        <w:rPr>
          <w:rFonts w:eastAsia="Times New Roman"/>
        </w:rPr>
      </w:pPr>
      <w:r w:rsidRPr="00400BAA">
        <w:rPr>
          <w:rFonts w:eastAsia="Times New Roman"/>
        </w:rPr>
        <w:t xml:space="preserve">viral haemorrhagic fever (NEC) </w:t>
      </w:r>
    </w:p>
    <w:p w14:paraId="2F480A9C" w14:textId="77777777" w:rsidR="00BE61A2" w:rsidRPr="00400BAA" w:rsidRDefault="00BE61A2" w:rsidP="00400BAA">
      <w:pPr>
        <w:pStyle w:val="ListParagraph"/>
        <w:numPr>
          <w:ilvl w:val="0"/>
          <w:numId w:val="41"/>
        </w:numPr>
        <w:rPr>
          <w:rFonts w:eastAsia="Times New Roman"/>
        </w:rPr>
      </w:pPr>
      <w:r w:rsidRPr="00400BAA">
        <w:rPr>
          <w:rFonts w:eastAsia="Times New Roman"/>
        </w:rPr>
        <w:t xml:space="preserve">yellow fever </w:t>
      </w:r>
    </w:p>
    <w:p w14:paraId="79CBD5EA" w14:textId="77777777" w:rsidR="00BE61A2" w:rsidRPr="00AE2F1B" w:rsidRDefault="00BE61A2" w:rsidP="00AE2F1B">
      <w:r w:rsidRPr="00AE2F1B">
        <w:t xml:space="preserve">In 2015, 23 of the 32 priority diseases had cases notified to NNDSS. The overall completeness for place of acquisition for these diseases was 89%. The completeness was 100% in 2015 for 10 diseases: brucellosis, chikungunya virus infection, cholera, diphtheria, flavivirus infection (unspecified), Japanese encephalitis virus infection, </w:t>
      </w:r>
      <w:proofErr w:type="spellStart"/>
      <w:r w:rsidRPr="00AE2F1B">
        <w:t>Kunjin</w:t>
      </w:r>
      <w:proofErr w:type="spellEnd"/>
      <w:r w:rsidRPr="00AE2F1B">
        <w:t xml:space="preserve"> virus infection, leprosy, </w:t>
      </w:r>
      <w:proofErr w:type="gramStart"/>
      <w:r w:rsidRPr="00AE2F1B">
        <w:t>measles</w:t>
      </w:r>
      <w:proofErr w:type="gramEnd"/>
      <w:r w:rsidRPr="00AE2F1B">
        <w:t xml:space="preserve"> and Murray Valley encephalitis virus infection (Table 9). This is an improvement </w:t>
      </w:r>
      <w:proofErr w:type="gramStart"/>
      <w:r w:rsidRPr="00AE2F1B">
        <w:t>on</w:t>
      </w:r>
      <w:proofErr w:type="gramEnd"/>
      <w:r w:rsidRPr="00AE2F1B">
        <w:t xml:space="preserve"> 2014, when 5 priority diseases had 100% completeness for place of acquisition.</w:t>
      </w:r>
    </w:p>
    <w:p w14:paraId="1BDA6AA5" w14:textId="77777777" w:rsidR="00BB4C6B" w:rsidRDefault="00BB4C6B">
      <w:pPr>
        <w:rPr>
          <w:b/>
        </w:rPr>
      </w:pPr>
      <w:r>
        <w:br w:type="page"/>
      </w:r>
    </w:p>
    <w:p w14:paraId="253A0081" w14:textId="77777777" w:rsidR="00BE61A2" w:rsidRPr="00AE2F1B" w:rsidRDefault="00BE61A2" w:rsidP="00400BAA">
      <w:pPr>
        <w:pStyle w:val="CDIFigures"/>
      </w:pPr>
      <w:r w:rsidRPr="00AE2F1B">
        <w:lastRenderedPageBreak/>
        <w:t>Table 9: Percentage completeness of place of acquisition data for priority diseases</w:t>
      </w:r>
      <w:r w:rsidRPr="00AE2F1B">
        <w:rPr>
          <w:vertAlign w:val="superscript"/>
        </w:rPr>
        <w:t>*</w:t>
      </w:r>
      <w:r w:rsidRPr="00AE2F1B">
        <w:t xml:space="preserve"> in the National Notifiable Diseases Surveillance System, Australia, 2015</w:t>
      </w:r>
    </w:p>
    <w:tbl>
      <w:tblPr>
        <w:tblStyle w:val="CDI-StandardTable"/>
        <w:tblW w:w="0" w:type="auto"/>
        <w:tblCellMar>
          <w:top w:w="142" w:type="dxa"/>
          <w:left w:w="142" w:type="dxa"/>
          <w:bottom w:w="142" w:type="dxa"/>
        </w:tblCellMar>
        <w:tblLook w:val="04A0" w:firstRow="1" w:lastRow="0" w:firstColumn="1" w:lastColumn="0" w:noHBand="0" w:noVBand="1"/>
        <w:tblDescription w:val="This table shows the completeness of place of acquisition for diseases that have been identified as priority diseases and were notified to the National Notifiable Disease Surveillance System in 2010 to 2015.&#10;"/>
      </w:tblPr>
      <w:tblGrid>
        <w:gridCol w:w="3275"/>
        <w:gridCol w:w="1433"/>
        <w:gridCol w:w="1433"/>
        <w:gridCol w:w="1433"/>
        <w:gridCol w:w="1433"/>
        <w:gridCol w:w="1433"/>
      </w:tblGrid>
      <w:tr w:rsidR="00BE61A2" w:rsidRPr="00374CC9" w14:paraId="7B08D8A6" w14:textId="77777777" w:rsidTr="004D5C81">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3D32100F"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Disease</w:t>
            </w:r>
          </w:p>
        </w:tc>
        <w:tc>
          <w:tcPr>
            <w:tcW w:w="1433" w:type="dxa"/>
            <w:hideMark/>
          </w:tcPr>
          <w:p w14:paraId="449ED5F5"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2011</w:t>
            </w:r>
          </w:p>
        </w:tc>
        <w:tc>
          <w:tcPr>
            <w:tcW w:w="1433" w:type="dxa"/>
            <w:hideMark/>
          </w:tcPr>
          <w:p w14:paraId="1C82EEEC"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2012</w:t>
            </w:r>
          </w:p>
        </w:tc>
        <w:tc>
          <w:tcPr>
            <w:tcW w:w="1433" w:type="dxa"/>
            <w:hideMark/>
          </w:tcPr>
          <w:p w14:paraId="6614A22F"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2013</w:t>
            </w:r>
          </w:p>
        </w:tc>
        <w:tc>
          <w:tcPr>
            <w:tcW w:w="1433" w:type="dxa"/>
            <w:hideMark/>
          </w:tcPr>
          <w:p w14:paraId="409EC5BB"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2014</w:t>
            </w:r>
          </w:p>
        </w:tc>
        <w:tc>
          <w:tcPr>
            <w:tcW w:w="1433" w:type="dxa"/>
            <w:hideMark/>
          </w:tcPr>
          <w:p w14:paraId="26147CEA"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2015</w:t>
            </w:r>
          </w:p>
        </w:tc>
      </w:tr>
      <w:tr w:rsidR="00BE61A2" w:rsidRPr="00374CC9" w14:paraId="02126F1B" w14:textId="77777777" w:rsidTr="004D5C81">
        <w:tblPrEx>
          <w:tblCellMar>
            <w:right w:w="108" w:type="dxa"/>
          </w:tblCellMar>
        </w:tblPrEx>
        <w:tc>
          <w:tcPr>
            <w:tcW w:w="0" w:type="auto"/>
            <w:hideMark/>
          </w:tcPr>
          <w:p w14:paraId="1D6C48A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Brucellosis</w:t>
            </w:r>
          </w:p>
        </w:tc>
        <w:tc>
          <w:tcPr>
            <w:tcW w:w="1433" w:type="dxa"/>
            <w:hideMark/>
          </w:tcPr>
          <w:p w14:paraId="5E2AE06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24</w:t>
            </w:r>
          </w:p>
        </w:tc>
        <w:tc>
          <w:tcPr>
            <w:tcW w:w="1433" w:type="dxa"/>
            <w:hideMark/>
          </w:tcPr>
          <w:p w14:paraId="2DEF33F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35</w:t>
            </w:r>
          </w:p>
        </w:tc>
        <w:tc>
          <w:tcPr>
            <w:tcW w:w="1433" w:type="dxa"/>
            <w:hideMark/>
          </w:tcPr>
          <w:p w14:paraId="4CAA850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433" w:type="dxa"/>
            <w:hideMark/>
          </w:tcPr>
          <w:p w14:paraId="44BED4C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433" w:type="dxa"/>
            <w:hideMark/>
          </w:tcPr>
          <w:p w14:paraId="67F6CC8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r>
      <w:tr w:rsidR="00BE61A2" w:rsidRPr="00374CC9" w14:paraId="30FD58CB" w14:textId="77777777" w:rsidTr="004D5C81">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83D1A8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Chikungunya virus infection</w:t>
            </w:r>
          </w:p>
        </w:tc>
        <w:tc>
          <w:tcPr>
            <w:tcW w:w="1433" w:type="dxa"/>
            <w:hideMark/>
          </w:tcPr>
          <w:p w14:paraId="7B2F7DF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433" w:type="dxa"/>
            <w:hideMark/>
          </w:tcPr>
          <w:p w14:paraId="6800642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95</w:t>
            </w:r>
          </w:p>
        </w:tc>
        <w:tc>
          <w:tcPr>
            <w:tcW w:w="1433" w:type="dxa"/>
            <w:hideMark/>
          </w:tcPr>
          <w:p w14:paraId="720F8DC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433" w:type="dxa"/>
            <w:hideMark/>
          </w:tcPr>
          <w:p w14:paraId="59BEE20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433" w:type="dxa"/>
            <w:hideMark/>
          </w:tcPr>
          <w:p w14:paraId="0AF3407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r>
      <w:tr w:rsidR="00BE61A2" w:rsidRPr="00374CC9" w14:paraId="71A70A85" w14:textId="77777777" w:rsidTr="004D5C81">
        <w:tblPrEx>
          <w:tblCellMar>
            <w:right w:w="108" w:type="dxa"/>
          </w:tblCellMar>
        </w:tblPrEx>
        <w:tc>
          <w:tcPr>
            <w:tcW w:w="0" w:type="auto"/>
            <w:hideMark/>
          </w:tcPr>
          <w:p w14:paraId="024440B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Cholera</w:t>
            </w:r>
          </w:p>
        </w:tc>
        <w:tc>
          <w:tcPr>
            <w:tcW w:w="1433" w:type="dxa"/>
            <w:hideMark/>
          </w:tcPr>
          <w:p w14:paraId="0F742FB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433" w:type="dxa"/>
            <w:hideMark/>
          </w:tcPr>
          <w:p w14:paraId="7758050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433" w:type="dxa"/>
            <w:hideMark/>
          </w:tcPr>
          <w:p w14:paraId="06C6DF0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433" w:type="dxa"/>
            <w:hideMark/>
          </w:tcPr>
          <w:p w14:paraId="1667BE0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433" w:type="dxa"/>
            <w:hideMark/>
          </w:tcPr>
          <w:p w14:paraId="24F1F74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r>
      <w:tr w:rsidR="00BE61A2" w:rsidRPr="00374CC9" w14:paraId="331FCCA2" w14:textId="77777777" w:rsidTr="004D5C81">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04B79F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Dengue virus infection</w:t>
            </w:r>
          </w:p>
        </w:tc>
        <w:tc>
          <w:tcPr>
            <w:tcW w:w="1433" w:type="dxa"/>
            <w:hideMark/>
          </w:tcPr>
          <w:p w14:paraId="5A92D71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98</w:t>
            </w:r>
          </w:p>
        </w:tc>
        <w:tc>
          <w:tcPr>
            <w:tcW w:w="1433" w:type="dxa"/>
            <w:hideMark/>
          </w:tcPr>
          <w:p w14:paraId="4E5174F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433" w:type="dxa"/>
            <w:hideMark/>
          </w:tcPr>
          <w:p w14:paraId="26007CF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&gt;99</w:t>
            </w:r>
          </w:p>
        </w:tc>
        <w:tc>
          <w:tcPr>
            <w:tcW w:w="1433" w:type="dxa"/>
            <w:hideMark/>
          </w:tcPr>
          <w:p w14:paraId="7BC6349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&gt;99</w:t>
            </w:r>
          </w:p>
        </w:tc>
        <w:tc>
          <w:tcPr>
            <w:tcW w:w="1433" w:type="dxa"/>
            <w:hideMark/>
          </w:tcPr>
          <w:p w14:paraId="7DDD700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&gt;99</w:t>
            </w:r>
          </w:p>
        </w:tc>
      </w:tr>
      <w:tr w:rsidR="00BE61A2" w:rsidRPr="00374CC9" w14:paraId="7159A4ED" w14:textId="77777777" w:rsidTr="004D5C81">
        <w:tblPrEx>
          <w:tblCellMar>
            <w:right w:w="108" w:type="dxa"/>
          </w:tblCellMar>
        </w:tblPrEx>
        <w:tc>
          <w:tcPr>
            <w:tcW w:w="0" w:type="auto"/>
            <w:hideMark/>
          </w:tcPr>
          <w:p w14:paraId="65FA21B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Diphtheria</w:t>
            </w:r>
          </w:p>
        </w:tc>
        <w:tc>
          <w:tcPr>
            <w:tcW w:w="1433" w:type="dxa"/>
            <w:hideMark/>
          </w:tcPr>
          <w:p w14:paraId="47EC528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75</w:t>
            </w:r>
          </w:p>
        </w:tc>
        <w:tc>
          <w:tcPr>
            <w:tcW w:w="1433" w:type="dxa"/>
            <w:hideMark/>
          </w:tcPr>
          <w:p w14:paraId="5026F83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No cases</w:t>
            </w:r>
          </w:p>
        </w:tc>
        <w:tc>
          <w:tcPr>
            <w:tcW w:w="1433" w:type="dxa"/>
            <w:hideMark/>
          </w:tcPr>
          <w:p w14:paraId="020CEA1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67</w:t>
            </w:r>
          </w:p>
        </w:tc>
        <w:tc>
          <w:tcPr>
            <w:tcW w:w="1433" w:type="dxa"/>
            <w:hideMark/>
          </w:tcPr>
          <w:p w14:paraId="447C355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433" w:type="dxa"/>
            <w:hideMark/>
          </w:tcPr>
          <w:p w14:paraId="6C180A8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r>
      <w:tr w:rsidR="00BE61A2" w:rsidRPr="00374CC9" w14:paraId="77962F8C" w14:textId="77777777" w:rsidTr="004D5C81">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71912E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Flavivirus infection (unspecified)</w:t>
            </w:r>
          </w:p>
        </w:tc>
        <w:tc>
          <w:tcPr>
            <w:tcW w:w="1433" w:type="dxa"/>
            <w:hideMark/>
          </w:tcPr>
          <w:p w14:paraId="37F71D0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433" w:type="dxa"/>
            <w:hideMark/>
          </w:tcPr>
          <w:p w14:paraId="1E21921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433" w:type="dxa"/>
            <w:hideMark/>
          </w:tcPr>
          <w:p w14:paraId="08EDB86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433" w:type="dxa"/>
            <w:hideMark/>
          </w:tcPr>
          <w:p w14:paraId="22C7DE3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433" w:type="dxa"/>
            <w:hideMark/>
          </w:tcPr>
          <w:p w14:paraId="68A4066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r>
      <w:tr w:rsidR="00BE61A2" w:rsidRPr="00374CC9" w14:paraId="79E22750" w14:textId="77777777" w:rsidTr="004D5C81">
        <w:tblPrEx>
          <w:tblCellMar>
            <w:right w:w="108" w:type="dxa"/>
          </w:tblCellMar>
        </w:tblPrEx>
        <w:tc>
          <w:tcPr>
            <w:tcW w:w="0" w:type="auto"/>
            <w:hideMark/>
          </w:tcPr>
          <w:p w14:paraId="57AB0C6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Hepatitis A</w:t>
            </w:r>
          </w:p>
        </w:tc>
        <w:tc>
          <w:tcPr>
            <w:tcW w:w="1433" w:type="dxa"/>
            <w:hideMark/>
          </w:tcPr>
          <w:p w14:paraId="5808106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99</w:t>
            </w:r>
          </w:p>
        </w:tc>
        <w:tc>
          <w:tcPr>
            <w:tcW w:w="1433" w:type="dxa"/>
            <w:hideMark/>
          </w:tcPr>
          <w:p w14:paraId="486A2DB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94</w:t>
            </w:r>
          </w:p>
        </w:tc>
        <w:tc>
          <w:tcPr>
            <w:tcW w:w="1433" w:type="dxa"/>
            <w:hideMark/>
          </w:tcPr>
          <w:p w14:paraId="2C68875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95</w:t>
            </w:r>
          </w:p>
        </w:tc>
        <w:tc>
          <w:tcPr>
            <w:tcW w:w="1433" w:type="dxa"/>
            <w:hideMark/>
          </w:tcPr>
          <w:p w14:paraId="411D07D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99</w:t>
            </w:r>
          </w:p>
        </w:tc>
        <w:tc>
          <w:tcPr>
            <w:tcW w:w="1433" w:type="dxa"/>
            <w:hideMark/>
          </w:tcPr>
          <w:p w14:paraId="11C2D13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94</w:t>
            </w:r>
          </w:p>
        </w:tc>
      </w:tr>
      <w:tr w:rsidR="00BE61A2" w:rsidRPr="00374CC9" w14:paraId="6B9BA20E" w14:textId="77777777" w:rsidTr="004D5C81">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40B289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Hepatitis B (newly acquired)</w:t>
            </w:r>
          </w:p>
        </w:tc>
        <w:tc>
          <w:tcPr>
            <w:tcW w:w="1433" w:type="dxa"/>
            <w:hideMark/>
          </w:tcPr>
          <w:p w14:paraId="6B2009E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65</w:t>
            </w:r>
          </w:p>
        </w:tc>
        <w:tc>
          <w:tcPr>
            <w:tcW w:w="1433" w:type="dxa"/>
            <w:hideMark/>
          </w:tcPr>
          <w:p w14:paraId="4729E5C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50</w:t>
            </w:r>
          </w:p>
        </w:tc>
        <w:tc>
          <w:tcPr>
            <w:tcW w:w="1433" w:type="dxa"/>
            <w:hideMark/>
          </w:tcPr>
          <w:p w14:paraId="2D60AF9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40</w:t>
            </w:r>
          </w:p>
        </w:tc>
        <w:tc>
          <w:tcPr>
            <w:tcW w:w="1433" w:type="dxa"/>
            <w:hideMark/>
          </w:tcPr>
          <w:p w14:paraId="713C81A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35</w:t>
            </w:r>
          </w:p>
        </w:tc>
        <w:tc>
          <w:tcPr>
            <w:tcW w:w="1433" w:type="dxa"/>
            <w:hideMark/>
          </w:tcPr>
          <w:p w14:paraId="3946C90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59</w:t>
            </w:r>
          </w:p>
        </w:tc>
      </w:tr>
      <w:tr w:rsidR="00BE61A2" w:rsidRPr="00374CC9" w14:paraId="2B709745" w14:textId="77777777" w:rsidTr="004D5C81">
        <w:tblPrEx>
          <w:tblCellMar>
            <w:right w:w="108" w:type="dxa"/>
          </w:tblCellMar>
        </w:tblPrEx>
        <w:tc>
          <w:tcPr>
            <w:tcW w:w="0" w:type="auto"/>
            <w:hideMark/>
          </w:tcPr>
          <w:p w14:paraId="4CA4E4F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Hepatitis E</w:t>
            </w:r>
          </w:p>
        </w:tc>
        <w:tc>
          <w:tcPr>
            <w:tcW w:w="1433" w:type="dxa"/>
            <w:hideMark/>
          </w:tcPr>
          <w:p w14:paraId="6CF1284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95</w:t>
            </w:r>
          </w:p>
        </w:tc>
        <w:tc>
          <w:tcPr>
            <w:tcW w:w="1433" w:type="dxa"/>
            <w:hideMark/>
          </w:tcPr>
          <w:p w14:paraId="7AA232D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97</w:t>
            </w:r>
          </w:p>
        </w:tc>
        <w:tc>
          <w:tcPr>
            <w:tcW w:w="1433" w:type="dxa"/>
            <w:hideMark/>
          </w:tcPr>
          <w:p w14:paraId="3B85F57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94</w:t>
            </w:r>
          </w:p>
        </w:tc>
        <w:tc>
          <w:tcPr>
            <w:tcW w:w="1433" w:type="dxa"/>
            <w:hideMark/>
          </w:tcPr>
          <w:p w14:paraId="1D26C47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88</w:t>
            </w:r>
          </w:p>
        </w:tc>
        <w:tc>
          <w:tcPr>
            <w:tcW w:w="1433" w:type="dxa"/>
            <w:hideMark/>
          </w:tcPr>
          <w:p w14:paraId="734B510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90</w:t>
            </w:r>
          </w:p>
        </w:tc>
      </w:tr>
      <w:tr w:rsidR="00BE61A2" w:rsidRPr="00374CC9" w14:paraId="1770FEEF" w14:textId="77777777" w:rsidTr="004D5C81">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967F32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Japanese encephalitis virus infection</w:t>
            </w:r>
          </w:p>
        </w:tc>
        <w:tc>
          <w:tcPr>
            <w:tcW w:w="1433" w:type="dxa"/>
            <w:hideMark/>
          </w:tcPr>
          <w:p w14:paraId="43E8FFA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433" w:type="dxa"/>
            <w:hideMark/>
          </w:tcPr>
          <w:p w14:paraId="5CA3AE1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433" w:type="dxa"/>
            <w:hideMark/>
          </w:tcPr>
          <w:p w14:paraId="0E5B543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433" w:type="dxa"/>
            <w:hideMark/>
          </w:tcPr>
          <w:p w14:paraId="60BABF5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433" w:type="dxa"/>
            <w:hideMark/>
          </w:tcPr>
          <w:p w14:paraId="774B1BA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r>
      <w:tr w:rsidR="00BE61A2" w:rsidRPr="00374CC9" w14:paraId="675753A8" w14:textId="77777777" w:rsidTr="004D5C81">
        <w:tblPrEx>
          <w:tblCellMar>
            <w:right w:w="108" w:type="dxa"/>
          </w:tblCellMar>
        </w:tblPrEx>
        <w:tc>
          <w:tcPr>
            <w:tcW w:w="0" w:type="auto"/>
            <w:hideMark/>
          </w:tcPr>
          <w:p w14:paraId="64F0D6E3" w14:textId="77777777" w:rsidR="00BE61A2" w:rsidRPr="00374CC9" w:rsidRDefault="00BE61A2">
            <w:pPr>
              <w:rPr>
                <w:rFonts w:asciiTheme="minorHAnsi" w:eastAsia="Times New Roman" w:hAnsiTheme="minorHAnsi"/>
                <w:sz w:val="18"/>
                <w:szCs w:val="18"/>
              </w:rPr>
            </w:pPr>
            <w:proofErr w:type="spellStart"/>
            <w:r w:rsidRPr="00374CC9">
              <w:rPr>
                <w:rFonts w:asciiTheme="minorHAnsi" w:eastAsia="Times New Roman" w:hAnsiTheme="minorHAnsi"/>
                <w:sz w:val="18"/>
                <w:szCs w:val="18"/>
              </w:rPr>
              <w:t>Kunjin</w:t>
            </w:r>
            <w:proofErr w:type="spellEnd"/>
            <w:r w:rsidRPr="00374CC9">
              <w:rPr>
                <w:rFonts w:asciiTheme="minorHAnsi" w:eastAsia="Times New Roman" w:hAnsiTheme="minorHAnsi"/>
                <w:sz w:val="18"/>
                <w:szCs w:val="18"/>
              </w:rPr>
              <w:t xml:space="preserve"> virus infection</w:t>
            </w:r>
          </w:p>
        </w:tc>
        <w:tc>
          <w:tcPr>
            <w:tcW w:w="1433" w:type="dxa"/>
            <w:hideMark/>
          </w:tcPr>
          <w:p w14:paraId="0670A7E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433" w:type="dxa"/>
            <w:hideMark/>
          </w:tcPr>
          <w:p w14:paraId="2AE6B9F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No cases</w:t>
            </w:r>
          </w:p>
        </w:tc>
        <w:tc>
          <w:tcPr>
            <w:tcW w:w="1433" w:type="dxa"/>
            <w:hideMark/>
          </w:tcPr>
          <w:p w14:paraId="7078F92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433" w:type="dxa"/>
            <w:hideMark/>
          </w:tcPr>
          <w:p w14:paraId="6BFBC88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433" w:type="dxa"/>
            <w:hideMark/>
          </w:tcPr>
          <w:p w14:paraId="3549B2A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r>
      <w:tr w:rsidR="00BE61A2" w:rsidRPr="00374CC9" w14:paraId="4A0A346F" w14:textId="77777777" w:rsidTr="004D5C81">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C314D9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Legionellosis</w:t>
            </w:r>
          </w:p>
        </w:tc>
        <w:tc>
          <w:tcPr>
            <w:tcW w:w="1433" w:type="dxa"/>
            <w:hideMark/>
          </w:tcPr>
          <w:p w14:paraId="2A797EF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83</w:t>
            </w:r>
          </w:p>
        </w:tc>
        <w:tc>
          <w:tcPr>
            <w:tcW w:w="1433" w:type="dxa"/>
            <w:hideMark/>
          </w:tcPr>
          <w:p w14:paraId="12092BB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85</w:t>
            </w:r>
          </w:p>
        </w:tc>
        <w:tc>
          <w:tcPr>
            <w:tcW w:w="1433" w:type="dxa"/>
            <w:hideMark/>
          </w:tcPr>
          <w:p w14:paraId="04DEDEB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82</w:t>
            </w:r>
          </w:p>
        </w:tc>
        <w:tc>
          <w:tcPr>
            <w:tcW w:w="1433" w:type="dxa"/>
            <w:hideMark/>
          </w:tcPr>
          <w:p w14:paraId="751357D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86</w:t>
            </w:r>
          </w:p>
        </w:tc>
        <w:tc>
          <w:tcPr>
            <w:tcW w:w="1433" w:type="dxa"/>
            <w:hideMark/>
          </w:tcPr>
          <w:p w14:paraId="021DBDE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94</w:t>
            </w:r>
          </w:p>
        </w:tc>
      </w:tr>
      <w:tr w:rsidR="00BE61A2" w:rsidRPr="00374CC9" w14:paraId="5A778021" w14:textId="77777777" w:rsidTr="004D5C81">
        <w:tblPrEx>
          <w:tblCellMar>
            <w:right w:w="108" w:type="dxa"/>
          </w:tblCellMar>
        </w:tblPrEx>
        <w:tc>
          <w:tcPr>
            <w:tcW w:w="0" w:type="auto"/>
            <w:hideMark/>
          </w:tcPr>
          <w:p w14:paraId="048A5C0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Leprosy</w:t>
            </w:r>
          </w:p>
        </w:tc>
        <w:tc>
          <w:tcPr>
            <w:tcW w:w="1433" w:type="dxa"/>
            <w:hideMark/>
          </w:tcPr>
          <w:p w14:paraId="4AF9FB0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433" w:type="dxa"/>
            <w:hideMark/>
          </w:tcPr>
          <w:p w14:paraId="7320C82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433" w:type="dxa"/>
            <w:hideMark/>
          </w:tcPr>
          <w:p w14:paraId="4BABADB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79</w:t>
            </w:r>
          </w:p>
        </w:tc>
        <w:tc>
          <w:tcPr>
            <w:tcW w:w="1433" w:type="dxa"/>
            <w:hideMark/>
          </w:tcPr>
          <w:p w14:paraId="14339FF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433" w:type="dxa"/>
            <w:hideMark/>
          </w:tcPr>
          <w:p w14:paraId="1B8BBA5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r>
      <w:tr w:rsidR="00BE61A2" w:rsidRPr="00374CC9" w14:paraId="76967797" w14:textId="77777777" w:rsidTr="004D5C81">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57B4F8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Malaria</w:t>
            </w:r>
          </w:p>
        </w:tc>
        <w:tc>
          <w:tcPr>
            <w:tcW w:w="1433" w:type="dxa"/>
            <w:hideMark/>
          </w:tcPr>
          <w:p w14:paraId="56A5AF5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433" w:type="dxa"/>
            <w:hideMark/>
          </w:tcPr>
          <w:p w14:paraId="2D44DEF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433" w:type="dxa"/>
            <w:hideMark/>
          </w:tcPr>
          <w:p w14:paraId="462AB0A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433" w:type="dxa"/>
            <w:hideMark/>
          </w:tcPr>
          <w:p w14:paraId="6EC8BBD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433" w:type="dxa"/>
            <w:hideMark/>
          </w:tcPr>
          <w:p w14:paraId="25DBA6B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&gt;99</w:t>
            </w:r>
          </w:p>
        </w:tc>
      </w:tr>
      <w:tr w:rsidR="00BE61A2" w:rsidRPr="00374CC9" w14:paraId="0642583B" w14:textId="77777777" w:rsidTr="004D5C81">
        <w:tblPrEx>
          <w:tblCellMar>
            <w:right w:w="108" w:type="dxa"/>
          </w:tblCellMar>
        </w:tblPrEx>
        <w:tc>
          <w:tcPr>
            <w:tcW w:w="0" w:type="auto"/>
            <w:hideMark/>
          </w:tcPr>
          <w:p w14:paraId="0576CAE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Measles</w:t>
            </w:r>
          </w:p>
        </w:tc>
        <w:tc>
          <w:tcPr>
            <w:tcW w:w="1433" w:type="dxa"/>
            <w:hideMark/>
          </w:tcPr>
          <w:p w14:paraId="3952BAE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89</w:t>
            </w:r>
          </w:p>
        </w:tc>
        <w:tc>
          <w:tcPr>
            <w:tcW w:w="1433" w:type="dxa"/>
            <w:hideMark/>
          </w:tcPr>
          <w:p w14:paraId="35D86E6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95</w:t>
            </w:r>
          </w:p>
        </w:tc>
        <w:tc>
          <w:tcPr>
            <w:tcW w:w="1433" w:type="dxa"/>
            <w:hideMark/>
          </w:tcPr>
          <w:p w14:paraId="4B11553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433" w:type="dxa"/>
            <w:hideMark/>
          </w:tcPr>
          <w:p w14:paraId="72FFF8D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&gt;99</w:t>
            </w:r>
          </w:p>
        </w:tc>
        <w:tc>
          <w:tcPr>
            <w:tcW w:w="1433" w:type="dxa"/>
            <w:hideMark/>
          </w:tcPr>
          <w:p w14:paraId="60FA880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r>
      <w:tr w:rsidR="00BE61A2" w:rsidRPr="00374CC9" w14:paraId="34BC749E" w14:textId="77777777" w:rsidTr="004D5C81">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A3F8C6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Mumps</w:t>
            </w:r>
          </w:p>
        </w:tc>
        <w:tc>
          <w:tcPr>
            <w:tcW w:w="1433" w:type="dxa"/>
            <w:hideMark/>
          </w:tcPr>
          <w:p w14:paraId="32FB05E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63</w:t>
            </w:r>
          </w:p>
        </w:tc>
        <w:tc>
          <w:tcPr>
            <w:tcW w:w="1433" w:type="dxa"/>
            <w:hideMark/>
          </w:tcPr>
          <w:p w14:paraId="631DE2E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49</w:t>
            </w:r>
          </w:p>
        </w:tc>
        <w:tc>
          <w:tcPr>
            <w:tcW w:w="1433" w:type="dxa"/>
            <w:hideMark/>
          </w:tcPr>
          <w:p w14:paraId="0C979BE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74</w:t>
            </w:r>
          </w:p>
        </w:tc>
        <w:tc>
          <w:tcPr>
            <w:tcW w:w="1433" w:type="dxa"/>
            <w:hideMark/>
          </w:tcPr>
          <w:p w14:paraId="2F44C5C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58</w:t>
            </w:r>
          </w:p>
        </w:tc>
        <w:tc>
          <w:tcPr>
            <w:tcW w:w="1433" w:type="dxa"/>
            <w:hideMark/>
          </w:tcPr>
          <w:p w14:paraId="7C6473D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91</w:t>
            </w:r>
          </w:p>
        </w:tc>
      </w:tr>
      <w:tr w:rsidR="00BE61A2" w:rsidRPr="00374CC9" w14:paraId="17AF7F6D" w14:textId="77777777" w:rsidTr="004D5C81">
        <w:tblPrEx>
          <w:tblCellMar>
            <w:right w:w="108" w:type="dxa"/>
          </w:tblCellMar>
        </w:tblPrEx>
        <w:tc>
          <w:tcPr>
            <w:tcW w:w="0" w:type="auto"/>
            <w:hideMark/>
          </w:tcPr>
          <w:p w14:paraId="3CD29AC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Murray Valley encephalitis virus infection</w:t>
            </w:r>
          </w:p>
        </w:tc>
        <w:tc>
          <w:tcPr>
            <w:tcW w:w="1433" w:type="dxa"/>
            <w:hideMark/>
          </w:tcPr>
          <w:p w14:paraId="7687B14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88</w:t>
            </w:r>
          </w:p>
        </w:tc>
        <w:tc>
          <w:tcPr>
            <w:tcW w:w="1433" w:type="dxa"/>
            <w:hideMark/>
          </w:tcPr>
          <w:p w14:paraId="4EA908D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433" w:type="dxa"/>
            <w:hideMark/>
          </w:tcPr>
          <w:p w14:paraId="45C44F4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No cases</w:t>
            </w:r>
          </w:p>
        </w:tc>
        <w:tc>
          <w:tcPr>
            <w:tcW w:w="1433" w:type="dxa"/>
            <w:hideMark/>
          </w:tcPr>
          <w:p w14:paraId="1721713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No cases</w:t>
            </w:r>
          </w:p>
        </w:tc>
        <w:tc>
          <w:tcPr>
            <w:tcW w:w="1433" w:type="dxa"/>
            <w:hideMark/>
          </w:tcPr>
          <w:p w14:paraId="790032F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r>
      <w:tr w:rsidR="00BE61A2" w:rsidRPr="00374CC9" w14:paraId="7C9E018F" w14:textId="77777777" w:rsidTr="004D5C81">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2B848D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Q fever</w:t>
            </w:r>
          </w:p>
        </w:tc>
        <w:tc>
          <w:tcPr>
            <w:tcW w:w="1433" w:type="dxa"/>
            <w:hideMark/>
          </w:tcPr>
          <w:p w14:paraId="32CF74E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57</w:t>
            </w:r>
          </w:p>
        </w:tc>
        <w:tc>
          <w:tcPr>
            <w:tcW w:w="1433" w:type="dxa"/>
            <w:hideMark/>
          </w:tcPr>
          <w:p w14:paraId="5BC504C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79</w:t>
            </w:r>
          </w:p>
        </w:tc>
        <w:tc>
          <w:tcPr>
            <w:tcW w:w="1433" w:type="dxa"/>
            <w:hideMark/>
          </w:tcPr>
          <w:p w14:paraId="30563DD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88</w:t>
            </w:r>
          </w:p>
        </w:tc>
        <w:tc>
          <w:tcPr>
            <w:tcW w:w="1433" w:type="dxa"/>
            <w:hideMark/>
          </w:tcPr>
          <w:p w14:paraId="778EFCE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90</w:t>
            </w:r>
          </w:p>
        </w:tc>
        <w:tc>
          <w:tcPr>
            <w:tcW w:w="1433" w:type="dxa"/>
            <w:hideMark/>
          </w:tcPr>
          <w:p w14:paraId="438912A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86</w:t>
            </w:r>
          </w:p>
        </w:tc>
      </w:tr>
      <w:tr w:rsidR="00BE61A2" w:rsidRPr="00374CC9" w14:paraId="65F669DC" w14:textId="77777777" w:rsidTr="004D5C81">
        <w:tblPrEx>
          <w:tblCellMar>
            <w:right w:w="108" w:type="dxa"/>
          </w:tblCellMar>
        </w:tblPrEx>
        <w:tc>
          <w:tcPr>
            <w:tcW w:w="0" w:type="auto"/>
            <w:hideMark/>
          </w:tcPr>
          <w:p w14:paraId="54AECA2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Rubella</w:t>
            </w:r>
          </w:p>
        </w:tc>
        <w:tc>
          <w:tcPr>
            <w:tcW w:w="1433" w:type="dxa"/>
            <w:hideMark/>
          </w:tcPr>
          <w:p w14:paraId="508F0AA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78</w:t>
            </w:r>
          </w:p>
        </w:tc>
        <w:tc>
          <w:tcPr>
            <w:tcW w:w="1433" w:type="dxa"/>
            <w:hideMark/>
          </w:tcPr>
          <w:p w14:paraId="1A9938A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64</w:t>
            </w:r>
          </w:p>
        </w:tc>
        <w:tc>
          <w:tcPr>
            <w:tcW w:w="1433" w:type="dxa"/>
            <w:hideMark/>
          </w:tcPr>
          <w:p w14:paraId="031F6C8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80</w:t>
            </w:r>
          </w:p>
        </w:tc>
        <w:tc>
          <w:tcPr>
            <w:tcW w:w="1433" w:type="dxa"/>
            <w:hideMark/>
          </w:tcPr>
          <w:p w14:paraId="67928B2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53</w:t>
            </w:r>
          </w:p>
        </w:tc>
        <w:tc>
          <w:tcPr>
            <w:tcW w:w="1433" w:type="dxa"/>
            <w:hideMark/>
          </w:tcPr>
          <w:p w14:paraId="7BF0F51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88</w:t>
            </w:r>
          </w:p>
        </w:tc>
      </w:tr>
      <w:tr w:rsidR="00BE61A2" w:rsidRPr="00374CC9" w14:paraId="065947F8" w14:textId="77777777" w:rsidTr="004D5C81">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948114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Shigellosis</w:t>
            </w:r>
          </w:p>
        </w:tc>
        <w:tc>
          <w:tcPr>
            <w:tcW w:w="1433" w:type="dxa"/>
            <w:hideMark/>
          </w:tcPr>
          <w:p w14:paraId="1CCBFAB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58</w:t>
            </w:r>
          </w:p>
        </w:tc>
        <w:tc>
          <w:tcPr>
            <w:tcW w:w="1433" w:type="dxa"/>
            <w:hideMark/>
          </w:tcPr>
          <w:p w14:paraId="585EB04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57</w:t>
            </w:r>
          </w:p>
        </w:tc>
        <w:tc>
          <w:tcPr>
            <w:tcW w:w="1433" w:type="dxa"/>
            <w:hideMark/>
          </w:tcPr>
          <w:p w14:paraId="439D4D3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64</w:t>
            </w:r>
          </w:p>
        </w:tc>
        <w:tc>
          <w:tcPr>
            <w:tcW w:w="1433" w:type="dxa"/>
            <w:hideMark/>
          </w:tcPr>
          <w:p w14:paraId="04A7098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50</w:t>
            </w:r>
          </w:p>
        </w:tc>
        <w:tc>
          <w:tcPr>
            <w:tcW w:w="1433" w:type="dxa"/>
            <w:hideMark/>
          </w:tcPr>
          <w:p w14:paraId="1725206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64</w:t>
            </w:r>
          </w:p>
        </w:tc>
      </w:tr>
      <w:tr w:rsidR="00BE61A2" w:rsidRPr="00374CC9" w14:paraId="1F9C7CA0" w14:textId="77777777" w:rsidTr="004D5C81">
        <w:tblPrEx>
          <w:tblCellMar>
            <w:right w:w="108" w:type="dxa"/>
          </w:tblCellMar>
        </w:tblPrEx>
        <w:tc>
          <w:tcPr>
            <w:tcW w:w="0" w:type="auto"/>
            <w:hideMark/>
          </w:tcPr>
          <w:p w14:paraId="2A2AB72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Tularaemia</w:t>
            </w:r>
          </w:p>
        </w:tc>
        <w:tc>
          <w:tcPr>
            <w:tcW w:w="1433" w:type="dxa"/>
            <w:hideMark/>
          </w:tcPr>
          <w:p w14:paraId="43C2417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433" w:type="dxa"/>
            <w:hideMark/>
          </w:tcPr>
          <w:p w14:paraId="0E575A3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No cases</w:t>
            </w:r>
          </w:p>
        </w:tc>
        <w:tc>
          <w:tcPr>
            <w:tcW w:w="1433" w:type="dxa"/>
            <w:hideMark/>
          </w:tcPr>
          <w:p w14:paraId="482BADF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No cases</w:t>
            </w:r>
          </w:p>
        </w:tc>
        <w:tc>
          <w:tcPr>
            <w:tcW w:w="1433" w:type="dxa"/>
            <w:hideMark/>
          </w:tcPr>
          <w:p w14:paraId="4EBEB8D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No cases</w:t>
            </w:r>
          </w:p>
        </w:tc>
        <w:tc>
          <w:tcPr>
            <w:tcW w:w="1433" w:type="dxa"/>
            <w:hideMark/>
          </w:tcPr>
          <w:p w14:paraId="05C632E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No cases</w:t>
            </w:r>
          </w:p>
        </w:tc>
      </w:tr>
      <w:tr w:rsidR="00BE61A2" w:rsidRPr="00374CC9" w14:paraId="617E4493" w14:textId="77777777" w:rsidTr="004D5C81">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165C76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Typhoid Fever</w:t>
            </w:r>
          </w:p>
        </w:tc>
        <w:tc>
          <w:tcPr>
            <w:tcW w:w="1433" w:type="dxa"/>
            <w:hideMark/>
          </w:tcPr>
          <w:p w14:paraId="489F02D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97</w:t>
            </w:r>
            <w:r w:rsidR="00C24B64">
              <w:rPr>
                <w:rFonts w:asciiTheme="minorHAnsi" w:eastAsia="Times New Roman" w:hAnsiTheme="minorHAnsi"/>
                <w:sz w:val="18"/>
                <w:szCs w:val="18"/>
              </w:rPr>
              <w:t>s</w:t>
            </w:r>
          </w:p>
        </w:tc>
        <w:tc>
          <w:tcPr>
            <w:tcW w:w="1433" w:type="dxa"/>
            <w:hideMark/>
          </w:tcPr>
          <w:p w14:paraId="173C14A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94</w:t>
            </w:r>
          </w:p>
        </w:tc>
        <w:tc>
          <w:tcPr>
            <w:tcW w:w="1433" w:type="dxa"/>
            <w:hideMark/>
          </w:tcPr>
          <w:p w14:paraId="76F1D0E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98</w:t>
            </w:r>
          </w:p>
        </w:tc>
        <w:tc>
          <w:tcPr>
            <w:tcW w:w="1433" w:type="dxa"/>
            <w:hideMark/>
          </w:tcPr>
          <w:p w14:paraId="35E8975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97</w:t>
            </w:r>
          </w:p>
        </w:tc>
        <w:tc>
          <w:tcPr>
            <w:tcW w:w="1433" w:type="dxa"/>
            <w:hideMark/>
          </w:tcPr>
          <w:p w14:paraId="3701F77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97</w:t>
            </w:r>
          </w:p>
        </w:tc>
      </w:tr>
      <w:tr w:rsidR="00BE61A2" w:rsidRPr="00374CC9" w14:paraId="17469317" w14:textId="77777777" w:rsidTr="004D5C81">
        <w:tblPrEx>
          <w:tblCellMar>
            <w:right w:w="108" w:type="dxa"/>
          </w:tblCellMar>
        </w:tblPrEx>
        <w:tc>
          <w:tcPr>
            <w:tcW w:w="0" w:type="auto"/>
            <w:hideMark/>
          </w:tcPr>
          <w:p w14:paraId="4419A0C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Yellow fever</w:t>
            </w:r>
          </w:p>
        </w:tc>
        <w:tc>
          <w:tcPr>
            <w:tcW w:w="1433" w:type="dxa"/>
            <w:hideMark/>
          </w:tcPr>
          <w:p w14:paraId="2639E94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1433" w:type="dxa"/>
            <w:hideMark/>
          </w:tcPr>
          <w:p w14:paraId="16B733B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No cases</w:t>
            </w:r>
          </w:p>
        </w:tc>
        <w:tc>
          <w:tcPr>
            <w:tcW w:w="1433" w:type="dxa"/>
            <w:hideMark/>
          </w:tcPr>
          <w:p w14:paraId="0D47D50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No cases</w:t>
            </w:r>
          </w:p>
        </w:tc>
        <w:tc>
          <w:tcPr>
            <w:tcW w:w="1433" w:type="dxa"/>
            <w:hideMark/>
          </w:tcPr>
          <w:p w14:paraId="17C4A72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No cases</w:t>
            </w:r>
          </w:p>
        </w:tc>
        <w:tc>
          <w:tcPr>
            <w:tcW w:w="1433" w:type="dxa"/>
            <w:hideMark/>
          </w:tcPr>
          <w:p w14:paraId="6E4CE6F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No cases</w:t>
            </w:r>
          </w:p>
        </w:tc>
      </w:tr>
      <w:tr w:rsidR="00BE61A2" w:rsidRPr="00C24B64" w14:paraId="3E68E742" w14:textId="77777777" w:rsidTr="00C24B64">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098593BA" w14:textId="77777777" w:rsidR="00BE61A2" w:rsidRPr="00C24B64" w:rsidRDefault="00BE61A2">
            <w:pPr>
              <w:rPr>
                <w:rFonts w:asciiTheme="minorHAnsi" w:eastAsia="Times New Roman" w:hAnsiTheme="minorHAnsi"/>
                <w:b/>
                <w:sz w:val="18"/>
                <w:szCs w:val="18"/>
              </w:rPr>
            </w:pPr>
            <w:r w:rsidRPr="00C24B64">
              <w:rPr>
                <w:rFonts w:asciiTheme="minorHAnsi" w:eastAsia="Times New Roman" w:hAnsiTheme="minorHAnsi"/>
                <w:b/>
                <w:sz w:val="18"/>
                <w:szCs w:val="18"/>
              </w:rPr>
              <w:t>Total</w:t>
            </w:r>
          </w:p>
        </w:tc>
        <w:tc>
          <w:tcPr>
            <w:tcW w:w="1433" w:type="dxa"/>
            <w:shd w:val="clear" w:color="auto" w:fill="FDE9D9" w:themeFill="accent6" w:themeFillTint="33"/>
            <w:hideMark/>
          </w:tcPr>
          <w:p w14:paraId="64810D27" w14:textId="77777777" w:rsidR="00BE61A2" w:rsidRPr="00C24B64" w:rsidRDefault="00BE61A2">
            <w:pPr>
              <w:rPr>
                <w:rFonts w:asciiTheme="minorHAnsi" w:eastAsia="Times New Roman" w:hAnsiTheme="minorHAnsi"/>
                <w:b/>
                <w:sz w:val="18"/>
                <w:szCs w:val="18"/>
              </w:rPr>
            </w:pPr>
            <w:r w:rsidRPr="00C24B64">
              <w:rPr>
                <w:rFonts w:asciiTheme="minorHAnsi" w:eastAsia="Times New Roman" w:hAnsiTheme="minorHAnsi"/>
                <w:b/>
                <w:sz w:val="18"/>
                <w:szCs w:val="18"/>
              </w:rPr>
              <w:t>84</w:t>
            </w:r>
          </w:p>
        </w:tc>
        <w:tc>
          <w:tcPr>
            <w:tcW w:w="1433" w:type="dxa"/>
            <w:shd w:val="clear" w:color="auto" w:fill="FDE9D9" w:themeFill="accent6" w:themeFillTint="33"/>
            <w:hideMark/>
          </w:tcPr>
          <w:p w14:paraId="45E26F0E" w14:textId="77777777" w:rsidR="00BE61A2" w:rsidRPr="00C24B64" w:rsidRDefault="00BE61A2">
            <w:pPr>
              <w:rPr>
                <w:rFonts w:asciiTheme="minorHAnsi" w:eastAsia="Times New Roman" w:hAnsiTheme="minorHAnsi"/>
                <w:b/>
                <w:sz w:val="18"/>
                <w:szCs w:val="18"/>
              </w:rPr>
            </w:pPr>
            <w:r w:rsidRPr="00C24B64">
              <w:rPr>
                <w:rFonts w:asciiTheme="minorHAnsi" w:eastAsia="Times New Roman" w:hAnsiTheme="minorHAnsi"/>
                <w:b/>
                <w:sz w:val="18"/>
                <w:szCs w:val="18"/>
              </w:rPr>
              <w:t>87</w:t>
            </w:r>
          </w:p>
        </w:tc>
        <w:tc>
          <w:tcPr>
            <w:tcW w:w="1433" w:type="dxa"/>
            <w:shd w:val="clear" w:color="auto" w:fill="FDE9D9" w:themeFill="accent6" w:themeFillTint="33"/>
            <w:hideMark/>
          </w:tcPr>
          <w:p w14:paraId="1ACB366B" w14:textId="77777777" w:rsidR="00BE61A2" w:rsidRPr="00C24B64" w:rsidRDefault="00BE61A2">
            <w:pPr>
              <w:rPr>
                <w:rFonts w:asciiTheme="minorHAnsi" w:eastAsia="Times New Roman" w:hAnsiTheme="minorHAnsi"/>
                <w:b/>
                <w:sz w:val="18"/>
                <w:szCs w:val="18"/>
              </w:rPr>
            </w:pPr>
            <w:r w:rsidRPr="00C24B64">
              <w:rPr>
                <w:rFonts w:asciiTheme="minorHAnsi" w:eastAsia="Times New Roman" w:hAnsiTheme="minorHAnsi"/>
                <w:b/>
                <w:sz w:val="18"/>
                <w:szCs w:val="18"/>
              </w:rPr>
              <w:t>89</w:t>
            </w:r>
          </w:p>
        </w:tc>
        <w:tc>
          <w:tcPr>
            <w:tcW w:w="1433" w:type="dxa"/>
            <w:shd w:val="clear" w:color="auto" w:fill="FDE9D9" w:themeFill="accent6" w:themeFillTint="33"/>
            <w:hideMark/>
          </w:tcPr>
          <w:p w14:paraId="00F3618B" w14:textId="77777777" w:rsidR="00BE61A2" w:rsidRPr="00C24B64" w:rsidRDefault="00BE61A2">
            <w:pPr>
              <w:rPr>
                <w:rFonts w:asciiTheme="minorHAnsi" w:eastAsia="Times New Roman" w:hAnsiTheme="minorHAnsi"/>
                <w:b/>
                <w:sz w:val="18"/>
                <w:szCs w:val="18"/>
              </w:rPr>
            </w:pPr>
            <w:r w:rsidRPr="00C24B64">
              <w:rPr>
                <w:rFonts w:asciiTheme="minorHAnsi" w:eastAsia="Times New Roman" w:hAnsiTheme="minorHAnsi"/>
                <w:b/>
                <w:sz w:val="18"/>
                <w:szCs w:val="18"/>
              </w:rPr>
              <w:t>84</w:t>
            </w:r>
          </w:p>
        </w:tc>
        <w:tc>
          <w:tcPr>
            <w:tcW w:w="1433" w:type="dxa"/>
            <w:shd w:val="clear" w:color="auto" w:fill="FDE9D9" w:themeFill="accent6" w:themeFillTint="33"/>
            <w:hideMark/>
          </w:tcPr>
          <w:p w14:paraId="13F1CD97" w14:textId="77777777" w:rsidR="00BE61A2" w:rsidRPr="00C24B64" w:rsidRDefault="00BE61A2">
            <w:pPr>
              <w:rPr>
                <w:rFonts w:asciiTheme="minorHAnsi" w:eastAsia="Times New Roman" w:hAnsiTheme="minorHAnsi"/>
                <w:b/>
                <w:sz w:val="18"/>
                <w:szCs w:val="18"/>
              </w:rPr>
            </w:pPr>
            <w:r w:rsidRPr="00C24B64">
              <w:rPr>
                <w:rFonts w:asciiTheme="minorHAnsi" w:eastAsia="Times New Roman" w:hAnsiTheme="minorHAnsi"/>
                <w:b/>
                <w:sz w:val="18"/>
                <w:szCs w:val="18"/>
              </w:rPr>
              <w:t>89</w:t>
            </w:r>
          </w:p>
        </w:tc>
      </w:tr>
    </w:tbl>
    <w:p w14:paraId="597CA64E" w14:textId="77777777" w:rsidR="00BE61A2" w:rsidRPr="00AE2F1B" w:rsidRDefault="00BE61A2" w:rsidP="00095AA3">
      <w:pPr>
        <w:pStyle w:val="CDIfootnotes"/>
      </w:pPr>
      <w:r w:rsidRPr="00AE2F1B">
        <w:rPr>
          <w:vertAlign w:val="superscript"/>
        </w:rPr>
        <w:t>*</w:t>
      </w:r>
      <w:r w:rsidR="00FC3628">
        <w:rPr>
          <w:vertAlign w:val="superscript"/>
        </w:rPr>
        <w:tab/>
      </w:r>
      <w:r w:rsidRPr="00AE2F1B">
        <w:t>Only priority diseases notified to the National Notifiable Surveillance System in 2011 to 2015 are included.  </w:t>
      </w:r>
    </w:p>
    <w:p w14:paraId="1E04DFE5" w14:textId="77777777" w:rsidR="00BE61A2" w:rsidRPr="00095AA3" w:rsidRDefault="00BE61A2" w:rsidP="00095AA3">
      <w:pPr>
        <w:pStyle w:val="Heading1"/>
        <w:divId w:val="2110732990"/>
      </w:pPr>
      <w:bookmarkStart w:id="9" w:name="_Toc1747163"/>
      <w:r w:rsidRPr="00095AA3">
        <w:rPr>
          <w:rStyle w:val="Heading1Char"/>
          <w:b/>
        </w:rPr>
        <w:lastRenderedPageBreak/>
        <w:t>Bloodborne diseases</w:t>
      </w:r>
      <w:bookmarkEnd w:id="9"/>
    </w:p>
    <w:p w14:paraId="3C0E1AB3" w14:textId="77777777" w:rsidR="00BE61A2" w:rsidRPr="00AE2F1B" w:rsidRDefault="00BE61A2" w:rsidP="00AE2F1B">
      <w:pPr>
        <w:divId w:val="2110732990"/>
      </w:pPr>
      <w:r w:rsidRPr="00AE2F1B">
        <w:t>In 2015, the bloodborne diseases reported to the NNDSS were hepatitis B, C, and D. Both hepatitis B and C infections were notified to the NNDSS as either ‘newly acquired’, where evidence was available that the infection was acquired in the 24 months prior to diagnosis; or ‘greater than 2 years or unspecified’ period of infection. These categories were reported from all states and territories except Queensland, where all cases of hepatitis C infection, including newly acquired, were reported as ‘greater than 2 years or unspecified’. Determination of a case as ‘newly acquired’ is reliant on public health follow-up, with the method and intensity of follow-up varying by jurisdiction and over time.</w:t>
      </w:r>
    </w:p>
    <w:p w14:paraId="04231BF3" w14:textId="77777777" w:rsidR="00BE61A2" w:rsidRPr="00AE2F1B" w:rsidRDefault="00BE61A2" w:rsidP="00AE2F1B">
      <w:pPr>
        <w:divId w:val="2110732990"/>
      </w:pPr>
      <w:r w:rsidRPr="00AE2F1B">
        <w:t xml:space="preserve">In interpreting these </w:t>
      </w:r>
      <w:proofErr w:type="gramStart"/>
      <w:r w:rsidRPr="00AE2F1B">
        <w:t>data</w:t>
      </w:r>
      <w:proofErr w:type="gramEnd"/>
      <w:r w:rsidRPr="00AE2F1B">
        <w:t xml:space="preserve"> it is important to note that changes in numbers of notified cases over time may not solely reflect changes in disease prevalence or incidence. National testing policies developed by the Australasian Society for HIV and viral hepatitis and sexual health medicine and screening programs, including the preferential testing of high risk populations such as prisoners, injecting drug users and people from countries with a high prevalence of hepatitis B or C infection, may contribute to these changes.</w:t>
      </w:r>
      <w:r w:rsidRPr="00AE2F1B">
        <w:rPr>
          <w:vertAlign w:val="superscript"/>
        </w:rPr>
        <w:t>19,</w:t>
      </w:r>
      <w:proofErr w:type="gramStart"/>
      <w:r w:rsidRPr="00AE2F1B">
        <w:rPr>
          <w:vertAlign w:val="superscript"/>
        </w:rPr>
        <w:t>20</w:t>
      </w:r>
      <w:proofErr w:type="gramEnd"/>
      <w:r w:rsidRPr="00AE2F1B">
        <w:t xml:space="preserve"> </w:t>
      </w:r>
    </w:p>
    <w:p w14:paraId="51F3E15D" w14:textId="77777777" w:rsidR="00BE61A2" w:rsidRPr="00AE2F1B" w:rsidRDefault="00BE61A2" w:rsidP="00AE2F1B">
      <w:pPr>
        <w:divId w:val="2110732990"/>
      </w:pPr>
      <w:r w:rsidRPr="00AE2F1B">
        <w:t xml:space="preserve">Information on exposure factors relating to the most likely source(s) of infection for hepatitis B and C was reported in a subset of newly acquired infections. The collection of enhanced data is dependent on the level of public health follow-up, which is variable by jurisdiction and over time. </w:t>
      </w:r>
    </w:p>
    <w:p w14:paraId="14198D72" w14:textId="647696A4" w:rsidR="00BE61A2" w:rsidRPr="00AE2F1B" w:rsidRDefault="00BE61A2" w:rsidP="00AE2F1B">
      <w:pPr>
        <w:divId w:val="2110732990"/>
      </w:pPr>
      <w:r w:rsidRPr="00AE2F1B">
        <w:t>Notifications of HIV diagnoses were reported directly to the Kirby Institute, which maintains the National HIV Registry. Information on national HIV surveillance can be obtained from the Kirby Institute web site (</w:t>
      </w:r>
      <w:hyperlink r:id="rId16" w:tooltip="http://www.kirby.unsw.edu.au/" w:history="1">
        <w:r w:rsidR="001047AB" w:rsidRPr="009928CF">
          <w:rPr>
            <w:rStyle w:val="Hyperlink"/>
          </w:rPr>
          <w:t>http://www.kirby.unsw.edu.au/</w:t>
        </w:r>
      </w:hyperlink>
      <w:r w:rsidRPr="00AE2F1B">
        <w:t xml:space="preserve">). </w:t>
      </w:r>
    </w:p>
    <w:p w14:paraId="33540E07" w14:textId="77777777" w:rsidR="00BE61A2" w:rsidRPr="004E056D" w:rsidRDefault="00BE61A2" w:rsidP="004E056D">
      <w:pPr>
        <w:pStyle w:val="Heading2"/>
        <w:divId w:val="2110732990"/>
      </w:pPr>
      <w:bookmarkStart w:id="10" w:name="_Toc1747164"/>
      <w:r w:rsidRPr="004E056D">
        <w:rPr>
          <w:bCs w:val="0"/>
          <w:sz w:val="27"/>
          <w:szCs w:val="27"/>
        </w:rPr>
        <w:t>Hepatitis B</w:t>
      </w:r>
      <w:bookmarkEnd w:id="10"/>
    </w:p>
    <w:p w14:paraId="3AAB048D" w14:textId="77777777" w:rsidR="00BE61A2" w:rsidRPr="00400BAA" w:rsidRDefault="00BE61A2" w:rsidP="00400BAA">
      <w:pPr>
        <w:pStyle w:val="ListParagraph"/>
        <w:numPr>
          <w:ilvl w:val="0"/>
          <w:numId w:val="4"/>
        </w:numPr>
        <w:divId w:val="2110732990"/>
        <w:rPr>
          <w:rFonts w:eastAsia="Times New Roman"/>
        </w:rPr>
      </w:pPr>
      <w:r w:rsidRPr="00400BAA">
        <w:rPr>
          <w:rFonts w:eastAsia="Times New Roman"/>
        </w:rPr>
        <w:t xml:space="preserve">There were 6,505 cases of hepatitis B notified in 2015. </w:t>
      </w:r>
    </w:p>
    <w:p w14:paraId="4DDA5F2D" w14:textId="77777777" w:rsidR="00400BAA" w:rsidRPr="00400BAA" w:rsidRDefault="00BE61A2" w:rsidP="00400BAA">
      <w:pPr>
        <w:pStyle w:val="ListParagraph"/>
        <w:numPr>
          <w:ilvl w:val="0"/>
          <w:numId w:val="4"/>
        </w:numPr>
        <w:divId w:val="2110732990"/>
        <w:rPr>
          <w:rFonts w:eastAsia="Times New Roman"/>
        </w:rPr>
      </w:pPr>
      <w:r w:rsidRPr="00400BAA">
        <w:rPr>
          <w:rFonts w:eastAsia="Times New Roman"/>
        </w:rPr>
        <w:t>Over the past 6 years, notifications of newly acqu</w:t>
      </w:r>
      <w:r w:rsidR="00400BAA" w:rsidRPr="00400BAA">
        <w:rPr>
          <w:rFonts w:eastAsia="Times New Roman"/>
        </w:rPr>
        <w:t>ired hepatitis B have declined.</w:t>
      </w:r>
    </w:p>
    <w:p w14:paraId="4D8225E7" w14:textId="77777777" w:rsidR="00BE61A2" w:rsidRPr="00AE2F1B" w:rsidRDefault="00BE61A2" w:rsidP="00AE2F1B">
      <w:pPr>
        <w:divId w:val="2110732990"/>
        <w:rPr>
          <w:rFonts w:eastAsia="Times New Roman"/>
        </w:rPr>
      </w:pPr>
      <w:r w:rsidRPr="00AE2F1B">
        <w:rPr>
          <w:rFonts w:eastAsia="Times New Roman"/>
        </w:rPr>
        <w:t xml:space="preserve">Hepatitis B is a potentially life-threatening liver infection caused by the hepatitis B virus. Major modes of transmission include unprotected sexual contact, needle sharing with an infected person, and perinatal transmission from mother to child. Symptoms of acute infection include abdominal pain, </w:t>
      </w:r>
      <w:proofErr w:type="gramStart"/>
      <w:r w:rsidRPr="00AE2F1B">
        <w:rPr>
          <w:rFonts w:eastAsia="Times New Roman"/>
        </w:rPr>
        <w:t>nausea</w:t>
      </w:r>
      <w:proofErr w:type="gramEnd"/>
      <w:r w:rsidRPr="00AE2F1B">
        <w:rPr>
          <w:rFonts w:eastAsia="Times New Roman"/>
        </w:rPr>
        <w:t xml:space="preserve"> and vomiting progressing to jaundice. Outcomes vary inversely with age; infected infants are more likely to progress to chronic infection, whereas people who are infected as adults often clear the virus. Chronic infection can lead to a number of liver complications, including cirrhosis, </w:t>
      </w:r>
      <w:proofErr w:type="gramStart"/>
      <w:r w:rsidRPr="00AE2F1B">
        <w:rPr>
          <w:rFonts w:eastAsia="Times New Roman"/>
        </w:rPr>
        <w:t>cancer</w:t>
      </w:r>
      <w:proofErr w:type="gramEnd"/>
      <w:r w:rsidRPr="00AE2F1B">
        <w:rPr>
          <w:rFonts w:eastAsia="Times New Roman"/>
        </w:rPr>
        <w:t xml:space="preserve"> and liver failure.</w:t>
      </w:r>
      <w:r w:rsidRPr="00AE2F1B">
        <w:rPr>
          <w:rFonts w:eastAsia="Times New Roman"/>
          <w:vertAlign w:val="superscript"/>
        </w:rPr>
        <w:t>21</w:t>
      </w:r>
      <w:r w:rsidRPr="00AE2F1B">
        <w:rPr>
          <w:rFonts w:eastAsia="Times New Roman"/>
        </w:rPr>
        <w:t xml:space="preserve"> </w:t>
      </w:r>
    </w:p>
    <w:p w14:paraId="14F4DF9E" w14:textId="77777777" w:rsidR="00BE61A2" w:rsidRPr="00AE2F1B" w:rsidRDefault="00BE61A2" w:rsidP="00AE2F1B">
      <w:pPr>
        <w:divId w:val="2110732990"/>
      </w:pPr>
      <w:r w:rsidRPr="00AE2F1B">
        <w:t>Hepatitis B notifications are classified as being either ‘newly acquired’ (evidence that infection was acquired within the 24 months prior to diagnosis) or ‘unspecified’ (infection acquired more than 24 months prior to diagnosis or at a time that could not be specified).</w:t>
      </w:r>
    </w:p>
    <w:p w14:paraId="11337BEE" w14:textId="77777777" w:rsidR="00BE61A2" w:rsidRPr="00AE2F1B" w:rsidRDefault="00BE61A2" w:rsidP="00924A50">
      <w:pPr>
        <w:pStyle w:val="Heading3"/>
        <w:divId w:val="2110732990"/>
      </w:pPr>
      <w:bookmarkStart w:id="11" w:name="_Toc1747165"/>
      <w:r w:rsidRPr="00924A50">
        <w:rPr>
          <w:bCs w:val="0"/>
        </w:rPr>
        <w:t>Epidemiological situation in 2015</w:t>
      </w:r>
      <w:bookmarkEnd w:id="11"/>
    </w:p>
    <w:p w14:paraId="7F261088" w14:textId="77777777" w:rsidR="00BE61A2" w:rsidRDefault="00BE61A2" w:rsidP="00AE2F1B">
      <w:pPr>
        <w:divId w:val="2110732990"/>
      </w:pPr>
      <w:r w:rsidRPr="00AE2F1B">
        <w:t>In 2015, there were 6,505 notified cases of hepatitis B (both newly acquired and unspecified), representing an overall rate of 27.3 cases per 100,000 (Figure 3).</w:t>
      </w:r>
    </w:p>
    <w:p w14:paraId="72551EA6" w14:textId="77777777" w:rsidR="00BB4C6B" w:rsidRDefault="00BB4C6B">
      <w:pPr>
        <w:rPr>
          <w:b/>
        </w:rPr>
      </w:pPr>
      <w:r>
        <w:br w:type="page"/>
      </w:r>
    </w:p>
    <w:p w14:paraId="4685C037" w14:textId="77777777" w:rsidR="00220D04" w:rsidRDefault="00220D04" w:rsidP="00220D04">
      <w:pPr>
        <w:pStyle w:val="CDIFigures"/>
        <w:divId w:val="2110732990"/>
      </w:pPr>
      <w:r>
        <w:lastRenderedPageBreak/>
        <w:t>Figure 3: Notification rate for newly acquired hepatitis B and unspecified hepatitis B, Australia, 2010 to 2015, by</w:t>
      </w:r>
      <w:r w:rsidR="00A406A1">
        <w:t> </w:t>
      </w:r>
      <w:proofErr w:type="gramStart"/>
      <w:r>
        <w:t>year</w:t>
      </w:r>
      <w:proofErr w:type="gramEnd"/>
    </w:p>
    <w:p w14:paraId="142BC5D7" w14:textId="77777777" w:rsidR="00D42E3C" w:rsidRPr="00AE2F1B" w:rsidRDefault="0021477A" w:rsidP="00220D04">
      <w:pPr>
        <w:pStyle w:val="CDIFigures"/>
        <w:divId w:val="2110732990"/>
      </w:pPr>
      <w:r>
        <w:pict w14:anchorId="515C6B95">
          <v:shape id="_x0000_i1026" type="#_x0000_t75" alt="This figure shows the annual notification rate from 2010 to 2015 for newly acquired hepatitis B (scale on left Y-axis) and unspecified hepatitis B (scale on right Y-axis). Overall, the notification rate declined for newly acquired hepatitis B but remained relatively stable for unspecified hepatitis B. &#10;" style="width:522.6pt;height:351.6pt">
            <v:imagedata r:id="rId17" o:title="2-Boodborne figures_3 to 13_Page_01"/>
          </v:shape>
        </w:pict>
      </w:r>
    </w:p>
    <w:p w14:paraId="6E5183FF" w14:textId="77777777" w:rsidR="00BE61A2" w:rsidRPr="00AE2F1B" w:rsidRDefault="00BE61A2" w:rsidP="00AE2F1B">
      <w:pPr>
        <w:divId w:val="2110732990"/>
      </w:pPr>
      <w:r w:rsidRPr="00AE2F1B">
        <w:t>Between 2010 and 2015, rates of newly acquired hepatitis B decreased by 44% from 1.1 to 0.6 per 100,000 (Figure 3). The decline in newly acquired hepatitis B notifications may be attributed to the universal hepatitis B infant immunisation program, introduced in 2000, and the adolescent hepatitis immunisation programs, introduced from 1997 depending on the jurisdiction.</w:t>
      </w:r>
      <w:r w:rsidRPr="00AE2F1B">
        <w:rPr>
          <w:vertAlign w:val="superscript"/>
        </w:rPr>
        <w:t>22</w:t>
      </w:r>
      <w:r w:rsidRPr="00AE2F1B">
        <w:t xml:space="preserve"> As </w:t>
      </w:r>
      <w:proofErr w:type="gramStart"/>
      <w:r w:rsidRPr="00AE2F1B">
        <w:t>at</w:t>
      </w:r>
      <w:proofErr w:type="gramEnd"/>
      <w:r w:rsidRPr="00AE2F1B">
        <w:t xml:space="preserve"> 30 September 2016, approximately 94% of children 12–15 months of age in Australia were assessed as being fully immunised for hepatitis B.</w:t>
      </w:r>
      <w:r w:rsidRPr="00AE2F1B">
        <w:rPr>
          <w:vertAlign w:val="superscript"/>
        </w:rPr>
        <w:t>23</w:t>
      </w:r>
      <w:r w:rsidRPr="00AE2F1B">
        <w:t xml:space="preserve"> </w:t>
      </w:r>
    </w:p>
    <w:p w14:paraId="4841C4FF" w14:textId="77777777" w:rsidR="00BE61A2" w:rsidRPr="00AE2F1B" w:rsidRDefault="00BE61A2" w:rsidP="00AE2F1B">
      <w:pPr>
        <w:divId w:val="2110732990"/>
      </w:pPr>
      <w:r w:rsidRPr="00AE2F1B">
        <w:t>A 2007 study, comparing 2 national serosurveys from 1996–99 and 2002, showed significant improvements in immunity to hepatitis B for the 12–17 years age group in jurisdictions with established school-based programs compared to those jurisdictions without such programs.</w:t>
      </w:r>
      <w:r w:rsidRPr="00AE2F1B">
        <w:rPr>
          <w:vertAlign w:val="superscript"/>
        </w:rPr>
        <w:t>24</w:t>
      </w:r>
      <w:r w:rsidRPr="00AE2F1B">
        <w:t xml:space="preserve"> </w:t>
      </w:r>
    </w:p>
    <w:p w14:paraId="1E2F521D" w14:textId="77777777" w:rsidR="00BE61A2" w:rsidRPr="00AE2F1B" w:rsidRDefault="00BE61A2" w:rsidP="00AE2F1B">
      <w:pPr>
        <w:divId w:val="2110732990"/>
      </w:pPr>
      <w:r w:rsidRPr="00AE2F1B">
        <w:t>From the 1980s, hepatitis B immunisation was also recommended for certain at-risk adults in Australia.</w:t>
      </w:r>
      <w:r w:rsidRPr="00AE2F1B">
        <w:rPr>
          <w:vertAlign w:val="superscript"/>
        </w:rPr>
        <w:t>25</w:t>
      </w:r>
      <w:r w:rsidRPr="00AE2F1B">
        <w:t xml:space="preserve"> Some jurisdictions have implemented immunisation programs to target identified at-risk adults in a variety of settings and over different time periods.</w:t>
      </w:r>
      <w:r w:rsidRPr="00AE2F1B">
        <w:rPr>
          <w:vertAlign w:val="superscript"/>
        </w:rPr>
        <w:t>22</w:t>
      </w:r>
      <w:r w:rsidRPr="00AE2F1B">
        <w:t xml:space="preserve"> The full impact of Australian immunisation programs should be reflected in trends in chronic infection and reductions in hepatitis B related complications in the future.</w:t>
      </w:r>
    </w:p>
    <w:p w14:paraId="186DF675" w14:textId="77777777" w:rsidR="00BE61A2" w:rsidRPr="00AE2F1B" w:rsidRDefault="00BE61A2" w:rsidP="00AE2F1B">
      <w:pPr>
        <w:divId w:val="2110732990"/>
      </w:pPr>
      <w:r w:rsidRPr="00AE2F1B">
        <w:t>Between 2010 and 2015, rates of unspecified hepatitis B declined by 13% from 30.7 to 26.8 per 100,000. It is important to note the significant impact of immigration on rates of unspecified hepatitis B. For example, in 2015, Western Australia reported a decline in asylum seeker boat arrivals coinciding with a decline in unspecified hepatitis B notifications in the state, particularly in the Kimberley region (which includes the postcode for Christmas Island, where there was a detention centre). An Australian study estimated that in 2011 more than 95% of new cases of chronic hepatitis B virus infection were diagnosed in new migrants.</w:t>
      </w:r>
      <w:r w:rsidRPr="00AE2F1B">
        <w:rPr>
          <w:vertAlign w:val="superscript"/>
        </w:rPr>
        <w:t>26</w:t>
      </w:r>
      <w:r w:rsidRPr="00AE2F1B">
        <w:t xml:space="preserve"> </w:t>
      </w:r>
    </w:p>
    <w:p w14:paraId="4D94AAC3" w14:textId="77777777" w:rsidR="00BE61A2" w:rsidRPr="004E056D" w:rsidRDefault="00BE61A2" w:rsidP="004E056D">
      <w:pPr>
        <w:pStyle w:val="Heading2"/>
        <w:divId w:val="2110732990"/>
      </w:pPr>
      <w:bookmarkStart w:id="12" w:name="_Toc1747166"/>
      <w:r w:rsidRPr="004E056D">
        <w:rPr>
          <w:bCs w:val="0"/>
          <w:sz w:val="27"/>
          <w:szCs w:val="27"/>
        </w:rPr>
        <w:lastRenderedPageBreak/>
        <w:t>Newly acquired hepatitis B</w:t>
      </w:r>
      <w:bookmarkEnd w:id="12"/>
    </w:p>
    <w:p w14:paraId="5B67E6E3" w14:textId="77777777" w:rsidR="00BE61A2" w:rsidRPr="00BB2B97" w:rsidRDefault="00BE61A2" w:rsidP="00BB2B97">
      <w:pPr>
        <w:pStyle w:val="ListParagraph"/>
        <w:numPr>
          <w:ilvl w:val="0"/>
          <w:numId w:val="31"/>
        </w:numPr>
        <w:divId w:val="2110732990"/>
        <w:rPr>
          <w:rFonts w:eastAsia="Times New Roman"/>
          <w:bCs/>
          <w:sz w:val="24"/>
          <w:szCs w:val="24"/>
        </w:rPr>
      </w:pPr>
      <w:r w:rsidRPr="00BB2B97">
        <w:rPr>
          <w:rFonts w:eastAsia="Times New Roman"/>
        </w:rPr>
        <w:t xml:space="preserve">There were 140 cases of newly acquired hepatitis B notified in 2015. </w:t>
      </w:r>
    </w:p>
    <w:p w14:paraId="3C116975" w14:textId="77777777" w:rsidR="00BE61A2" w:rsidRPr="00BB2B97" w:rsidRDefault="00BE61A2" w:rsidP="00BB2B97">
      <w:pPr>
        <w:pStyle w:val="ListParagraph"/>
        <w:numPr>
          <w:ilvl w:val="0"/>
          <w:numId w:val="31"/>
        </w:numPr>
        <w:divId w:val="2110732990"/>
        <w:rPr>
          <w:rFonts w:eastAsia="Times New Roman"/>
        </w:rPr>
      </w:pPr>
      <w:r w:rsidRPr="00BB2B97">
        <w:rPr>
          <w:rFonts w:eastAsia="Times New Roman"/>
        </w:rPr>
        <w:t xml:space="preserve">The highest rate of notification was among males aged 30–34 years. Epidemiological situation in 2015 </w:t>
      </w:r>
    </w:p>
    <w:p w14:paraId="030782ED" w14:textId="77777777" w:rsidR="00BE61A2" w:rsidRDefault="00BE61A2" w:rsidP="00AE2F1B">
      <w:pPr>
        <w:divId w:val="2110732990"/>
      </w:pPr>
      <w:r w:rsidRPr="00AE2F1B">
        <w:t>In 2015, 140 cases of newly acquired hepatitis B infection were notified to the NNDSS, a rate of 0.6 per 100,000, declining from 171 cases (0.7 per 100,000) reported in 2014 (Figure 4).</w:t>
      </w:r>
    </w:p>
    <w:p w14:paraId="52367445" w14:textId="77777777" w:rsidR="00B1734F" w:rsidRDefault="00B1734F" w:rsidP="00B1734F">
      <w:pPr>
        <w:pStyle w:val="CDIFigures"/>
        <w:divId w:val="2110732990"/>
      </w:pPr>
      <w:r>
        <w:t xml:space="preserve">Figure 4: Notification rate for newly acquired hepatitis B, Australia, 2015, by age group and </w:t>
      </w:r>
      <w:proofErr w:type="gramStart"/>
      <w:r>
        <w:t>sex</w:t>
      </w:r>
      <w:proofErr w:type="gramEnd"/>
    </w:p>
    <w:p w14:paraId="0E17616D" w14:textId="77777777" w:rsidR="00B1734F" w:rsidRDefault="0021477A" w:rsidP="00B1734F">
      <w:pPr>
        <w:pStyle w:val="CDIFigures"/>
        <w:divId w:val="2110732990"/>
      </w:pPr>
      <w:r>
        <w:pict w14:anchorId="6198125C">
          <v:shape id="_x0000_i1027" type="#_x0000_t75" alt="This figure shows the 2015 notification rate for newly acquired hepatitis B by 5-year age group and sex. The notification rates in males exceed those in females for all age groups over 25, with the exception of the 35-39 year age group and 80-84 year age group. Notification rates peaked in the 30–34 year age group for males and in the 35–39 year age group for females." style="width:522.6pt;height:351.6pt">
            <v:imagedata r:id="rId18" o:title="2-Boodborne figures_3 to 13_Page_02"/>
          </v:shape>
        </w:pict>
      </w:r>
    </w:p>
    <w:p w14:paraId="32013B5C" w14:textId="77777777" w:rsidR="00BE61A2" w:rsidRPr="00AE2F1B" w:rsidRDefault="00BE61A2" w:rsidP="00924A50">
      <w:pPr>
        <w:pStyle w:val="Heading3"/>
        <w:divId w:val="2110732990"/>
      </w:pPr>
      <w:bookmarkStart w:id="13" w:name="_Toc1747167"/>
      <w:r w:rsidRPr="00924A50">
        <w:rPr>
          <w:bCs w:val="0"/>
        </w:rPr>
        <w:t>Geographical distribution</w:t>
      </w:r>
      <w:bookmarkEnd w:id="13"/>
    </w:p>
    <w:p w14:paraId="744F0B11" w14:textId="77777777" w:rsidR="00BE61A2" w:rsidRPr="00AE2F1B" w:rsidRDefault="00BE61A2" w:rsidP="00AE2F1B">
      <w:pPr>
        <w:divId w:val="2110732990"/>
      </w:pPr>
      <w:r w:rsidRPr="00AE2F1B">
        <w:t>The highest rates were reported from Western Australia (1.1 per 100,000) and Queensland (0.9 per 100,000) (Table</w:t>
      </w:r>
      <w:r w:rsidR="00C24B64">
        <w:t> </w:t>
      </w:r>
      <w:r w:rsidRPr="00AE2F1B">
        <w:t>5). This may be due to population differences between the jurisdictions, with hepatitis B disproportionately affecting a number of marginalised groups in Australia including migrant communities with origins in Asia, the Pacific and Africa; and Aboriginal and Torres Strait Islander people.</w:t>
      </w:r>
      <w:r w:rsidRPr="00AE2F1B">
        <w:rPr>
          <w:vertAlign w:val="superscript"/>
        </w:rPr>
        <w:t>26,</w:t>
      </w:r>
      <w:proofErr w:type="gramStart"/>
      <w:r w:rsidRPr="00AE2F1B">
        <w:rPr>
          <w:vertAlign w:val="superscript"/>
        </w:rPr>
        <w:t>27</w:t>
      </w:r>
      <w:proofErr w:type="gramEnd"/>
      <w:r w:rsidRPr="00AE2F1B">
        <w:t xml:space="preserve"> </w:t>
      </w:r>
    </w:p>
    <w:p w14:paraId="1768726E" w14:textId="77777777" w:rsidR="00BE61A2" w:rsidRPr="00AE2F1B" w:rsidRDefault="00BE61A2" w:rsidP="00924A50">
      <w:pPr>
        <w:pStyle w:val="Heading3"/>
        <w:divId w:val="2110732990"/>
      </w:pPr>
      <w:bookmarkStart w:id="14" w:name="_Toc1747168"/>
      <w:r w:rsidRPr="00924A50">
        <w:rPr>
          <w:bCs w:val="0"/>
        </w:rPr>
        <w:t>Age and sex distribution</w:t>
      </w:r>
      <w:bookmarkEnd w:id="14"/>
    </w:p>
    <w:p w14:paraId="1CFAA521" w14:textId="77777777" w:rsidR="00BE61A2" w:rsidRPr="00AE2F1B" w:rsidRDefault="00BE61A2" w:rsidP="00AE2F1B">
      <w:pPr>
        <w:divId w:val="2110732990"/>
      </w:pPr>
      <w:r w:rsidRPr="00AE2F1B">
        <w:t>In 2015, males accounted for 66% of newly acquired hepatitis B notifications. In 2015, the highest rate of newly acquired hepatitis B infection was observed among males aged 30–34 years (2.2 per 100,000). For females, the highest rate was in those aged 35–39 years (1.4 per 100,000) (Figure 4</w:t>
      </w:r>
      <w:r w:rsidR="009320B7" w:rsidRPr="00AE2F1B">
        <w:t xml:space="preserve">). </w:t>
      </w:r>
      <w:r w:rsidRPr="00AE2F1B">
        <w:t>Exposure to hepatitis B may be more common in certain high risk groups, including immigrants from endemic regions; people who inject drugs; prisoners; Aboriginal and Torres Strait Islander people; and men who have sex with men.</w:t>
      </w:r>
      <w:r w:rsidRPr="00AE2F1B">
        <w:rPr>
          <w:vertAlign w:val="superscript"/>
        </w:rPr>
        <w:t>21,26</w:t>
      </w:r>
      <w:r w:rsidRPr="00AE2F1B">
        <w:t xml:space="preserve"> The greater representation of males in some of these groups may contribute to the higher notification rates among males.</w:t>
      </w:r>
    </w:p>
    <w:p w14:paraId="569D9B2F" w14:textId="77777777" w:rsidR="00BE61A2" w:rsidRPr="00AE2F1B" w:rsidRDefault="00BE61A2" w:rsidP="00AE2F1B">
      <w:pPr>
        <w:divId w:val="2110732990"/>
      </w:pPr>
      <w:r w:rsidRPr="00AE2F1B">
        <w:lastRenderedPageBreak/>
        <w:t>Between 2010 and 2015, most age-specific notification rates were low and remained stable or trended downwards. The most marked decreases occurred among those aged 15–29 years.</w:t>
      </w:r>
    </w:p>
    <w:p w14:paraId="77573CC0" w14:textId="77777777" w:rsidR="00BE61A2" w:rsidRDefault="00BE61A2" w:rsidP="00AE2F1B">
      <w:pPr>
        <w:divId w:val="2110732990"/>
      </w:pPr>
      <w:r w:rsidRPr="00AE2F1B">
        <w:t>During this period, notification rates declined by 67% for those aged 20–29 years (from 1.8 to 0.6 per 100,000) and 63% for those aged 15–19 years (from 0.8 to 0.3 per 100,000) (Figure 5). These declines are likely to be attributable to the hepatitis B immunisation program.</w:t>
      </w:r>
      <w:r w:rsidRPr="00AE2F1B">
        <w:rPr>
          <w:vertAlign w:val="superscript"/>
        </w:rPr>
        <w:t>28</w:t>
      </w:r>
      <w:r w:rsidRPr="00AE2F1B">
        <w:t xml:space="preserve"> </w:t>
      </w:r>
    </w:p>
    <w:p w14:paraId="68C29A6B" w14:textId="77777777" w:rsidR="00420884" w:rsidRDefault="00420884" w:rsidP="00420884">
      <w:pPr>
        <w:pStyle w:val="CDIFigures"/>
        <w:divId w:val="2110732990"/>
      </w:pPr>
      <w:r>
        <w:t>Figure 5</w:t>
      </w:r>
      <w:r w:rsidR="006D58DB">
        <w:t>:</w:t>
      </w:r>
      <w:r>
        <w:t xml:space="preserve"> Notification rate for newly acquired hepatitis B, Australia, 2010 to 2015, by year and selected age </w:t>
      </w:r>
      <w:proofErr w:type="gramStart"/>
      <w:r>
        <w:t>groups</w:t>
      </w:r>
      <w:proofErr w:type="gramEnd"/>
    </w:p>
    <w:p w14:paraId="0CAAE0B4" w14:textId="77777777" w:rsidR="00E57074" w:rsidRPr="00AE2F1B" w:rsidRDefault="0021477A" w:rsidP="00420884">
      <w:pPr>
        <w:pStyle w:val="CDIFigures"/>
        <w:divId w:val="2110732990"/>
      </w:pPr>
      <w:r>
        <w:pict w14:anchorId="22054E75">
          <v:shape id="_x0000_i1028" type="#_x0000_t75" alt="This figure shows the annual notification rate for newly acquired hepatitis B from 2010 to 2015 for the following selected age groups: 0–4 years, 5–14 years, 15–19 years, 20–29 years, 30–39 years and 40+ years. Notification rates for those aged 15–19 years, 20–29 years and 30–39 years have declined over the 5 year period. Notification rates for those aged 0–4 years, 5–14 years and 15-19 years have remained low and relatively stable." style="width:522.6pt;height:351.6pt">
            <v:imagedata r:id="rId19" o:title="2-Boodborne figures_3 to 13_Page_03"/>
          </v:shape>
        </w:pict>
      </w:r>
    </w:p>
    <w:p w14:paraId="127B071A" w14:textId="77777777" w:rsidR="00BE61A2" w:rsidRPr="00AE2F1B" w:rsidRDefault="00BE61A2" w:rsidP="00924A50">
      <w:pPr>
        <w:pStyle w:val="Heading3"/>
        <w:divId w:val="2110732990"/>
      </w:pPr>
      <w:bookmarkStart w:id="15" w:name="_Toc1747169"/>
      <w:r w:rsidRPr="00924A50">
        <w:rPr>
          <w:bCs w:val="0"/>
        </w:rPr>
        <w:t xml:space="preserve">Risk </w:t>
      </w:r>
      <w:proofErr w:type="gramStart"/>
      <w:r w:rsidRPr="00924A50">
        <w:rPr>
          <w:bCs w:val="0"/>
        </w:rPr>
        <w:t>groups</w:t>
      </w:r>
      <w:bookmarkEnd w:id="15"/>
      <w:proofErr w:type="gramEnd"/>
    </w:p>
    <w:p w14:paraId="14CC1C48" w14:textId="77777777" w:rsidR="00C24B64" w:rsidRDefault="00BE61A2" w:rsidP="00AE2F1B">
      <w:pPr>
        <w:divId w:val="2110732990"/>
        <w:sectPr w:rsidR="00C24B64" w:rsidSect="00BF2294">
          <w:pgSz w:w="11906" w:h="16838"/>
          <w:pgMar w:top="720" w:right="720" w:bottom="1134" w:left="720" w:header="709" w:footer="284" w:gutter="0"/>
          <w:cols w:space="708"/>
          <w:titlePg/>
          <w:docGrid w:linePitch="360"/>
        </w:sectPr>
      </w:pPr>
      <w:r w:rsidRPr="00AE2F1B">
        <w:t xml:space="preserve">Enhanced data on risk factors and country of birth were provided by New South Wales, South Australia, Tasmania, </w:t>
      </w:r>
      <w:proofErr w:type="gramStart"/>
      <w:r w:rsidRPr="00AE2F1B">
        <w:t>Victoria</w:t>
      </w:r>
      <w:proofErr w:type="gramEnd"/>
      <w:r w:rsidRPr="00AE2F1B">
        <w:t xml:space="preserve"> and Western Australia (Table 10). In 2015, 76 of the 97 cases (78%) from these jurisdictions had at least 1 risk factor recorded, with a potential source of exposure not recorded or not possible to determine for the remainder. Sexual exposure was the most frequently reported potential source of infection (35/97, 36%), followed by injecting drug use (30/97, 31%). Of the 88 cases for which country of birth was reported, 66 were Australian born (75%) and 22 were overseas born (11 from Europe, 6 from Asia, 2 from the Middle East, 2 from the Pacific, and 1 from North America). </w:t>
      </w:r>
    </w:p>
    <w:p w14:paraId="7565B398" w14:textId="77777777" w:rsidR="00BE61A2" w:rsidRPr="00AE2F1B" w:rsidRDefault="00BE61A2" w:rsidP="00400BAA">
      <w:pPr>
        <w:pStyle w:val="CDIFigures"/>
        <w:divId w:val="2110732990"/>
      </w:pPr>
      <w:r w:rsidRPr="00AE2F1B">
        <w:lastRenderedPageBreak/>
        <w:t>Table 10. Enhanced risk factor data on notifications of newly acquired hepatitis B cases in selected jurisdictions,</w:t>
      </w:r>
      <w:r w:rsidRPr="00AE2F1B">
        <w:rPr>
          <w:vertAlign w:val="superscript"/>
        </w:rPr>
        <w:t>*</w:t>
      </w:r>
      <w:r w:rsidRPr="00AE2F1B">
        <w:t xml:space="preserve"> 2015, by sex and risk factors</w:t>
      </w:r>
      <w:r w:rsidRPr="00AE2F1B">
        <w:rPr>
          <w:vertAlign w:val="superscript"/>
        </w:rPr>
        <w:t>†‡</w:t>
      </w:r>
      <w:r w:rsidRPr="00AE2F1B">
        <w:t xml:space="preserve"> </w:t>
      </w:r>
    </w:p>
    <w:tbl>
      <w:tblPr>
        <w:tblStyle w:val="CDI-StandardTable"/>
        <w:tblW w:w="0" w:type="auto"/>
        <w:tblCellMar>
          <w:top w:w="142" w:type="dxa"/>
          <w:left w:w="142" w:type="dxa"/>
          <w:bottom w:w="142" w:type="dxa"/>
        </w:tblCellMar>
        <w:tblLook w:val="04A0" w:firstRow="1" w:lastRow="0" w:firstColumn="1" w:lastColumn="0" w:noHBand="0" w:noVBand="1"/>
        <w:tblDescription w:val="This table shows the number of risk factors reported for newly acquired hepatitis B cases by exposure category and sex, including the percentage of total cases, from the Australian Capital Territory, New South Wales, South Australia, Tasmania, Victoria and Western Australia. Sexual exposure and injecting drug use were the most commonly reported risk factors, representing 36% and 31% of all cases, respectively.&#10;"/>
      </w:tblPr>
      <w:tblGrid>
        <w:gridCol w:w="7230"/>
        <w:gridCol w:w="1134"/>
        <w:gridCol w:w="1114"/>
        <w:gridCol w:w="1295"/>
        <w:gridCol w:w="4167"/>
      </w:tblGrid>
      <w:tr w:rsidR="00BE61A2" w:rsidRPr="00374CC9" w14:paraId="74AA47EB" w14:textId="77777777" w:rsidTr="00C24B64">
        <w:trPr>
          <w:cnfStyle w:val="100000000000" w:firstRow="1" w:lastRow="0" w:firstColumn="0" w:lastColumn="0" w:oddVBand="0" w:evenVBand="0" w:oddHBand="0" w:evenHBand="0" w:firstRowFirstColumn="0" w:firstRowLastColumn="0" w:lastRowFirstColumn="0" w:lastRowLastColumn="0"/>
          <w:divId w:val="2110732990"/>
          <w:tblHeader/>
        </w:trPr>
        <w:tc>
          <w:tcPr>
            <w:tcW w:w="7230" w:type="dxa"/>
            <w:vMerge w:val="restart"/>
            <w:hideMark/>
          </w:tcPr>
          <w:p w14:paraId="59A7CC52"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Exposure category</w:t>
            </w:r>
          </w:p>
        </w:tc>
        <w:tc>
          <w:tcPr>
            <w:tcW w:w="3543" w:type="dxa"/>
            <w:gridSpan w:val="3"/>
            <w:hideMark/>
          </w:tcPr>
          <w:p w14:paraId="15565A9B"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Number of exposure factors reported</w:t>
            </w:r>
          </w:p>
        </w:tc>
        <w:tc>
          <w:tcPr>
            <w:tcW w:w="4167" w:type="dxa"/>
            <w:vMerge w:val="restart"/>
            <w:hideMark/>
          </w:tcPr>
          <w:p w14:paraId="2CDEA69B"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Percentage</w:t>
            </w:r>
            <w:r w:rsidR="0062522E" w:rsidRPr="0062522E">
              <w:rPr>
                <w:rFonts w:eastAsia="Times New Roman"/>
                <w:color w:val="FFFFFF" w:themeColor="background1"/>
                <w:sz w:val="18"/>
                <w:szCs w:val="18"/>
                <w:vertAlign w:val="superscript"/>
              </w:rPr>
              <w:t>§</w:t>
            </w:r>
            <w:r w:rsidRPr="007D1C35">
              <w:rPr>
                <w:rFonts w:eastAsia="Times New Roman"/>
                <w:color w:val="FFFFFF" w:themeColor="background1"/>
                <w:sz w:val="18"/>
                <w:szCs w:val="18"/>
              </w:rPr>
              <w:t xml:space="preserve"> of total cases</w:t>
            </w:r>
            <w:r w:rsidRPr="007D1C35">
              <w:rPr>
                <w:rFonts w:eastAsia="Times New Roman"/>
                <w:color w:val="FFFFFF" w:themeColor="background1"/>
                <w:sz w:val="18"/>
                <w:szCs w:val="18"/>
                <w:vertAlign w:val="superscript"/>
              </w:rPr>
              <w:t>*</w:t>
            </w:r>
            <w:r w:rsidRPr="007D1C35">
              <w:rPr>
                <w:rFonts w:eastAsia="Times New Roman"/>
                <w:color w:val="FFFFFF" w:themeColor="background1"/>
                <w:sz w:val="18"/>
                <w:szCs w:val="18"/>
              </w:rPr>
              <w:t xml:space="preserve"> (n=97)</w:t>
            </w:r>
          </w:p>
        </w:tc>
      </w:tr>
      <w:tr w:rsidR="00BE61A2" w:rsidRPr="00374CC9" w14:paraId="5C219BAD" w14:textId="77777777" w:rsidTr="00C24B64">
        <w:trPr>
          <w:cnfStyle w:val="100000000000" w:firstRow="1" w:lastRow="0" w:firstColumn="0" w:lastColumn="0" w:oddVBand="0" w:evenVBand="0" w:oddHBand="0" w:evenHBand="0" w:firstRowFirstColumn="0" w:firstRowLastColumn="0" w:lastRowFirstColumn="0" w:lastRowLastColumn="0"/>
          <w:divId w:val="2110732990"/>
          <w:tblHeader/>
        </w:trPr>
        <w:tc>
          <w:tcPr>
            <w:tcW w:w="7230" w:type="dxa"/>
            <w:vMerge/>
            <w:hideMark/>
          </w:tcPr>
          <w:p w14:paraId="43960ABE" w14:textId="77777777" w:rsidR="00BE61A2" w:rsidRPr="007D1C35" w:rsidRDefault="00BE61A2">
            <w:pPr>
              <w:rPr>
                <w:rFonts w:eastAsia="Times New Roman"/>
                <w:color w:val="FFFFFF" w:themeColor="background1"/>
                <w:sz w:val="18"/>
                <w:szCs w:val="18"/>
              </w:rPr>
            </w:pPr>
          </w:p>
        </w:tc>
        <w:tc>
          <w:tcPr>
            <w:tcW w:w="1134" w:type="dxa"/>
            <w:hideMark/>
          </w:tcPr>
          <w:p w14:paraId="6E26E4FA"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Male</w:t>
            </w:r>
          </w:p>
        </w:tc>
        <w:tc>
          <w:tcPr>
            <w:tcW w:w="1114" w:type="dxa"/>
            <w:hideMark/>
          </w:tcPr>
          <w:p w14:paraId="652B2F5F"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Female</w:t>
            </w:r>
          </w:p>
        </w:tc>
        <w:tc>
          <w:tcPr>
            <w:tcW w:w="1295" w:type="dxa"/>
            <w:hideMark/>
          </w:tcPr>
          <w:p w14:paraId="44C546B9"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Total</w:t>
            </w:r>
          </w:p>
        </w:tc>
        <w:tc>
          <w:tcPr>
            <w:tcW w:w="4167" w:type="dxa"/>
            <w:vMerge/>
            <w:hideMark/>
          </w:tcPr>
          <w:p w14:paraId="5F3700AB" w14:textId="77777777" w:rsidR="00BE61A2" w:rsidRPr="00374CC9" w:rsidRDefault="00BE61A2">
            <w:pPr>
              <w:rPr>
                <w:rFonts w:eastAsia="Times New Roman"/>
                <w:sz w:val="18"/>
                <w:szCs w:val="18"/>
              </w:rPr>
            </w:pPr>
          </w:p>
        </w:tc>
      </w:tr>
      <w:tr w:rsidR="00BE61A2" w:rsidRPr="00374CC9" w14:paraId="1D7796C7" w14:textId="77777777" w:rsidTr="00C24B64">
        <w:tblPrEx>
          <w:tblCellMar>
            <w:right w:w="108" w:type="dxa"/>
          </w:tblCellMar>
        </w:tblPrEx>
        <w:trPr>
          <w:divId w:val="2110732990"/>
        </w:trPr>
        <w:tc>
          <w:tcPr>
            <w:tcW w:w="7230" w:type="dxa"/>
            <w:hideMark/>
          </w:tcPr>
          <w:p w14:paraId="105E29D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Sexual exposure</w:t>
            </w:r>
          </w:p>
        </w:tc>
        <w:tc>
          <w:tcPr>
            <w:tcW w:w="1134" w:type="dxa"/>
            <w:hideMark/>
          </w:tcPr>
          <w:p w14:paraId="07780FD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28</w:t>
            </w:r>
          </w:p>
        </w:tc>
        <w:tc>
          <w:tcPr>
            <w:tcW w:w="1114" w:type="dxa"/>
            <w:hideMark/>
          </w:tcPr>
          <w:p w14:paraId="2403C8A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w:t>
            </w:r>
          </w:p>
        </w:tc>
        <w:tc>
          <w:tcPr>
            <w:tcW w:w="1295" w:type="dxa"/>
            <w:hideMark/>
          </w:tcPr>
          <w:p w14:paraId="40356E9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35</w:t>
            </w:r>
          </w:p>
        </w:tc>
        <w:tc>
          <w:tcPr>
            <w:tcW w:w="4167" w:type="dxa"/>
            <w:hideMark/>
          </w:tcPr>
          <w:p w14:paraId="5CE021A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36</w:t>
            </w:r>
          </w:p>
        </w:tc>
      </w:tr>
      <w:tr w:rsidR="00BE61A2" w:rsidRPr="00374CC9" w14:paraId="4086B822" w14:textId="77777777" w:rsidTr="00C24B64">
        <w:tblPrEx>
          <w:tblCellMar>
            <w:right w:w="108" w:type="dxa"/>
          </w:tblCellMar>
        </w:tblPrEx>
        <w:trPr>
          <w:cnfStyle w:val="000000010000" w:firstRow="0" w:lastRow="0" w:firstColumn="0" w:lastColumn="0" w:oddVBand="0" w:evenVBand="0" w:oddHBand="0" w:evenHBand="1" w:firstRowFirstColumn="0" w:firstRowLastColumn="0" w:lastRowFirstColumn="0" w:lastRowLastColumn="0"/>
          <w:divId w:val="2110732990"/>
        </w:trPr>
        <w:tc>
          <w:tcPr>
            <w:tcW w:w="7230" w:type="dxa"/>
            <w:hideMark/>
          </w:tcPr>
          <w:p w14:paraId="0FE00FF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Sexual contact (hepatitis B partner status unknown) – opposite sex</w:t>
            </w:r>
          </w:p>
        </w:tc>
        <w:tc>
          <w:tcPr>
            <w:tcW w:w="1134" w:type="dxa"/>
            <w:hideMark/>
          </w:tcPr>
          <w:p w14:paraId="21D1F92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12</w:t>
            </w:r>
          </w:p>
        </w:tc>
        <w:tc>
          <w:tcPr>
            <w:tcW w:w="1114" w:type="dxa"/>
            <w:hideMark/>
          </w:tcPr>
          <w:p w14:paraId="0F505FB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1295" w:type="dxa"/>
            <w:hideMark/>
          </w:tcPr>
          <w:p w14:paraId="1975478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14</w:t>
            </w:r>
          </w:p>
        </w:tc>
        <w:tc>
          <w:tcPr>
            <w:tcW w:w="4167" w:type="dxa"/>
            <w:hideMark/>
          </w:tcPr>
          <w:p w14:paraId="4344C6A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14</w:t>
            </w:r>
          </w:p>
        </w:tc>
      </w:tr>
      <w:tr w:rsidR="00BE61A2" w:rsidRPr="00374CC9" w14:paraId="2C66ACD6" w14:textId="77777777" w:rsidTr="00C24B64">
        <w:tblPrEx>
          <w:tblCellMar>
            <w:right w:w="108" w:type="dxa"/>
          </w:tblCellMar>
        </w:tblPrEx>
        <w:trPr>
          <w:divId w:val="2110732990"/>
        </w:trPr>
        <w:tc>
          <w:tcPr>
            <w:tcW w:w="7230" w:type="dxa"/>
            <w:hideMark/>
          </w:tcPr>
          <w:p w14:paraId="0B52CFA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Sexual contact (hepatitis B positive partner) – opposite sex</w:t>
            </w:r>
          </w:p>
        </w:tc>
        <w:tc>
          <w:tcPr>
            <w:tcW w:w="1134" w:type="dxa"/>
            <w:hideMark/>
          </w:tcPr>
          <w:p w14:paraId="02F5620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w:t>
            </w:r>
          </w:p>
        </w:tc>
        <w:tc>
          <w:tcPr>
            <w:tcW w:w="1114" w:type="dxa"/>
            <w:hideMark/>
          </w:tcPr>
          <w:p w14:paraId="1ABEAC5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w:t>
            </w:r>
          </w:p>
        </w:tc>
        <w:tc>
          <w:tcPr>
            <w:tcW w:w="1295" w:type="dxa"/>
            <w:hideMark/>
          </w:tcPr>
          <w:p w14:paraId="1FE7555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w:t>
            </w:r>
          </w:p>
        </w:tc>
        <w:tc>
          <w:tcPr>
            <w:tcW w:w="4167" w:type="dxa"/>
            <w:hideMark/>
          </w:tcPr>
          <w:p w14:paraId="08C298A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w:t>
            </w:r>
          </w:p>
        </w:tc>
      </w:tr>
      <w:tr w:rsidR="00BE61A2" w:rsidRPr="00374CC9" w14:paraId="35DD6EFD" w14:textId="77777777" w:rsidTr="00C24B64">
        <w:tblPrEx>
          <w:tblCellMar>
            <w:right w:w="108" w:type="dxa"/>
          </w:tblCellMar>
        </w:tblPrEx>
        <w:trPr>
          <w:cnfStyle w:val="000000010000" w:firstRow="0" w:lastRow="0" w:firstColumn="0" w:lastColumn="0" w:oddVBand="0" w:evenVBand="0" w:oddHBand="0" w:evenHBand="1" w:firstRowFirstColumn="0" w:firstRowLastColumn="0" w:lastRowFirstColumn="0" w:lastRowLastColumn="0"/>
          <w:divId w:val="2110732990"/>
        </w:trPr>
        <w:tc>
          <w:tcPr>
            <w:tcW w:w="7230" w:type="dxa"/>
            <w:hideMark/>
          </w:tcPr>
          <w:p w14:paraId="7A015EB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Sexual contact – not further classified</w:t>
            </w:r>
          </w:p>
        </w:tc>
        <w:tc>
          <w:tcPr>
            <w:tcW w:w="1134" w:type="dxa"/>
            <w:hideMark/>
          </w:tcPr>
          <w:p w14:paraId="219C601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w:t>
            </w:r>
          </w:p>
        </w:tc>
        <w:tc>
          <w:tcPr>
            <w:tcW w:w="1114" w:type="dxa"/>
            <w:hideMark/>
          </w:tcPr>
          <w:p w14:paraId="071E12C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295" w:type="dxa"/>
            <w:hideMark/>
          </w:tcPr>
          <w:p w14:paraId="27C2B19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w:t>
            </w:r>
          </w:p>
        </w:tc>
        <w:tc>
          <w:tcPr>
            <w:tcW w:w="4167" w:type="dxa"/>
            <w:hideMark/>
          </w:tcPr>
          <w:p w14:paraId="73238CC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w:t>
            </w:r>
          </w:p>
        </w:tc>
      </w:tr>
      <w:tr w:rsidR="00BE61A2" w:rsidRPr="00374CC9" w14:paraId="3B5E8F73" w14:textId="77777777" w:rsidTr="00C24B64">
        <w:tblPrEx>
          <w:tblCellMar>
            <w:right w:w="108" w:type="dxa"/>
          </w:tblCellMar>
        </w:tblPrEx>
        <w:trPr>
          <w:divId w:val="2110732990"/>
        </w:trPr>
        <w:tc>
          <w:tcPr>
            <w:tcW w:w="7230" w:type="dxa"/>
            <w:hideMark/>
          </w:tcPr>
          <w:p w14:paraId="0AF7A39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Sexual contact (hepatitis B partner status unknown) – same sex</w:t>
            </w:r>
          </w:p>
        </w:tc>
        <w:tc>
          <w:tcPr>
            <w:tcW w:w="1134" w:type="dxa"/>
            <w:hideMark/>
          </w:tcPr>
          <w:p w14:paraId="594AF2B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1114" w:type="dxa"/>
            <w:hideMark/>
          </w:tcPr>
          <w:p w14:paraId="2B4DB4F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1295" w:type="dxa"/>
            <w:hideMark/>
          </w:tcPr>
          <w:p w14:paraId="5F25205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w:t>
            </w:r>
          </w:p>
        </w:tc>
        <w:tc>
          <w:tcPr>
            <w:tcW w:w="4167" w:type="dxa"/>
            <w:hideMark/>
          </w:tcPr>
          <w:p w14:paraId="2E562F3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w:t>
            </w:r>
          </w:p>
        </w:tc>
      </w:tr>
      <w:tr w:rsidR="00BE61A2" w:rsidRPr="00374CC9" w14:paraId="43C5F1B1" w14:textId="77777777" w:rsidTr="00C24B64">
        <w:tblPrEx>
          <w:tblCellMar>
            <w:right w:w="108" w:type="dxa"/>
          </w:tblCellMar>
        </w:tblPrEx>
        <w:trPr>
          <w:cnfStyle w:val="000000010000" w:firstRow="0" w:lastRow="0" w:firstColumn="0" w:lastColumn="0" w:oddVBand="0" w:evenVBand="0" w:oddHBand="0" w:evenHBand="1" w:firstRowFirstColumn="0" w:firstRowLastColumn="0" w:lastRowFirstColumn="0" w:lastRowLastColumn="0"/>
          <w:divId w:val="2110732990"/>
        </w:trPr>
        <w:tc>
          <w:tcPr>
            <w:tcW w:w="7230" w:type="dxa"/>
            <w:hideMark/>
          </w:tcPr>
          <w:p w14:paraId="35B1FE4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Sexual contact (hepatitis B positive partner) – same sex</w:t>
            </w:r>
          </w:p>
        </w:tc>
        <w:tc>
          <w:tcPr>
            <w:tcW w:w="1134" w:type="dxa"/>
            <w:hideMark/>
          </w:tcPr>
          <w:p w14:paraId="0874B8E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1114" w:type="dxa"/>
            <w:hideMark/>
          </w:tcPr>
          <w:p w14:paraId="00E6E20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295" w:type="dxa"/>
            <w:hideMark/>
          </w:tcPr>
          <w:p w14:paraId="34799AB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4167" w:type="dxa"/>
            <w:hideMark/>
          </w:tcPr>
          <w:p w14:paraId="3830D0C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r>
      <w:tr w:rsidR="00BE61A2" w:rsidRPr="00374CC9" w14:paraId="637C8C88" w14:textId="77777777" w:rsidTr="00C24B64">
        <w:tblPrEx>
          <w:tblCellMar>
            <w:right w:w="108" w:type="dxa"/>
          </w:tblCellMar>
        </w:tblPrEx>
        <w:trPr>
          <w:divId w:val="2110732990"/>
        </w:trPr>
        <w:tc>
          <w:tcPr>
            <w:tcW w:w="7230" w:type="dxa"/>
            <w:hideMark/>
          </w:tcPr>
          <w:p w14:paraId="1BD5E67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Injecting drug use</w:t>
            </w:r>
          </w:p>
        </w:tc>
        <w:tc>
          <w:tcPr>
            <w:tcW w:w="1134" w:type="dxa"/>
            <w:hideMark/>
          </w:tcPr>
          <w:p w14:paraId="77F77B4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22</w:t>
            </w:r>
          </w:p>
        </w:tc>
        <w:tc>
          <w:tcPr>
            <w:tcW w:w="1114" w:type="dxa"/>
            <w:hideMark/>
          </w:tcPr>
          <w:p w14:paraId="6C4081D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w:t>
            </w:r>
          </w:p>
        </w:tc>
        <w:tc>
          <w:tcPr>
            <w:tcW w:w="1295" w:type="dxa"/>
            <w:hideMark/>
          </w:tcPr>
          <w:p w14:paraId="01C31B4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30</w:t>
            </w:r>
          </w:p>
        </w:tc>
        <w:tc>
          <w:tcPr>
            <w:tcW w:w="4167" w:type="dxa"/>
            <w:hideMark/>
          </w:tcPr>
          <w:p w14:paraId="34F9855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31</w:t>
            </w:r>
          </w:p>
        </w:tc>
      </w:tr>
      <w:tr w:rsidR="00BE61A2" w:rsidRPr="00374CC9" w14:paraId="736CBD4C" w14:textId="77777777" w:rsidTr="00C24B64">
        <w:tblPrEx>
          <w:tblCellMar>
            <w:right w:w="108" w:type="dxa"/>
          </w:tblCellMar>
        </w:tblPrEx>
        <w:trPr>
          <w:cnfStyle w:val="000000010000" w:firstRow="0" w:lastRow="0" w:firstColumn="0" w:lastColumn="0" w:oddVBand="0" w:evenVBand="0" w:oddHBand="0" w:evenHBand="1" w:firstRowFirstColumn="0" w:firstRowLastColumn="0" w:lastRowFirstColumn="0" w:lastRowLastColumn="0"/>
          <w:divId w:val="2110732990"/>
        </w:trPr>
        <w:tc>
          <w:tcPr>
            <w:tcW w:w="7230" w:type="dxa"/>
            <w:hideMark/>
          </w:tcPr>
          <w:p w14:paraId="3C2823E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Skin penetration procedure</w:t>
            </w:r>
          </w:p>
        </w:tc>
        <w:tc>
          <w:tcPr>
            <w:tcW w:w="1134" w:type="dxa"/>
            <w:hideMark/>
          </w:tcPr>
          <w:p w14:paraId="6AF667B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w:t>
            </w:r>
          </w:p>
        </w:tc>
        <w:tc>
          <w:tcPr>
            <w:tcW w:w="1114" w:type="dxa"/>
            <w:hideMark/>
          </w:tcPr>
          <w:p w14:paraId="09F537D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1295" w:type="dxa"/>
            <w:hideMark/>
          </w:tcPr>
          <w:p w14:paraId="1F6CDA4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13</w:t>
            </w:r>
          </w:p>
        </w:tc>
        <w:tc>
          <w:tcPr>
            <w:tcW w:w="4167" w:type="dxa"/>
            <w:hideMark/>
          </w:tcPr>
          <w:p w14:paraId="2DFD8F3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13</w:t>
            </w:r>
          </w:p>
        </w:tc>
      </w:tr>
      <w:tr w:rsidR="00BE61A2" w:rsidRPr="00374CC9" w14:paraId="48E85A66" w14:textId="77777777" w:rsidTr="00C24B64">
        <w:tblPrEx>
          <w:tblCellMar>
            <w:right w:w="108" w:type="dxa"/>
          </w:tblCellMar>
        </w:tblPrEx>
        <w:trPr>
          <w:divId w:val="2110732990"/>
        </w:trPr>
        <w:tc>
          <w:tcPr>
            <w:tcW w:w="7230" w:type="dxa"/>
            <w:hideMark/>
          </w:tcPr>
          <w:p w14:paraId="2DA6F7E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Tattoos</w:t>
            </w:r>
          </w:p>
        </w:tc>
        <w:tc>
          <w:tcPr>
            <w:tcW w:w="1134" w:type="dxa"/>
            <w:hideMark/>
          </w:tcPr>
          <w:p w14:paraId="79815D5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w:t>
            </w:r>
          </w:p>
        </w:tc>
        <w:tc>
          <w:tcPr>
            <w:tcW w:w="1114" w:type="dxa"/>
            <w:hideMark/>
          </w:tcPr>
          <w:p w14:paraId="72E5C4B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1295" w:type="dxa"/>
            <w:hideMark/>
          </w:tcPr>
          <w:p w14:paraId="73B7933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w:t>
            </w:r>
          </w:p>
        </w:tc>
        <w:tc>
          <w:tcPr>
            <w:tcW w:w="4167" w:type="dxa"/>
            <w:hideMark/>
          </w:tcPr>
          <w:p w14:paraId="64987C6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w:t>
            </w:r>
          </w:p>
        </w:tc>
      </w:tr>
      <w:tr w:rsidR="00BE61A2" w:rsidRPr="00374CC9" w14:paraId="17CAF692" w14:textId="77777777" w:rsidTr="00C24B64">
        <w:tblPrEx>
          <w:tblCellMar>
            <w:right w:w="108" w:type="dxa"/>
          </w:tblCellMar>
        </w:tblPrEx>
        <w:trPr>
          <w:cnfStyle w:val="000000010000" w:firstRow="0" w:lastRow="0" w:firstColumn="0" w:lastColumn="0" w:oddVBand="0" w:evenVBand="0" w:oddHBand="0" w:evenHBand="1" w:firstRowFirstColumn="0" w:firstRowLastColumn="0" w:lastRowFirstColumn="0" w:lastRowLastColumn="0"/>
          <w:divId w:val="2110732990"/>
        </w:trPr>
        <w:tc>
          <w:tcPr>
            <w:tcW w:w="7230" w:type="dxa"/>
            <w:hideMark/>
          </w:tcPr>
          <w:p w14:paraId="14E0C7A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Ear or body piercing</w:t>
            </w:r>
          </w:p>
        </w:tc>
        <w:tc>
          <w:tcPr>
            <w:tcW w:w="1134" w:type="dxa"/>
            <w:hideMark/>
          </w:tcPr>
          <w:p w14:paraId="0E575DC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1114" w:type="dxa"/>
            <w:hideMark/>
          </w:tcPr>
          <w:p w14:paraId="48B48F0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1295" w:type="dxa"/>
            <w:hideMark/>
          </w:tcPr>
          <w:p w14:paraId="51DFD82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4167" w:type="dxa"/>
            <w:hideMark/>
          </w:tcPr>
          <w:p w14:paraId="1375585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r>
      <w:tr w:rsidR="00BE61A2" w:rsidRPr="00374CC9" w14:paraId="3680CE4B" w14:textId="77777777" w:rsidTr="00C24B64">
        <w:tblPrEx>
          <w:tblCellMar>
            <w:right w:w="108" w:type="dxa"/>
          </w:tblCellMar>
        </w:tblPrEx>
        <w:trPr>
          <w:divId w:val="2110732990"/>
        </w:trPr>
        <w:tc>
          <w:tcPr>
            <w:tcW w:w="7230" w:type="dxa"/>
            <w:hideMark/>
          </w:tcPr>
          <w:p w14:paraId="6062074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Acupuncture</w:t>
            </w:r>
          </w:p>
        </w:tc>
        <w:tc>
          <w:tcPr>
            <w:tcW w:w="1134" w:type="dxa"/>
            <w:hideMark/>
          </w:tcPr>
          <w:p w14:paraId="2BBDBFC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w:t>
            </w:r>
          </w:p>
        </w:tc>
        <w:tc>
          <w:tcPr>
            <w:tcW w:w="1114" w:type="dxa"/>
            <w:hideMark/>
          </w:tcPr>
          <w:p w14:paraId="2973FE3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1295" w:type="dxa"/>
            <w:hideMark/>
          </w:tcPr>
          <w:p w14:paraId="61ECE05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w:t>
            </w:r>
          </w:p>
        </w:tc>
        <w:tc>
          <w:tcPr>
            <w:tcW w:w="4167" w:type="dxa"/>
            <w:hideMark/>
          </w:tcPr>
          <w:p w14:paraId="576771A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w:t>
            </w:r>
          </w:p>
        </w:tc>
      </w:tr>
      <w:tr w:rsidR="00BE61A2" w:rsidRPr="00374CC9" w14:paraId="4700A950" w14:textId="77777777" w:rsidTr="00C24B64">
        <w:tblPrEx>
          <w:tblCellMar>
            <w:right w:w="108" w:type="dxa"/>
          </w:tblCellMar>
        </w:tblPrEx>
        <w:trPr>
          <w:cnfStyle w:val="000000010000" w:firstRow="0" w:lastRow="0" w:firstColumn="0" w:lastColumn="0" w:oddVBand="0" w:evenVBand="0" w:oddHBand="0" w:evenHBand="1" w:firstRowFirstColumn="0" w:firstRowLastColumn="0" w:lastRowFirstColumn="0" w:lastRowLastColumn="0"/>
          <w:divId w:val="2110732990"/>
        </w:trPr>
        <w:tc>
          <w:tcPr>
            <w:tcW w:w="7230" w:type="dxa"/>
            <w:hideMark/>
          </w:tcPr>
          <w:p w14:paraId="0676E1E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Household contact</w:t>
            </w:r>
          </w:p>
        </w:tc>
        <w:tc>
          <w:tcPr>
            <w:tcW w:w="1134" w:type="dxa"/>
            <w:hideMark/>
          </w:tcPr>
          <w:p w14:paraId="19C5E9F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1114" w:type="dxa"/>
            <w:hideMark/>
          </w:tcPr>
          <w:p w14:paraId="58AC4F7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1295" w:type="dxa"/>
            <w:hideMark/>
          </w:tcPr>
          <w:p w14:paraId="65705ED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w:t>
            </w:r>
          </w:p>
        </w:tc>
        <w:tc>
          <w:tcPr>
            <w:tcW w:w="4167" w:type="dxa"/>
            <w:hideMark/>
          </w:tcPr>
          <w:p w14:paraId="22F25DA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w:t>
            </w:r>
          </w:p>
        </w:tc>
      </w:tr>
      <w:tr w:rsidR="00BE61A2" w:rsidRPr="00374CC9" w14:paraId="555B7F80" w14:textId="77777777" w:rsidTr="00C24B64">
        <w:tblPrEx>
          <w:tblCellMar>
            <w:right w:w="108" w:type="dxa"/>
          </w:tblCellMar>
        </w:tblPrEx>
        <w:trPr>
          <w:divId w:val="2110732990"/>
        </w:trPr>
        <w:tc>
          <w:tcPr>
            <w:tcW w:w="7230" w:type="dxa"/>
            <w:hideMark/>
          </w:tcPr>
          <w:p w14:paraId="7F6C386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Major dental surgery work</w:t>
            </w:r>
          </w:p>
        </w:tc>
        <w:tc>
          <w:tcPr>
            <w:tcW w:w="1134" w:type="dxa"/>
            <w:hideMark/>
          </w:tcPr>
          <w:p w14:paraId="75BBC4A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1114" w:type="dxa"/>
            <w:hideMark/>
          </w:tcPr>
          <w:p w14:paraId="3F74AF7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1295" w:type="dxa"/>
            <w:hideMark/>
          </w:tcPr>
          <w:p w14:paraId="7A7C058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w:t>
            </w:r>
          </w:p>
        </w:tc>
        <w:tc>
          <w:tcPr>
            <w:tcW w:w="4167" w:type="dxa"/>
            <w:hideMark/>
          </w:tcPr>
          <w:p w14:paraId="02ECE6B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w:t>
            </w:r>
          </w:p>
        </w:tc>
      </w:tr>
      <w:tr w:rsidR="00BE61A2" w:rsidRPr="00374CC9" w14:paraId="7807FBB0" w14:textId="77777777" w:rsidTr="00C24B64">
        <w:tblPrEx>
          <w:tblCellMar>
            <w:right w:w="108" w:type="dxa"/>
          </w:tblCellMar>
        </w:tblPrEx>
        <w:trPr>
          <w:cnfStyle w:val="000000010000" w:firstRow="0" w:lastRow="0" w:firstColumn="0" w:lastColumn="0" w:oddVBand="0" w:evenVBand="0" w:oddHBand="0" w:evenHBand="1" w:firstRowFirstColumn="0" w:firstRowLastColumn="0" w:lastRowFirstColumn="0" w:lastRowLastColumn="0"/>
          <w:divId w:val="2110732990"/>
        </w:trPr>
        <w:tc>
          <w:tcPr>
            <w:tcW w:w="7230" w:type="dxa"/>
            <w:hideMark/>
          </w:tcPr>
          <w:p w14:paraId="323731D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Imprisonment</w:t>
            </w:r>
          </w:p>
        </w:tc>
        <w:tc>
          <w:tcPr>
            <w:tcW w:w="1134" w:type="dxa"/>
            <w:hideMark/>
          </w:tcPr>
          <w:p w14:paraId="0A80A60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1114" w:type="dxa"/>
            <w:hideMark/>
          </w:tcPr>
          <w:p w14:paraId="046E43F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295" w:type="dxa"/>
            <w:hideMark/>
          </w:tcPr>
          <w:p w14:paraId="15324A6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4167" w:type="dxa"/>
            <w:hideMark/>
          </w:tcPr>
          <w:p w14:paraId="455C111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r>
      <w:tr w:rsidR="00BE61A2" w:rsidRPr="00374CC9" w14:paraId="4BF7F2A7" w14:textId="77777777" w:rsidTr="00C24B64">
        <w:tblPrEx>
          <w:tblCellMar>
            <w:right w:w="108" w:type="dxa"/>
          </w:tblCellMar>
        </w:tblPrEx>
        <w:trPr>
          <w:divId w:val="2110732990"/>
        </w:trPr>
        <w:tc>
          <w:tcPr>
            <w:tcW w:w="7230" w:type="dxa"/>
            <w:hideMark/>
          </w:tcPr>
          <w:p w14:paraId="654F7D7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Surgical work</w:t>
            </w:r>
          </w:p>
        </w:tc>
        <w:tc>
          <w:tcPr>
            <w:tcW w:w="1134" w:type="dxa"/>
            <w:hideMark/>
          </w:tcPr>
          <w:p w14:paraId="358CC85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1114" w:type="dxa"/>
            <w:hideMark/>
          </w:tcPr>
          <w:p w14:paraId="74EEC5D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1295" w:type="dxa"/>
            <w:hideMark/>
          </w:tcPr>
          <w:p w14:paraId="0727A15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4167" w:type="dxa"/>
            <w:hideMark/>
          </w:tcPr>
          <w:p w14:paraId="16656C4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r>
      <w:tr w:rsidR="00BE61A2" w:rsidRPr="00374CC9" w14:paraId="0621FB0C" w14:textId="77777777" w:rsidTr="00C24B64">
        <w:tblPrEx>
          <w:tblCellMar>
            <w:right w:w="108" w:type="dxa"/>
          </w:tblCellMar>
        </w:tblPrEx>
        <w:trPr>
          <w:cnfStyle w:val="000000010000" w:firstRow="0" w:lastRow="0" w:firstColumn="0" w:lastColumn="0" w:oddVBand="0" w:evenVBand="0" w:oddHBand="0" w:evenHBand="1" w:firstRowFirstColumn="0" w:firstRowLastColumn="0" w:lastRowFirstColumn="0" w:lastRowLastColumn="0"/>
          <w:divId w:val="2110732990"/>
        </w:trPr>
        <w:tc>
          <w:tcPr>
            <w:tcW w:w="7230" w:type="dxa"/>
            <w:hideMark/>
          </w:tcPr>
          <w:p w14:paraId="0224CB1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Needlestick/biohazardous injury</w:t>
            </w:r>
          </w:p>
        </w:tc>
        <w:tc>
          <w:tcPr>
            <w:tcW w:w="1134" w:type="dxa"/>
            <w:hideMark/>
          </w:tcPr>
          <w:p w14:paraId="5890ADD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1114" w:type="dxa"/>
            <w:hideMark/>
          </w:tcPr>
          <w:p w14:paraId="416AD61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1295" w:type="dxa"/>
            <w:hideMark/>
          </w:tcPr>
          <w:p w14:paraId="3AA358C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4167" w:type="dxa"/>
            <w:hideMark/>
          </w:tcPr>
          <w:p w14:paraId="2791241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r>
      <w:tr w:rsidR="00BE61A2" w:rsidRPr="00374CC9" w14:paraId="75E3BC9C" w14:textId="77777777" w:rsidTr="00C24B64">
        <w:tblPrEx>
          <w:tblCellMar>
            <w:right w:w="108" w:type="dxa"/>
          </w:tblCellMar>
        </w:tblPrEx>
        <w:trPr>
          <w:divId w:val="2110732990"/>
        </w:trPr>
        <w:tc>
          <w:tcPr>
            <w:tcW w:w="7230" w:type="dxa"/>
            <w:hideMark/>
          </w:tcPr>
          <w:p w14:paraId="60A89E6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Perinatal transmission</w:t>
            </w:r>
          </w:p>
        </w:tc>
        <w:tc>
          <w:tcPr>
            <w:tcW w:w="1134" w:type="dxa"/>
            <w:hideMark/>
          </w:tcPr>
          <w:p w14:paraId="3FD295B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1114" w:type="dxa"/>
            <w:hideMark/>
          </w:tcPr>
          <w:p w14:paraId="0CC73AD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295" w:type="dxa"/>
            <w:hideMark/>
          </w:tcPr>
          <w:p w14:paraId="5229396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4167" w:type="dxa"/>
            <w:hideMark/>
          </w:tcPr>
          <w:p w14:paraId="128AE79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r>
      <w:tr w:rsidR="00BE61A2" w:rsidRPr="00374CC9" w14:paraId="626AF889" w14:textId="77777777" w:rsidTr="00C24B64">
        <w:tblPrEx>
          <w:tblCellMar>
            <w:right w:w="108" w:type="dxa"/>
          </w:tblCellMar>
        </w:tblPrEx>
        <w:trPr>
          <w:cnfStyle w:val="000000010000" w:firstRow="0" w:lastRow="0" w:firstColumn="0" w:lastColumn="0" w:oddVBand="0" w:evenVBand="0" w:oddHBand="0" w:evenHBand="1" w:firstRowFirstColumn="0" w:firstRowLastColumn="0" w:lastRowFirstColumn="0" w:lastRowLastColumn="0"/>
          <w:divId w:val="2110732990"/>
        </w:trPr>
        <w:tc>
          <w:tcPr>
            <w:tcW w:w="7230" w:type="dxa"/>
            <w:hideMark/>
          </w:tcPr>
          <w:p w14:paraId="3CC7995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lastRenderedPageBreak/>
              <w:t>Other</w:t>
            </w:r>
          </w:p>
        </w:tc>
        <w:tc>
          <w:tcPr>
            <w:tcW w:w="1134" w:type="dxa"/>
            <w:hideMark/>
          </w:tcPr>
          <w:p w14:paraId="5051A0F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w:t>
            </w:r>
          </w:p>
        </w:tc>
        <w:tc>
          <w:tcPr>
            <w:tcW w:w="1114" w:type="dxa"/>
            <w:hideMark/>
          </w:tcPr>
          <w:p w14:paraId="6698730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1295" w:type="dxa"/>
            <w:hideMark/>
          </w:tcPr>
          <w:p w14:paraId="0181AAD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w:t>
            </w:r>
          </w:p>
        </w:tc>
        <w:tc>
          <w:tcPr>
            <w:tcW w:w="4167" w:type="dxa"/>
            <w:hideMark/>
          </w:tcPr>
          <w:p w14:paraId="66839EA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w:t>
            </w:r>
          </w:p>
        </w:tc>
      </w:tr>
      <w:tr w:rsidR="00BE61A2" w:rsidRPr="00374CC9" w14:paraId="78BD0D9E" w14:textId="77777777" w:rsidTr="00C24B64">
        <w:tblPrEx>
          <w:tblCellMar>
            <w:right w:w="108" w:type="dxa"/>
          </w:tblCellMar>
        </w:tblPrEx>
        <w:trPr>
          <w:divId w:val="2110732990"/>
        </w:trPr>
        <w:tc>
          <w:tcPr>
            <w:tcW w:w="7230" w:type="dxa"/>
            <w:hideMark/>
          </w:tcPr>
          <w:p w14:paraId="3CCD931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Undetermined</w:t>
            </w:r>
          </w:p>
        </w:tc>
        <w:tc>
          <w:tcPr>
            <w:tcW w:w="1134" w:type="dxa"/>
            <w:hideMark/>
          </w:tcPr>
          <w:p w14:paraId="35907B6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w:t>
            </w:r>
          </w:p>
        </w:tc>
        <w:tc>
          <w:tcPr>
            <w:tcW w:w="1114" w:type="dxa"/>
            <w:hideMark/>
          </w:tcPr>
          <w:p w14:paraId="02D9D73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1295" w:type="dxa"/>
            <w:hideMark/>
          </w:tcPr>
          <w:p w14:paraId="7A21009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w:t>
            </w:r>
          </w:p>
        </w:tc>
        <w:tc>
          <w:tcPr>
            <w:tcW w:w="4167" w:type="dxa"/>
            <w:hideMark/>
          </w:tcPr>
          <w:p w14:paraId="5F20648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w:t>
            </w:r>
          </w:p>
        </w:tc>
      </w:tr>
      <w:tr w:rsidR="00BE61A2" w:rsidRPr="00374CC9" w14:paraId="34C67DF8" w14:textId="77777777" w:rsidTr="00C24B64">
        <w:tblPrEx>
          <w:tblCellMar>
            <w:right w:w="108" w:type="dxa"/>
          </w:tblCellMar>
        </w:tblPrEx>
        <w:trPr>
          <w:cnfStyle w:val="000000010000" w:firstRow="0" w:lastRow="0" w:firstColumn="0" w:lastColumn="0" w:oddVBand="0" w:evenVBand="0" w:oddHBand="0" w:evenHBand="1" w:firstRowFirstColumn="0" w:firstRowLastColumn="0" w:lastRowFirstColumn="0" w:lastRowLastColumn="0"/>
          <w:divId w:val="2110732990"/>
        </w:trPr>
        <w:tc>
          <w:tcPr>
            <w:tcW w:w="7230" w:type="dxa"/>
            <w:hideMark/>
          </w:tcPr>
          <w:p w14:paraId="07C0554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Unknown (not recorded)</w:t>
            </w:r>
          </w:p>
        </w:tc>
        <w:tc>
          <w:tcPr>
            <w:tcW w:w="1134" w:type="dxa"/>
            <w:hideMark/>
          </w:tcPr>
          <w:p w14:paraId="7894F17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w:t>
            </w:r>
          </w:p>
        </w:tc>
        <w:tc>
          <w:tcPr>
            <w:tcW w:w="1114" w:type="dxa"/>
            <w:hideMark/>
          </w:tcPr>
          <w:p w14:paraId="0501410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w:t>
            </w:r>
          </w:p>
        </w:tc>
        <w:tc>
          <w:tcPr>
            <w:tcW w:w="1295" w:type="dxa"/>
            <w:hideMark/>
          </w:tcPr>
          <w:p w14:paraId="1C292DE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15</w:t>
            </w:r>
          </w:p>
        </w:tc>
        <w:tc>
          <w:tcPr>
            <w:tcW w:w="4167" w:type="dxa"/>
            <w:hideMark/>
          </w:tcPr>
          <w:p w14:paraId="72D371E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15</w:t>
            </w:r>
          </w:p>
        </w:tc>
      </w:tr>
      <w:tr w:rsidR="00BE61A2" w:rsidRPr="00374CC9" w14:paraId="3FC923A3" w14:textId="77777777" w:rsidTr="00C24B64">
        <w:tblPrEx>
          <w:tblCellMar>
            <w:right w:w="108" w:type="dxa"/>
          </w:tblCellMar>
        </w:tblPrEx>
        <w:trPr>
          <w:divId w:val="2110732990"/>
        </w:trPr>
        <w:tc>
          <w:tcPr>
            <w:tcW w:w="7230" w:type="dxa"/>
            <w:hideMark/>
          </w:tcPr>
          <w:p w14:paraId="3DDB6A1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Total exposure factors reported</w:t>
            </w:r>
          </w:p>
        </w:tc>
        <w:tc>
          <w:tcPr>
            <w:tcW w:w="1134" w:type="dxa"/>
            <w:hideMark/>
          </w:tcPr>
          <w:p w14:paraId="2581A36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77</w:t>
            </w:r>
          </w:p>
        </w:tc>
        <w:tc>
          <w:tcPr>
            <w:tcW w:w="1114" w:type="dxa"/>
            <w:hideMark/>
          </w:tcPr>
          <w:p w14:paraId="7966CFA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28</w:t>
            </w:r>
          </w:p>
        </w:tc>
        <w:tc>
          <w:tcPr>
            <w:tcW w:w="1295" w:type="dxa"/>
            <w:hideMark/>
          </w:tcPr>
          <w:p w14:paraId="783A2C8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105</w:t>
            </w:r>
          </w:p>
        </w:tc>
        <w:tc>
          <w:tcPr>
            <w:tcW w:w="4167" w:type="dxa"/>
            <w:hideMark/>
          </w:tcPr>
          <w:p w14:paraId="6ACC6EF2" w14:textId="77777777" w:rsidR="00BE61A2" w:rsidRPr="00374CC9" w:rsidRDefault="00BE61A2">
            <w:pPr>
              <w:rPr>
                <w:rFonts w:asciiTheme="minorHAnsi" w:eastAsia="Times New Roman" w:hAnsiTheme="minorHAnsi"/>
                <w:sz w:val="18"/>
                <w:szCs w:val="18"/>
              </w:rPr>
            </w:pPr>
          </w:p>
        </w:tc>
      </w:tr>
      <w:tr w:rsidR="00BE61A2" w:rsidRPr="00374CC9" w14:paraId="0B5D29C0" w14:textId="77777777" w:rsidTr="00C24B64">
        <w:tblPrEx>
          <w:tblCellMar>
            <w:right w:w="108" w:type="dxa"/>
          </w:tblCellMar>
        </w:tblPrEx>
        <w:trPr>
          <w:cnfStyle w:val="000000010000" w:firstRow="0" w:lastRow="0" w:firstColumn="0" w:lastColumn="0" w:oddVBand="0" w:evenVBand="0" w:oddHBand="0" w:evenHBand="1" w:firstRowFirstColumn="0" w:firstRowLastColumn="0" w:lastRowFirstColumn="0" w:lastRowLastColumn="0"/>
          <w:divId w:val="2110732990"/>
        </w:trPr>
        <w:tc>
          <w:tcPr>
            <w:tcW w:w="7230" w:type="dxa"/>
            <w:hideMark/>
          </w:tcPr>
          <w:p w14:paraId="2269097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Total number of cases</w:t>
            </w:r>
          </w:p>
        </w:tc>
        <w:tc>
          <w:tcPr>
            <w:tcW w:w="1134" w:type="dxa"/>
            <w:hideMark/>
          </w:tcPr>
          <w:p w14:paraId="329C1D1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67</w:t>
            </w:r>
          </w:p>
        </w:tc>
        <w:tc>
          <w:tcPr>
            <w:tcW w:w="1114" w:type="dxa"/>
            <w:hideMark/>
          </w:tcPr>
          <w:p w14:paraId="2A153B4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30</w:t>
            </w:r>
          </w:p>
        </w:tc>
        <w:tc>
          <w:tcPr>
            <w:tcW w:w="1295" w:type="dxa"/>
            <w:hideMark/>
          </w:tcPr>
          <w:p w14:paraId="0B8EC0B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97</w:t>
            </w:r>
          </w:p>
        </w:tc>
        <w:tc>
          <w:tcPr>
            <w:tcW w:w="4167" w:type="dxa"/>
            <w:hideMark/>
          </w:tcPr>
          <w:p w14:paraId="7E833A36" w14:textId="77777777" w:rsidR="00BE61A2" w:rsidRPr="00374CC9" w:rsidRDefault="00BE61A2">
            <w:pPr>
              <w:rPr>
                <w:rFonts w:asciiTheme="minorHAnsi" w:eastAsia="Times New Roman" w:hAnsiTheme="minorHAnsi"/>
                <w:sz w:val="18"/>
                <w:szCs w:val="18"/>
              </w:rPr>
            </w:pPr>
          </w:p>
        </w:tc>
      </w:tr>
    </w:tbl>
    <w:p w14:paraId="10174F3E" w14:textId="77777777" w:rsidR="00D037C9" w:rsidRDefault="00BE61A2" w:rsidP="00D037C9">
      <w:pPr>
        <w:pStyle w:val="CDIfootnotes"/>
        <w:spacing w:line="240" w:lineRule="auto"/>
        <w:ind w:left="720" w:hanging="720"/>
        <w:divId w:val="2110732990"/>
      </w:pPr>
      <w:r w:rsidRPr="00AE2F1B">
        <w:rPr>
          <w:vertAlign w:val="superscript"/>
        </w:rPr>
        <w:t>*</w:t>
      </w:r>
      <w:r w:rsidR="00D037C9">
        <w:tab/>
      </w:r>
      <w:r w:rsidRPr="00AE2F1B">
        <w:t xml:space="preserve">Cases from New South Wales, South Australia, Tasmania, </w:t>
      </w:r>
      <w:proofErr w:type="gramStart"/>
      <w:r w:rsidRPr="00AE2F1B">
        <w:t>Victoria</w:t>
      </w:r>
      <w:proofErr w:type="gramEnd"/>
      <w:r w:rsidRPr="00AE2F1B">
        <w:t xml:space="preserve"> and Western Australia. While these 5 jurisdictions provided enhanced data on risk factors, not all cases had this informati</w:t>
      </w:r>
      <w:r w:rsidR="00D037C9">
        <w:t>on recorded.</w:t>
      </w:r>
    </w:p>
    <w:p w14:paraId="6947C29B" w14:textId="77777777" w:rsidR="00D037C9" w:rsidRDefault="00BE61A2" w:rsidP="00D037C9">
      <w:pPr>
        <w:pStyle w:val="CDIfootnotes"/>
        <w:spacing w:line="240" w:lineRule="auto"/>
        <w:ind w:left="720" w:hanging="720"/>
        <w:divId w:val="2110732990"/>
      </w:pPr>
      <w:r w:rsidRPr="00AE2F1B">
        <w:rPr>
          <w:vertAlign w:val="superscript"/>
        </w:rPr>
        <w:t>†</w:t>
      </w:r>
      <w:r w:rsidRPr="00AE2F1B">
        <w:tab/>
        <w:t>More than 1 exposure category f</w:t>
      </w:r>
      <w:r w:rsidR="00D037C9">
        <w:t>or each case could be recorded.</w:t>
      </w:r>
    </w:p>
    <w:p w14:paraId="0101A049" w14:textId="77777777" w:rsidR="00D037C9" w:rsidRDefault="00BE61A2" w:rsidP="00D037C9">
      <w:pPr>
        <w:pStyle w:val="CDIfootnotes"/>
        <w:spacing w:line="240" w:lineRule="auto"/>
        <w:ind w:left="720" w:hanging="720"/>
        <w:divId w:val="2110732990"/>
      </w:pPr>
      <w:r w:rsidRPr="00AE2F1B">
        <w:rPr>
          <w:vertAlign w:val="superscript"/>
        </w:rPr>
        <w:t>‡</w:t>
      </w:r>
      <w:r w:rsidRPr="00AE2F1B">
        <w:tab/>
        <w:t>Analysis and categorisation of these exposures are subject to interpretatio</w:t>
      </w:r>
      <w:r w:rsidR="00D037C9">
        <w:t>n and may vary between reports.</w:t>
      </w:r>
    </w:p>
    <w:p w14:paraId="366EBA2E" w14:textId="77777777" w:rsidR="00C24B64" w:rsidRDefault="00BE61A2" w:rsidP="00D037C9">
      <w:pPr>
        <w:pStyle w:val="CDIfootnotes"/>
        <w:spacing w:line="240" w:lineRule="auto"/>
        <w:ind w:left="720" w:hanging="720"/>
        <w:divId w:val="2110732990"/>
        <w:sectPr w:rsidR="00C24B64" w:rsidSect="00C24B64">
          <w:pgSz w:w="16838" w:h="11906" w:orient="landscape"/>
          <w:pgMar w:top="720" w:right="720" w:bottom="720" w:left="1134" w:header="709" w:footer="284" w:gutter="0"/>
          <w:cols w:space="708"/>
          <w:titlePg/>
          <w:docGrid w:linePitch="360"/>
        </w:sectPr>
      </w:pPr>
      <w:r w:rsidRPr="00AE2F1B">
        <w:t>§</w:t>
      </w:r>
      <w:r w:rsidRPr="00AE2F1B">
        <w:tab/>
        <w:t xml:space="preserve">The denominator used to calculate the percentage is based on the cases with recorded enhanced data from New South Wales, South Australia, Tasmania, </w:t>
      </w:r>
      <w:proofErr w:type="gramStart"/>
      <w:r w:rsidRPr="00AE2F1B">
        <w:t>Victoria</w:t>
      </w:r>
      <w:proofErr w:type="gramEnd"/>
      <w:r w:rsidRPr="00AE2F1B">
        <w:t xml:space="preserve"> and Western Australia. As more than 1 exposure category for each notification could be recorded, the total percentage does not equate to 100%.</w:t>
      </w:r>
    </w:p>
    <w:p w14:paraId="50E95040" w14:textId="77777777" w:rsidR="00BE61A2" w:rsidRPr="00AE2F1B" w:rsidRDefault="00BE61A2" w:rsidP="00C24B64">
      <w:pPr>
        <w:pStyle w:val="CDIfootnotes"/>
        <w:divId w:val="2110732990"/>
      </w:pPr>
    </w:p>
    <w:p w14:paraId="21B88EE1" w14:textId="77777777" w:rsidR="00BE61A2" w:rsidRPr="004E056D" w:rsidRDefault="00BE61A2" w:rsidP="004E056D">
      <w:pPr>
        <w:pStyle w:val="Heading2"/>
        <w:divId w:val="2110732990"/>
      </w:pPr>
      <w:bookmarkStart w:id="16" w:name="_Toc1747170"/>
      <w:r w:rsidRPr="004E056D">
        <w:rPr>
          <w:bCs w:val="0"/>
          <w:sz w:val="27"/>
          <w:szCs w:val="27"/>
        </w:rPr>
        <w:t>Unspecified hepatitis B</w:t>
      </w:r>
      <w:bookmarkEnd w:id="16"/>
    </w:p>
    <w:p w14:paraId="404E093B" w14:textId="77777777" w:rsidR="00BE61A2" w:rsidRPr="00400BAA" w:rsidRDefault="00BE61A2" w:rsidP="00400BAA">
      <w:pPr>
        <w:pStyle w:val="ListParagraph"/>
        <w:numPr>
          <w:ilvl w:val="0"/>
          <w:numId w:val="31"/>
        </w:numPr>
        <w:divId w:val="2110732990"/>
        <w:rPr>
          <w:rFonts w:eastAsia="Times New Roman"/>
        </w:rPr>
      </w:pPr>
      <w:r w:rsidRPr="00400BAA">
        <w:rPr>
          <w:rFonts w:eastAsia="Times New Roman"/>
        </w:rPr>
        <w:t xml:space="preserve">There were 6,365 cases of unspecified hepatitis B notified in 2015. </w:t>
      </w:r>
    </w:p>
    <w:p w14:paraId="0CC4FED1" w14:textId="77777777" w:rsidR="00BE61A2" w:rsidRPr="00400BAA" w:rsidRDefault="00BE61A2" w:rsidP="00400BAA">
      <w:pPr>
        <w:pStyle w:val="ListParagraph"/>
        <w:numPr>
          <w:ilvl w:val="0"/>
          <w:numId w:val="31"/>
        </w:numPr>
        <w:divId w:val="2110732990"/>
        <w:rPr>
          <w:rFonts w:eastAsia="Times New Roman"/>
        </w:rPr>
      </w:pPr>
      <w:r w:rsidRPr="00400BAA">
        <w:rPr>
          <w:rFonts w:eastAsia="Times New Roman"/>
        </w:rPr>
        <w:t xml:space="preserve">Notification rates highest in females and males aged 30–34 years. Epidemiological situation in 2015 </w:t>
      </w:r>
    </w:p>
    <w:p w14:paraId="7C705E5B" w14:textId="77777777" w:rsidR="00BE61A2" w:rsidRPr="00AE2F1B" w:rsidRDefault="00BE61A2" w:rsidP="00AE2F1B">
      <w:pPr>
        <w:divId w:val="2110732990"/>
      </w:pPr>
      <w:r w:rsidRPr="00AE2F1B">
        <w:t>In 2015, 6,365 cases of unspecified hepatitis B infection were notified to the NNDSS, representing a rate of 26.8 per 100,000, compared with 6,399 cases (27.3 per 100,000) reported in 2014 (Figure 3).</w:t>
      </w:r>
    </w:p>
    <w:p w14:paraId="7DE0BF5E" w14:textId="77777777" w:rsidR="00BE61A2" w:rsidRPr="00AE2F1B" w:rsidRDefault="00BE61A2" w:rsidP="00924A50">
      <w:pPr>
        <w:pStyle w:val="Heading3"/>
        <w:divId w:val="2110732990"/>
      </w:pPr>
      <w:bookmarkStart w:id="17" w:name="_Toc1747171"/>
      <w:r w:rsidRPr="00924A50">
        <w:rPr>
          <w:bCs w:val="0"/>
        </w:rPr>
        <w:t>Geographical distribution</w:t>
      </w:r>
      <w:bookmarkEnd w:id="17"/>
    </w:p>
    <w:p w14:paraId="321A7229" w14:textId="77777777" w:rsidR="00BE61A2" w:rsidRPr="00AE2F1B" w:rsidRDefault="00BE61A2" w:rsidP="00AE2F1B">
      <w:pPr>
        <w:divId w:val="2110732990"/>
      </w:pPr>
      <w:r w:rsidRPr="00AE2F1B">
        <w:t>In 2015, the Northern Territory had the highest rate of unspecified hepatitis B infection (65.0 per 100,000) (Table 5).</w:t>
      </w:r>
    </w:p>
    <w:p w14:paraId="3B9A4FDC" w14:textId="77777777" w:rsidR="00BE61A2" w:rsidRPr="00AE2F1B" w:rsidRDefault="00BE61A2" w:rsidP="00924A50">
      <w:pPr>
        <w:pStyle w:val="Heading3"/>
        <w:divId w:val="2110732990"/>
      </w:pPr>
      <w:bookmarkStart w:id="18" w:name="_Toc1747172"/>
      <w:r w:rsidRPr="00924A50">
        <w:rPr>
          <w:bCs w:val="0"/>
        </w:rPr>
        <w:t>Age and sex distribution</w:t>
      </w:r>
      <w:bookmarkEnd w:id="18"/>
    </w:p>
    <w:p w14:paraId="29F670E8" w14:textId="77777777" w:rsidR="00BE61A2" w:rsidRPr="00AE2F1B" w:rsidRDefault="00BE61A2" w:rsidP="00AE2F1B">
      <w:pPr>
        <w:divId w:val="2110732990"/>
      </w:pPr>
      <w:r w:rsidRPr="00AE2F1B">
        <w:t>In 2015, males accounted for 51% (3,359/6,365) of unspecified hepatitis B notifications, with an overall rate of 28.4 per 100,000 for males and 24.9 per 100,000 for females. Notification rates were similar for males and females in most age groups. Notification rates in both males and females were highest in the 30–34 years age group (Figure 6).</w:t>
      </w:r>
    </w:p>
    <w:p w14:paraId="6E5640C8" w14:textId="77777777" w:rsidR="002B0024" w:rsidRDefault="002B0024" w:rsidP="00EF1D09">
      <w:pPr>
        <w:pStyle w:val="CDIFigures"/>
        <w:divId w:val="2110732990"/>
      </w:pPr>
      <w:r w:rsidRPr="00EF1D09">
        <w:t>Figure 6: Notification rate for unspecified hepatitis B</w:t>
      </w:r>
      <w:r w:rsidR="00EF1D09" w:rsidRPr="00EF1D09">
        <w:t>, Australia, 2015, by age group and sex</w:t>
      </w:r>
      <w:r w:rsidR="00EF1D09" w:rsidRPr="00FD3CF7">
        <w:rPr>
          <w:vertAlign w:val="superscript"/>
        </w:rPr>
        <w:t>*</w:t>
      </w:r>
    </w:p>
    <w:p w14:paraId="7E0023F3" w14:textId="77777777" w:rsidR="00D21E25" w:rsidRPr="00EF1D09" w:rsidRDefault="0021477A" w:rsidP="00EF1D09">
      <w:pPr>
        <w:pStyle w:val="CDIFigures"/>
        <w:divId w:val="2110732990"/>
      </w:pPr>
      <w:r>
        <w:pict w14:anchorId="409F9BB8">
          <v:shape id="_x0000_i1029" type="#_x0000_t75" alt="This figure shows the 2015 notification rate for unspecified hepatitis B by 5–year age group and sex. The notification rates for males and females are relatively similar for most age groups. Notification rates peaked in the 30–34 year age group for both females and males." style="width:522.6pt;height:351.6pt">
            <v:imagedata r:id="rId20" o:title="2-Boodborne figures_3 to 13_Page_04"/>
          </v:shape>
        </w:pict>
      </w:r>
    </w:p>
    <w:p w14:paraId="667025AC" w14:textId="77777777" w:rsidR="00720B80" w:rsidRDefault="00720B80" w:rsidP="00720B80">
      <w:pPr>
        <w:pStyle w:val="CDIfootnotes"/>
        <w:divId w:val="2110732990"/>
      </w:pPr>
      <w:r>
        <w:t>*</w:t>
      </w:r>
      <w:r>
        <w:tab/>
        <w:t>Excludes 28 cases where age and/or sex were not reported.</w:t>
      </w:r>
    </w:p>
    <w:p w14:paraId="7762362F" w14:textId="77777777" w:rsidR="00BE61A2" w:rsidRDefault="00BE61A2" w:rsidP="00AE2F1B">
      <w:pPr>
        <w:divId w:val="2110732990"/>
      </w:pPr>
      <w:r w:rsidRPr="00AE2F1B">
        <w:t>Between 2010 and 2015, notification rates for unspecified hepatitis B decreased across all age groups (Figure 7). The decrease in rates for the younger age groups is likely explained by the introduction of the infant and adolescent hepatitis B immunisation programs.</w:t>
      </w:r>
      <w:r w:rsidRPr="00AE2F1B">
        <w:rPr>
          <w:vertAlign w:val="superscript"/>
        </w:rPr>
        <w:t>28</w:t>
      </w:r>
      <w:r w:rsidRPr="00AE2F1B">
        <w:t xml:space="preserve"> The adolescent immunisation program commenced in some jurisdictions from 1997 and the infant immunisation program commenced nationally from </w:t>
      </w:r>
      <w:proofErr w:type="gramStart"/>
      <w:r w:rsidRPr="00AE2F1B">
        <w:t>2000.</w:t>
      </w:r>
      <w:r w:rsidRPr="00AE2F1B">
        <w:rPr>
          <w:vertAlign w:val="superscript"/>
        </w:rPr>
        <w:t>29</w:t>
      </w:r>
      <w:proofErr w:type="gramEnd"/>
    </w:p>
    <w:p w14:paraId="0DC5AF33" w14:textId="77777777" w:rsidR="00F73EB0" w:rsidRDefault="00F73EB0" w:rsidP="00EF1D09">
      <w:pPr>
        <w:pStyle w:val="CDIFigures"/>
        <w:divId w:val="2110732990"/>
      </w:pPr>
      <w:r w:rsidRPr="00EF1D09">
        <w:lastRenderedPageBreak/>
        <w:t>Figure 7: Notification rate for unspecified hepatitis B, Australia, 2010 and 2015,</w:t>
      </w:r>
      <w:r w:rsidR="00E06C30" w:rsidRPr="00EF1D09">
        <w:t xml:space="preserve"> by year and selected age groups</w:t>
      </w:r>
      <w:r w:rsidR="00E06C30" w:rsidRPr="00FD3CF7">
        <w:rPr>
          <w:vertAlign w:val="superscript"/>
        </w:rPr>
        <w:t>*</w:t>
      </w:r>
    </w:p>
    <w:p w14:paraId="73DEF065" w14:textId="77777777" w:rsidR="00901E53" w:rsidRDefault="0021477A" w:rsidP="00EF1D09">
      <w:pPr>
        <w:pStyle w:val="CDIFigures"/>
        <w:divId w:val="2110732990"/>
      </w:pPr>
      <w:r>
        <w:pict w14:anchorId="4625CB0B">
          <v:shape id="_x0000_i1030" type="#_x0000_t75" alt="This figure shows the annual notification rate for unspecified hepatitis B from 2010 to 2015 for the following selected age groups: 0–4 years, 5–14 years, 15–19 years, 20–29 years, 30–39 years and 40+ years. Over the 5 year period, notification rates decreased overall in all age groups. The notification rate remained very low for those aged 0–4 and 5–14 years. " style="width:522.6pt;height:351.6pt">
            <v:imagedata r:id="rId21" o:title="2-Boodborne figures_3 to 13_Page_05"/>
          </v:shape>
        </w:pict>
      </w:r>
    </w:p>
    <w:p w14:paraId="4AB94DB9" w14:textId="77777777" w:rsidR="00D76854" w:rsidRPr="00EF1D09" w:rsidRDefault="00D76854" w:rsidP="00D76854">
      <w:pPr>
        <w:pStyle w:val="CDIfootnotes"/>
        <w:divId w:val="2110732990"/>
      </w:pPr>
      <w:r>
        <w:t>*</w:t>
      </w:r>
      <w:r w:rsidR="00CA5B00">
        <w:tab/>
      </w:r>
      <w:r>
        <w:t xml:space="preserve"> Excludes 5 cases where age was not reported.</w:t>
      </w:r>
    </w:p>
    <w:p w14:paraId="41E795F0" w14:textId="77777777" w:rsidR="00BE61A2" w:rsidRDefault="00BE61A2">
      <w:pPr>
        <w:pStyle w:val="Heading3"/>
        <w:divId w:val="2110732990"/>
        <w:rPr>
          <w:rFonts w:eastAsia="Times New Roman"/>
        </w:rPr>
      </w:pPr>
      <w:bookmarkStart w:id="19" w:name="_Toc1747173"/>
      <w:r>
        <w:rPr>
          <w:rFonts w:eastAsia="Times New Roman"/>
        </w:rPr>
        <w:t>Hepatitis C</w:t>
      </w:r>
      <w:bookmarkEnd w:id="19"/>
      <w:r>
        <w:rPr>
          <w:rFonts w:eastAsia="Times New Roman"/>
        </w:rPr>
        <w:t xml:space="preserve"> </w:t>
      </w:r>
    </w:p>
    <w:p w14:paraId="6C6FE8F5" w14:textId="77777777" w:rsidR="00BE61A2" w:rsidRPr="00400BAA" w:rsidRDefault="00BE61A2" w:rsidP="00400BAA">
      <w:pPr>
        <w:pStyle w:val="ListParagraph"/>
        <w:numPr>
          <w:ilvl w:val="0"/>
          <w:numId w:val="31"/>
        </w:numPr>
        <w:divId w:val="2110732990"/>
        <w:rPr>
          <w:rFonts w:eastAsia="Times New Roman"/>
        </w:rPr>
      </w:pPr>
      <w:r w:rsidRPr="00400BAA">
        <w:rPr>
          <w:rFonts w:eastAsia="Times New Roman"/>
        </w:rPr>
        <w:t xml:space="preserve">There were 10,793 cases of hepatitis C notified in 2015. </w:t>
      </w:r>
    </w:p>
    <w:p w14:paraId="1C48F7DE" w14:textId="77777777" w:rsidR="00400BAA" w:rsidRPr="00400BAA" w:rsidRDefault="00BE61A2" w:rsidP="00400BAA">
      <w:pPr>
        <w:pStyle w:val="ListParagraph"/>
        <w:numPr>
          <w:ilvl w:val="0"/>
          <w:numId w:val="31"/>
        </w:numPr>
        <w:divId w:val="2110732990"/>
        <w:rPr>
          <w:rFonts w:eastAsia="Times New Roman"/>
        </w:rPr>
      </w:pPr>
      <w:r w:rsidRPr="00400BAA">
        <w:rPr>
          <w:rFonts w:eastAsia="Times New Roman"/>
        </w:rPr>
        <w:t>Over the past 6 years, notifications of h</w:t>
      </w:r>
      <w:r w:rsidR="00400BAA" w:rsidRPr="00400BAA">
        <w:rPr>
          <w:rFonts w:eastAsia="Times New Roman"/>
        </w:rPr>
        <w:t>epatitis C have declined by 5%.</w:t>
      </w:r>
    </w:p>
    <w:p w14:paraId="3659B2AD" w14:textId="77777777" w:rsidR="00BE61A2" w:rsidRPr="00AE2F1B" w:rsidRDefault="00BE61A2" w:rsidP="00AE2F1B">
      <w:pPr>
        <w:divId w:val="2110732990"/>
        <w:rPr>
          <w:rFonts w:eastAsia="Times New Roman"/>
        </w:rPr>
      </w:pPr>
      <w:r w:rsidRPr="00AE2F1B">
        <w:rPr>
          <w:rFonts w:eastAsia="Times New Roman"/>
        </w:rPr>
        <w:t>Infection with hepatitis C virus causes inflammation of the liver. In more than 90% of cases, initial infection with hepatitis C virus is asymptomatic or mildly symptomatic. Approximately 50%–80% of cases will go on to develop a chronic infection. Of those who develop a chronic infection, half will eventually develop cirrhosis or cancer of the liver.</w:t>
      </w:r>
      <w:r w:rsidRPr="00AE2F1B">
        <w:rPr>
          <w:rFonts w:eastAsia="Times New Roman"/>
          <w:vertAlign w:val="superscript"/>
        </w:rPr>
        <w:t>21</w:t>
      </w:r>
      <w:r w:rsidRPr="00AE2F1B">
        <w:rPr>
          <w:rFonts w:eastAsia="Times New Roman"/>
        </w:rPr>
        <w:t xml:space="preserve"> There is no vaccine to prevent hepatitis C infection. </w:t>
      </w:r>
    </w:p>
    <w:p w14:paraId="2A286513" w14:textId="77777777" w:rsidR="00BE61A2" w:rsidRPr="00AE2F1B" w:rsidRDefault="00BE61A2" w:rsidP="00AE2F1B">
      <w:pPr>
        <w:divId w:val="2110732990"/>
      </w:pPr>
      <w:r w:rsidRPr="00AE2F1B">
        <w:t>Hepatitis C notifications are classified as being either ‘newly acquired’ (evidence that infection was acquired within the 24 months prior to diagnosis) or ‘unspecified’ (infection acquired more than 24 months prior to diagnosis or at a time that could not be specified).</w:t>
      </w:r>
    </w:p>
    <w:p w14:paraId="6ABA55A7" w14:textId="77777777" w:rsidR="00BE61A2" w:rsidRPr="00AE2F1B" w:rsidRDefault="00BE61A2" w:rsidP="00924A50">
      <w:pPr>
        <w:pStyle w:val="Heading3"/>
        <w:divId w:val="2110732990"/>
      </w:pPr>
      <w:bookmarkStart w:id="20" w:name="_Toc1747174"/>
      <w:r w:rsidRPr="00924A50">
        <w:rPr>
          <w:bCs w:val="0"/>
        </w:rPr>
        <w:t>Epidemiological situation in 2015</w:t>
      </w:r>
      <w:bookmarkEnd w:id="20"/>
    </w:p>
    <w:p w14:paraId="0974DA03" w14:textId="77777777" w:rsidR="00BE61A2" w:rsidRPr="00AE2F1B" w:rsidRDefault="00BE61A2" w:rsidP="00AE2F1B">
      <w:pPr>
        <w:divId w:val="2110732990"/>
      </w:pPr>
      <w:r w:rsidRPr="00AE2F1B">
        <w:t>Of the 10,793 cases of hepatitis C notified in 2015, 4% (433/10,793) were classified as newly acquired infections. The proportion of hepatitis C notifications classified as newly acquired has remained reasonably stable since 2010 (range: 3% to 5%).</w:t>
      </w:r>
    </w:p>
    <w:p w14:paraId="62DC5F9B" w14:textId="77777777" w:rsidR="00BE61A2" w:rsidRDefault="00BE61A2" w:rsidP="00AE2F1B">
      <w:pPr>
        <w:divId w:val="2110732990"/>
      </w:pPr>
      <w:r w:rsidRPr="00AE2F1B">
        <w:t xml:space="preserve">Between 2010 and 2015, hepatitis C notifications (both newly acquired and unspecified) declined by 5% from 11,402 to 10,793 (Figure 8). </w:t>
      </w:r>
    </w:p>
    <w:p w14:paraId="3B4CB831" w14:textId="77777777" w:rsidR="00A37B16" w:rsidRDefault="00A37B16" w:rsidP="00A37B16">
      <w:pPr>
        <w:pStyle w:val="CDIFigures"/>
        <w:divId w:val="2110732990"/>
      </w:pPr>
      <w:r>
        <w:lastRenderedPageBreak/>
        <w:t xml:space="preserve">Figure 8: Notification rate for </w:t>
      </w:r>
      <w:r>
        <w:rPr>
          <w:rFonts w:ascii="Minion Pro SmBd" w:hAnsi="Minion Pro SmBd" w:cs="Minion Pro SmBd"/>
        </w:rPr>
        <w:t xml:space="preserve">hepatitis C </w:t>
      </w:r>
      <w:r>
        <w:t>(newly acquired</w:t>
      </w:r>
      <w:r>
        <w:rPr>
          <w:rStyle w:val="A9"/>
        </w:rPr>
        <w:t xml:space="preserve">* </w:t>
      </w:r>
      <w:r>
        <w:t>and unspecified) infecti</w:t>
      </w:r>
      <w:r w:rsidR="007F1877">
        <w:t>on, Australia, 2010 to 2015, by </w:t>
      </w:r>
      <w:proofErr w:type="gramStart"/>
      <w:r>
        <w:t>year</w:t>
      </w:r>
      <w:proofErr w:type="gramEnd"/>
    </w:p>
    <w:p w14:paraId="09430573" w14:textId="77777777" w:rsidR="007F1877" w:rsidRDefault="0021477A" w:rsidP="00A37B16">
      <w:pPr>
        <w:pStyle w:val="CDIFigures"/>
        <w:divId w:val="2110732990"/>
      </w:pPr>
      <w:r>
        <w:pict w14:anchorId="32EB3FBC">
          <v:shape id="_x0000_i1031" type="#_x0000_t75" alt="This figure shows the annual notification rate for newly acquired hepatitis C (scale on left Y-axis) and unspecified hepatitis C (scale on right Y-axis). Overall, the notification rate declined for both newly acquired and unspecified hepatitis C." style="width:522.6pt;height:315pt">
            <v:imagedata r:id="rId22" o:title="2-Boodborne figures_3 to 13_Page_06"/>
          </v:shape>
        </w:pict>
      </w:r>
    </w:p>
    <w:p w14:paraId="6B34B17D" w14:textId="77777777" w:rsidR="00A37B16" w:rsidRPr="00AE2F1B" w:rsidRDefault="00A37B16" w:rsidP="00A37B16">
      <w:pPr>
        <w:pStyle w:val="CDIfootnotes"/>
        <w:divId w:val="2110732990"/>
      </w:pPr>
      <w:r>
        <w:t xml:space="preserve">* </w:t>
      </w:r>
      <w:r>
        <w:tab/>
        <w:t xml:space="preserve">Data from all states and territories except Queensland. </w:t>
      </w:r>
      <w:r w:rsidR="00246FE2">
        <w:br/>
      </w:r>
      <w:r>
        <w:t xml:space="preserve">† </w:t>
      </w:r>
      <w:r>
        <w:tab/>
        <w:t>Data provided from Queensland includes both newly acquired and unspecified hepatitis C cases.</w:t>
      </w:r>
    </w:p>
    <w:p w14:paraId="5F8A08C3" w14:textId="77777777" w:rsidR="00BE61A2" w:rsidRPr="004E056D" w:rsidRDefault="00BE61A2" w:rsidP="004E056D">
      <w:pPr>
        <w:pStyle w:val="Heading2"/>
        <w:divId w:val="2110732990"/>
      </w:pPr>
      <w:bookmarkStart w:id="21" w:name="_Toc1747175"/>
      <w:r w:rsidRPr="004E056D">
        <w:rPr>
          <w:bCs w:val="0"/>
          <w:sz w:val="27"/>
          <w:szCs w:val="27"/>
        </w:rPr>
        <w:t>Newly acquired hepatitis C</w:t>
      </w:r>
      <w:bookmarkEnd w:id="21"/>
    </w:p>
    <w:p w14:paraId="4D7F0086" w14:textId="77777777" w:rsidR="00BE61A2" w:rsidRPr="00400BAA" w:rsidRDefault="00BE61A2" w:rsidP="00400BAA">
      <w:pPr>
        <w:pStyle w:val="ListParagraph"/>
        <w:numPr>
          <w:ilvl w:val="0"/>
          <w:numId w:val="31"/>
        </w:numPr>
        <w:divId w:val="2110732990"/>
        <w:rPr>
          <w:rFonts w:eastAsia="Times New Roman"/>
        </w:rPr>
      </w:pPr>
      <w:r w:rsidRPr="00400BAA">
        <w:rPr>
          <w:rFonts w:eastAsia="Times New Roman"/>
        </w:rPr>
        <w:t xml:space="preserve">There were 433 cases of newly acquired hepatitis C notified in 2015. </w:t>
      </w:r>
    </w:p>
    <w:p w14:paraId="1C43ECCC" w14:textId="77777777" w:rsidR="00BE61A2" w:rsidRPr="00400BAA" w:rsidRDefault="00BE61A2" w:rsidP="00400BAA">
      <w:pPr>
        <w:pStyle w:val="ListParagraph"/>
        <w:numPr>
          <w:ilvl w:val="0"/>
          <w:numId w:val="31"/>
        </w:numPr>
        <w:divId w:val="2110732990"/>
        <w:rPr>
          <w:rFonts w:eastAsia="Times New Roman"/>
        </w:rPr>
      </w:pPr>
      <w:r w:rsidRPr="00400BAA">
        <w:rPr>
          <w:rFonts w:eastAsia="Times New Roman"/>
        </w:rPr>
        <w:t xml:space="preserve">The majority of newly acquired cases had a history of injecting drug use. </w:t>
      </w:r>
    </w:p>
    <w:p w14:paraId="74E018F6" w14:textId="77777777" w:rsidR="00BE61A2" w:rsidRPr="00400BAA" w:rsidRDefault="00BE61A2" w:rsidP="00400BAA">
      <w:pPr>
        <w:pStyle w:val="ListParagraph"/>
        <w:numPr>
          <w:ilvl w:val="0"/>
          <w:numId w:val="31"/>
        </w:numPr>
        <w:divId w:val="2110732990"/>
        <w:rPr>
          <w:rFonts w:eastAsia="Times New Roman"/>
        </w:rPr>
      </w:pPr>
      <w:r w:rsidRPr="00400BAA">
        <w:rPr>
          <w:rFonts w:eastAsia="Times New Roman"/>
        </w:rPr>
        <w:t xml:space="preserve">The highest notification rate was among males in the 20–24 years age group. </w:t>
      </w:r>
    </w:p>
    <w:p w14:paraId="542A80D0" w14:textId="77777777" w:rsidR="00BE61A2" w:rsidRPr="00AE2F1B" w:rsidRDefault="00BE61A2" w:rsidP="00924A50">
      <w:pPr>
        <w:pStyle w:val="Heading3"/>
        <w:divId w:val="2110732990"/>
        <w:rPr>
          <w:rFonts w:eastAsiaTheme="minorEastAsia"/>
        </w:rPr>
      </w:pPr>
      <w:bookmarkStart w:id="22" w:name="_Toc1747176"/>
      <w:r w:rsidRPr="00924A50">
        <w:rPr>
          <w:bCs w:val="0"/>
        </w:rPr>
        <w:t>Epidemiological situation in 2015</w:t>
      </w:r>
      <w:bookmarkEnd w:id="22"/>
    </w:p>
    <w:p w14:paraId="7D9C97AE" w14:textId="77777777" w:rsidR="00BE61A2" w:rsidRPr="00AE2F1B" w:rsidRDefault="00BE61A2" w:rsidP="00AE2F1B">
      <w:pPr>
        <w:divId w:val="2110732990"/>
      </w:pPr>
      <w:r w:rsidRPr="00AE2F1B">
        <w:t>Cases of newly acquired hepatitis C infection were reported from all states and territories except Queensland, where all cases of hepatitis C infection are reported as unspecified. Nationally, the notification rate in 2015 was 2.3 per 100,000 (n=433) compared with 2.4 per 100,000 (n=448) in 2014 (Figure 8).</w:t>
      </w:r>
    </w:p>
    <w:p w14:paraId="7B73F288" w14:textId="77777777" w:rsidR="00BE61A2" w:rsidRPr="00AE2F1B" w:rsidRDefault="00BE61A2" w:rsidP="00924A50">
      <w:pPr>
        <w:pStyle w:val="Heading3"/>
        <w:divId w:val="2110732990"/>
      </w:pPr>
      <w:bookmarkStart w:id="23" w:name="_Toc1747177"/>
      <w:r w:rsidRPr="00924A50">
        <w:rPr>
          <w:bCs w:val="0"/>
        </w:rPr>
        <w:t>Geographical distribution</w:t>
      </w:r>
      <w:bookmarkEnd w:id="23"/>
    </w:p>
    <w:p w14:paraId="2A2C4338" w14:textId="77777777" w:rsidR="00BE61A2" w:rsidRPr="00AE2F1B" w:rsidRDefault="00BE61A2" w:rsidP="00AE2F1B">
      <w:pPr>
        <w:divId w:val="2110732990"/>
      </w:pPr>
      <w:r w:rsidRPr="00AE2F1B">
        <w:t>In 2015, Western Australia reported the highest jurisdiction-specific rate of newly acquired hepatitis C infection (7.1 per 100,000) (Table 5).</w:t>
      </w:r>
    </w:p>
    <w:p w14:paraId="7F1B7FE6" w14:textId="77777777" w:rsidR="00BE61A2" w:rsidRPr="00AE2F1B" w:rsidRDefault="00BE61A2" w:rsidP="00924A50">
      <w:pPr>
        <w:pStyle w:val="Heading3"/>
        <w:divId w:val="2110732990"/>
      </w:pPr>
      <w:bookmarkStart w:id="24" w:name="_Toc1747178"/>
      <w:r w:rsidRPr="00924A50">
        <w:rPr>
          <w:bCs w:val="0"/>
        </w:rPr>
        <w:t>Age and sex distribution</w:t>
      </w:r>
      <w:bookmarkEnd w:id="24"/>
    </w:p>
    <w:p w14:paraId="5D06A279" w14:textId="77777777" w:rsidR="00BE61A2" w:rsidRDefault="00BE61A2" w:rsidP="00AE2F1B">
      <w:pPr>
        <w:divId w:val="2110732990"/>
      </w:pPr>
      <w:r w:rsidRPr="00AE2F1B">
        <w:t>In 2015, males accounted for 68% (294/433) of newly acquired hepatitis C notifications, and the highest notification rate was observed among males aged 20–29 years (10.7 per 100,000). This may be due to males in this age group having greater exposure to the hepatitis C virus through injecting drug use and imprisonment.</w:t>
      </w:r>
      <w:r w:rsidRPr="00AE2F1B">
        <w:rPr>
          <w:vertAlign w:val="superscript"/>
        </w:rPr>
        <w:t>30,31</w:t>
      </w:r>
      <w:r w:rsidRPr="00AE2F1B">
        <w:t xml:space="preserve"> For females, the highest notification rate was in those aged 25–29 years (4.5 per 100,000) (Figure 9).</w:t>
      </w:r>
    </w:p>
    <w:p w14:paraId="6293E8FA" w14:textId="77777777" w:rsidR="00907F2A" w:rsidRDefault="00907F2A" w:rsidP="00907F2A">
      <w:pPr>
        <w:pStyle w:val="CDIFigures"/>
        <w:divId w:val="2110732990"/>
      </w:pPr>
      <w:r>
        <w:lastRenderedPageBreak/>
        <w:t xml:space="preserve">Figure 9: Notification rate for newly acquired </w:t>
      </w:r>
      <w:r>
        <w:rPr>
          <w:rFonts w:ascii="Minion Pro SmBd" w:hAnsi="Minion Pro SmBd" w:cs="Minion Pro SmBd"/>
        </w:rPr>
        <w:t>hepatitis C</w:t>
      </w:r>
      <w:r>
        <w:rPr>
          <w:rStyle w:val="A9"/>
        </w:rPr>
        <w:t xml:space="preserve">* </w:t>
      </w:r>
      <w:r>
        <w:t xml:space="preserve">infection, Australia, 2015, by age group and </w:t>
      </w:r>
      <w:proofErr w:type="gramStart"/>
      <w:r>
        <w:t>sex</w:t>
      </w:r>
      <w:proofErr w:type="gramEnd"/>
    </w:p>
    <w:p w14:paraId="5F5DA3AC" w14:textId="77777777" w:rsidR="009F5F51" w:rsidRDefault="0021477A" w:rsidP="00907F2A">
      <w:pPr>
        <w:pStyle w:val="CDIFigures"/>
        <w:divId w:val="2110732990"/>
      </w:pPr>
      <w:r>
        <w:pict w14:anchorId="05F8E7DE">
          <v:shape id="_x0000_i1032" type="#_x0000_t75" alt="This figure shows the 2015 notification rate for newly acquired hepatitis C by 5-year age group and sex. Notification rates for males exceeded those for females in almost all age groups. Notifications peaked in the 20–29 year age group for both males and females." style="width:522.6pt;height:351.6pt">
            <v:imagedata r:id="rId23" o:title="2-Boodborne figures_3 to 13_Page_07"/>
          </v:shape>
        </w:pict>
      </w:r>
    </w:p>
    <w:p w14:paraId="265CEA0F" w14:textId="77777777" w:rsidR="00907F2A" w:rsidRPr="00AE2F1B" w:rsidRDefault="00907F2A" w:rsidP="00907F2A">
      <w:pPr>
        <w:pStyle w:val="CDIfootnotes"/>
        <w:divId w:val="2110732990"/>
      </w:pPr>
      <w:r>
        <w:rPr>
          <w:rStyle w:val="A13"/>
        </w:rPr>
        <w:t>*</w:t>
      </w:r>
      <w:r>
        <w:rPr>
          <w:rStyle w:val="A13"/>
        </w:rPr>
        <w:tab/>
        <w:t xml:space="preserve"> </w:t>
      </w:r>
      <w:r>
        <w:t>Data from all states and territories except Queensland.</w:t>
      </w:r>
    </w:p>
    <w:p w14:paraId="558BFC7E" w14:textId="77777777" w:rsidR="00BE61A2" w:rsidRDefault="00BE61A2" w:rsidP="00AE2F1B">
      <w:pPr>
        <w:divId w:val="2110732990"/>
      </w:pPr>
      <w:r w:rsidRPr="00AE2F1B">
        <w:t>Between 2010 and 2015, age-specific notification rates for newly acquired hepatitis C infection remained stable or declined. The largest decrease from 2010 to 2015, occurred in the 15–19 years age group (from 1.9 to 1.4 per 100,000) (Figure 10).</w:t>
      </w:r>
    </w:p>
    <w:p w14:paraId="76624CB4" w14:textId="77777777" w:rsidR="00DC3BC5" w:rsidRDefault="00DC3BC5">
      <w:pPr>
        <w:rPr>
          <w:b/>
        </w:rPr>
      </w:pPr>
      <w:r>
        <w:br w:type="page"/>
      </w:r>
    </w:p>
    <w:p w14:paraId="34259AEA" w14:textId="77777777" w:rsidR="003D7640" w:rsidRDefault="003D7640" w:rsidP="007F79B6">
      <w:pPr>
        <w:pStyle w:val="CDIFigures"/>
        <w:divId w:val="2110732990"/>
      </w:pPr>
      <w:r w:rsidRPr="007F79B6">
        <w:lastRenderedPageBreak/>
        <w:t>Figure 10: Notification rate for newly acquired hepatitis C</w:t>
      </w:r>
      <w:r w:rsidRPr="00FD3CF7">
        <w:rPr>
          <w:rStyle w:val="A9"/>
          <w:rFonts w:asciiTheme="minorHAnsi" w:hAnsiTheme="minorHAnsi" w:cstheme="minorBidi"/>
          <w:b/>
          <w:bCs w:val="0"/>
          <w:color w:val="auto"/>
          <w:sz w:val="22"/>
          <w:szCs w:val="22"/>
          <w:vertAlign w:val="superscript"/>
        </w:rPr>
        <w:t>*</w:t>
      </w:r>
      <w:r w:rsidRPr="007F79B6">
        <w:rPr>
          <w:rStyle w:val="A9"/>
          <w:rFonts w:asciiTheme="minorHAnsi" w:hAnsiTheme="minorHAnsi" w:cstheme="minorBidi"/>
          <w:b/>
          <w:bCs w:val="0"/>
          <w:color w:val="auto"/>
          <w:sz w:val="22"/>
          <w:szCs w:val="22"/>
        </w:rPr>
        <w:t xml:space="preserve"> </w:t>
      </w:r>
      <w:r w:rsidRPr="007F79B6">
        <w:t xml:space="preserve">infection, Australia, 2010 to 2015, by year and selected age </w:t>
      </w:r>
      <w:proofErr w:type="gramStart"/>
      <w:r w:rsidRPr="007F79B6">
        <w:t>groups</w:t>
      </w:r>
      <w:proofErr w:type="gramEnd"/>
    </w:p>
    <w:p w14:paraId="21B4D0DC" w14:textId="77777777" w:rsidR="00DC3BC5" w:rsidRPr="007F79B6" w:rsidRDefault="0021477A" w:rsidP="007F79B6">
      <w:pPr>
        <w:pStyle w:val="CDIFigures"/>
        <w:divId w:val="2110732990"/>
      </w:pPr>
      <w:r>
        <w:pict w14:anchorId="38E3D796">
          <v:shape id="_x0000_i1033" type="#_x0000_t75" alt="This figure shows the notification rate for newly acquired hepatitis C from 2010 to 2015 for the following selected age groups: 0–4 years, 5–14 years, 15–19 years, 20–29 years, 30–39 years and 40+ years. Notification rates declined for those aged 15–39 years, with the largest decline in the 15–19 year age group. Rates remained very low for those aged 0–4 years, 5–14 years and 40+ years.&#10;" style="width:522.6pt;height:330.6pt;mso-position-vertical:absolute">
            <v:imagedata r:id="rId24" o:title="2-Boodborne figures_3 to 13_Page_08"/>
          </v:shape>
        </w:pict>
      </w:r>
    </w:p>
    <w:p w14:paraId="30BD5733" w14:textId="77777777" w:rsidR="001C2C0A" w:rsidRPr="001C2C0A" w:rsidRDefault="001C2C0A" w:rsidP="001C2C0A">
      <w:pPr>
        <w:pStyle w:val="CDIfootnotes"/>
        <w:divId w:val="2110732990"/>
      </w:pPr>
      <w:r>
        <w:rPr>
          <w:rStyle w:val="A13"/>
          <w:rFonts w:cstheme="minorBidi"/>
          <w:color w:val="auto"/>
          <w:sz w:val="18"/>
          <w:szCs w:val="22"/>
        </w:rPr>
        <w:t>*</w:t>
      </w:r>
      <w:r>
        <w:rPr>
          <w:rStyle w:val="A13"/>
          <w:rFonts w:cstheme="minorBidi"/>
          <w:color w:val="auto"/>
          <w:sz w:val="18"/>
          <w:szCs w:val="22"/>
        </w:rPr>
        <w:tab/>
      </w:r>
      <w:r w:rsidRPr="001C2C0A">
        <w:rPr>
          <w:rStyle w:val="A11"/>
          <w:rFonts w:cstheme="minorBidi"/>
          <w:color w:val="auto"/>
          <w:sz w:val="18"/>
          <w:u w:val="none"/>
        </w:rPr>
        <w:t>Data from all states and territories except Queensland.</w:t>
      </w:r>
    </w:p>
    <w:p w14:paraId="6AC6F9BF" w14:textId="77777777" w:rsidR="00BE61A2" w:rsidRPr="00AE2F1B" w:rsidRDefault="00BE61A2" w:rsidP="00924A50">
      <w:pPr>
        <w:pStyle w:val="Heading3"/>
        <w:divId w:val="2110732990"/>
      </w:pPr>
      <w:bookmarkStart w:id="25" w:name="_Toc1747179"/>
      <w:r w:rsidRPr="00924A50">
        <w:rPr>
          <w:bCs w:val="0"/>
        </w:rPr>
        <w:t xml:space="preserve">Risk </w:t>
      </w:r>
      <w:proofErr w:type="gramStart"/>
      <w:r w:rsidRPr="00924A50">
        <w:rPr>
          <w:bCs w:val="0"/>
        </w:rPr>
        <w:t>groups</w:t>
      </w:r>
      <w:bookmarkEnd w:id="25"/>
      <w:proofErr w:type="gramEnd"/>
    </w:p>
    <w:p w14:paraId="6E67F365" w14:textId="77777777" w:rsidR="004C0D35" w:rsidRDefault="00BE61A2" w:rsidP="00AE2F1B">
      <w:pPr>
        <w:divId w:val="2110732990"/>
        <w:sectPr w:rsidR="004C0D35" w:rsidSect="00BF2294">
          <w:pgSz w:w="11906" w:h="16838"/>
          <w:pgMar w:top="720" w:right="720" w:bottom="1134" w:left="720" w:header="709" w:footer="284" w:gutter="0"/>
          <w:cols w:space="708"/>
          <w:titlePg/>
          <w:docGrid w:linePitch="360"/>
        </w:sectPr>
      </w:pPr>
      <w:r w:rsidRPr="00AE2F1B">
        <w:t>Exposure histories for newly acquired hepatitis C cases reported in 2015 were analysed for all jurisdictions except Queensland (Table 11). In 2015, 81% (350/433) of cases with enhanced data had at least one risk factor recorded, with the potential source of exposure not recorded or not possible to determine for the remainder. Of the cases for which enhanced data were reported, 60% (258/433) had a history of injecting drug use and 15% (63/433) reported possible sexual exposure.</w:t>
      </w:r>
    </w:p>
    <w:p w14:paraId="24F14FD2" w14:textId="77777777" w:rsidR="00BE61A2" w:rsidRPr="00AE2F1B" w:rsidRDefault="00BE61A2" w:rsidP="004C0D35">
      <w:pPr>
        <w:pStyle w:val="CDIFigures"/>
        <w:divId w:val="2110732990"/>
      </w:pPr>
      <w:r w:rsidRPr="00AE2F1B">
        <w:lastRenderedPageBreak/>
        <w:t>Table 11: Enhanced risk factor data on notifications of newly acquired hepatitis C infection in selected jurisdictions,</w:t>
      </w:r>
      <w:r w:rsidRPr="00AE2F1B">
        <w:rPr>
          <w:vertAlign w:val="superscript"/>
        </w:rPr>
        <w:t>*</w:t>
      </w:r>
      <w:r w:rsidRPr="00AE2F1B">
        <w:t xml:space="preserve"> 2015, by sex and risk factors</w:t>
      </w:r>
      <w:r w:rsidRPr="00AE2F1B">
        <w:rPr>
          <w:vertAlign w:val="superscript"/>
        </w:rPr>
        <w:t>†‡</w:t>
      </w:r>
      <w:r w:rsidRPr="00AE2F1B">
        <w:t xml:space="preserve"> </w:t>
      </w:r>
    </w:p>
    <w:tbl>
      <w:tblPr>
        <w:tblStyle w:val="CDI-StandardTable"/>
        <w:tblW w:w="0" w:type="auto"/>
        <w:tblCellMar>
          <w:top w:w="142" w:type="dxa"/>
          <w:left w:w="142" w:type="dxa"/>
          <w:bottom w:w="142" w:type="dxa"/>
        </w:tblCellMar>
        <w:tblLook w:val="04A0" w:firstRow="1" w:lastRow="0" w:firstColumn="1" w:lastColumn="0" w:noHBand="0" w:noVBand="1"/>
        <w:tblDescription w:val="This table shows the number of risk factors reported for newly acquired hepatitis C cases by exposure category and sex, including the percentage of total cases, from all states and territories except Queensland (where newly acquired hepatitis C is not notified). Injecting drug use was the most commonly reported risk factor, representing 60% of all cases. Imprisonment in the 24 months prior to diagnosis was reported as a risk factor for 38% of cases.&#10;"/>
      </w:tblPr>
      <w:tblGrid>
        <w:gridCol w:w="7230"/>
        <w:gridCol w:w="1275"/>
        <w:gridCol w:w="1399"/>
        <w:gridCol w:w="1579"/>
        <w:gridCol w:w="3458"/>
      </w:tblGrid>
      <w:tr w:rsidR="00BE61A2" w:rsidRPr="00374CC9" w14:paraId="12CE7173" w14:textId="77777777" w:rsidTr="00AE20CA">
        <w:trPr>
          <w:cnfStyle w:val="100000000000" w:firstRow="1" w:lastRow="0" w:firstColumn="0" w:lastColumn="0" w:oddVBand="0" w:evenVBand="0" w:oddHBand="0" w:evenHBand="0" w:firstRowFirstColumn="0" w:firstRowLastColumn="0" w:lastRowFirstColumn="0" w:lastRowLastColumn="0"/>
          <w:divId w:val="2110732990"/>
          <w:tblHeader/>
        </w:trPr>
        <w:tc>
          <w:tcPr>
            <w:tcW w:w="7230" w:type="dxa"/>
            <w:vMerge w:val="restart"/>
            <w:hideMark/>
          </w:tcPr>
          <w:p w14:paraId="588FF4F1"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Exposure category</w:t>
            </w:r>
          </w:p>
        </w:tc>
        <w:tc>
          <w:tcPr>
            <w:tcW w:w="4253" w:type="dxa"/>
            <w:gridSpan w:val="3"/>
            <w:hideMark/>
          </w:tcPr>
          <w:p w14:paraId="25B4B099" w14:textId="77777777" w:rsidR="00BE61A2" w:rsidRPr="007D1C35" w:rsidRDefault="00BE61A2" w:rsidP="00AE20CA">
            <w:pPr>
              <w:jc w:val="center"/>
              <w:rPr>
                <w:rFonts w:eastAsia="Times New Roman"/>
                <w:color w:val="FFFFFF" w:themeColor="background1"/>
                <w:sz w:val="18"/>
                <w:szCs w:val="18"/>
              </w:rPr>
            </w:pPr>
            <w:r w:rsidRPr="007D1C35">
              <w:rPr>
                <w:rFonts w:eastAsia="Times New Roman"/>
                <w:color w:val="FFFFFF" w:themeColor="background1"/>
                <w:sz w:val="18"/>
                <w:szCs w:val="18"/>
              </w:rPr>
              <w:t>Number of exposure factors reported</w:t>
            </w:r>
          </w:p>
        </w:tc>
        <w:tc>
          <w:tcPr>
            <w:tcW w:w="3458" w:type="dxa"/>
            <w:vMerge w:val="restart"/>
            <w:hideMark/>
          </w:tcPr>
          <w:p w14:paraId="1FE79867"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Percentage</w:t>
            </w:r>
            <w:r w:rsidR="0062522E" w:rsidRPr="0062522E">
              <w:rPr>
                <w:rFonts w:eastAsia="Times New Roman"/>
                <w:color w:val="FFFFFF" w:themeColor="background1"/>
                <w:sz w:val="18"/>
                <w:szCs w:val="18"/>
                <w:vertAlign w:val="superscript"/>
              </w:rPr>
              <w:t>§</w:t>
            </w:r>
            <w:r w:rsidRPr="007D1C35">
              <w:rPr>
                <w:rFonts w:eastAsia="Times New Roman"/>
                <w:color w:val="FFFFFF" w:themeColor="background1"/>
                <w:sz w:val="18"/>
                <w:szCs w:val="18"/>
              </w:rPr>
              <w:t xml:space="preserve"> of total cases</w:t>
            </w:r>
            <w:r w:rsidRPr="007D1C35">
              <w:rPr>
                <w:rFonts w:eastAsia="Times New Roman"/>
                <w:color w:val="FFFFFF" w:themeColor="background1"/>
                <w:sz w:val="18"/>
                <w:szCs w:val="18"/>
                <w:vertAlign w:val="superscript"/>
              </w:rPr>
              <w:t>*</w:t>
            </w:r>
            <w:r w:rsidRPr="007D1C35">
              <w:rPr>
                <w:rFonts w:eastAsia="Times New Roman"/>
                <w:color w:val="FFFFFF" w:themeColor="background1"/>
                <w:sz w:val="18"/>
                <w:szCs w:val="18"/>
              </w:rPr>
              <w:t>(n=433)</w:t>
            </w:r>
          </w:p>
        </w:tc>
      </w:tr>
      <w:tr w:rsidR="00BE61A2" w:rsidRPr="00374CC9" w14:paraId="1832E71A" w14:textId="77777777" w:rsidTr="00AE20CA">
        <w:trPr>
          <w:cnfStyle w:val="100000000000" w:firstRow="1" w:lastRow="0" w:firstColumn="0" w:lastColumn="0" w:oddVBand="0" w:evenVBand="0" w:oddHBand="0" w:evenHBand="0" w:firstRowFirstColumn="0" w:firstRowLastColumn="0" w:lastRowFirstColumn="0" w:lastRowLastColumn="0"/>
          <w:divId w:val="2110732990"/>
          <w:tblHeader/>
        </w:trPr>
        <w:tc>
          <w:tcPr>
            <w:tcW w:w="7230" w:type="dxa"/>
            <w:vMerge/>
            <w:hideMark/>
          </w:tcPr>
          <w:p w14:paraId="14E30DF0" w14:textId="77777777" w:rsidR="00BE61A2" w:rsidRPr="007D1C35" w:rsidRDefault="00BE61A2">
            <w:pPr>
              <w:rPr>
                <w:rFonts w:eastAsia="Times New Roman"/>
                <w:color w:val="FFFFFF" w:themeColor="background1"/>
                <w:sz w:val="18"/>
                <w:szCs w:val="18"/>
              </w:rPr>
            </w:pPr>
          </w:p>
        </w:tc>
        <w:tc>
          <w:tcPr>
            <w:tcW w:w="1275" w:type="dxa"/>
            <w:hideMark/>
          </w:tcPr>
          <w:p w14:paraId="659A7CC3" w14:textId="77777777" w:rsidR="00BE61A2" w:rsidRPr="007D1C35" w:rsidRDefault="00BE61A2" w:rsidP="00AE20CA">
            <w:pPr>
              <w:jc w:val="center"/>
              <w:rPr>
                <w:rFonts w:eastAsia="Times New Roman"/>
                <w:color w:val="FFFFFF" w:themeColor="background1"/>
                <w:sz w:val="18"/>
                <w:szCs w:val="18"/>
              </w:rPr>
            </w:pPr>
            <w:r w:rsidRPr="007D1C35">
              <w:rPr>
                <w:rFonts w:eastAsia="Times New Roman"/>
                <w:color w:val="FFFFFF" w:themeColor="background1"/>
                <w:sz w:val="18"/>
                <w:szCs w:val="18"/>
              </w:rPr>
              <w:t>Male</w:t>
            </w:r>
          </w:p>
        </w:tc>
        <w:tc>
          <w:tcPr>
            <w:tcW w:w="1399" w:type="dxa"/>
            <w:hideMark/>
          </w:tcPr>
          <w:p w14:paraId="72B1371A" w14:textId="77777777" w:rsidR="00BE61A2" w:rsidRPr="007D1C35" w:rsidRDefault="00BE61A2" w:rsidP="00AE20CA">
            <w:pPr>
              <w:jc w:val="center"/>
              <w:rPr>
                <w:rFonts w:eastAsia="Times New Roman"/>
                <w:color w:val="FFFFFF" w:themeColor="background1"/>
                <w:sz w:val="18"/>
                <w:szCs w:val="18"/>
              </w:rPr>
            </w:pPr>
            <w:r w:rsidRPr="007D1C35">
              <w:rPr>
                <w:rFonts w:eastAsia="Times New Roman"/>
                <w:color w:val="FFFFFF" w:themeColor="background1"/>
                <w:sz w:val="18"/>
                <w:szCs w:val="18"/>
              </w:rPr>
              <w:t>Female</w:t>
            </w:r>
          </w:p>
        </w:tc>
        <w:tc>
          <w:tcPr>
            <w:tcW w:w="1579" w:type="dxa"/>
            <w:hideMark/>
          </w:tcPr>
          <w:p w14:paraId="139BE0BA" w14:textId="77777777" w:rsidR="00BE61A2" w:rsidRPr="007D1C35" w:rsidRDefault="00BE61A2" w:rsidP="00AE20CA">
            <w:pPr>
              <w:jc w:val="center"/>
              <w:rPr>
                <w:rFonts w:eastAsia="Times New Roman"/>
                <w:color w:val="FFFFFF" w:themeColor="background1"/>
                <w:sz w:val="18"/>
                <w:szCs w:val="18"/>
              </w:rPr>
            </w:pPr>
            <w:r w:rsidRPr="007D1C35">
              <w:rPr>
                <w:rFonts w:eastAsia="Times New Roman"/>
                <w:color w:val="FFFFFF" w:themeColor="background1"/>
                <w:sz w:val="18"/>
                <w:szCs w:val="18"/>
              </w:rPr>
              <w:t>Total</w:t>
            </w:r>
          </w:p>
        </w:tc>
        <w:tc>
          <w:tcPr>
            <w:tcW w:w="3458" w:type="dxa"/>
            <w:vMerge/>
            <w:hideMark/>
          </w:tcPr>
          <w:p w14:paraId="5E08F1D8" w14:textId="77777777" w:rsidR="00BE61A2" w:rsidRPr="00374CC9" w:rsidRDefault="00BE61A2">
            <w:pPr>
              <w:rPr>
                <w:rFonts w:eastAsia="Times New Roman"/>
                <w:sz w:val="18"/>
                <w:szCs w:val="18"/>
              </w:rPr>
            </w:pPr>
          </w:p>
        </w:tc>
      </w:tr>
      <w:tr w:rsidR="00BE61A2" w:rsidRPr="00374CC9" w14:paraId="14B202A0" w14:textId="77777777" w:rsidTr="00AE20CA">
        <w:tblPrEx>
          <w:tblCellMar>
            <w:right w:w="108" w:type="dxa"/>
          </w:tblCellMar>
        </w:tblPrEx>
        <w:trPr>
          <w:divId w:val="2110732990"/>
        </w:trPr>
        <w:tc>
          <w:tcPr>
            <w:tcW w:w="7230" w:type="dxa"/>
            <w:hideMark/>
          </w:tcPr>
          <w:p w14:paraId="73D89F0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Injecting drug use</w:t>
            </w:r>
          </w:p>
        </w:tc>
        <w:tc>
          <w:tcPr>
            <w:tcW w:w="1275" w:type="dxa"/>
            <w:hideMark/>
          </w:tcPr>
          <w:p w14:paraId="585A5797"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172</w:t>
            </w:r>
          </w:p>
        </w:tc>
        <w:tc>
          <w:tcPr>
            <w:tcW w:w="1399" w:type="dxa"/>
            <w:hideMark/>
          </w:tcPr>
          <w:p w14:paraId="1CDF1998"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86</w:t>
            </w:r>
          </w:p>
        </w:tc>
        <w:tc>
          <w:tcPr>
            <w:tcW w:w="1579" w:type="dxa"/>
            <w:hideMark/>
          </w:tcPr>
          <w:p w14:paraId="35E5989D"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258</w:t>
            </w:r>
          </w:p>
        </w:tc>
        <w:tc>
          <w:tcPr>
            <w:tcW w:w="3458" w:type="dxa"/>
            <w:hideMark/>
          </w:tcPr>
          <w:p w14:paraId="441C81F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60</w:t>
            </w:r>
          </w:p>
        </w:tc>
      </w:tr>
      <w:tr w:rsidR="00BE61A2" w:rsidRPr="00374CC9" w14:paraId="5AB9254F" w14:textId="77777777" w:rsidTr="00AE20CA">
        <w:tblPrEx>
          <w:tblCellMar>
            <w:right w:w="108" w:type="dxa"/>
          </w:tblCellMar>
        </w:tblPrEx>
        <w:trPr>
          <w:cnfStyle w:val="000000010000" w:firstRow="0" w:lastRow="0" w:firstColumn="0" w:lastColumn="0" w:oddVBand="0" w:evenVBand="0" w:oddHBand="0" w:evenHBand="1" w:firstRowFirstColumn="0" w:firstRowLastColumn="0" w:lastRowFirstColumn="0" w:lastRowLastColumn="0"/>
          <w:divId w:val="2110732990"/>
        </w:trPr>
        <w:tc>
          <w:tcPr>
            <w:tcW w:w="7230" w:type="dxa"/>
            <w:hideMark/>
          </w:tcPr>
          <w:p w14:paraId="0C1B623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Imprisonment</w:t>
            </w:r>
          </w:p>
        </w:tc>
        <w:tc>
          <w:tcPr>
            <w:tcW w:w="1275" w:type="dxa"/>
            <w:hideMark/>
          </w:tcPr>
          <w:p w14:paraId="119359EF"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144</w:t>
            </w:r>
          </w:p>
        </w:tc>
        <w:tc>
          <w:tcPr>
            <w:tcW w:w="1399" w:type="dxa"/>
            <w:hideMark/>
          </w:tcPr>
          <w:p w14:paraId="5CEDCEA9"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22</w:t>
            </w:r>
          </w:p>
        </w:tc>
        <w:tc>
          <w:tcPr>
            <w:tcW w:w="1579" w:type="dxa"/>
            <w:hideMark/>
          </w:tcPr>
          <w:p w14:paraId="2A1E0303"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166</w:t>
            </w:r>
          </w:p>
        </w:tc>
        <w:tc>
          <w:tcPr>
            <w:tcW w:w="3458" w:type="dxa"/>
            <w:hideMark/>
          </w:tcPr>
          <w:p w14:paraId="5C6646D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38</w:t>
            </w:r>
          </w:p>
        </w:tc>
      </w:tr>
      <w:tr w:rsidR="00BE61A2" w:rsidRPr="00374CC9" w14:paraId="58707B81" w14:textId="77777777" w:rsidTr="00AE20CA">
        <w:tblPrEx>
          <w:tblCellMar>
            <w:right w:w="108" w:type="dxa"/>
          </w:tblCellMar>
        </w:tblPrEx>
        <w:trPr>
          <w:divId w:val="2110732990"/>
        </w:trPr>
        <w:tc>
          <w:tcPr>
            <w:tcW w:w="7230" w:type="dxa"/>
            <w:hideMark/>
          </w:tcPr>
          <w:p w14:paraId="0BD93B2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Sexual exposure</w:t>
            </w:r>
          </w:p>
        </w:tc>
        <w:tc>
          <w:tcPr>
            <w:tcW w:w="1275" w:type="dxa"/>
            <w:hideMark/>
          </w:tcPr>
          <w:p w14:paraId="27BF9094"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29</w:t>
            </w:r>
          </w:p>
        </w:tc>
        <w:tc>
          <w:tcPr>
            <w:tcW w:w="1399" w:type="dxa"/>
            <w:hideMark/>
          </w:tcPr>
          <w:p w14:paraId="7B1A3AD4"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34</w:t>
            </w:r>
          </w:p>
        </w:tc>
        <w:tc>
          <w:tcPr>
            <w:tcW w:w="1579" w:type="dxa"/>
            <w:hideMark/>
          </w:tcPr>
          <w:p w14:paraId="384FD8A4"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63</w:t>
            </w:r>
          </w:p>
        </w:tc>
        <w:tc>
          <w:tcPr>
            <w:tcW w:w="3458" w:type="dxa"/>
            <w:hideMark/>
          </w:tcPr>
          <w:p w14:paraId="6A36EEB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15</w:t>
            </w:r>
          </w:p>
        </w:tc>
      </w:tr>
      <w:tr w:rsidR="00BE61A2" w:rsidRPr="00374CC9" w14:paraId="370E02CC" w14:textId="77777777" w:rsidTr="00AE20CA">
        <w:tblPrEx>
          <w:tblCellMar>
            <w:right w:w="108" w:type="dxa"/>
          </w:tblCellMar>
        </w:tblPrEx>
        <w:trPr>
          <w:cnfStyle w:val="000000010000" w:firstRow="0" w:lastRow="0" w:firstColumn="0" w:lastColumn="0" w:oddVBand="0" w:evenVBand="0" w:oddHBand="0" w:evenHBand="1" w:firstRowFirstColumn="0" w:firstRowLastColumn="0" w:lastRowFirstColumn="0" w:lastRowLastColumn="0"/>
          <w:divId w:val="2110732990"/>
        </w:trPr>
        <w:tc>
          <w:tcPr>
            <w:tcW w:w="7230" w:type="dxa"/>
            <w:hideMark/>
          </w:tcPr>
          <w:p w14:paraId="6E3EF75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Sexual contact (hepatitis C positive partner) – opposite sex</w:t>
            </w:r>
          </w:p>
        </w:tc>
        <w:tc>
          <w:tcPr>
            <w:tcW w:w="1275" w:type="dxa"/>
            <w:hideMark/>
          </w:tcPr>
          <w:p w14:paraId="00A327D6"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13</w:t>
            </w:r>
          </w:p>
        </w:tc>
        <w:tc>
          <w:tcPr>
            <w:tcW w:w="1399" w:type="dxa"/>
            <w:hideMark/>
          </w:tcPr>
          <w:p w14:paraId="0E3BF9D0"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26</w:t>
            </w:r>
          </w:p>
        </w:tc>
        <w:tc>
          <w:tcPr>
            <w:tcW w:w="1579" w:type="dxa"/>
            <w:hideMark/>
          </w:tcPr>
          <w:p w14:paraId="2DEB5577"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39</w:t>
            </w:r>
          </w:p>
        </w:tc>
        <w:tc>
          <w:tcPr>
            <w:tcW w:w="3458" w:type="dxa"/>
            <w:hideMark/>
          </w:tcPr>
          <w:p w14:paraId="383A7E5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w:t>
            </w:r>
          </w:p>
        </w:tc>
      </w:tr>
      <w:tr w:rsidR="00BE61A2" w:rsidRPr="00374CC9" w14:paraId="1494DEC5" w14:textId="77777777" w:rsidTr="00AE20CA">
        <w:tblPrEx>
          <w:tblCellMar>
            <w:right w:w="108" w:type="dxa"/>
          </w:tblCellMar>
        </w:tblPrEx>
        <w:trPr>
          <w:divId w:val="2110732990"/>
        </w:trPr>
        <w:tc>
          <w:tcPr>
            <w:tcW w:w="7230" w:type="dxa"/>
            <w:hideMark/>
          </w:tcPr>
          <w:p w14:paraId="2F8E21D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Sexual contact (hepatitis C positive partner) – same sex</w:t>
            </w:r>
          </w:p>
        </w:tc>
        <w:tc>
          <w:tcPr>
            <w:tcW w:w="1275" w:type="dxa"/>
            <w:hideMark/>
          </w:tcPr>
          <w:p w14:paraId="7AB4940F"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11</w:t>
            </w:r>
          </w:p>
        </w:tc>
        <w:tc>
          <w:tcPr>
            <w:tcW w:w="1399" w:type="dxa"/>
            <w:hideMark/>
          </w:tcPr>
          <w:p w14:paraId="7CA0FFAD"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4</w:t>
            </w:r>
          </w:p>
        </w:tc>
        <w:tc>
          <w:tcPr>
            <w:tcW w:w="1579" w:type="dxa"/>
            <w:hideMark/>
          </w:tcPr>
          <w:p w14:paraId="477D9658"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15</w:t>
            </w:r>
          </w:p>
        </w:tc>
        <w:tc>
          <w:tcPr>
            <w:tcW w:w="3458" w:type="dxa"/>
            <w:hideMark/>
          </w:tcPr>
          <w:p w14:paraId="37FD899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r>
      <w:tr w:rsidR="00BE61A2" w:rsidRPr="00374CC9" w14:paraId="34E3D26F" w14:textId="77777777" w:rsidTr="00AE20CA">
        <w:tblPrEx>
          <w:tblCellMar>
            <w:right w:w="108" w:type="dxa"/>
          </w:tblCellMar>
        </w:tblPrEx>
        <w:trPr>
          <w:cnfStyle w:val="000000010000" w:firstRow="0" w:lastRow="0" w:firstColumn="0" w:lastColumn="0" w:oddVBand="0" w:evenVBand="0" w:oddHBand="0" w:evenHBand="1" w:firstRowFirstColumn="0" w:firstRowLastColumn="0" w:lastRowFirstColumn="0" w:lastRowLastColumn="0"/>
          <w:divId w:val="2110732990"/>
        </w:trPr>
        <w:tc>
          <w:tcPr>
            <w:tcW w:w="7230" w:type="dxa"/>
            <w:hideMark/>
          </w:tcPr>
          <w:p w14:paraId="2E32EEC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Sexual contact – not further classified</w:t>
            </w:r>
          </w:p>
        </w:tc>
        <w:tc>
          <w:tcPr>
            <w:tcW w:w="1275" w:type="dxa"/>
            <w:hideMark/>
          </w:tcPr>
          <w:p w14:paraId="72FF1F82"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1399" w:type="dxa"/>
            <w:hideMark/>
          </w:tcPr>
          <w:p w14:paraId="4068A88D"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1579" w:type="dxa"/>
            <w:hideMark/>
          </w:tcPr>
          <w:p w14:paraId="0A16F979"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6</w:t>
            </w:r>
          </w:p>
        </w:tc>
        <w:tc>
          <w:tcPr>
            <w:tcW w:w="3458" w:type="dxa"/>
            <w:hideMark/>
          </w:tcPr>
          <w:p w14:paraId="2E6D5F0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r>
      <w:tr w:rsidR="00BE61A2" w:rsidRPr="00374CC9" w14:paraId="03364B5E" w14:textId="77777777" w:rsidTr="00AE20CA">
        <w:tblPrEx>
          <w:tblCellMar>
            <w:right w:w="108" w:type="dxa"/>
          </w:tblCellMar>
        </w:tblPrEx>
        <w:trPr>
          <w:divId w:val="2110732990"/>
        </w:trPr>
        <w:tc>
          <w:tcPr>
            <w:tcW w:w="7230" w:type="dxa"/>
            <w:hideMark/>
          </w:tcPr>
          <w:p w14:paraId="230CB0F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Sexual contact (hepatitis C partner status unknown) – same sex</w:t>
            </w:r>
          </w:p>
        </w:tc>
        <w:tc>
          <w:tcPr>
            <w:tcW w:w="1275" w:type="dxa"/>
            <w:hideMark/>
          </w:tcPr>
          <w:p w14:paraId="38ED8F88"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1399" w:type="dxa"/>
            <w:hideMark/>
          </w:tcPr>
          <w:p w14:paraId="0CA816CC"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79" w:type="dxa"/>
            <w:hideMark/>
          </w:tcPr>
          <w:p w14:paraId="277F410A"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3458" w:type="dxa"/>
            <w:hideMark/>
          </w:tcPr>
          <w:p w14:paraId="57EEE78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r>
      <w:tr w:rsidR="00BE61A2" w:rsidRPr="00374CC9" w14:paraId="75B4E8C5" w14:textId="77777777" w:rsidTr="00AE20CA">
        <w:tblPrEx>
          <w:tblCellMar>
            <w:right w:w="108" w:type="dxa"/>
          </w:tblCellMar>
        </w:tblPrEx>
        <w:trPr>
          <w:cnfStyle w:val="000000010000" w:firstRow="0" w:lastRow="0" w:firstColumn="0" w:lastColumn="0" w:oddVBand="0" w:evenVBand="0" w:oddHBand="0" w:evenHBand="1" w:firstRowFirstColumn="0" w:firstRowLastColumn="0" w:lastRowFirstColumn="0" w:lastRowLastColumn="0"/>
          <w:divId w:val="2110732990"/>
        </w:trPr>
        <w:tc>
          <w:tcPr>
            <w:tcW w:w="7230" w:type="dxa"/>
            <w:hideMark/>
          </w:tcPr>
          <w:p w14:paraId="54F616A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Sexual contact (hepatitis C partner status unknown) – opposite sex</w:t>
            </w:r>
          </w:p>
        </w:tc>
        <w:tc>
          <w:tcPr>
            <w:tcW w:w="1275" w:type="dxa"/>
            <w:hideMark/>
          </w:tcPr>
          <w:p w14:paraId="7FCF3B9D"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399" w:type="dxa"/>
            <w:hideMark/>
          </w:tcPr>
          <w:p w14:paraId="4C2EE30E"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1579" w:type="dxa"/>
            <w:hideMark/>
          </w:tcPr>
          <w:p w14:paraId="3DC97504"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3458" w:type="dxa"/>
            <w:hideMark/>
          </w:tcPr>
          <w:p w14:paraId="749AE7A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r>
      <w:tr w:rsidR="00BE61A2" w:rsidRPr="00374CC9" w14:paraId="263A2EB4" w14:textId="77777777" w:rsidTr="00AE20CA">
        <w:tblPrEx>
          <w:tblCellMar>
            <w:right w:w="108" w:type="dxa"/>
          </w:tblCellMar>
        </w:tblPrEx>
        <w:trPr>
          <w:divId w:val="2110732990"/>
        </w:trPr>
        <w:tc>
          <w:tcPr>
            <w:tcW w:w="7230" w:type="dxa"/>
            <w:hideMark/>
          </w:tcPr>
          <w:p w14:paraId="3852D35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Skin penetration procedure</w:t>
            </w:r>
          </w:p>
        </w:tc>
        <w:tc>
          <w:tcPr>
            <w:tcW w:w="1275" w:type="dxa"/>
            <w:hideMark/>
          </w:tcPr>
          <w:p w14:paraId="5C8186BE"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41</w:t>
            </w:r>
          </w:p>
        </w:tc>
        <w:tc>
          <w:tcPr>
            <w:tcW w:w="1399" w:type="dxa"/>
            <w:hideMark/>
          </w:tcPr>
          <w:p w14:paraId="701B0954"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20</w:t>
            </w:r>
          </w:p>
        </w:tc>
        <w:tc>
          <w:tcPr>
            <w:tcW w:w="1579" w:type="dxa"/>
            <w:hideMark/>
          </w:tcPr>
          <w:p w14:paraId="5841C158"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61</w:t>
            </w:r>
          </w:p>
        </w:tc>
        <w:tc>
          <w:tcPr>
            <w:tcW w:w="3458" w:type="dxa"/>
            <w:hideMark/>
          </w:tcPr>
          <w:p w14:paraId="6DA3211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14</w:t>
            </w:r>
          </w:p>
        </w:tc>
      </w:tr>
      <w:tr w:rsidR="00BE61A2" w:rsidRPr="00374CC9" w14:paraId="07F16D0C" w14:textId="77777777" w:rsidTr="00AE20CA">
        <w:tblPrEx>
          <w:tblCellMar>
            <w:right w:w="108" w:type="dxa"/>
          </w:tblCellMar>
        </w:tblPrEx>
        <w:trPr>
          <w:cnfStyle w:val="000000010000" w:firstRow="0" w:lastRow="0" w:firstColumn="0" w:lastColumn="0" w:oddVBand="0" w:evenVBand="0" w:oddHBand="0" w:evenHBand="1" w:firstRowFirstColumn="0" w:firstRowLastColumn="0" w:lastRowFirstColumn="0" w:lastRowLastColumn="0"/>
          <w:divId w:val="2110732990"/>
        </w:trPr>
        <w:tc>
          <w:tcPr>
            <w:tcW w:w="7230" w:type="dxa"/>
            <w:hideMark/>
          </w:tcPr>
          <w:p w14:paraId="211E68D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Tattoos</w:t>
            </w:r>
          </w:p>
        </w:tc>
        <w:tc>
          <w:tcPr>
            <w:tcW w:w="1275" w:type="dxa"/>
            <w:hideMark/>
          </w:tcPr>
          <w:p w14:paraId="26A9A5FA"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35</w:t>
            </w:r>
          </w:p>
        </w:tc>
        <w:tc>
          <w:tcPr>
            <w:tcW w:w="1399" w:type="dxa"/>
            <w:hideMark/>
          </w:tcPr>
          <w:p w14:paraId="55512A6E"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11</w:t>
            </w:r>
          </w:p>
        </w:tc>
        <w:tc>
          <w:tcPr>
            <w:tcW w:w="1579" w:type="dxa"/>
            <w:hideMark/>
          </w:tcPr>
          <w:p w14:paraId="25D5AA29"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46</w:t>
            </w:r>
          </w:p>
        </w:tc>
        <w:tc>
          <w:tcPr>
            <w:tcW w:w="3458" w:type="dxa"/>
            <w:hideMark/>
          </w:tcPr>
          <w:p w14:paraId="10EDA57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11</w:t>
            </w:r>
          </w:p>
        </w:tc>
      </w:tr>
      <w:tr w:rsidR="00BE61A2" w:rsidRPr="00374CC9" w14:paraId="5BA120E4" w14:textId="77777777" w:rsidTr="00AE20CA">
        <w:tblPrEx>
          <w:tblCellMar>
            <w:right w:w="108" w:type="dxa"/>
          </w:tblCellMar>
        </w:tblPrEx>
        <w:trPr>
          <w:divId w:val="2110732990"/>
        </w:trPr>
        <w:tc>
          <w:tcPr>
            <w:tcW w:w="7230" w:type="dxa"/>
            <w:hideMark/>
          </w:tcPr>
          <w:p w14:paraId="53F11C4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Ear or body piercing</w:t>
            </w:r>
          </w:p>
        </w:tc>
        <w:tc>
          <w:tcPr>
            <w:tcW w:w="1275" w:type="dxa"/>
            <w:hideMark/>
          </w:tcPr>
          <w:p w14:paraId="63D6D577"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5</w:t>
            </w:r>
          </w:p>
        </w:tc>
        <w:tc>
          <w:tcPr>
            <w:tcW w:w="1399" w:type="dxa"/>
            <w:hideMark/>
          </w:tcPr>
          <w:p w14:paraId="43C811DE"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9</w:t>
            </w:r>
          </w:p>
        </w:tc>
        <w:tc>
          <w:tcPr>
            <w:tcW w:w="1579" w:type="dxa"/>
            <w:hideMark/>
          </w:tcPr>
          <w:p w14:paraId="6D62511B"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14</w:t>
            </w:r>
          </w:p>
        </w:tc>
        <w:tc>
          <w:tcPr>
            <w:tcW w:w="3458" w:type="dxa"/>
            <w:hideMark/>
          </w:tcPr>
          <w:p w14:paraId="6FCE626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r>
      <w:tr w:rsidR="00BE61A2" w:rsidRPr="00374CC9" w14:paraId="70B50BEF" w14:textId="77777777" w:rsidTr="00AE20CA">
        <w:tblPrEx>
          <w:tblCellMar>
            <w:right w:w="108" w:type="dxa"/>
          </w:tblCellMar>
        </w:tblPrEx>
        <w:trPr>
          <w:cnfStyle w:val="000000010000" w:firstRow="0" w:lastRow="0" w:firstColumn="0" w:lastColumn="0" w:oddVBand="0" w:evenVBand="0" w:oddHBand="0" w:evenHBand="1" w:firstRowFirstColumn="0" w:firstRowLastColumn="0" w:lastRowFirstColumn="0" w:lastRowLastColumn="0"/>
          <w:divId w:val="2110732990"/>
        </w:trPr>
        <w:tc>
          <w:tcPr>
            <w:tcW w:w="7230" w:type="dxa"/>
            <w:hideMark/>
          </w:tcPr>
          <w:p w14:paraId="4F77BC3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Acupuncture</w:t>
            </w:r>
          </w:p>
        </w:tc>
        <w:tc>
          <w:tcPr>
            <w:tcW w:w="1275" w:type="dxa"/>
            <w:hideMark/>
          </w:tcPr>
          <w:p w14:paraId="3F7B9D2F"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1399" w:type="dxa"/>
            <w:hideMark/>
          </w:tcPr>
          <w:p w14:paraId="0449F7CF"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79" w:type="dxa"/>
            <w:hideMark/>
          </w:tcPr>
          <w:p w14:paraId="24B46A9C"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3458" w:type="dxa"/>
            <w:hideMark/>
          </w:tcPr>
          <w:p w14:paraId="386AB52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r>
      <w:tr w:rsidR="00BE61A2" w:rsidRPr="00374CC9" w14:paraId="754B0642" w14:textId="77777777" w:rsidTr="00AE20CA">
        <w:tblPrEx>
          <w:tblCellMar>
            <w:right w:w="108" w:type="dxa"/>
          </w:tblCellMar>
        </w:tblPrEx>
        <w:trPr>
          <w:divId w:val="2110732990"/>
        </w:trPr>
        <w:tc>
          <w:tcPr>
            <w:tcW w:w="7230" w:type="dxa"/>
            <w:hideMark/>
          </w:tcPr>
          <w:p w14:paraId="6C97BD7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Perinatal transmission</w:t>
            </w:r>
          </w:p>
        </w:tc>
        <w:tc>
          <w:tcPr>
            <w:tcW w:w="1275" w:type="dxa"/>
            <w:hideMark/>
          </w:tcPr>
          <w:p w14:paraId="144B8E5E"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28</w:t>
            </w:r>
          </w:p>
        </w:tc>
        <w:tc>
          <w:tcPr>
            <w:tcW w:w="1399" w:type="dxa"/>
            <w:hideMark/>
          </w:tcPr>
          <w:p w14:paraId="31A1586F"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13</w:t>
            </w:r>
          </w:p>
        </w:tc>
        <w:tc>
          <w:tcPr>
            <w:tcW w:w="1579" w:type="dxa"/>
            <w:hideMark/>
          </w:tcPr>
          <w:p w14:paraId="15CA5B37"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41</w:t>
            </w:r>
          </w:p>
        </w:tc>
        <w:tc>
          <w:tcPr>
            <w:tcW w:w="3458" w:type="dxa"/>
            <w:hideMark/>
          </w:tcPr>
          <w:p w14:paraId="0F1A0C0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w:t>
            </w:r>
          </w:p>
        </w:tc>
      </w:tr>
      <w:tr w:rsidR="00BE61A2" w:rsidRPr="00374CC9" w14:paraId="42C52F88" w14:textId="77777777" w:rsidTr="00AE20CA">
        <w:tblPrEx>
          <w:tblCellMar>
            <w:right w:w="108" w:type="dxa"/>
          </w:tblCellMar>
        </w:tblPrEx>
        <w:trPr>
          <w:cnfStyle w:val="000000010000" w:firstRow="0" w:lastRow="0" w:firstColumn="0" w:lastColumn="0" w:oddVBand="0" w:evenVBand="0" w:oddHBand="0" w:evenHBand="1" w:firstRowFirstColumn="0" w:firstRowLastColumn="0" w:lastRowFirstColumn="0" w:lastRowLastColumn="0"/>
          <w:divId w:val="2110732990"/>
        </w:trPr>
        <w:tc>
          <w:tcPr>
            <w:tcW w:w="7230" w:type="dxa"/>
            <w:hideMark/>
          </w:tcPr>
          <w:p w14:paraId="5A3BFCE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Household contact</w:t>
            </w:r>
          </w:p>
        </w:tc>
        <w:tc>
          <w:tcPr>
            <w:tcW w:w="1275" w:type="dxa"/>
            <w:hideMark/>
          </w:tcPr>
          <w:p w14:paraId="4A61E530"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18</w:t>
            </w:r>
          </w:p>
        </w:tc>
        <w:tc>
          <w:tcPr>
            <w:tcW w:w="1399" w:type="dxa"/>
            <w:hideMark/>
          </w:tcPr>
          <w:p w14:paraId="28A22FEA"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20</w:t>
            </w:r>
          </w:p>
        </w:tc>
        <w:tc>
          <w:tcPr>
            <w:tcW w:w="1579" w:type="dxa"/>
            <w:hideMark/>
          </w:tcPr>
          <w:p w14:paraId="7114F6CD"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38</w:t>
            </w:r>
          </w:p>
        </w:tc>
        <w:tc>
          <w:tcPr>
            <w:tcW w:w="3458" w:type="dxa"/>
            <w:hideMark/>
          </w:tcPr>
          <w:p w14:paraId="4C4D0BA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w:t>
            </w:r>
          </w:p>
        </w:tc>
      </w:tr>
      <w:tr w:rsidR="00BE61A2" w:rsidRPr="00374CC9" w14:paraId="57C220E6" w14:textId="77777777" w:rsidTr="00AE20CA">
        <w:tblPrEx>
          <w:tblCellMar>
            <w:right w:w="108" w:type="dxa"/>
          </w:tblCellMar>
        </w:tblPrEx>
        <w:trPr>
          <w:divId w:val="2110732990"/>
        </w:trPr>
        <w:tc>
          <w:tcPr>
            <w:tcW w:w="7230" w:type="dxa"/>
            <w:hideMark/>
          </w:tcPr>
          <w:p w14:paraId="21BD45C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Non-IDU remote risk (&gt;24 months prior to diagnosis)</w:t>
            </w:r>
          </w:p>
        </w:tc>
        <w:tc>
          <w:tcPr>
            <w:tcW w:w="1275" w:type="dxa"/>
            <w:hideMark/>
          </w:tcPr>
          <w:p w14:paraId="752AC72B"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11</w:t>
            </w:r>
          </w:p>
        </w:tc>
        <w:tc>
          <w:tcPr>
            <w:tcW w:w="1399" w:type="dxa"/>
            <w:hideMark/>
          </w:tcPr>
          <w:p w14:paraId="0527C1B3"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79" w:type="dxa"/>
            <w:hideMark/>
          </w:tcPr>
          <w:p w14:paraId="613E93EB"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11</w:t>
            </w:r>
          </w:p>
        </w:tc>
        <w:tc>
          <w:tcPr>
            <w:tcW w:w="3458" w:type="dxa"/>
            <w:hideMark/>
          </w:tcPr>
          <w:p w14:paraId="38BD787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r>
      <w:tr w:rsidR="00BE61A2" w:rsidRPr="00374CC9" w14:paraId="1BC59A7A" w14:textId="77777777" w:rsidTr="00AE20CA">
        <w:tblPrEx>
          <w:tblCellMar>
            <w:right w:w="108" w:type="dxa"/>
          </w:tblCellMar>
        </w:tblPrEx>
        <w:trPr>
          <w:cnfStyle w:val="000000010000" w:firstRow="0" w:lastRow="0" w:firstColumn="0" w:lastColumn="0" w:oddVBand="0" w:evenVBand="0" w:oddHBand="0" w:evenHBand="1" w:firstRowFirstColumn="0" w:firstRowLastColumn="0" w:lastRowFirstColumn="0" w:lastRowLastColumn="0"/>
          <w:divId w:val="2110732990"/>
        </w:trPr>
        <w:tc>
          <w:tcPr>
            <w:tcW w:w="7230" w:type="dxa"/>
            <w:hideMark/>
          </w:tcPr>
          <w:p w14:paraId="4D750AF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Surgical work</w:t>
            </w:r>
          </w:p>
        </w:tc>
        <w:tc>
          <w:tcPr>
            <w:tcW w:w="1275" w:type="dxa"/>
            <w:hideMark/>
          </w:tcPr>
          <w:p w14:paraId="1E31B544"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11</w:t>
            </w:r>
          </w:p>
        </w:tc>
        <w:tc>
          <w:tcPr>
            <w:tcW w:w="1399" w:type="dxa"/>
            <w:hideMark/>
          </w:tcPr>
          <w:p w14:paraId="7403B2E3"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9</w:t>
            </w:r>
          </w:p>
        </w:tc>
        <w:tc>
          <w:tcPr>
            <w:tcW w:w="1579" w:type="dxa"/>
            <w:hideMark/>
          </w:tcPr>
          <w:p w14:paraId="4CF2AFB7"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20</w:t>
            </w:r>
          </w:p>
        </w:tc>
        <w:tc>
          <w:tcPr>
            <w:tcW w:w="3458" w:type="dxa"/>
            <w:hideMark/>
          </w:tcPr>
          <w:p w14:paraId="154BE60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w:t>
            </w:r>
          </w:p>
        </w:tc>
      </w:tr>
      <w:tr w:rsidR="00BE61A2" w:rsidRPr="00374CC9" w14:paraId="24A22410" w14:textId="77777777" w:rsidTr="00AE20CA">
        <w:tblPrEx>
          <w:tblCellMar>
            <w:right w:w="108" w:type="dxa"/>
          </w:tblCellMar>
        </w:tblPrEx>
        <w:trPr>
          <w:divId w:val="2110732990"/>
        </w:trPr>
        <w:tc>
          <w:tcPr>
            <w:tcW w:w="7230" w:type="dxa"/>
            <w:hideMark/>
          </w:tcPr>
          <w:p w14:paraId="06C409A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Needlestick</w:t>
            </w:r>
            <w:r w:rsidR="009320B7">
              <w:rPr>
                <w:rFonts w:asciiTheme="minorHAnsi" w:eastAsia="Times New Roman" w:hAnsiTheme="minorHAnsi"/>
                <w:sz w:val="18"/>
                <w:szCs w:val="18"/>
              </w:rPr>
              <w:t xml:space="preserve"> </w:t>
            </w:r>
            <w:r w:rsidRPr="00374CC9">
              <w:rPr>
                <w:rFonts w:asciiTheme="minorHAnsi" w:eastAsia="Times New Roman" w:hAnsiTheme="minorHAnsi"/>
                <w:sz w:val="18"/>
                <w:szCs w:val="18"/>
              </w:rPr>
              <w:t>/</w:t>
            </w:r>
            <w:r w:rsidR="009320B7">
              <w:rPr>
                <w:rFonts w:asciiTheme="minorHAnsi" w:eastAsia="Times New Roman" w:hAnsiTheme="minorHAnsi"/>
                <w:sz w:val="18"/>
                <w:szCs w:val="18"/>
              </w:rPr>
              <w:t xml:space="preserve"> </w:t>
            </w:r>
            <w:r w:rsidRPr="00374CC9">
              <w:rPr>
                <w:rFonts w:asciiTheme="minorHAnsi" w:eastAsia="Times New Roman" w:hAnsiTheme="minorHAnsi"/>
                <w:sz w:val="18"/>
                <w:szCs w:val="18"/>
              </w:rPr>
              <w:t>biohazardous injury</w:t>
            </w:r>
          </w:p>
        </w:tc>
        <w:tc>
          <w:tcPr>
            <w:tcW w:w="1275" w:type="dxa"/>
            <w:hideMark/>
          </w:tcPr>
          <w:p w14:paraId="29B3CCAC"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1399" w:type="dxa"/>
            <w:hideMark/>
          </w:tcPr>
          <w:p w14:paraId="71BFBD5F"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4</w:t>
            </w:r>
          </w:p>
        </w:tc>
        <w:tc>
          <w:tcPr>
            <w:tcW w:w="1579" w:type="dxa"/>
            <w:hideMark/>
          </w:tcPr>
          <w:p w14:paraId="63D0CC03"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7</w:t>
            </w:r>
          </w:p>
        </w:tc>
        <w:tc>
          <w:tcPr>
            <w:tcW w:w="3458" w:type="dxa"/>
            <w:hideMark/>
          </w:tcPr>
          <w:p w14:paraId="5C2F7B8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r>
      <w:tr w:rsidR="00BE61A2" w:rsidRPr="00374CC9" w14:paraId="5AD73828" w14:textId="77777777" w:rsidTr="00AE20CA">
        <w:tblPrEx>
          <w:tblCellMar>
            <w:right w:w="108" w:type="dxa"/>
          </w:tblCellMar>
        </w:tblPrEx>
        <w:trPr>
          <w:cnfStyle w:val="000000010000" w:firstRow="0" w:lastRow="0" w:firstColumn="0" w:lastColumn="0" w:oddVBand="0" w:evenVBand="0" w:oddHBand="0" w:evenHBand="1" w:firstRowFirstColumn="0" w:firstRowLastColumn="0" w:lastRowFirstColumn="0" w:lastRowLastColumn="0"/>
          <w:divId w:val="2110732990"/>
        </w:trPr>
        <w:tc>
          <w:tcPr>
            <w:tcW w:w="7230" w:type="dxa"/>
            <w:hideMark/>
          </w:tcPr>
          <w:p w14:paraId="7B4E3A9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lastRenderedPageBreak/>
              <w:t>Major dental surgery work</w:t>
            </w:r>
          </w:p>
        </w:tc>
        <w:tc>
          <w:tcPr>
            <w:tcW w:w="1275" w:type="dxa"/>
            <w:hideMark/>
          </w:tcPr>
          <w:p w14:paraId="032BEA8A"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4</w:t>
            </w:r>
          </w:p>
        </w:tc>
        <w:tc>
          <w:tcPr>
            <w:tcW w:w="1399" w:type="dxa"/>
            <w:hideMark/>
          </w:tcPr>
          <w:p w14:paraId="46D15E83"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1579" w:type="dxa"/>
            <w:hideMark/>
          </w:tcPr>
          <w:p w14:paraId="6923B223"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5</w:t>
            </w:r>
          </w:p>
        </w:tc>
        <w:tc>
          <w:tcPr>
            <w:tcW w:w="3458" w:type="dxa"/>
            <w:hideMark/>
          </w:tcPr>
          <w:p w14:paraId="1975E4C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r>
      <w:tr w:rsidR="00BE61A2" w:rsidRPr="00374CC9" w14:paraId="4B9EA710" w14:textId="77777777" w:rsidTr="00AE20CA">
        <w:tblPrEx>
          <w:tblCellMar>
            <w:right w:w="108" w:type="dxa"/>
          </w:tblCellMar>
        </w:tblPrEx>
        <w:trPr>
          <w:divId w:val="2110732990"/>
        </w:trPr>
        <w:tc>
          <w:tcPr>
            <w:tcW w:w="7230" w:type="dxa"/>
            <w:hideMark/>
          </w:tcPr>
          <w:p w14:paraId="0D922C6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Other</w:t>
            </w:r>
          </w:p>
        </w:tc>
        <w:tc>
          <w:tcPr>
            <w:tcW w:w="1275" w:type="dxa"/>
            <w:hideMark/>
          </w:tcPr>
          <w:p w14:paraId="3BBE250A"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10</w:t>
            </w:r>
          </w:p>
        </w:tc>
        <w:tc>
          <w:tcPr>
            <w:tcW w:w="1399" w:type="dxa"/>
            <w:hideMark/>
          </w:tcPr>
          <w:p w14:paraId="089FBE43"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5</w:t>
            </w:r>
          </w:p>
        </w:tc>
        <w:tc>
          <w:tcPr>
            <w:tcW w:w="1579" w:type="dxa"/>
            <w:hideMark/>
          </w:tcPr>
          <w:p w14:paraId="7352CAB5"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15</w:t>
            </w:r>
          </w:p>
        </w:tc>
        <w:tc>
          <w:tcPr>
            <w:tcW w:w="3458" w:type="dxa"/>
            <w:hideMark/>
          </w:tcPr>
          <w:p w14:paraId="4A376EB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r>
      <w:tr w:rsidR="00BE61A2" w:rsidRPr="00374CC9" w14:paraId="64855893" w14:textId="77777777" w:rsidTr="00AE20CA">
        <w:tblPrEx>
          <w:tblCellMar>
            <w:right w:w="108" w:type="dxa"/>
          </w:tblCellMar>
        </w:tblPrEx>
        <w:trPr>
          <w:cnfStyle w:val="000000010000" w:firstRow="0" w:lastRow="0" w:firstColumn="0" w:lastColumn="0" w:oddVBand="0" w:evenVBand="0" w:oddHBand="0" w:evenHBand="1" w:firstRowFirstColumn="0" w:firstRowLastColumn="0" w:lastRowFirstColumn="0" w:lastRowLastColumn="0"/>
          <w:divId w:val="2110732990"/>
        </w:trPr>
        <w:tc>
          <w:tcPr>
            <w:tcW w:w="7230" w:type="dxa"/>
            <w:hideMark/>
          </w:tcPr>
          <w:p w14:paraId="207BE91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Undetermined</w:t>
            </w:r>
          </w:p>
        </w:tc>
        <w:tc>
          <w:tcPr>
            <w:tcW w:w="1275" w:type="dxa"/>
            <w:hideMark/>
          </w:tcPr>
          <w:p w14:paraId="4CA97D0E"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7</w:t>
            </w:r>
          </w:p>
        </w:tc>
        <w:tc>
          <w:tcPr>
            <w:tcW w:w="1399" w:type="dxa"/>
            <w:hideMark/>
          </w:tcPr>
          <w:p w14:paraId="1D2F654B"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4</w:t>
            </w:r>
          </w:p>
        </w:tc>
        <w:tc>
          <w:tcPr>
            <w:tcW w:w="1579" w:type="dxa"/>
            <w:hideMark/>
          </w:tcPr>
          <w:p w14:paraId="3E4DB49B"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11</w:t>
            </w:r>
          </w:p>
        </w:tc>
        <w:tc>
          <w:tcPr>
            <w:tcW w:w="3458" w:type="dxa"/>
            <w:hideMark/>
          </w:tcPr>
          <w:p w14:paraId="4616674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r>
      <w:tr w:rsidR="00BE61A2" w:rsidRPr="00374CC9" w14:paraId="3914C6D3" w14:textId="77777777" w:rsidTr="00AE20CA">
        <w:tblPrEx>
          <w:tblCellMar>
            <w:right w:w="108" w:type="dxa"/>
          </w:tblCellMar>
        </w:tblPrEx>
        <w:trPr>
          <w:divId w:val="2110732990"/>
        </w:trPr>
        <w:tc>
          <w:tcPr>
            <w:tcW w:w="7230" w:type="dxa"/>
            <w:hideMark/>
          </w:tcPr>
          <w:p w14:paraId="6AA3DF4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Unknown (not recorded)</w:t>
            </w:r>
          </w:p>
        </w:tc>
        <w:tc>
          <w:tcPr>
            <w:tcW w:w="1275" w:type="dxa"/>
            <w:hideMark/>
          </w:tcPr>
          <w:p w14:paraId="2BBAC6B9"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50</w:t>
            </w:r>
          </w:p>
        </w:tc>
        <w:tc>
          <w:tcPr>
            <w:tcW w:w="1399" w:type="dxa"/>
            <w:hideMark/>
          </w:tcPr>
          <w:p w14:paraId="376665B3"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20</w:t>
            </w:r>
          </w:p>
        </w:tc>
        <w:tc>
          <w:tcPr>
            <w:tcW w:w="1579" w:type="dxa"/>
            <w:hideMark/>
          </w:tcPr>
          <w:p w14:paraId="6E584A3C"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70</w:t>
            </w:r>
          </w:p>
        </w:tc>
        <w:tc>
          <w:tcPr>
            <w:tcW w:w="3458" w:type="dxa"/>
            <w:hideMark/>
          </w:tcPr>
          <w:p w14:paraId="4C24C13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16</w:t>
            </w:r>
          </w:p>
        </w:tc>
      </w:tr>
      <w:tr w:rsidR="00BE61A2" w:rsidRPr="00374CC9" w14:paraId="6981880C" w14:textId="77777777" w:rsidTr="00AE20CA">
        <w:tblPrEx>
          <w:tblCellMar>
            <w:right w:w="108" w:type="dxa"/>
          </w:tblCellMar>
        </w:tblPrEx>
        <w:trPr>
          <w:cnfStyle w:val="000000010000" w:firstRow="0" w:lastRow="0" w:firstColumn="0" w:lastColumn="0" w:oddVBand="0" w:evenVBand="0" w:oddHBand="0" w:evenHBand="1" w:firstRowFirstColumn="0" w:firstRowLastColumn="0" w:lastRowFirstColumn="0" w:lastRowLastColumn="0"/>
          <w:divId w:val="2110732990"/>
        </w:trPr>
        <w:tc>
          <w:tcPr>
            <w:tcW w:w="7230" w:type="dxa"/>
            <w:hideMark/>
          </w:tcPr>
          <w:p w14:paraId="6D1C6BC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Total exposure factors reported</w:t>
            </w:r>
          </w:p>
        </w:tc>
        <w:tc>
          <w:tcPr>
            <w:tcW w:w="1275" w:type="dxa"/>
            <w:hideMark/>
          </w:tcPr>
          <w:p w14:paraId="7660D843"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236</w:t>
            </w:r>
          </w:p>
        </w:tc>
        <w:tc>
          <w:tcPr>
            <w:tcW w:w="1399" w:type="dxa"/>
            <w:hideMark/>
          </w:tcPr>
          <w:p w14:paraId="7C556A1D"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114</w:t>
            </w:r>
          </w:p>
        </w:tc>
        <w:tc>
          <w:tcPr>
            <w:tcW w:w="1579" w:type="dxa"/>
            <w:hideMark/>
          </w:tcPr>
          <w:p w14:paraId="73D4CA66" w14:textId="77777777" w:rsidR="00BE61A2" w:rsidRPr="00374CC9" w:rsidRDefault="00BE61A2" w:rsidP="00AE20CA">
            <w:pPr>
              <w:jc w:val="center"/>
              <w:rPr>
                <w:rFonts w:asciiTheme="minorHAnsi" w:eastAsia="Times New Roman" w:hAnsiTheme="minorHAnsi"/>
                <w:sz w:val="18"/>
                <w:szCs w:val="18"/>
              </w:rPr>
            </w:pPr>
            <w:r w:rsidRPr="00374CC9">
              <w:rPr>
                <w:rFonts w:asciiTheme="minorHAnsi" w:eastAsia="Times New Roman" w:hAnsiTheme="minorHAnsi"/>
                <w:sz w:val="18"/>
                <w:szCs w:val="18"/>
              </w:rPr>
              <w:t>350</w:t>
            </w:r>
          </w:p>
        </w:tc>
        <w:tc>
          <w:tcPr>
            <w:tcW w:w="3458" w:type="dxa"/>
            <w:hideMark/>
          </w:tcPr>
          <w:p w14:paraId="4565B29A" w14:textId="77777777" w:rsidR="00BE61A2" w:rsidRPr="00374CC9" w:rsidRDefault="00BE61A2">
            <w:pPr>
              <w:rPr>
                <w:rFonts w:asciiTheme="minorHAnsi" w:eastAsia="Times New Roman" w:hAnsiTheme="minorHAnsi"/>
                <w:sz w:val="18"/>
                <w:szCs w:val="18"/>
              </w:rPr>
            </w:pPr>
          </w:p>
        </w:tc>
      </w:tr>
      <w:tr w:rsidR="00BE61A2" w:rsidRPr="00380D9A" w14:paraId="55386A4F" w14:textId="77777777" w:rsidTr="00380D9A">
        <w:tblPrEx>
          <w:tblCellMar>
            <w:right w:w="108" w:type="dxa"/>
          </w:tblCellMar>
        </w:tblPrEx>
        <w:trPr>
          <w:divId w:val="2110732990"/>
        </w:trPr>
        <w:tc>
          <w:tcPr>
            <w:tcW w:w="7230" w:type="dxa"/>
            <w:shd w:val="clear" w:color="auto" w:fill="FDE9D9" w:themeFill="accent6" w:themeFillTint="33"/>
            <w:hideMark/>
          </w:tcPr>
          <w:p w14:paraId="294D26DA" w14:textId="77777777" w:rsidR="00BE61A2" w:rsidRPr="00380D9A" w:rsidRDefault="00BE61A2">
            <w:pPr>
              <w:rPr>
                <w:rFonts w:asciiTheme="minorHAnsi" w:eastAsia="Times New Roman" w:hAnsiTheme="minorHAnsi"/>
                <w:b/>
                <w:sz w:val="18"/>
                <w:szCs w:val="18"/>
              </w:rPr>
            </w:pPr>
            <w:r w:rsidRPr="00380D9A">
              <w:rPr>
                <w:rFonts w:asciiTheme="minorHAnsi" w:eastAsia="Times New Roman" w:hAnsiTheme="minorHAnsi"/>
                <w:b/>
                <w:sz w:val="18"/>
                <w:szCs w:val="18"/>
              </w:rPr>
              <w:t>Total number of cases</w:t>
            </w:r>
          </w:p>
        </w:tc>
        <w:tc>
          <w:tcPr>
            <w:tcW w:w="1275" w:type="dxa"/>
            <w:shd w:val="clear" w:color="auto" w:fill="FDE9D9" w:themeFill="accent6" w:themeFillTint="33"/>
            <w:hideMark/>
          </w:tcPr>
          <w:p w14:paraId="0FD841A7" w14:textId="77777777" w:rsidR="00BE61A2" w:rsidRPr="00380D9A" w:rsidRDefault="00BE61A2" w:rsidP="00AE20CA">
            <w:pPr>
              <w:jc w:val="center"/>
              <w:rPr>
                <w:rFonts w:asciiTheme="minorHAnsi" w:eastAsia="Times New Roman" w:hAnsiTheme="minorHAnsi"/>
                <w:b/>
                <w:sz w:val="18"/>
                <w:szCs w:val="18"/>
              </w:rPr>
            </w:pPr>
            <w:r w:rsidRPr="00380D9A">
              <w:rPr>
                <w:rFonts w:asciiTheme="minorHAnsi" w:eastAsia="Times New Roman" w:hAnsiTheme="minorHAnsi"/>
                <w:b/>
                <w:sz w:val="18"/>
                <w:szCs w:val="18"/>
              </w:rPr>
              <w:t>294</w:t>
            </w:r>
          </w:p>
        </w:tc>
        <w:tc>
          <w:tcPr>
            <w:tcW w:w="1399" w:type="dxa"/>
            <w:shd w:val="clear" w:color="auto" w:fill="FDE9D9" w:themeFill="accent6" w:themeFillTint="33"/>
            <w:hideMark/>
          </w:tcPr>
          <w:p w14:paraId="765B6FF1" w14:textId="77777777" w:rsidR="00BE61A2" w:rsidRPr="00380D9A" w:rsidRDefault="00BE61A2" w:rsidP="00AE20CA">
            <w:pPr>
              <w:jc w:val="center"/>
              <w:rPr>
                <w:rFonts w:asciiTheme="minorHAnsi" w:eastAsia="Times New Roman" w:hAnsiTheme="minorHAnsi"/>
                <w:b/>
                <w:sz w:val="18"/>
                <w:szCs w:val="18"/>
              </w:rPr>
            </w:pPr>
            <w:r w:rsidRPr="00380D9A">
              <w:rPr>
                <w:rFonts w:asciiTheme="minorHAnsi" w:eastAsia="Times New Roman" w:hAnsiTheme="minorHAnsi"/>
                <w:b/>
                <w:sz w:val="18"/>
                <w:szCs w:val="18"/>
              </w:rPr>
              <w:t>139</w:t>
            </w:r>
          </w:p>
        </w:tc>
        <w:tc>
          <w:tcPr>
            <w:tcW w:w="1579" w:type="dxa"/>
            <w:shd w:val="clear" w:color="auto" w:fill="FDE9D9" w:themeFill="accent6" w:themeFillTint="33"/>
            <w:hideMark/>
          </w:tcPr>
          <w:p w14:paraId="2CE26D4F" w14:textId="77777777" w:rsidR="00BE61A2" w:rsidRPr="00380D9A" w:rsidRDefault="00BE61A2" w:rsidP="00AE20CA">
            <w:pPr>
              <w:jc w:val="center"/>
              <w:rPr>
                <w:rFonts w:asciiTheme="minorHAnsi" w:eastAsia="Times New Roman" w:hAnsiTheme="minorHAnsi"/>
                <w:b/>
                <w:sz w:val="18"/>
                <w:szCs w:val="18"/>
              </w:rPr>
            </w:pPr>
            <w:r w:rsidRPr="00380D9A">
              <w:rPr>
                <w:rFonts w:asciiTheme="minorHAnsi" w:eastAsia="Times New Roman" w:hAnsiTheme="minorHAnsi"/>
                <w:b/>
                <w:sz w:val="18"/>
                <w:szCs w:val="18"/>
              </w:rPr>
              <w:t>433</w:t>
            </w:r>
          </w:p>
        </w:tc>
        <w:tc>
          <w:tcPr>
            <w:tcW w:w="3458" w:type="dxa"/>
            <w:shd w:val="clear" w:color="auto" w:fill="FDE9D9" w:themeFill="accent6" w:themeFillTint="33"/>
            <w:hideMark/>
          </w:tcPr>
          <w:p w14:paraId="058833D0" w14:textId="77777777" w:rsidR="00BE61A2" w:rsidRPr="00380D9A" w:rsidRDefault="00BE61A2">
            <w:pPr>
              <w:rPr>
                <w:rFonts w:asciiTheme="minorHAnsi" w:eastAsia="Times New Roman" w:hAnsiTheme="minorHAnsi"/>
                <w:b/>
                <w:sz w:val="18"/>
                <w:szCs w:val="18"/>
              </w:rPr>
            </w:pPr>
          </w:p>
        </w:tc>
      </w:tr>
    </w:tbl>
    <w:p w14:paraId="705337EE" w14:textId="77777777" w:rsidR="00CB35E0" w:rsidRDefault="00BE61A2" w:rsidP="00CB35E0">
      <w:pPr>
        <w:pStyle w:val="CDIfootnotes"/>
        <w:spacing w:line="240" w:lineRule="auto"/>
        <w:ind w:left="720" w:hanging="720"/>
        <w:divId w:val="2110732990"/>
      </w:pPr>
      <w:r w:rsidRPr="00AE2F1B">
        <w:rPr>
          <w:vertAlign w:val="superscript"/>
        </w:rPr>
        <w:t>*</w:t>
      </w:r>
      <w:r w:rsidRPr="00AE2F1B">
        <w:tab/>
        <w:t xml:space="preserve">Cases from the Australian Capital Territory, New South Wales, the Northern Territory, South Australia, Tasmania, </w:t>
      </w:r>
      <w:proofErr w:type="gramStart"/>
      <w:r w:rsidRPr="00AE2F1B">
        <w:t>Victoria</w:t>
      </w:r>
      <w:proofErr w:type="gramEnd"/>
      <w:r w:rsidRPr="00AE2F1B">
        <w:t xml:space="preserve"> and Western Australia. While these 7 jurisdictions provided enhanced data on risk factors, not all cases</w:t>
      </w:r>
      <w:r w:rsidR="00CB35E0">
        <w:t xml:space="preserve"> had this information recorded.</w:t>
      </w:r>
    </w:p>
    <w:p w14:paraId="4395A07E" w14:textId="77777777" w:rsidR="00CB35E0" w:rsidRDefault="00BE61A2" w:rsidP="00CB35E0">
      <w:pPr>
        <w:pStyle w:val="CDIfootnotes"/>
        <w:spacing w:line="240" w:lineRule="auto"/>
        <w:ind w:left="720" w:hanging="720"/>
        <w:divId w:val="2110732990"/>
      </w:pPr>
      <w:r w:rsidRPr="00AE2F1B">
        <w:rPr>
          <w:vertAlign w:val="superscript"/>
        </w:rPr>
        <w:t>†</w:t>
      </w:r>
      <w:r w:rsidRPr="00AE2F1B">
        <w:tab/>
        <w:t>More than 1 exposure category f</w:t>
      </w:r>
      <w:r w:rsidR="00CB35E0">
        <w:t>or each case could be recorded.</w:t>
      </w:r>
    </w:p>
    <w:p w14:paraId="5E3AE580" w14:textId="77777777" w:rsidR="00CB35E0" w:rsidRDefault="00BE61A2" w:rsidP="00CB35E0">
      <w:pPr>
        <w:pStyle w:val="CDIfootnotes"/>
        <w:spacing w:line="240" w:lineRule="auto"/>
        <w:ind w:left="720" w:hanging="720"/>
        <w:divId w:val="2110732990"/>
      </w:pPr>
      <w:r w:rsidRPr="00AE2F1B">
        <w:rPr>
          <w:vertAlign w:val="superscript"/>
        </w:rPr>
        <w:t>‡</w:t>
      </w:r>
      <w:r w:rsidRPr="00AE2F1B">
        <w:tab/>
        <w:t>Analysis and categorisation of these exposures are subject to interpretatio</w:t>
      </w:r>
      <w:r w:rsidR="00CB35E0">
        <w:t>n and may vary between reports.</w:t>
      </w:r>
    </w:p>
    <w:p w14:paraId="148356A4" w14:textId="77777777" w:rsidR="001B60A2" w:rsidRDefault="00BE61A2" w:rsidP="00CB35E0">
      <w:pPr>
        <w:pStyle w:val="CDIfootnotes"/>
        <w:spacing w:line="240" w:lineRule="auto"/>
        <w:ind w:left="720" w:hanging="720"/>
        <w:divId w:val="2110732990"/>
        <w:sectPr w:rsidR="001B60A2" w:rsidSect="00AE20CA">
          <w:pgSz w:w="16838" w:h="11906" w:orient="landscape"/>
          <w:pgMar w:top="720" w:right="720" w:bottom="720" w:left="1134" w:header="709" w:footer="284" w:gutter="0"/>
          <w:cols w:space="708"/>
          <w:titlePg/>
          <w:docGrid w:linePitch="360"/>
        </w:sectPr>
      </w:pPr>
      <w:r w:rsidRPr="00AE2F1B">
        <w:t>§</w:t>
      </w:r>
      <w:r w:rsidRPr="00AE2F1B">
        <w:tab/>
        <w:t xml:space="preserve">The denominator used to calculate the percentage is based on the cases with recorded enhanced data from the Australian Capital Territory, New South Wales, Northern Territory, South Australia, Tasmania, </w:t>
      </w:r>
      <w:proofErr w:type="gramStart"/>
      <w:r w:rsidRPr="00AE2F1B">
        <w:t>Victoria</w:t>
      </w:r>
      <w:proofErr w:type="gramEnd"/>
      <w:r w:rsidRPr="00AE2F1B">
        <w:t xml:space="preserve"> and Western Australia. As more than 1 exposure category for each notification could be recorded, the total percentage does not equate to 100%. </w:t>
      </w:r>
    </w:p>
    <w:p w14:paraId="0D9F7DB7" w14:textId="77777777" w:rsidR="00BE61A2" w:rsidRPr="00AE2F1B" w:rsidRDefault="00BE61A2" w:rsidP="00AE2F1B">
      <w:pPr>
        <w:divId w:val="2110732990"/>
      </w:pPr>
      <w:r w:rsidRPr="00AE2F1B">
        <w:lastRenderedPageBreak/>
        <w:t xml:space="preserve">More than a third (38%, n=166) of cases with enhanced data reported being imprisoned in the 24 months prior to diagnosis. Of these cases, 66% (n=110) also reported a history of injecting drug use. However, it is important to note that screening rates are generally higher in the prison entry population than the general population. A screening survey of prison entrants conducted over a 2-week period found that the prevalence of hepatitis C infection, based on hepatitis C antibody detection, was 31% in 2013, an increase from 22% in </w:t>
      </w:r>
      <w:proofErr w:type="gramStart"/>
      <w:r w:rsidRPr="00AE2F1B">
        <w:t>2010.</w:t>
      </w:r>
      <w:r w:rsidRPr="00AE2F1B">
        <w:rPr>
          <w:vertAlign w:val="superscript"/>
        </w:rPr>
        <w:t>32</w:t>
      </w:r>
      <w:proofErr w:type="gramEnd"/>
      <w:r w:rsidRPr="00AE2F1B">
        <w:t xml:space="preserve"> </w:t>
      </w:r>
    </w:p>
    <w:p w14:paraId="3AA6886F" w14:textId="77777777" w:rsidR="00BE61A2" w:rsidRPr="00AE2F1B" w:rsidRDefault="00BE61A2" w:rsidP="00AE2F1B">
      <w:pPr>
        <w:divId w:val="2110732990"/>
      </w:pPr>
      <w:r w:rsidRPr="00AE2F1B">
        <w:t xml:space="preserve">Of the 402 cases for which country of birth was reported, 369 were in Australian born (92%) and 33 cases were born overseas (11 from Europe, 11 from the Pacific, 6 from Asia, 3 from Southern Africa, 1 from North America, and 1 from South America). </w:t>
      </w:r>
    </w:p>
    <w:p w14:paraId="21CCD195" w14:textId="77777777" w:rsidR="00BE61A2" w:rsidRPr="004E056D" w:rsidRDefault="00BE61A2" w:rsidP="004E056D">
      <w:pPr>
        <w:pStyle w:val="Heading2"/>
        <w:divId w:val="2110732990"/>
      </w:pPr>
      <w:bookmarkStart w:id="26" w:name="_Toc1747180"/>
      <w:r w:rsidRPr="004E056D">
        <w:rPr>
          <w:bCs w:val="0"/>
          <w:sz w:val="27"/>
          <w:szCs w:val="27"/>
        </w:rPr>
        <w:t>Unspecified hepatitis C</w:t>
      </w:r>
      <w:bookmarkEnd w:id="26"/>
    </w:p>
    <w:p w14:paraId="49911101" w14:textId="77777777" w:rsidR="00BE61A2" w:rsidRPr="00400BAA" w:rsidRDefault="00BE61A2" w:rsidP="00400BAA">
      <w:pPr>
        <w:pStyle w:val="ListParagraph"/>
        <w:numPr>
          <w:ilvl w:val="0"/>
          <w:numId w:val="31"/>
        </w:numPr>
        <w:divId w:val="2110732990"/>
        <w:rPr>
          <w:rFonts w:eastAsia="Times New Roman"/>
        </w:rPr>
      </w:pPr>
      <w:r w:rsidRPr="00400BAA">
        <w:rPr>
          <w:rFonts w:eastAsia="Times New Roman"/>
        </w:rPr>
        <w:t xml:space="preserve">There were 10,360 cases of unspecified hepatitis C infection notified in 2015. </w:t>
      </w:r>
    </w:p>
    <w:p w14:paraId="5D461EF7" w14:textId="77777777" w:rsidR="00BE61A2" w:rsidRPr="00400BAA" w:rsidRDefault="00BE61A2" w:rsidP="00400BAA">
      <w:pPr>
        <w:pStyle w:val="ListParagraph"/>
        <w:numPr>
          <w:ilvl w:val="0"/>
          <w:numId w:val="31"/>
        </w:numPr>
        <w:divId w:val="2110732990"/>
        <w:rPr>
          <w:rFonts w:eastAsia="Times New Roman"/>
        </w:rPr>
      </w:pPr>
      <w:r w:rsidRPr="00400BAA">
        <w:rPr>
          <w:rFonts w:eastAsia="Times New Roman"/>
        </w:rPr>
        <w:t xml:space="preserve">The highest notification rates were among males in the 25–49 years age groups. </w:t>
      </w:r>
    </w:p>
    <w:p w14:paraId="661ECE22" w14:textId="77777777" w:rsidR="00BE61A2" w:rsidRPr="00AE2F1B" w:rsidRDefault="00BE61A2" w:rsidP="00924A50">
      <w:pPr>
        <w:pStyle w:val="Heading3"/>
        <w:divId w:val="2110732990"/>
        <w:rPr>
          <w:rFonts w:eastAsiaTheme="minorEastAsia"/>
        </w:rPr>
      </w:pPr>
      <w:bookmarkStart w:id="27" w:name="_Toc1747181"/>
      <w:r w:rsidRPr="00924A50">
        <w:rPr>
          <w:bCs w:val="0"/>
        </w:rPr>
        <w:t>Epidemiological situation in 2015</w:t>
      </w:r>
      <w:bookmarkEnd w:id="27"/>
    </w:p>
    <w:p w14:paraId="46D6D77A" w14:textId="77777777" w:rsidR="00BE61A2" w:rsidRPr="00AE2F1B" w:rsidRDefault="00BE61A2" w:rsidP="00AE2F1B">
      <w:pPr>
        <w:divId w:val="2110732990"/>
      </w:pPr>
      <w:r w:rsidRPr="00AE2F1B">
        <w:t>In 2015, 10,360 cases of unspecified hepatitis C infections were notified to the NNDSS (44.8 per 100,000) compared with 10,211 cases in 2014 (44.1 per 100,000). Notification rates have decreased since 2010 and remained stable between 2013 and 2015. There was an overall decline of 10% between 2010 (50.0 per 100,000) and 2015 (44.8 per 100,000) (Figure 8).</w:t>
      </w:r>
    </w:p>
    <w:p w14:paraId="3B153717" w14:textId="77777777" w:rsidR="00BE61A2" w:rsidRPr="00AE2F1B" w:rsidRDefault="00BE61A2" w:rsidP="00AE2F1B">
      <w:pPr>
        <w:divId w:val="2110732990"/>
      </w:pPr>
      <w:r w:rsidRPr="00AE2F1B">
        <w:t>Several factors may account for the decrease, including changes in surveillance practices, removal of duplicate notifications, and a gradual decline in the prevalent group of hepatitis C cases accumulated prior to the introduction of hepatitis C testing in the early 1990s.</w:t>
      </w:r>
      <w:r w:rsidRPr="00AE2F1B">
        <w:rPr>
          <w:vertAlign w:val="superscript"/>
        </w:rPr>
        <w:t>33</w:t>
      </w:r>
      <w:r w:rsidRPr="00AE2F1B">
        <w:t xml:space="preserve"> </w:t>
      </w:r>
    </w:p>
    <w:p w14:paraId="37EF4A0B" w14:textId="77777777" w:rsidR="00BE61A2" w:rsidRPr="00AE2F1B" w:rsidRDefault="00BE61A2" w:rsidP="00924A50">
      <w:pPr>
        <w:pStyle w:val="Heading3"/>
        <w:divId w:val="2110732990"/>
      </w:pPr>
      <w:bookmarkStart w:id="28" w:name="_Toc1747182"/>
      <w:r w:rsidRPr="00924A50">
        <w:rPr>
          <w:bCs w:val="0"/>
        </w:rPr>
        <w:t>Geographical distribution</w:t>
      </w:r>
      <w:bookmarkEnd w:id="28"/>
    </w:p>
    <w:p w14:paraId="71F855EB" w14:textId="77777777" w:rsidR="00BE61A2" w:rsidRPr="00AE2F1B" w:rsidRDefault="00BE61A2" w:rsidP="00AE2F1B">
      <w:pPr>
        <w:divId w:val="2110732990"/>
      </w:pPr>
      <w:r w:rsidRPr="00AE2F1B">
        <w:t xml:space="preserve">For the past 5 years, the Northern Territory has reported the highest jurisdiction-specific notification rate for unspecified hepatitis </w:t>
      </w:r>
      <w:r w:rsidR="009320B7" w:rsidRPr="00AE2F1B">
        <w:t xml:space="preserve">C. </w:t>
      </w:r>
      <w:r w:rsidRPr="00AE2F1B">
        <w:t>In 2015, the Northern Territory’s notification rate was 80.2 per 100,000 (Table 5), which was 9% higher than the 2010 rate of 73.5 per 100,000.</w:t>
      </w:r>
    </w:p>
    <w:p w14:paraId="5F0514FA" w14:textId="77777777" w:rsidR="00BE61A2" w:rsidRPr="00AE2F1B" w:rsidRDefault="00BE61A2" w:rsidP="00924A50">
      <w:pPr>
        <w:pStyle w:val="Heading3"/>
        <w:divId w:val="2110732990"/>
      </w:pPr>
      <w:bookmarkStart w:id="29" w:name="_Toc1747183"/>
      <w:r w:rsidRPr="00924A50">
        <w:rPr>
          <w:bCs w:val="0"/>
        </w:rPr>
        <w:t>Age and sex distribution</w:t>
      </w:r>
      <w:bookmarkEnd w:id="29"/>
    </w:p>
    <w:p w14:paraId="6102975B" w14:textId="77777777" w:rsidR="00BE61A2" w:rsidRDefault="00BE61A2" w:rsidP="00AE2F1B">
      <w:pPr>
        <w:divId w:val="2110732990"/>
      </w:pPr>
      <w:r w:rsidRPr="00AE2F1B">
        <w:t>Nationally in 2015, 66% (6,855/10,360) of unspecified hepatitis C notifications were in males (for cases where the sex was reported). The notification rate in males was 58.0 per 100,000, and in females was 28.9 per 100,000; this equates to a male to female rate ratio of 2:1. Notification rates in males exceeded those in females across most age groups. The highest notification rates were among males aged 35–39 years (113.2 per 100,000) and 30–34 years (105.6 per 100,000). The highest notification rates among females were for those aged 30–34 years (57.5 per 100,000) and 35–39 years (56.3 per 100,000) (Figure 11).</w:t>
      </w:r>
    </w:p>
    <w:p w14:paraId="3B756469" w14:textId="77777777" w:rsidR="00EC01F5" w:rsidRDefault="00EC01F5">
      <w:pPr>
        <w:rPr>
          <w:b/>
        </w:rPr>
      </w:pPr>
      <w:r>
        <w:br w:type="page"/>
      </w:r>
    </w:p>
    <w:p w14:paraId="2199EEA2" w14:textId="77777777" w:rsidR="00C4714A" w:rsidRDefault="00C4714A" w:rsidP="00AE5F26">
      <w:pPr>
        <w:pStyle w:val="CDIFigures"/>
        <w:divId w:val="2110732990"/>
      </w:pPr>
      <w:r w:rsidRPr="00AE5F26">
        <w:lastRenderedPageBreak/>
        <w:t>Figure 11: Notification rate for unspecified hepatitis C</w:t>
      </w:r>
      <w:r w:rsidRPr="00FD3CF7">
        <w:rPr>
          <w:rStyle w:val="A9"/>
          <w:rFonts w:asciiTheme="minorHAnsi" w:hAnsiTheme="minorHAnsi" w:cstheme="minorBidi"/>
          <w:b/>
          <w:bCs w:val="0"/>
          <w:color w:val="auto"/>
          <w:sz w:val="22"/>
          <w:szCs w:val="22"/>
          <w:vertAlign w:val="superscript"/>
        </w:rPr>
        <w:t>*</w:t>
      </w:r>
      <w:r w:rsidRPr="00AE5F26">
        <w:rPr>
          <w:rStyle w:val="A9"/>
          <w:rFonts w:asciiTheme="minorHAnsi" w:hAnsiTheme="minorHAnsi" w:cstheme="minorBidi"/>
          <w:b/>
          <w:bCs w:val="0"/>
          <w:color w:val="auto"/>
          <w:sz w:val="22"/>
          <w:szCs w:val="22"/>
        </w:rPr>
        <w:t xml:space="preserve"> </w:t>
      </w:r>
      <w:r w:rsidRPr="00AE5F26">
        <w:t>infection, Australia, 2015, by age group and sex</w:t>
      </w:r>
    </w:p>
    <w:p w14:paraId="29647234" w14:textId="77777777" w:rsidR="00EC01F5" w:rsidRPr="00AE5F26" w:rsidRDefault="0021477A" w:rsidP="00AE5F26">
      <w:pPr>
        <w:pStyle w:val="CDIFigures"/>
        <w:divId w:val="2110732990"/>
      </w:pPr>
      <w:r>
        <w:pict w14:anchorId="17D26837">
          <v:shape id="_x0000_i1034" type="#_x0000_t75" alt="This figure shows the 2015 notification rate for unspecified hepatitis C by 5-year age group and sex. Notification rates for males exceeded those for females in almost all age groups. Notifications peaked in the 35–39 year age group for males and in the 30–34 year age group for females." style="width:522.6pt;height:337.8pt">
            <v:imagedata r:id="rId25" o:title="2-Boodborne figures_3 to 13_Page_09"/>
          </v:shape>
        </w:pict>
      </w:r>
    </w:p>
    <w:p w14:paraId="0D7DF4F5" w14:textId="77777777" w:rsidR="00C4714A" w:rsidRPr="00C4714A" w:rsidRDefault="00C4714A" w:rsidP="00C4714A">
      <w:pPr>
        <w:pStyle w:val="CDIfootnotes"/>
        <w:divId w:val="2110732990"/>
      </w:pPr>
      <w:r>
        <w:t>*</w:t>
      </w:r>
      <w:r>
        <w:tab/>
      </w:r>
      <w:r w:rsidRPr="00C4714A">
        <w:t>Data provided from Queensland includes both newly acquired and</w:t>
      </w:r>
      <w:r>
        <w:t xml:space="preserve"> unspecified hepatitis C cases.</w:t>
      </w:r>
      <w:r>
        <w:br/>
      </w:r>
      <w:r w:rsidRPr="00C4714A">
        <w:t>†</w:t>
      </w:r>
      <w:r>
        <w:tab/>
      </w:r>
      <w:r w:rsidRPr="00C4714A">
        <w:t>Excludes 47 cases where age and/or sex were missing or unknown.</w:t>
      </w:r>
    </w:p>
    <w:p w14:paraId="342B1A18" w14:textId="77777777" w:rsidR="00BE61A2" w:rsidRDefault="00BE61A2" w:rsidP="00AE2F1B">
      <w:pPr>
        <w:divId w:val="2110732990"/>
      </w:pPr>
      <w:r w:rsidRPr="00AE2F1B">
        <w:t>Between 2010 and 2015, notification rates for unspecified hepatitis C infection remained stable or declined. The largest decreases have occurred in the 20–29 years (from 73.5 to 58.9 per 100,000) and the 30–39 years (102.2 to 84.4 per 1</w:t>
      </w:r>
      <w:r w:rsidR="00EE048F">
        <w:t>00,000) age groups (Figure 12).</w:t>
      </w:r>
    </w:p>
    <w:p w14:paraId="7494E24F" w14:textId="77777777" w:rsidR="00670B5F" w:rsidRDefault="00670B5F">
      <w:pPr>
        <w:rPr>
          <w:b/>
        </w:rPr>
      </w:pPr>
      <w:r>
        <w:br w:type="page"/>
      </w:r>
    </w:p>
    <w:p w14:paraId="0EBAD781" w14:textId="77777777" w:rsidR="003E06B9" w:rsidRDefault="003E06B9" w:rsidP="003E06B9">
      <w:pPr>
        <w:pStyle w:val="CDIFigures"/>
        <w:divId w:val="2110732990"/>
        <w:rPr>
          <w:rStyle w:val="A9"/>
          <w:rFonts w:asciiTheme="minorHAnsi" w:hAnsiTheme="minorHAnsi" w:cstheme="minorBidi"/>
          <w:b/>
          <w:bCs w:val="0"/>
          <w:color w:val="auto"/>
          <w:sz w:val="22"/>
          <w:szCs w:val="22"/>
        </w:rPr>
      </w:pPr>
      <w:r w:rsidRPr="003E06B9">
        <w:lastRenderedPageBreak/>
        <w:t>Figure 12: Notification rate for unspecified hepatitis C</w:t>
      </w:r>
      <w:r w:rsidRPr="00FD3CF7">
        <w:rPr>
          <w:rStyle w:val="A9"/>
          <w:rFonts w:asciiTheme="minorHAnsi" w:hAnsiTheme="minorHAnsi" w:cstheme="minorBidi"/>
          <w:b/>
          <w:bCs w:val="0"/>
          <w:color w:val="auto"/>
          <w:sz w:val="22"/>
          <w:szCs w:val="22"/>
          <w:vertAlign w:val="superscript"/>
        </w:rPr>
        <w:t>*</w:t>
      </w:r>
      <w:r w:rsidRPr="003E06B9">
        <w:rPr>
          <w:rStyle w:val="A9"/>
          <w:rFonts w:asciiTheme="minorHAnsi" w:hAnsiTheme="minorHAnsi" w:cstheme="minorBidi"/>
          <w:b/>
          <w:bCs w:val="0"/>
          <w:color w:val="auto"/>
          <w:sz w:val="22"/>
          <w:szCs w:val="22"/>
        </w:rPr>
        <w:t xml:space="preserve"> </w:t>
      </w:r>
      <w:r w:rsidRPr="003E06B9">
        <w:t>infection, Australia, 2010 to 2015, by year and selected age</w:t>
      </w:r>
      <w:r w:rsidR="00670B5F">
        <w:t> </w:t>
      </w:r>
      <w:r w:rsidRPr="003E06B9">
        <w:t>groups</w:t>
      </w:r>
      <w:r w:rsidRPr="00FD3CF7">
        <w:rPr>
          <w:rStyle w:val="A9"/>
          <w:rFonts w:asciiTheme="minorHAnsi" w:hAnsiTheme="minorHAnsi" w:cstheme="minorBidi"/>
          <w:b/>
          <w:bCs w:val="0"/>
          <w:color w:val="auto"/>
          <w:sz w:val="22"/>
          <w:szCs w:val="22"/>
          <w:vertAlign w:val="superscript"/>
        </w:rPr>
        <w:t>†</w:t>
      </w:r>
    </w:p>
    <w:p w14:paraId="30EA2B6F" w14:textId="77777777" w:rsidR="00670B5F" w:rsidRDefault="0021477A" w:rsidP="003E06B9">
      <w:pPr>
        <w:pStyle w:val="CDIFigures"/>
        <w:divId w:val="2110732990"/>
        <w:rPr>
          <w:rStyle w:val="A9"/>
          <w:rFonts w:asciiTheme="minorHAnsi" w:hAnsiTheme="minorHAnsi" w:cstheme="minorBidi"/>
          <w:b/>
          <w:bCs w:val="0"/>
          <w:color w:val="auto"/>
          <w:sz w:val="22"/>
          <w:szCs w:val="22"/>
        </w:rPr>
      </w:pPr>
      <w:r>
        <w:rPr>
          <w:rStyle w:val="A9"/>
          <w:rFonts w:asciiTheme="minorHAnsi" w:hAnsiTheme="minorHAnsi" w:cstheme="minorBidi"/>
          <w:b/>
          <w:bCs w:val="0"/>
          <w:color w:val="auto"/>
          <w:sz w:val="22"/>
          <w:szCs w:val="22"/>
        </w:rPr>
        <w:pict w14:anchorId="7DF4CDD5">
          <v:shape id="_x0000_i1035" type="#_x0000_t75" alt="This figure shows the annual notification rate for unspecified hepatitis C from 2010 to 2015 for the following selected age groups: 0–4 years, 5–14 years, 15–19 years, 20–29 years, 30–39 years and 40+ years. Notification rates decreased for all age groups except for the 0–4 year age group, for which the rate remained very low and stable." style="width:522.6pt;height:325.2pt;mso-position-vertical:absolute">
            <v:imagedata r:id="rId26" o:title="2-Boodborne figures_3 to 13_Page_10"/>
          </v:shape>
        </w:pict>
      </w:r>
    </w:p>
    <w:p w14:paraId="22910450" w14:textId="77777777" w:rsidR="003E06B9" w:rsidRPr="003E06B9" w:rsidRDefault="003E06B9" w:rsidP="003E06B9">
      <w:pPr>
        <w:pStyle w:val="CDIfootnotes"/>
        <w:divId w:val="2110732990"/>
      </w:pPr>
      <w:r w:rsidRPr="003E06B9">
        <w:rPr>
          <w:rStyle w:val="A13"/>
          <w:rFonts w:cstheme="minorBidi"/>
          <w:color w:val="auto"/>
          <w:sz w:val="18"/>
          <w:szCs w:val="22"/>
        </w:rPr>
        <w:t>*</w:t>
      </w:r>
      <w:r>
        <w:rPr>
          <w:rStyle w:val="A13"/>
          <w:rFonts w:cstheme="minorBidi"/>
          <w:color w:val="auto"/>
          <w:sz w:val="18"/>
          <w:szCs w:val="22"/>
        </w:rPr>
        <w:tab/>
      </w:r>
      <w:r w:rsidRPr="003E06B9">
        <w:rPr>
          <w:rStyle w:val="A11"/>
          <w:rFonts w:cstheme="minorBidi"/>
          <w:color w:val="auto"/>
          <w:sz w:val="18"/>
          <w:u w:val="none"/>
        </w:rPr>
        <w:t>Data provided from Queensland (2010–2015) includes both newly acquired and</w:t>
      </w:r>
      <w:r>
        <w:rPr>
          <w:rStyle w:val="A11"/>
          <w:rFonts w:cstheme="minorBidi"/>
          <w:color w:val="auto"/>
          <w:sz w:val="18"/>
          <w:u w:val="none"/>
        </w:rPr>
        <w:t xml:space="preserve"> unspecified hepatitis C cases.</w:t>
      </w:r>
      <w:r>
        <w:rPr>
          <w:rStyle w:val="A11"/>
          <w:rFonts w:cstheme="minorBidi"/>
          <w:color w:val="auto"/>
          <w:sz w:val="18"/>
          <w:u w:val="none"/>
        </w:rPr>
        <w:br/>
      </w:r>
      <w:r w:rsidRPr="003E06B9">
        <w:rPr>
          <w:rStyle w:val="A13"/>
          <w:rFonts w:cstheme="minorBidi"/>
          <w:color w:val="auto"/>
          <w:sz w:val="18"/>
          <w:szCs w:val="22"/>
        </w:rPr>
        <w:t>†</w:t>
      </w:r>
      <w:r>
        <w:rPr>
          <w:rStyle w:val="A13"/>
          <w:rFonts w:cstheme="minorBidi"/>
          <w:color w:val="auto"/>
          <w:sz w:val="18"/>
          <w:szCs w:val="22"/>
        </w:rPr>
        <w:tab/>
      </w:r>
      <w:r w:rsidRPr="003E06B9">
        <w:rPr>
          <w:rStyle w:val="A11"/>
          <w:rFonts w:cstheme="minorBidi"/>
          <w:color w:val="auto"/>
          <w:sz w:val="18"/>
          <w:u w:val="none"/>
        </w:rPr>
        <w:t>Excludes 63 cases where age was not reported.</w:t>
      </w:r>
    </w:p>
    <w:p w14:paraId="305F3360" w14:textId="77777777" w:rsidR="00BE61A2" w:rsidRPr="004E056D" w:rsidRDefault="00BE61A2" w:rsidP="004E056D">
      <w:pPr>
        <w:pStyle w:val="Heading2"/>
        <w:divId w:val="2110732990"/>
      </w:pPr>
      <w:bookmarkStart w:id="30" w:name="_Toc1747184"/>
      <w:r w:rsidRPr="004E056D">
        <w:rPr>
          <w:bCs w:val="0"/>
          <w:sz w:val="27"/>
          <w:szCs w:val="27"/>
        </w:rPr>
        <w:t>Hepatitis D</w:t>
      </w:r>
      <w:bookmarkEnd w:id="30"/>
    </w:p>
    <w:p w14:paraId="4F42BA33" w14:textId="77777777" w:rsidR="00BE61A2" w:rsidRPr="00400BAA" w:rsidRDefault="00BE61A2" w:rsidP="00400BAA">
      <w:pPr>
        <w:pStyle w:val="ListParagraph"/>
        <w:numPr>
          <w:ilvl w:val="0"/>
          <w:numId w:val="31"/>
        </w:numPr>
        <w:divId w:val="2110732990"/>
        <w:rPr>
          <w:rFonts w:eastAsia="Times New Roman"/>
        </w:rPr>
      </w:pPr>
      <w:r w:rsidRPr="00400BAA">
        <w:rPr>
          <w:rFonts w:eastAsia="Times New Roman"/>
        </w:rPr>
        <w:t xml:space="preserve">There were 39 cases of hepatitis D notified in 2015. </w:t>
      </w:r>
    </w:p>
    <w:p w14:paraId="4DEE0593" w14:textId="77777777" w:rsidR="00BE61A2" w:rsidRPr="00400BAA" w:rsidRDefault="00BE61A2" w:rsidP="00400BAA">
      <w:pPr>
        <w:pStyle w:val="ListParagraph"/>
        <w:numPr>
          <w:ilvl w:val="0"/>
          <w:numId w:val="31"/>
        </w:numPr>
        <w:divId w:val="2110732990"/>
        <w:rPr>
          <w:rFonts w:eastAsia="Times New Roman"/>
        </w:rPr>
      </w:pPr>
      <w:r w:rsidRPr="00400BAA">
        <w:rPr>
          <w:rFonts w:eastAsia="Times New Roman"/>
        </w:rPr>
        <w:t xml:space="preserve">Hepatitis D is always associated with hepatitis B co-infection. </w:t>
      </w:r>
    </w:p>
    <w:p w14:paraId="3F58CA72" w14:textId="77777777" w:rsidR="00BE61A2" w:rsidRPr="00AE2F1B" w:rsidRDefault="00BE61A2" w:rsidP="00AE2F1B">
      <w:pPr>
        <w:divId w:val="2110732990"/>
      </w:pPr>
      <w:r w:rsidRPr="00AE2F1B">
        <w:t>Hepatitis D is a defective single-stranded RNA virus that replicates in the presence of the hepatitis B virus. Hepatitis D infection can occur as either an acute co-infection with hepatitis B or as a super-infection with chronic hepatitis B infection. The modes of hepatitis D transmission are similar to those for hepatitis B.</w:t>
      </w:r>
      <w:r w:rsidRPr="00AE2F1B">
        <w:rPr>
          <w:vertAlign w:val="superscript"/>
        </w:rPr>
        <w:t>21</w:t>
      </w:r>
      <w:r w:rsidRPr="00AE2F1B">
        <w:t xml:space="preserve"> </w:t>
      </w:r>
    </w:p>
    <w:p w14:paraId="4C5B3C6C" w14:textId="77777777" w:rsidR="00BE61A2" w:rsidRPr="00AE2F1B" w:rsidRDefault="00BE61A2" w:rsidP="00924A50">
      <w:pPr>
        <w:pStyle w:val="Heading3"/>
        <w:divId w:val="2110732990"/>
      </w:pPr>
      <w:bookmarkStart w:id="31" w:name="_Toc1747185"/>
      <w:r w:rsidRPr="00924A50">
        <w:rPr>
          <w:bCs w:val="0"/>
        </w:rPr>
        <w:t>Epidemiological situation in 2015</w:t>
      </w:r>
      <w:bookmarkEnd w:id="31"/>
    </w:p>
    <w:p w14:paraId="6329E03C" w14:textId="77777777" w:rsidR="00BE61A2" w:rsidRPr="00AE2F1B" w:rsidRDefault="00BE61A2" w:rsidP="00AE2F1B">
      <w:pPr>
        <w:divId w:val="2110732990"/>
      </w:pPr>
      <w:r w:rsidRPr="00AE2F1B">
        <w:t>In Australia, the notification rate for hepatitis D infection remains low. In 2015, there were 39 notified cases of hepatitis D, representing a rate of 0.2 per 100,000 (Table 5). Over the preceding 5 years, notifications of hepatitis D remained relatively low, with an average of 49 cases notified per year (range: 36 to 61).</w:t>
      </w:r>
    </w:p>
    <w:p w14:paraId="588C584E" w14:textId="77777777" w:rsidR="00BE61A2" w:rsidRPr="00AE2F1B" w:rsidRDefault="00BE61A2" w:rsidP="00924A50">
      <w:pPr>
        <w:pStyle w:val="Heading3"/>
        <w:divId w:val="2110732990"/>
      </w:pPr>
      <w:bookmarkStart w:id="32" w:name="_Toc1747186"/>
      <w:r w:rsidRPr="00924A50">
        <w:rPr>
          <w:bCs w:val="0"/>
        </w:rPr>
        <w:t>Geographical distribution</w:t>
      </w:r>
      <w:bookmarkEnd w:id="32"/>
    </w:p>
    <w:p w14:paraId="1B248181" w14:textId="77777777" w:rsidR="00BE61A2" w:rsidRPr="00AE2F1B" w:rsidRDefault="00BE61A2" w:rsidP="00AE2F1B">
      <w:pPr>
        <w:divId w:val="2110732990"/>
      </w:pPr>
      <w:r w:rsidRPr="00AE2F1B">
        <w:t xml:space="preserve">In 2015, Queensland reported the highest number of cases (n=15), followed by New South Wales (n=9), South Australia (n=9) and Victoria (n=6). No cases were reported from the Australian Capital Territory, the Northern Territory, </w:t>
      </w:r>
      <w:proofErr w:type="gramStart"/>
      <w:r w:rsidRPr="00AE2F1B">
        <w:t>Tasmania</w:t>
      </w:r>
      <w:proofErr w:type="gramEnd"/>
      <w:r w:rsidRPr="00AE2F1B">
        <w:t xml:space="preserve"> or Western Australia during this period. </w:t>
      </w:r>
    </w:p>
    <w:p w14:paraId="6288EB2F" w14:textId="77777777" w:rsidR="004C467E" w:rsidRDefault="004C467E">
      <w:pPr>
        <w:rPr>
          <w:rFonts w:asciiTheme="majorHAnsi" w:eastAsiaTheme="majorEastAsia" w:hAnsiTheme="majorHAnsi" w:cstheme="majorBidi"/>
          <w:b/>
        </w:rPr>
      </w:pPr>
      <w:r>
        <w:rPr>
          <w:bCs/>
        </w:rPr>
        <w:br w:type="page"/>
      </w:r>
    </w:p>
    <w:p w14:paraId="39B34231" w14:textId="77777777" w:rsidR="00BE61A2" w:rsidRPr="00AE2F1B" w:rsidRDefault="00BE61A2" w:rsidP="00924A50">
      <w:pPr>
        <w:pStyle w:val="Heading3"/>
        <w:divId w:val="2110732990"/>
      </w:pPr>
      <w:bookmarkStart w:id="33" w:name="_Toc1747187"/>
      <w:r w:rsidRPr="00924A50">
        <w:rPr>
          <w:bCs w:val="0"/>
        </w:rPr>
        <w:lastRenderedPageBreak/>
        <w:t>Age and sex distribution</w:t>
      </w:r>
      <w:bookmarkEnd w:id="33"/>
    </w:p>
    <w:p w14:paraId="2CFF1CA8" w14:textId="77777777" w:rsidR="00BE61A2" w:rsidRDefault="00BE61A2" w:rsidP="00AE2F1B">
      <w:pPr>
        <w:divId w:val="2110732990"/>
      </w:pPr>
      <w:r w:rsidRPr="00AE2F1B">
        <w:t>Hepatitis D notifications in males exceeded those in females each year from 2010 to 2015. In 2015, 67% (26/39) of notifications were in males. This represents a male to female notification ratio of 2.0:1. This is less than the average notification ratio of 2.2:1 over the</w:t>
      </w:r>
      <w:r w:rsidR="00244DD3">
        <w:t xml:space="preserve"> preceding 5 years (Figure 13).</w:t>
      </w:r>
    </w:p>
    <w:p w14:paraId="51FB1E1D" w14:textId="77777777" w:rsidR="00244DD3" w:rsidRDefault="000A2170" w:rsidP="000A2170">
      <w:pPr>
        <w:pStyle w:val="CDIFigures"/>
        <w:divId w:val="2110732990"/>
      </w:pPr>
      <w:r w:rsidRPr="000A2170">
        <w:t>Figure 13: Notifications of hepatitis D infection, Australia, 2010 to 2015, by year and sex</w:t>
      </w:r>
    </w:p>
    <w:p w14:paraId="29BF2A82" w14:textId="77777777" w:rsidR="00942BA5" w:rsidRPr="000A2170" w:rsidRDefault="0021477A" w:rsidP="000A2170">
      <w:pPr>
        <w:pStyle w:val="CDIFigures"/>
        <w:divId w:val="2110732990"/>
      </w:pPr>
      <w:r>
        <w:pict w14:anchorId="33896C00">
          <v:shape id="_x0000_i1036" type="#_x0000_t75" alt="This figure shows the annual number of notified cases of hepatitis D infection from 2010 to 2015 by sex. The number of notifications in males exceeded those in females for each year during the period. Over the 5 year period, the number of notifications decreased for males and increased for females." style="width:522.6pt;height:334.8pt">
            <v:imagedata r:id="rId27" o:title="2-Boodborne figures_3 to 13_Page_11"/>
          </v:shape>
        </w:pict>
      </w:r>
    </w:p>
    <w:p w14:paraId="25CE8D40" w14:textId="77777777" w:rsidR="00BE61A2" w:rsidRPr="009F4FD4" w:rsidRDefault="00BE61A2" w:rsidP="009F4FD4">
      <w:pPr>
        <w:pStyle w:val="Heading1"/>
        <w:divId w:val="2110732990"/>
      </w:pPr>
      <w:bookmarkStart w:id="34" w:name="_Toc1747188"/>
      <w:r w:rsidRPr="00095AA3">
        <w:rPr>
          <w:rStyle w:val="Heading1Char"/>
          <w:b/>
        </w:rPr>
        <w:t>Gastrointestinal diseases</w:t>
      </w:r>
      <w:bookmarkEnd w:id="34"/>
    </w:p>
    <w:p w14:paraId="000DA9CB" w14:textId="249AC868" w:rsidR="00BE61A2" w:rsidRPr="00AE2F1B" w:rsidRDefault="00BE61A2" w:rsidP="00AE2F1B">
      <w:r w:rsidRPr="00AE2F1B">
        <w:t xml:space="preserve">In 2015, gastrointestinal diseases notified to NNDSS were botulism; campylobacteriosis; cryptosporidiosis; haemolytic uraemic syndrome (HUS); hepatitis A; hepatitis E; listeriosis; paratyphoid; salmonellosis; shigellosis; Shiga toxin-producing </w:t>
      </w:r>
      <w:r w:rsidRPr="00DF12AB">
        <w:rPr>
          <w:rStyle w:val="Emphasis"/>
          <w:b w:val="0"/>
        </w:rPr>
        <w:t>Escherichia coli</w:t>
      </w:r>
      <w:r w:rsidRPr="00AE2F1B">
        <w:t xml:space="preserve"> (STEC) infections; and typhoid. From January 2016, paratyphoid has been recorded in the NNDSS as a separate condition from salmonellosis. The separation of paratyphoid from salmonellosis was applied to data in the NNDSS retrospectively; </w:t>
      </w:r>
      <w:proofErr w:type="gramStart"/>
      <w:r w:rsidRPr="00AE2F1B">
        <w:t>therefore</w:t>
      </w:r>
      <w:proofErr w:type="gramEnd"/>
      <w:r w:rsidRPr="00AE2F1B">
        <w:t xml:space="preserve"> paratyphoid is included as a separate disease for this 2015 annual report. Please note that the NNDSS data reports at </w:t>
      </w:r>
      <w:hyperlink r:id="rId28" w:tooltip="http://www9.health.gov.au/cda/source/cda-index.cfm" w:history="1">
        <w:r w:rsidR="001047AB" w:rsidRPr="009928CF">
          <w:rPr>
            <w:rStyle w:val="Hyperlink"/>
          </w:rPr>
          <w:t>http://www9.health.gov.au/cda/source/cda-index.cfm</w:t>
        </w:r>
      </w:hyperlink>
      <w:r w:rsidRPr="00AE2F1B">
        <w:t xml:space="preserve"> for salmonellosis in past years will now not match previously published data, as paratyphoid has been separated out.</w:t>
      </w:r>
    </w:p>
    <w:p w14:paraId="2737868C" w14:textId="77777777" w:rsidR="00BE61A2" w:rsidRPr="00AE2F1B" w:rsidRDefault="00BE61A2" w:rsidP="00AE2F1B">
      <w:r w:rsidRPr="00AE2F1B">
        <w:t>Overall, notified cases of gastrointestinal diseases increased by 12%, from 40,364 in 2014 to 45,326 in 2015. Notifications for campylobacteriosis (22,573), and salmonellosis (17,013) were at the highest levels since NNDSS records began in 1991. It should be noted that culture-independent nucleic acid-based testing methods were introduced by a number of diagnostic laboratories around the country from late 2013 onwards, which may partially explain this increase. These testing methods have increased sensitivity compared to traditional techniques, such as culture; however, the full effect on notifications has not been quantified.</w:t>
      </w:r>
    </w:p>
    <w:p w14:paraId="18316C60" w14:textId="77777777" w:rsidR="00BE61A2" w:rsidRPr="004E056D" w:rsidRDefault="00BE61A2" w:rsidP="004E056D">
      <w:pPr>
        <w:pStyle w:val="Heading2"/>
      </w:pPr>
      <w:bookmarkStart w:id="35" w:name="_Toc1747189"/>
      <w:r w:rsidRPr="004E056D">
        <w:rPr>
          <w:bCs w:val="0"/>
          <w:sz w:val="27"/>
          <w:szCs w:val="27"/>
        </w:rPr>
        <w:lastRenderedPageBreak/>
        <w:t>Surveillance systems overview</w:t>
      </w:r>
      <w:bookmarkEnd w:id="35"/>
    </w:p>
    <w:p w14:paraId="3B1752E0" w14:textId="77777777" w:rsidR="00BE61A2" w:rsidRPr="00AE2F1B" w:rsidRDefault="00BE61A2" w:rsidP="00AE2F1B">
      <w:r w:rsidRPr="00AE2F1B">
        <w:t xml:space="preserve">The Australian Government established </w:t>
      </w:r>
      <w:proofErr w:type="spellStart"/>
      <w:r w:rsidRPr="00AE2F1B">
        <w:t>OzFoodNet</w:t>
      </w:r>
      <w:proofErr w:type="spellEnd"/>
      <w:r w:rsidRPr="00AE2F1B">
        <w:t xml:space="preserve"> – Australia’s enhanced foodborne disease surveillance system – in 2000 as a collaborative network of epidemiologists and microbiologists who conduct enhanced surveillance, epidemiological outbreak investigations and applied research into foodborne diseases across Australia. </w:t>
      </w:r>
      <w:proofErr w:type="spellStart"/>
      <w:r w:rsidRPr="00AE2F1B">
        <w:t>OzFoodNet’s</w:t>
      </w:r>
      <w:proofErr w:type="spellEnd"/>
      <w:r w:rsidRPr="00AE2F1B">
        <w:t xml:space="preserve"> mission is to apply concentrated effort at the national level to investigate and understand foodborne disease, to describe its epidemiology more effectively and to identify ways to minimise foodborne illness in Australia. The data and results summarised in the following sections will be reported in more detail in the </w:t>
      </w:r>
      <w:proofErr w:type="spellStart"/>
      <w:r w:rsidRPr="00AE2F1B">
        <w:t>OzFoodNet</w:t>
      </w:r>
      <w:proofErr w:type="spellEnd"/>
      <w:r w:rsidRPr="00AE2F1B">
        <w:t xml:space="preserve"> 2015 annual</w:t>
      </w:r>
      <w:r w:rsidR="003C35E5">
        <w:t> </w:t>
      </w:r>
      <w:r w:rsidRPr="00AE2F1B">
        <w:t>report.</w:t>
      </w:r>
    </w:p>
    <w:p w14:paraId="08D33777" w14:textId="77777777" w:rsidR="00BE61A2" w:rsidRPr="004E056D" w:rsidRDefault="00BE61A2" w:rsidP="004E056D">
      <w:pPr>
        <w:pStyle w:val="Heading2"/>
      </w:pPr>
      <w:bookmarkStart w:id="36" w:name="_Toc1747190"/>
      <w:r w:rsidRPr="004E056D">
        <w:rPr>
          <w:bCs w:val="0"/>
          <w:sz w:val="27"/>
          <w:szCs w:val="27"/>
        </w:rPr>
        <w:t>Botulism</w:t>
      </w:r>
      <w:bookmarkEnd w:id="36"/>
    </w:p>
    <w:p w14:paraId="2A038CC6" w14:textId="77777777" w:rsidR="00BE61A2" w:rsidRPr="00AE2F1B" w:rsidRDefault="00BE61A2" w:rsidP="00AE2F1B">
      <w:r w:rsidRPr="00AE2F1B">
        <w:t>There were 3 cases of botulism notified in 2015.</w:t>
      </w:r>
    </w:p>
    <w:p w14:paraId="653C58C6" w14:textId="77777777" w:rsidR="00BE61A2" w:rsidRPr="00AE2F1B" w:rsidRDefault="00BE61A2" w:rsidP="00AE2F1B">
      <w:r w:rsidRPr="00AE2F1B">
        <w:t xml:space="preserve">Botulism is a rare, extremely serious intoxication resulting from accidental or intentional exposure to toxins produced by </w:t>
      </w:r>
      <w:r w:rsidRPr="00DF12AB">
        <w:rPr>
          <w:rStyle w:val="Emphasis"/>
          <w:b w:val="0"/>
        </w:rPr>
        <w:t>Clostridium botulinum</w:t>
      </w:r>
      <w:r w:rsidRPr="00AE2F1B">
        <w:t xml:space="preserve"> (commonly toxin types A, B and E; rarely type F). All toxins can cause flaccid paralysis by blocking the neuromuscular junction. There are 4 recognised forms of botulism: infant; foodborne; wound; and adult intestinal toxaemia.</w:t>
      </w:r>
      <w:r w:rsidRPr="00AE2F1B">
        <w:rPr>
          <w:vertAlign w:val="superscript"/>
        </w:rPr>
        <w:t>21</w:t>
      </w:r>
      <w:r w:rsidRPr="00AE2F1B">
        <w:t xml:space="preserve"> </w:t>
      </w:r>
    </w:p>
    <w:p w14:paraId="5726A3C2" w14:textId="77777777" w:rsidR="00BE61A2" w:rsidRPr="00AE2F1B" w:rsidRDefault="00BE61A2" w:rsidP="00924A50">
      <w:pPr>
        <w:pStyle w:val="Heading3"/>
      </w:pPr>
      <w:bookmarkStart w:id="37" w:name="_Toc1747191"/>
      <w:r w:rsidRPr="00924A50">
        <w:rPr>
          <w:bCs w:val="0"/>
        </w:rPr>
        <w:t>Epidemiological situation in 2015</w:t>
      </w:r>
      <w:bookmarkEnd w:id="37"/>
    </w:p>
    <w:p w14:paraId="00651EAD" w14:textId="77777777" w:rsidR="00BE61A2" w:rsidRPr="00AE2F1B" w:rsidRDefault="00BE61A2" w:rsidP="00AE2F1B">
      <w:r w:rsidRPr="00AE2F1B">
        <w:t xml:space="preserve">There were 3 cases of botulism (2 infants and one adult) notified in 2015. Of the 2 cases of infant botulism, one was in New South </w:t>
      </w:r>
      <w:proofErr w:type="gramStart"/>
      <w:r w:rsidRPr="00AE2F1B">
        <w:t>Wales</w:t>
      </w:r>
      <w:proofErr w:type="gramEnd"/>
      <w:r w:rsidRPr="00AE2F1B">
        <w:t xml:space="preserve"> and one was in Western Australia; no source of infection was identified. The remaining notification was of foodborne botulism in an adult male in Victoria. The suspected source was consumption of home-cured meat. </w:t>
      </w:r>
      <w:r w:rsidRPr="00DF12AB">
        <w:rPr>
          <w:rStyle w:val="Emphasis"/>
          <w:b w:val="0"/>
        </w:rPr>
        <w:t>C. botulinum</w:t>
      </w:r>
      <w:r w:rsidRPr="00AE2F1B">
        <w:t xml:space="preserve"> toxin type A gene was detected in the stools of the New South Wales case by polymerase chain reaction (PCR), and </w:t>
      </w:r>
      <w:r w:rsidRPr="00DF12AB">
        <w:rPr>
          <w:rStyle w:val="Emphasis"/>
          <w:b w:val="0"/>
        </w:rPr>
        <w:t>C. botulinum</w:t>
      </w:r>
      <w:r w:rsidRPr="00AE2F1B">
        <w:t xml:space="preserve"> neurotoxin gene B was detected by PCR in the Victorian case’s specimen, and in the stools of the Western Australian case. </w:t>
      </w:r>
    </w:p>
    <w:p w14:paraId="4256741E" w14:textId="77777777" w:rsidR="00BE61A2" w:rsidRPr="004E056D" w:rsidRDefault="00BE61A2" w:rsidP="004E056D">
      <w:pPr>
        <w:pStyle w:val="Heading2"/>
      </w:pPr>
      <w:bookmarkStart w:id="38" w:name="_Toc1747192"/>
      <w:r w:rsidRPr="004E056D">
        <w:rPr>
          <w:bCs w:val="0"/>
          <w:sz w:val="27"/>
          <w:szCs w:val="27"/>
        </w:rPr>
        <w:t>Campylobacteriosis</w:t>
      </w:r>
      <w:bookmarkEnd w:id="38"/>
    </w:p>
    <w:p w14:paraId="09B16F41" w14:textId="77777777" w:rsidR="00BE61A2" w:rsidRPr="009F4FD4" w:rsidRDefault="00BE61A2" w:rsidP="009F4FD4">
      <w:pPr>
        <w:pStyle w:val="ListParagraph"/>
        <w:numPr>
          <w:ilvl w:val="0"/>
          <w:numId w:val="31"/>
        </w:numPr>
        <w:rPr>
          <w:rFonts w:eastAsia="Times New Roman"/>
        </w:rPr>
      </w:pPr>
      <w:r w:rsidRPr="009F4FD4">
        <w:rPr>
          <w:rFonts w:eastAsia="Times New Roman"/>
        </w:rPr>
        <w:t xml:space="preserve">Three were 22,573 cases of campylobacteriosis notified in 2015. </w:t>
      </w:r>
    </w:p>
    <w:p w14:paraId="7705D5FE" w14:textId="77777777" w:rsidR="00BE61A2" w:rsidRPr="009F4FD4" w:rsidRDefault="00BE61A2" w:rsidP="009F4FD4">
      <w:pPr>
        <w:pStyle w:val="ListParagraph"/>
        <w:numPr>
          <w:ilvl w:val="0"/>
          <w:numId w:val="31"/>
        </w:numPr>
        <w:rPr>
          <w:rFonts w:eastAsia="Times New Roman"/>
        </w:rPr>
      </w:pPr>
      <w:r w:rsidRPr="009F4FD4">
        <w:rPr>
          <w:rFonts w:eastAsia="Times New Roman"/>
        </w:rPr>
        <w:t xml:space="preserve">Campylobacteriosis was the most frequently notified enteric infection in 2015. </w:t>
      </w:r>
    </w:p>
    <w:p w14:paraId="35EF791F" w14:textId="77777777" w:rsidR="00BE61A2" w:rsidRPr="00AE2F1B" w:rsidRDefault="00BE61A2" w:rsidP="00AE2F1B">
      <w:r w:rsidRPr="00AE2F1B">
        <w:t xml:space="preserve">The </w:t>
      </w:r>
      <w:r w:rsidRPr="00DF12AB">
        <w:rPr>
          <w:rStyle w:val="Emphasis"/>
          <w:b w:val="0"/>
        </w:rPr>
        <w:t>Campylobacter</w:t>
      </w:r>
      <w:r w:rsidRPr="00AE2F1B">
        <w:t xml:space="preserve"> bacteria is a common cause of foodborne illness (campylobacteriosis) in humans. This illness varies in severity and is characterised by diarrhoea (often bloody), abdominal pain, fever, </w:t>
      </w:r>
      <w:proofErr w:type="gramStart"/>
      <w:r w:rsidRPr="00AE2F1B">
        <w:t>nausea</w:t>
      </w:r>
      <w:proofErr w:type="gramEnd"/>
      <w:r w:rsidRPr="00AE2F1B">
        <w:t xml:space="preserve"> and vomiting.</w:t>
      </w:r>
      <w:r w:rsidRPr="00AE2F1B">
        <w:rPr>
          <w:vertAlign w:val="superscript"/>
        </w:rPr>
        <w:t>21</w:t>
      </w:r>
      <w:r w:rsidRPr="00AE2F1B">
        <w:t xml:space="preserve"> Campylobacteriosis is notifiable in all Australian states and territories except New South Wales.</w:t>
      </w:r>
    </w:p>
    <w:p w14:paraId="3F0659E0" w14:textId="77777777" w:rsidR="00BE61A2" w:rsidRPr="00AE2F1B" w:rsidRDefault="00BE61A2" w:rsidP="00924A50">
      <w:pPr>
        <w:pStyle w:val="Heading3"/>
      </w:pPr>
      <w:bookmarkStart w:id="39" w:name="_Toc1747193"/>
      <w:r w:rsidRPr="00924A50">
        <w:rPr>
          <w:bCs w:val="0"/>
        </w:rPr>
        <w:t>Epidemiological situation in 2015</w:t>
      </w:r>
      <w:bookmarkEnd w:id="39"/>
    </w:p>
    <w:p w14:paraId="71B2C861" w14:textId="77777777" w:rsidR="00BE61A2" w:rsidRDefault="00BE61A2" w:rsidP="00AE2F1B">
      <w:r w:rsidRPr="00AE2F1B">
        <w:t xml:space="preserve">There were 22,573 notified cases of campylobacteriosis in 2015, making it the most frequently notified enteric infection (139.6 per 100,000). This is a 13% increase on the number of notifications received for 2014 (n=19,945) (Figure 14) and an increase of 33% on the 5-year mean for 2010 to 2014 (n=17,005) (Table 6). The number of notified cases for 2015 was the highest recorded in the NNDSS, with the highest number of </w:t>
      </w:r>
      <w:r w:rsidR="00930161">
        <w:t>cases notified in October 2015.</w:t>
      </w:r>
    </w:p>
    <w:p w14:paraId="72BE218E" w14:textId="77777777" w:rsidR="00B82C49" w:rsidRDefault="00B82C49">
      <w:pPr>
        <w:rPr>
          <w:b/>
        </w:rPr>
      </w:pPr>
      <w:r>
        <w:br w:type="page"/>
      </w:r>
    </w:p>
    <w:p w14:paraId="031A2938" w14:textId="77777777" w:rsidR="00930161" w:rsidRDefault="00930161" w:rsidP="00B82C49">
      <w:pPr>
        <w:pStyle w:val="CDIFigures"/>
        <w:tabs>
          <w:tab w:val="left" w:pos="9781"/>
        </w:tabs>
      </w:pPr>
      <w:r w:rsidRPr="00930161">
        <w:lastRenderedPageBreak/>
        <w:t>Figure 14: Notifications and notification rate for campylobacteriosis, Australia, 2010 to 2015, by year</w:t>
      </w:r>
    </w:p>
    <w:p w14:paraId="1DABFAB9" w14:textId="77777777" w:rsidR="00B82C49" w:rsidRPr="00930161" w:rsidRDefault="0021477A" w:rsidP="00B82C49">
      <w:pPr>
        <w:pStyle w:val="CDIFigures"/>
        <w:tabs>
          <w:tab w:val="left" w:pos="9781"/>
        </w:tabs>
      </w:pPr>
      <w:r>
        <w:pict w14:anchorId="3A010D26">
          <v:shape id="_x0000_i1037" type="#_x0000_t75" alt="This figure shows the number of notifications and the notification rate for campylobacteriosis in Australia between 2010 and 2015. National campylobacteriosis notifications in 2015 increased by 33% compared to the 5 year mean of 2010 to 2014 (17,004.6).&#10;" style="width:522.6pt;height:321.6pt">
            <v:imagedata r:id="rId29" o:title="3-Gastros chapter figure _14 to 31_Page_01"/>
          </v:shape>
        </w:pict>
      </w:r>
    </w:p>
    <w:p w14:paraId="69BE5995" w14:textId="77777777" w:rsidR="00BE61A2" w:rsidRPr="00DF12AB" w:rsidRDefault="00BE61A2" w:rsidP="00EE19C2">
      <w:pPr>
        <w:pStyle w:val="Heading3"/>
        <w:rPr>
          <w:rFonts w:eastAsia="Times New Roman"/>
        </w:rPr>
      </w:pPr>
      <w:bookmarkStart w:id="40" w:name="_Toc1747194"/>
      <w:r w:rsidRPr="00DF12AB">
        <w:rPr>
          <w:rFonts w:eastAsia="Times New Roman"/>
        </w:rPr>
        <w:t>Geographical distribution</w:t>
      </w:r>
      <w:bookmarkEnd w:id="40"/>
    </w:p>
    <w:p w14:paraId="467F99D2" w14:textId="77777777" w:rsidR="00BE61A2" w:rsidRPr="00AE2F1B" w:rsidRDefault="00BE61A2" w:rsidP="00AE2F1B">
      <w:r w:rsidRPr="00AE2F1B">
        <w:t>Notification rates for campylobacteriosis ranged from 106.9 per 100,000 in South Australia to 200.3 per 100,000 in Tasmania. The Tasmanian rate was approximately 1.4 times higher than the national rate (139.6 per 100,000) (Table</w:t>
      </w:r>
      <w:r w:rsidR="00894722">
        <w:t> </w:t>
      </w:r>
      <w:r w:rsidRPr="00AE2F1B">
        <w:t>5).</w:t>
      </w:r>
    </w:p>
    <w:p w14:paraId="283CEE53" w14:textId="77777777" w:rsidR="00BE61A2" w:rsidRPr="00AE2F1B" w:rsidRDefault="00BE61A2" w:rsidP="00924A50">
      <w:pPr>
        <w:pStyle w:val="Heading3"/>
      </w:pPr>
      <w:bookmarkStart w:id="41" w:name="_Toc1747195"/>
      <w:r w:rsidRPr="00924A50">
        <w:rPr>
          <w:bCs w:val="0"/>
        </w:rPr>
        <w:t>Age and sex distribution</w:t>
      </w:r>
      <w:bookmarkEnd w:id="41"/>
    </w:p>
    <w:p w14:paraId="448FA23F" w14:textId="77777777" w:rsidR="00BE61A2" w:rsidRDefault="00BE61A2" w:rsidP="00AE2F1B">
      <w:r w:rsidRPr="00AE2F1B">
        <w:t>Campylobacteriosis was most frequently notified among the 0–4 years age group for both males (252.4 per 100,000) and females (181.6 per 100,000). The median age of notified cases was 37 years (range: 0 to 99 years). Of those where sex was reported, 54% (12,185/22,562) were male. Notification rates were highest among males in all age groups except for the 25–29 and 30–34 years age groups, where notifications for females were slightly higher (Figure</w:t>
      </w:r>
      <w:r w:rsidR="009255EB">
        <w:t> </w:t>
      </w:r>
      <w:r w:rsidR="00E17D3A">
        <w:t>15).</w:t>
      </w:r>
    </w:p>
    <w:p w14:paraId="55501849" w14:textId="77777777" w:rsidR="00C0400F" w:rsidRDefault="00C0400F">
      <w:pPr>
        <w:rPr>
          <w:b/>
        </w:rPr>
      </w:pPr>
      <w:r>
        <w:br w:type="page"/>
      </w:r>
    </w:p>
    <w:p w14:paraId="7CC09AB5" w14:textId="77777777" w:rsidR="00E17D3A" w:rsidRDefault="00E17D3A" w:rsidP="00E17D3A">
      <w:pPr>
        <w:pStyle w:val="CDIFigures"/>
        <w:rPr>
          <w:rStyle w:val="A9"/>
          <w:rFonts w:asciiTheme="minorHAnsi" w:hAnsiTheme="minorHAnsi" w:cstheme="minorBidi"/>
          <w:b/>
          <w:bCs w:val="0"/>
          <w:color w:val="auto"/>
          <w:sz w:val="22"/>
          <w:szCs w:val="22"/>
        </w:rPr>
      </w:pPr>
      <w:r w:rsidRPr="00E17D3A">
        <w:lastRenderedPageBreak/>
        <w:t>Figure 15: Notification rate for campylobacteriosis, Australia, 2015, by age group and sex</w:t>
      </w:r>
      <w:r w:rsidRPr="00FD3CF7">
        <w:rPr>
          <w:rStyle w:val="A9"/>
          <w:rFonts w:asciiTheme="minorHAnsi" w:hAnsiTheme="minorHAnsi" w:cstheme="minorBidi"/>
          <w:b/>
          <w:bCs w:val="0"/>
          <w:color w:val="auto"/>
          <w:sz w:val="22"/>
          <w:szCs w:val="22"/>
          <w:vertAlign w:val="superscript"/>
        </w:rPr>
        <w:t>*</w:t>
      </w:r>
    </w:p>
    <w:p w14:paraId="03FC0B11" w14:textId="77777777" w:rsidR="00C0400F" w:rsidRDefault="0021477A" w:rsidP="00E17D3A">
      <w:pPr>
        <w:pStyle w:val="CDIFigures"/>
        <w:rPr>
          <w:rStyle w:val="A9"/>
          <w:rFonts w:asciiTheme="minorHAnsi" w:hAnsiTheme="minorHAnsi" w:cstheme="minorBidi"/>
          <w:b/>
          <w:bCs w:val="0"/>
          <w:color w:val="auto"/>
          <w:sz w:val="22"/>
          <w:szCs w:val="22"/>
        </w:rPr>
      </w:pPr>
      <w:r>
        <w:rPr>
          <w:rStyle w:val="A9"/>
          <w:rFonts w:asciiTheme="minorHAnsi" w:hAnsiTheme="minorHAnsi" w:cstheme="minorBidi"/>
          <w:b/>
          <w:bCs w:val="0"/>
          <w:color w:val="auto"/>
          <w:sz w:val="22"/>
          <w:szCs w:val="22"/>
        </w:rPr>
        <w:pict w14:anchorId="556239C7">
          <v:shape id="_x0000_i1038" type="#_x0000_t75" alt="This figure shows the notification rate for campylobacteriosis in Australia in 2015, by age group and sex. Notifications rates were highest in the 0-4 year age group for both males and females. Notification rates were higher in males in all age groups except for the 25-29 and 30-34 year age groups, where notifications for females were slightly higher." style="width:522.6pt;height:306.6pt">
            <v:imagedata r:id="rId30" o:title="3-Gastros chapter figure _14 to 31_Page_02"/>
          </v:shape>
        </w:pict>
      </w:r>
    </w:p>
    <w:p w14:paraId="774141A5" w14:textId="77777777" w:rsidR="00844522" w:rsidRPr="00844522" w:rsidRDefault="00844522" w:rsidP="00844522">
      <w:pPr>
        <w:pStyle w:val="CDIfootnotes"/>
      </w:pPr>
      <w:r>
        <w:t>*</w:t>
      </w:r>
      <w:r>
        <w:tab/>
      </w:r>
      <w:r w:rsidRPr="00844522">
        <w:t>Excludes notifications where age (n=10), sex (n=11) or both (n=1) were not reported.</w:t>
      </w:r>
    </w:p>
    <w:p w14:paraId="1D80592B" w14:textId="77777777" w:rsidR="00BE61A2" w:rsidRPr="004E056D" w:rsidRDefault="00BE61A2" w:rsidP="004E056D">
      <w:pPr>
        <w:pStyle w:val="Heading2"/>
      </w:pPr>
      <w:bookmarkStart w:id="42" w:name="_Toc1747196"/>
      <w:r w:rsidRPr="004E056D">
        <w:rPr>
          <w:bCs w:val="0"/>
          <w:sz w:val="27"/>
          <w:szCs w:val="27"/>
        </w:rPr>
        <w:t>Cryptosporidiosis</w:t>
      </w:r>
      <w:bookmarkEnd w:id="42"/>
    </w:p>
    <w:p w14:paraId="5FE994C5" w14:textId="77777777" w:rsidR="00BE61A2" w:rsidRPr="00AE2F1B" w:rsidRDefault="00BE61A2" w:rsidP="00AE2F1B">
      <w:r w:rsidRPr="00AE2F1B">
        <w:t>There were 4,064 cases of cryptosporidiosis notified in 2015.</w:t>
      </w:r>
    </w:p>
    <w:p w14:paraId="1EFD34B7" w14:textId="77777777" w:rsidR="00BE61A2" w:rsidRPr="00AE2F1B" w:rsidRDefault="00BE61A2" w:rsidP="00AE2F1B">
      <w:pPr>
        <w:rPr>
          <w:rFonts w:eastAsia="Times New Roman"/>
        </w:rPr>
      </w:pPr>
      <w:r w:rsidRPr="00AE2F1B">
        <w:rPr>
          <w:rFonts w:eastAsia="Times New Roman"/>
        </w:rPr>
        <w:t>Cryptosporidiosis is a parasitic infection characterised by abdominal cramping and usually a large volume of watery diarrhoea. Ingesting contaminated water, typically from a recreational source such as a community swimming pool or lake, is a major risk factor for infection.</w:t>
      </w:r>
      <w:r w:rsidRPr="00AE2F1B">
        <w:rPr>
          <w:rFonts w:eastAsia="Times New Roman"/>
          <w:vertAlign w:val="superscript"/>
        </w:rPr>
        <w:t>21</w:t>
      </w:r>
      <w:r w:rsidRPr="00AE2F1B">
        <w:rPr>
          <w:rFonts w:eastAsia="Times New Roman"/>
        </w:rPr>
        <w:t xml:space="preserve"> </w:t>
      </w:r>
    </w:p>
    <w:p w14:paraId="72DC2093" w14:textId="77777777" w:rsidR="00BE61A2" w:rsidRPr="00AE2F1B" w:rsidRDefault="00BE61A2" w:rsidP="00924A50">
      <w:pPr>
        <w:pStyle w:val="Heading3"/>
        <w:rPr>
          <w:rFonts w:eastAsiaTheme="minorEastAsia"/>
        </w:rPr>
      </w:pPr>
      <w:bookmarkStart w:id="43" w:name="_Toc1747197"/>
      <w:r w:rsidRPr="00924A50">
        <w:rPr>
          <w:bCs w:val="0"/>
        </w:rPr>
        <w:t>Epidemiological situation in 2015</w:t>
      </w:r>
      <w:bookmarkEnd w:id="43"/>
    </w:p>
    <w:p w14:paraId="01DAAE47" w14:textId="77777777" w:rsidR="00BE61A2" w:rsidRDefault="00BE61A2" w:rsidP="00AE2F1B">
      <w:r w:rsidRPr="00AE2F1B">
        <w:t>There were 4,064 notified cases of cryptosporidiosis in 2015 (17.1 per 100,000). This represents a 69% increase on the number of notifications received for 2014 (n=2,408) and a 60% increase on the 5-year historica</w:t>
      </w:r>
      <w:r w:rsidR="00D90008">
        <w:t>l mean (n=2,539.2) (Figure 16).</w:t>
      </w:r>
    </w:p>
    <w:p w14:paraId="3D5C8B79" w14:textId="77777777" w:rsidR="008841DD" w:rsidRDefault="008841DD">
      <w:pPr>
        <w:rPr>
          <w:b/>
        </w:rPr>
      </w:pPr>
      <w:r>
        <w:br w:type="page"/>
      </w:r>
    </w:p>
    <w:p w14:paraId="225F64D9" w14:textId="77777777" w:rsidR="00D90008" w:rsidRDefault="00D90008" w:rsidP="00D90008">
      <w:pPr>
        <w:pStyle w:val="CDIFigures"/>
      </w:pPr>
      <w:r w:rsidRPr="00D90008">
        <w:lastRenderedPageBreak/>
        <w:t>Figure 16: Notifications and notification rate for cryptosporidiosis, Australia, 2010 to 2015, by year</w:t>
      </w:r>
    </w:p>
    <w:p w14:paraId="40AC92AD" w14:textId="77777777" w:rsidR="00434C36" w:rsidRPr="00D90008" w:rsidRDefault="002A1838" w:rsidP="00D90008">
      <w:pPr>
        <w:pStyle w:val="CDIFigures"/>
      </w:pPr>
      <w:r>
        <w:rPr>
          <w:noProof/>
        </w:rPr>
        <w:drawing>
          <wp:inline distT="0" distB="0" distL="0" distR="0" wp14:anchorId="344F725E" wp14:editId="12C7D57F">
            <wp:extent cx="6629400" cy="4004486"/>
            <wp:effectExtent l="0" t="0" r="0" b="0"/>
            <wp:docPr id="2" name="Picture 2" descr="This figure shows the number of notifications and the notification rate for cryptosporidiosis in Australia between 2010 and 2015. National cryptosporidiosis notifications in 2015 increased by 60% compared to the 5 year historical mean (2,5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Gastros chapter figure _14 to 31_Page_03.jpg"/>
                    <pic:cNvPicPr/>
                  </pic:nvPicPr>
                  <pic:blipFill rotWithShape="1">
                    <a:blip r:embed="rId31" cstate="print">
                      <a:extLst>
                        <a:ext uri="{28A0092B-C50C-407E-A947-70E740481C1C}">
                          <a14:useLocalDpi xmlns:a14="http://schemas.microsoft.com/office/drawing/2010/main"/>
                        </a:ext>
                      </a:extLst>
                    </a:blip>
                    <a:srcRect/>
                    <a:stretch/>
                  </pic:blipFill>
                  <pic:spPr bwMode="auto">
                    <a:xfrm>
                      <a:off x="0" y="0"/>
                      <a:ext cx="6641206" cy="4011617"/>
                    </a:xfrm>
                    <a:prstGeom prst="rect">
                      <a:avLst/>
                    </a:prstGeom>
                    <a:ln>
                      <a:noFill/>
                    </a:ln>
                    <a:extLst>
                      <a:ext uri="{53640926-AAD7-44D8-BBD7-CCE9431645EC}">
                        <a14:shadowObscured xmlns:a14="http://schemas.microsoft.com/office/drawing/2010/main"/>
                      </a:ext>
                    </a:extLst>
                  </pic:spPr>
                </pic:pic>
              </a:graphicData>
            </a:graphic>
          </wp:inline>
        </w:drawing>
      </w:r>
    </w:p>
    <w:p w14:paraId="3783D961" w14:textId="77777777" w:rsidR="00BE61A2" w:rsidRPr="00AE2F1B" w:rsidRDefault="00BE61A2" w:rsidP="00924A50">
      <w:pPr>
        <w:pStyle w:val="Heading3"/>
      </w:pPr>
      <w:bookmarkStart w:id="44" w:name="_Toc1747198"/>
      <w:r w:rsidRPr="00924A50">
        <w:rPr>
          <w:bCs w:val="0"/>
        </w:rPr>
        <w:t>Geographical distribution</w:t>
      </w:r>
      <w:bookmarkEnd w:id="44"/>
    </w:p>
    <w:p w14:paraId="5837329B" w14:textId="77777777" w:rsidR="00BE61A2" w:rsidRPr="00AE2F1B" w:rsidRDefault="00BE61A2" w:rsidP="00AE2F1B">
      <w:r w:rsidRPr="00AE2F1B">
        <w:t>Notification rates for cryptosporidiosis ranged from 3.7 per 100,000 in Tasmania to 49.9 per 100,000 in the Northern Territory. The Northern Territory rate was 3 times higher than the national rate (17.1 per 100,000) (Table 5).</w:t>
      </w:r>
    </w:p>
    <w:p w14:paraId="589D5261" w14:textId="77777777" w:rsidR="00BE61A2" w:rsidRPr="00AE2F1B" w:rsidRDefault="00BE61A2" w:rsidP="00924A50">
      <w:pPr>
        <w:pStyle w:val="Heading3"/>
      </w:pPr>
      <w:bookmarkStart w:id="45" w:name="_Toc1747199"/>
      <w:r w:rsidRPr="00924A50">
        <w:rPr>
          <w:bCs w:val="0"/>
        </w:rPr>
        <w:t>Age and sex distribution</w:t>
      </w:r>
      <w:bookmarkEnd w:id="45"/>
    </w:p>
    <w:p w14:paraId="266E268F" w14:textId="77777777" w:rsidR="00BE61A2" w:rsidRDefault="00BE61A2" w:rsidP="00AE2F1B">
      <w:r w:rsidRPr="00AE2F1B">
        <w:t>In 2015, notified cases for cryptosporidiosis were most frequent among the 0–4 years age group (33%; 1,359/4,064). The median age of notified cases was 13 years (range: 0 to 89 years), and just over half (2,115/4</w:t>
      </w:r>
      <w:r w:rsidR="00C75FE7">
        <w:t>,064) were females</w:t>
      </w:r>
      <w:r w:rsidR="00E3740E">
        <w:t> </w:t>
      </w:r>
      <w:r w:rsidR="00C75FE7">
        <w:t>(Figure 17).</w:t>
      </w:r>
    </w:p>
    <w:p w14:paraId="6ACA1530" w14:textId="77777777" w:rsidR="00C75FE7" w:rsidRPr="00C75FE7" w:rsidRDefault="00C75FE7" w:rsidP="00C75FE7">
      <w:pPr>
        <w:pStyle w:val="CDIFigures"/>
      </w:pPr>
      <w:r w:rsidRPr="00C75FE7">
        <w:lastRenderedPageBreak/>
        <w:t>Figure 17: Notifications of cryptosporidiosis, Australia, 2015, by age group and sex</w:t>
      </w:r>
      <w:r w:rsidR="0021477A">
        <w:pict w14:anchorId="66E34947">
          <v:shape id="_x0000_i1039" type="#_x0000_t75" alt="This figure shows the number of notifications of cryptosporidiosis in Australia in 2015, by age group and sex. Notifications were highest among the 0–4 year age group." style="width:524.4pt;height:351.6pt">
            <v:imagedata r:id="rId32" o:title="3-Gastros chapter figure _14 to 31_Page_04"/>
          </v:shape>
        </w:pict>
      </w:r>
    </w:p>
    <w:p w14:paraId="659BB916" w14:textId="77777777" w:rsidR="00BE61A2" w:rsidRPr="004E056D" w:rsidRDefault="00BE61A2" w:rsidP="004E056D">
      <w:pPr>
        <w:pStyle w:val="Heading2"/>
      </w:pPr>
      <w:bookmarkStart w:id="46" w:name="_Toc1747200"/>
      <w:r w:rsidRPr="004E056D">
        <w:rPr>
          <w:bCs w:val="0"/>
          <w:sz w:val="27"/>
          <w:szCs w:val="27"/>
        </w:rPr>
        <w:t>Haemolytic uraemic syndrome</w:t>
      </w:r>
      <w:bookmarkEnd w:id="46"/>
    </w:p>
    <w:p w14:paraId="22187B81" w14:textId="77777777" w:rsidR="00BE61A2" w:rsidRPr="009F4FD4" w:rsidRDefault="00BE61A2" w:rsidP="009F4FD4">
      <w:pPr>
        <w:pStyle w:val="ListParagraph"/>
        <w:numPr>
          <w:ilvl w:val="0"/>
          <w:numId w:val="31"/>
        </w:numPr>
        <w:rPr>
          <w:rFonts w:eastAsia="Times New Roman"/>
        </w:rPr>
      </w:pPr>
      <w:r w:rsidRPr="009F4FD4">
        <w:rPr>
          <w:rFonts w:eastAsia="Times New Roman"/>
        </w:rPr>
        <w:t xml:space="preserve">There were 18 cases of haemolytic uraemic syndrome notified in 2015. </w:t>
      </w:r>
    </w:p>
    <w:p w14:paraId="2046B6AB" w14:textId="77777777" w:rsidR="009F4FD4" w:rsidRPr="009F4FD4" w:rsidRDefault="00BE61A2" w:rsidP="009F4FD4">
      <w:pPr>
        <w:pStyle w:val="ListParagraph"/>
        <w:numPr>
          <w:ilvl w:val="0"/>
          <w:numId w:val="31"/>
        </w:numPr>
        <w:rPr>
          <w:rFonts w:eastAsia="Times New Roman"/>
        </w:rPr>
      </w:pPr>
      <w:r w:rsidRPr="009F4FD4">
        <w:rPr>
          <w:rFonts w:eastAsia="Times New Roman"/>
        </w:rPr>
        <w:t>Cases were more frequently notified among t</w:t>
      </w:r>
      <w:r w:rsidR="009F4FD4" w:rsidRPr="009F4FD4">
        <w:rPr>
          <w:rFonts w:eastAsia="Times New Roman"/>
        </w:rPr>
        <w:t>he 0–4 years age group in 2015.</w:t>
      </w:r>
    </w:p>
    <w:p w14:paraId="53DA7771" w14:textId="77777777" w:rsidR="00BE61A2" w:rsidRPr="00AE2F1B" w:rsidRDefault="00BE61A2" w:rsidP="00AE2F1B">
      <w:pPr>
        <w:rPr>
          <w:rFonts w:eastAsia="Times New Roman"/>
        </w:rPr>
      </w:pPr>
      <w:r w:rsidRPr="00AE2F1B">
        <w:rPr>
          <w:rFonts w:eastAsia="Times New Roman"/>
        </w:rPr>
        <w:t>Haemolytic uraemic syndrome (HUS) is a rare and serious illness that is characterised by acute renal impairment, with 50% of patients requiring dialysis and approximately 5% dying.</w:t>
      </w:r>
      <w:r w:rsidRPr="00AE2F1B">
        <w:rPr>
          <w:rFonts w:eastAsia="Times New Roman"/>
          <w:vertAlign w:val="superscript"/>
        </w:rPr>
        <w:t>21</w:t>
      </w:r>
      <w:r w:rsidRPr="00AE2F1B">
        <w:rPr>
          <w:rFonts w:eastAsia="Times New Roman"/>
        </w:rPr>
        <w:t xml:space="preserve"> Not all diagnoses of HUS are related to enteric pathogens; however, cases in Australia are commonly associated with Shiga toxin-producing </w:t>
      </w:r>
      <w:r w:rsidRPr="00DF12AB">
        <w:rPr>
          <w:rStyle w:val="Emphasis"/>
          <w:rFonts w:eastAsia="Times New Roman"/>
          <w:b w:val="0"/>
        </w:rPr>
        <w:t>Escherichia coli</w:t>
      </w:r>
      <w:r w:rsidRPr="00AE2F1B">
        <w:rPr>
          <w:rFonts w:eastAsia="Times New Roman"/>
        </w:rPr>
        <w:t xml:space="preserve"> (STEC)</w:t>
      </w:r>
      <w:r w:rsidR="003C757B">
        <w:rPr>
          <w:rFonts w:eastAsia="Times New Roman"/>
        </w:rPr>
        <w:t> </w:t>
      </w:r>
      <w:r w:rsidRPr="00AE2F1B">
        <w:rPr>
          <w:rFonts w:eastAsia="Times New Roman"/>
        </w:rPr>
        <w:t>infection.</w:t>
      </w:r>
      <w:r w:rsidRPr="00AE2F1B">
        <w:rPr>
          <w:rFonts w:eastAsia="Times New Roman"/>
          <w:vertAlign w:val="superscript"/>
        </w:rPr>
        <w:t>34</w:t>
      </w:r>
      <w:r w:rsidRPr="00AE2F1B">
        <w:rPr>
          <w:rFonts w:eastAsia="Times New Roman"/>
        </w:rPr>
        <w:t xml:space="preserve"> </w:t>
      </w:r>
    </w:p>
    <w:p w14:paraId="7F25022A" w14:textId="77777777" w:rsidR="00BE61A2" w:rsidRPr="00AE2F1B" w:rsidRDefault="00BE61A2" w:rsidP="00924A50">
      <w:pPr>
        <w:pStyle w:val="Heading3"/>
        <w:rPr>
          <w:rFonts w:eastAsiaTheme="minorEastAsia"/>
        </w:rPr>
      </w:pPr>
      <w:bookmarkStart w:id="47" w:name="_Toc1747201"/>
      <w:r w:rsidRPr="00924A50">
        <w:rPr>
          <w:bCs w:val="0"/>
        </w:rPr>
        <w:t>Epidemiological situation in 2015</w:t>
      </w:r>
      <w:bookmarkEnd w:id="47"/>
    </w:p>
    <w:p w14:paraId="49D0F679" w14:textId="77777777" w:rsidR="00C31805" w:rsidRPr="00D6335C" w:rsidRDefault="00BE61A2" w:rsidP="00D6335C">
      <w:pPr>
        <w:pStyle w:val="NoSpacing"/>
        <w:rPr>
          <w:rStyle w:val="NoSpacingChar"/>
        </w:rPr>
        <w:sectPr w:rsidR="00C31805" w:rsidRPr="00D6335C" w:rsidSect="00D21CF0">
          <w:pgSz w:w="11906" w:h="16838"/>
          <w:pgMar w:top="720" w:right="720" w:bottom="1134" w:left="720" w:header="709" w:footer="284" w:gutter="0"/>
          <w:cols w:space="708"/>
          <w:titlePg/>
          <w:docGrid w:linePitch="360"/>
        </w:sectPr>
      </w:pPr>
      <w:r w:rsidRPr="00AE2F1B">
        <w:t>There were 18 notified cases of HUS in 2015, comparable to the 21 cases reported in 2014 and the 5-year historical mean (15.6 cases per year). Overall, 44% (8/18) of notified HUS cases also had a notification for STEC and 63% (7/8) had a confirmed serogroup (2 cases each were O157:H- and O111, and one case each were O26, O28:H8 and OR</w:t>
      </w:r>
    </w:p>
    <w:p w14:paraId="708C6B7A" w14:textId="77777777" w:rsidR="00BE61A2" w:rsidRPr="00AE2F1B" w:rsidRDefault="00C31805" w:rsidP="00D6335C">
      <w:pPr>
        <w:pStyle w:val="NoSpacing"/>
      </w:pPr>
      <w:r>
        <w:rPr>
          <w:rStyle w:val="FootnoteReference"/>
        </w:rPr>
        <w:footnoteReference w:id="1"/>
      </w:r>
      <w:r w:rsidR="00BE61A2" w:rsidRPr="00AE2F1B">
        <w:t>:H- respectively).</w:t>
      </w:r>
    </w:p>
    <w:p w14:paraId="56041A42" w14:textId="77777777" w:rsidR="00C33E98" w:rsidRDefault="00C33E98">
      <w:pPr>
        <w:rPr>
          <w:rFonts w:asciiTheme="majorHAnsi" w:eastAsiaTheme="majorEastAsia" w:hAnsiTheme="majorHAnsi" w:cstheme="majorBidi"/>
          <w:b/>
        </w:rPr>
      </w:pPr>
      <w:bookmarkStart w:id="48" w:name="_Toc1747202"/>
      <w:r>
        <w:rPr>
          <w:bCs/>
        </w:rPr>
        <w:br w:type="page"/>
      </w:r>
    </w:p>
    <w:p w14:paraId="76704864" w14:textId="77777777" w:rsidR="00BE61A2" w:rsidRPr="00AE2F1B" w:rsidRDefault="00BE61A2" w:rsidP="00924A50">
      <w:pPr>
        <w:pStyle w:val="Heading3"/>
      </w:pPr>
      <w:r w:rsidRPr="00924A50">
        <w:rPr>
          <w:bCs w:val="0"/>
        </w:rPr>
        <w:lastRenderedPageBreak/>
        <w:t>Geographical distribution</w:t>
      </w:r>
      <w:bookmarkEnd w:id="48"/>
    </w:p>
    <w:p w14:paraId="4C960C2E" w14:textId="77777777" w:rsidR="00BE61A2" w:rsidRPr="00AE2F1B" w:rsidRDefault="00BE61A2" w:rsidP="00AE2F1B">
      <w:r w:rsidRPr="00AE2F1B">
        <w:t xml:space="preserve">Nearly two-thirds (61%, 11/18) of notifications were residents of New South Wales (n=11), although there was a mix of urban and rural and no cases were associated by person, </w:t>
      </w:r>
      <w:proofErr w:type="gramStart"/>
      <w:r w:rsidRPr="00AE2F1B">
        <w:t>place</w:t>
      </w:r>
      <w:proofErr w:type="gramEnd"/>
      <w:r w:rsidRPr="00AE2F1B">
        <w:t xml:space="preserve"> or time.</w:t>
      </w:r>
    </w:p>
    <w:p w14:paraId="335E1143" w14:textId="77777777" w:rsidR="00BE61A2" w:rsidRPr="00AE2F1B" w:rsidRDefault="00BE61A2" w:rsidP="00924A50">
      <w:pPr>
        <w:pStyle w:val="Heading3"/>
      </w:pPr>
      <w:bookmarkStart w:id="49" w:name="_Toc1747203"/>
      <w:r w:rsidRPr="00924A50">
        <w:rPr>
          <w:bCs w:val="0"/>
        </w:rPr>
        <w:t>Age and sex distribution</w:t>
      </w:r>
      <w:bookmarkEnd w:id="49"/>
    </w:p>
    <w:p w14:paraId="3AC8F4EE" w14:textId="77777777" w:rsidR="00BE61A2" w:rsidRDefault="00BE61A2" w:rsidP="00AE2F1B">
      <w:r w:rsidRPr="00AE2F1B">
        <w:t>In 2015, HUS was most frequently notified among the 0–4 years age group (44%, 8/18) (Figure 18). Over half of the notifie</w:t>
      </w:r>
      <w:r w:rsidR="00895531">
        <w:t>d cases were in females (n=10).</w:t>
      </w:r>
    </w:p>
    <w:p w14:paraId="4A693423" w14:textId="77777777" w:rsidR="002500B7" w:rsidRDefault="00895531" w:rsidP="00173E40">
      <w:pPr>
        <w:pStyle w:val="CDIFigures"/>
      </w:pPr>
      <w:r w:rsidRPr="00895531">
        <w:t>Figure 18: Notifications of HUS, Australia, 2015, by age group and sex</w:t>
      </w:r>
    </w:p>
    <w:p w14:paraId="41020F36" w14:textId="77777777" w:rsidR="009F7C50" w:rsidRPr="00895531" w:rsidRDefault="0021477A" w:rsidP="00173E40">
      <w:pPr>
        <w:pStyle w:val="CDIFigures"/>
      </w:pPr>
      <w:r>
        <w:pict w14:anchorId="387F0D6C">
          <v:shape id="_x0000_i1040" type="#_x0000_t75" alt="This figure shows the number of notifications of haemolytic uraemic syndrome in Australia in 2015, by age group and sex. Notifications were highest among the 0–4 year age group." style="width:524.4pt;height:339pt">
            <v:imagedata r:id="rId33" o:title="3-Gastros chapter figure _14 to 31_Page_05"/>
          </v:shape>
        </w:pict>
      </w:r>
    </w:p>
    <w:p w14:paraId="070E650F" w14:textId="77777777" w:rsidR="00BE61A2" w:rsidRPr="004E056D" w:rsidRDefault="00BE61A2" w:rsidP="004E056D">
      <w:pPr>
        <w:pStyle w:val="Heading2"/>
      </w:pPr>
      <w:bookmarkStart w:id="50" w:name="_Toc1747204"/>
      <w:r w:rsidRPr="004E056D">
        <w:rPr>
          <w:bCs w:val="0"/>
          <w:sz w:val="27"/>
          <w:szCs w:val="27"/>
        </w:rPr>
        <w:t>Hepatitis A</w:t>
      </w:r>
      <w:bookmarkEnd w:id="50"/>
    </w:p>
    <w:p w14:paraId="4E47AD24" w14:textId="77777777" w:rsidR="00BE61A2" w:rsidRPr="00A40E43" w:rsidRDefault="00BE61A2" w:rsidP="00A40E43">
      <w:pPr>
        <w:pStyle w:val="ListParagraph"/>
        <w:numPr>
          <w:ilvl w:val="0"/>
          <w:numId w:val="31"/>
        </w:numPr>
        <w:rPr>
          <w:rFonts w:eastAsia="Times New Roman"/>
        </w:rPr>
      </w:pPr>
      <w:r w:rsidRPr="00A40E43">
        <w:rPr>
          <w:rFonts w:eastAsia="Times New Roman"/>
        </w:rPr>
        <w:t xml:space="preserve">There were 178 cases of hepatitis A infection notified in 2015. </w:t>
      </w:r>
    </w:p>
    <w:p w14:paraId="2ECA1CDD" w14:textId="77777777" w:rsidR="00BE61A2" w:rsidRPr="00A40E43" w:rsidRDefault="00BE61A2" w:rsidP="00A40E43">
      <w:pPr>
        <w:pStyle w:val="ListParagraph"/>
        <w:numPr>
          <w:ilvl w:val="0"/>
          <w:numId w:val="31"/>
        </w:numPr>
        <w:rPr>
          <w:rFonts w:eastAsia="Times New Roman"/>
        </w:rPr>
      </w:pPr>
      <w:r w:rsidRPr="00A40E43">
        <w:rPr>
          <w:rFonts w:eastAsia="Times New Roman"/>
        </w:rPr>
        <w:t xml:space="preserve">Overseas travel was the primary risk factor for notified cases. </w:t>
      </w:r>
    </w:p>
    <w:p w14:paraId="1AC21B83" w14:textId="77777777" w:rsidR="00BE61A2" w:rsidRPr="00AE2F1B" w:rsidRDefault="00BE61A2" w:rsidP="00AE2F1B">
      <w:r w:rsidRPr="00AE2F1B">
        <w:t xml:space="preserve">Hepatitis A is an acute viral infection primarily affecting the liver. It is characterised by fever, malaise, anorexia, </w:t>
      </w:r>
      <w:proofErr w:type="gramStart"/>
      <w:r w:rsidRPr="00AE2F1B">
        <w:t>nausea</w:t>
      </w:r>
      <w:proofErr w:type="gramEnd"/>
      <w:r w:rsidRPr="00AE2F1B">
        <w:t xml:space="preserve"> and abdominal discomfort followed by jaundice. The disease is usually asymptomatic in young children and varies from a mild illness to a severely disabling disease that could last for several months in older children and adults. Infection is usually spread from person to person via the faecal–oral route but can also be foodborne or waterborne.</w:t>
      </w:r>
      <w:r w:rsidRPr="00AE2F1B">
        <w:rPr>
          <w:vertAlign w:val="superscript"/>
        </w:rPr>
        <w:t>21</w:t>
      </w:r>
      <w:r w:rsidRPr="00AE2F1B">
        <w:t xml:space="preserve"> </w:t>
      </w:r>
    </w:p>
    <w:p w14:paraId="23A6202C" w14:textId="77777777" w:rsidR="00BE61A2" w:rsidRPr="00AE2F1B" w:rsidRDefault="00BE61A2" w:rsidP="00924A50">
      <w:pPr>
        <w:pStyle w:val="Heading3"/>
      </w:pPr>
      <w:bookmarkStart w:id="51" w:name="_Toc1747205"/>
      <w:r w:rsidRPr="00924A50">
        <w:rPr>
          <w:bCs w:val="0"/>
        </w:rPr>
        <w:t>Epidemiological situation in 2015</w:t>
      </w:r>
      <w:bookmarkEnd w:id="51"/>
    </w:p>
    <w:p w14:paraId="372CF893" w14:textId="77777777" w:rsidR="00BE61A2" w:rsidRDefault="00BE61A2" w:rsidP="00AE2F1B">
      <w:r w:rsidRPr="00AE2F1B">
        <w:t>There were 178 notified cases of hepatitis A infection in 2015 (0.7 per 100,000). This is a 30% decrease on the number of notified cases in 2014 (n=231), and a 12% decrease on the 5-year historical mean (n=199.8) (Figure 19). The historical mean partially reflects the impact of a 2009–2010 outbreak of hepatitis A infection associated with the consumption of imported semi-dried tomatoes.</w:t>
      </w:r>
      <w:r w:rsidRPr="00AE2F1B">
        <w:rPr>
          <w:vertAlign w:val="superscript"/>
        </w:rPr>
        <w:t>35</w:t>
      </w:r>
    </w:p>
    <w:p w14:paraId="5348E8E8" w14:textId="77777777" w:rsidR="00641AF2" w:rsidRDefault="00641AF2" w:rsidP="00641AF2">
      <w:pPr>
        <w:pStyle w:val="CDIFigures"/>
      </w:pPr>
      <w:r>
        <w:lastRenderedPageBreak/>
        <w:t>Figure 19: Notifications and notification rate for hepatitis A infection, Australia, 2010 to 2015, by year and place of</w:t>
      </w:r>
      <w:r w:rsidR="00950BA4">
        <w:t> </w:t>
      </w:r>
      <w:r>
        <w:t>acquisition</w:t>
      </w:r>
    </w:p>
    <w:p w14:paraId="2F1BED64" w14:textId="77777777" w:rsidR="00950BA4" w:rsidRPr="00AE2F1B" w:rsidRDefault="0021477A" w:rsidP="00641AF2">
      <w:pPr>
        <w:pStyle w:val="CDIFigures"/>
      </w:pPr>
      <w:r>
        <w:pict w14:anchorId="7D32BFE6">
          <v:shape id="_x0000_i1041" type="#_x0000_t75" alt="This figure shows the number of notifications and the notification rate for hepatitis A infection in Australia between 2010 and 2015, by year and place of acquisition. National hepatitis A infection notifications in 2015 decreased by 30% compared to the number of notifications in 2014 (231), and decreased by 12% compared to the 5-year historical mean (199.8). Most hepatitis A cases notified in 2015 were overseas acquired." style="width:524.4pt;height:307.2pt;mso-position-vertical:absolute">
            <v:imagedata r:id="rId34" o:title="3-Gastros chapter figure _14 to 31_Page_06"/>
          </v:shape>
        </w:pict>
      </w:r>
    </w:p>
    <w:p w14:paraId="5D6ED863" w14:textId="77777777" w:rsidR="00BE61A2" w:rsidRPr="00AE2F1B" w:rsidRDefault="00BE61A2" w:rsidP="00924A50">
      <w:pPr>
        <w:pStyle w:val="Heading3"/>
      </w:pPr>
      <w:bookmarkStart w:id="52" w:name="_Toc1747206"/>
      <w:r w:rsidRPr="00924A50">
        <w:rPr>
          <w:bCs w:val="0"/>
        </w:rPr>
        <w:t>Geographical distribution</w:t>
      </w:r>
      <w:bookmarkEnd w:id="52"/>
    </w:p>
    <w:p w14:paraId="00703D9D" w14:textId="77777777" w:rsidR="00BE61A2" w:rsidRPr="00AE2F1B" w:rsidRDefault="00BE61A2" w:rsidP="00AE2F1B">
      <w:r w:rsidRPr="00AE2F1B">
        <w:t xml:space="preserve">New South Wales reported the highest number of hepatitis A notifications (68/178), with a population rate of 0.9 per 100,000, followed by Queensland (33/178, 0.7 per 100,000 population), and Victoria (33/178, 0.6 per 100,000 population). </w:t>
      </w:r>
    </w:p>
    <w:p w14:paraId="6CF855DF" w14:textId="77777777" w:rsidR="00BE61A2" w:rsidRPr="00AE2F1B" w:rsidRDefault="00BE61A2" w:rsidP="00924A50">
      <w:pPr>
        <w:pStyle w:val="Heading3"/>
      </w:pPr>
      <w:bookmarkStart w:id="53" w:name="_Toc1747207"/>
      <w:r w:rsidRPr="00924A50">
        <w:rPr>
          <w:bCs w:val="0"/>
        </w:rPr>
        <w:t>Age and sex distribution</w:t>
      </w:r>
      <w:bookmarkEnd w:id="53"/>
    </w:p>
    <w:p w14:paraId="0E0341CE" w14:textId="77777777" w:rsidR="00BE61A2" w:rsidRDefault="00BE61A2" w:rsidP="00AE2F1B">
      <w:r w:rsidRPr="00AE2F1B">
        <w:t>Hepatitis A infection was most frequently notified among the 20–24 years age group (12%, 22/178) in 2015 (Figure</w:t>
      </w:r>
      <w:r w:rsidR="00C33E98">
        <w:t> </w:t>
      </w:r>
      <w:r w:rsidRPr="00AE2F1B">
        <w:t>20). The median age of notified cases was 27 years (range: 2 to 85 years), and 58% (103/178) of all cases were male.</w:t>
      </w:r>
    </w:p>
    <w:p w14:paraId="2E00292B" w14:textId="77777777" w:rsidR="006E5A9A" w:rsidRDefault="006E5A9A">
      <w:pPr>
        <w:rPr>
          <w:b/>
        </w:rPr>
      </w:pPr>
      <w:r>
        <w:br w:type="page"/>
      </w:r>
    </w:p>
    <w:p w14:paraId="57382C57" w14:textId="77777777" w:rsidR="00F33528" w:rsidRDefault="00F33528" w:rsidP="00F33528">
      <w:pPr>
        <w:pStyle w:val="CDIFigures"/>
      </w:pPr>
      <w:r w:rsidRPr="00F33528">
        <w:lastRenderedPageBreak/>
        <w:t>Figure 20: Notifications of hepatitis A infection, Australia, 2015, by age group and sex</w:t>
      </w:r>
    </w:p>
    <w:p w14:paraId="2109D7A7" w14:textId="77777777" w:rsidR="00DE176D" w:rsidRPr="00F33528" w:rsidRDefault="0021477A" w:rsidP="00F33528">
      <w:pPr>
        <w:pStyle w:val="CDIFigures"/>
      </w:pPr>
      <w:r>
        <w:pict w14:anchorId="1EF8C854">
          <v:shape id="_x0000_i1042" type="#_x0000_t75" alt="This figure shows the number of notifications of hepatitis A infection in Australia in 2015, by age group and sex. Notifications were highest among the 20–24 year age group, and higher in males than in females in most age groups." style="width:522.6pt;height:337.2pt">
            <v:imagedata r:id="rId35" o:title="3-Gastros chapter figure _14 to 31_Page_07"/>
          </v:shape>
        </w:pict>
      </w:r>
    </w:p>
    <w:p w14:paraId="11A2F78A" w14:textId="77777777" w:rsidR="00BE61A2" w:rsidRPr="0039362D" w:rsidRDefault="00BE61A2" w:rsidP="009F4FD4">
      <w:pPr>
        <w:pStyle w:val="Heading3"/>
      </w:pPr>
      <w:bookmarkStart w:id="54" w:name="_Toc1747208"/>
      <w:r w:rsidRPr="0039362D">
        <w:t>Indigenous status</w:t>
      </w:r>
      <w:bookmarkEnd w:id="54"/>
    </w:p>
    <w:p w14:paraId="33FF22C1" w14:textId="77777777" w:rsidR="00BE61A2" w:rsidRPr="00AE2F1B" w:rsidRDefault="00BE61A2" w:rsidP="00AE2F1B">
      <w:r w:rsidRPr="00AE2F1B">
        <w:t xml:space="preserve">Indigenous status was known for 97% (173/178) of notified cases of hepatitis A. Of these 173 cases, 4 were identified as being Indigenous. Immunisation programs for Indigenous children were established initially in North Queensland in 1999 for Indigenous children aged 18 months. The hepatitis A immunisation program was expanded in 2005 to include all Indigenous children aged ≤2 years in the Northern Territory, Queensland, South </w:t>
      </w:r>
      <w:proofErr w:type="gramStart"/>
      <w:r w:rsidRPr="00AE2F1B">
        <w:t>Australia</w:t>
      </w:r>
      <w:proofErr w:type="gramEnd"/>
      <w:r w:rsidRPr="00AE2F1B">
        <w:t xml:space="preserve"> and Western Australia.</w:t>
      </w:r>
      <w:r w:rsidRPr="00AE2F1B">
        <w:rPr>
          <w:vertAlign w:val="superscript"/>
        </w:rPr>
        <w:t>36</w:t>
      </w:r>
      <w:r w:rsidRPr="00AE2F1B">
        <w:t xml:space="preserve"> These programs led to a sharp decline in the number of cases of hepatitis A in Indigenous people,</w:t>
      </w:r>
      <w:r w:rsidRPr="00AE2F1B">
        <w:rPr>
          <w:vertAlign w:val="superscript"/>
        </w:rPr>
        <w:t>37</w:t>
      </w:r>
      <w:r w:rsidRPr="00AE2F1B">
        <w:t xml:space="preserve"> and numbers have remained low in this population group. </w:t>
      </w:r>
    </w:p>
    <w:p w14:paraId="5DE513BD" w14:textId="77777777" w:rsidR="00BE61A2" w:rsidRPr="0039362D" w:rsidRDefault="00BE61A2" w:rsidP="005D47E0">
      <w:pPr>
        <w:pStyle w:val="Heading3"/>
      </w:pPr>
      <w:bookmarkStart w:id="55" w:name="_Toc1747209"/>
      <w:r w:rsidRPr="0039362D">
        <w:t>Place of acquisition</w:t>
      </w:r>
      <w:bookmarkEnd w:id="55"/>
    </w:p>
    <w:p w14:paraId="38331A65" w14:textId="77777777" w:rsidR="00BE61A2" w:rsidRPr="00AE2F1B" w:rsidRDefault="00BE61A2" w:rsidP="00AE2F1B">
      <w:r w:rsidRPr="00AE2F1B">
        <w:t>Place of acquisition was known for 168 cases of hepatitis A in 2015. Of these, 67% (113/168) reported overseas travel during their period of acquisition and were considered to have been overseas acquired (Table 12). The top 5 countries of acquisition were India (n=23), Pakistan (n=11), Fiji (n=10), the Philippines (n=10) and Bangladesh (n=9).</w:t>
      </w:r>
    </w:p>
    <w:p w14:paraId="1B885B47" w14:textId="77777777" w:rsidR="00BE61A2" w:rsidRPr="00AE2F1B" w:rsidRDefault="00BE61A2" w:rsidP="00AE2F1B">
      <w:r w:rsidRPr="00AE2F1B">
        <w:t xml:space="preserve">Thirty-three per cent (55/168) of notified cases in 2015, where place of infection was known, were </w:t>
      </w:r>
      <w:r w:rsidR="00937916" w:rsidRPr="00AE2F1B">
        <w:t>locally</w:t>
      </w:r>
      <w:r w:rsidRPr="00AE2F1B">
        <w:t xml:space="preserve"> acquired. This is the second highest number of locally acquired cases in the last 5 years, with the highest recorded locally acquired cases occurring in 2010 (44%, n=113) (Table 12). Thirty-five of the 55 locally acquired cases notified in 2015 were attributed to a multi-jurisdictional outbreak of hepatitis A infection associated with the consumption of imported frozen mixed berries. A summary of this outbreak will be included in the 2015 </w:t>
      </w:r>
      <w:proofErr w:type="spellStart"/>
      <w:r w:rsidRPr="00AE2F1B">
        <w:t>OzFoodNet</w:t>
      </w:r>
      <w:proofErr w:type="spellEnd"/>
      <w:r w:rsidRPr="00AE2F1B">
        <w:t xml:space="preserve"> Annual Report. </w:t>
      </w:r>
    </w:p>
    <w:p w14:paraId="59226A50" w14:textId="77777777" w:rsidR="00400834" w:rsidRDefault="00400834">
      <w:pPr>
        <w:rPr>
          <w:b/>
        </w:rPr>
      </w:pPr>
      <w:r>
        <w:br w:type="page"/>
      </w:r>
    </w:p>
    <w:p w14:paraId="18556FC2" w14:textId="77777777" w:rsidR="00BE61A2" w:rsidRPr="00AE2F1B" w:rsidRDefault="00BE61A2" w:rsidP="009F4FD4">
      <w:pPr>
        <w:pStyle w:val="CDIFigures"/>
      </w:pPr>
      <w:r w:rsidRPr="00AE2F1B">
        <w:lastRenderedPageBreak/>
        <w:t xml:space="preserve">Table 12: Notifications of hepatitis A, Australia, 2010 to 2015, by place of acquisition </w:t>
      </w:r>
      <w:r w:rsidRPr="00AE2F1B">
        <w:rPr>
          <w:vertAlign w:val="superscript"/>
        </w:rPr>
        <w:t>*</w:t>
      </w:r>
      <w:r w:rsidRPr="00AE2F1B">
        <w:t xml:space="preserve">Excludes cases where the place of acquisition was unknown or not </w:t>
      </w:r>
      <w:proofErr w:type="gramStart"/>
      <w:r w:rsidRPr="00AE2F1B">
        <w:t>supplied</w:t>
      </w:r>
      <w:proofErr w:type="gramEnd"/>
    </w:p>
    <w:tbl>
      <w:tblPr>
        <w:tblStyle w:val="CDI-StandardTable"/>
        <w:tblW w:w="0" w:type="auto"/>
        <w:tblCellMar>
          <w:top w:w="142" w:type="dxa"/>
          <w:left w:w="142" w:type="dxa"/>
          <w:bottom w:w="142" w:type="dxa"/>
        </w:tblCellMar>
        <w:tblLook w:val="04A0" w:firstRow="1" w:lastRow="0" w:firstColumn="1" w:lastColumn="0" w:noHBand="0" w:noVBand="1"/>
        <w:tblDescription w:val="This table shows the number of notifications for hepatitis A infection in Australia between 2010 and 2015, by place of acquisition. In 2015, place of acquisition was known for 168 cases of hepatitis A. Of these, 33% percent were locally acquired. This is the second highest number of locally-acquired cases in the last five years, with the highest recorded in 2010.&#10;"/>
      </w:tblPr>
      <w:tblGrid>
        <w:gridCol w:w="615"/>
        <w:gridCol w:w="787"/>
        <w:gridCol w:w="680"/>
        <w:gridCol w:w="1641"/>
        <w:gridCol w:w="987"/>
        <w:gridCol w:w="644"/>
      </w:tblGrid>
      <w:tr w:rsidR="00BE61A2" w:rsidRPr="00374CC9" w14:paraId="4C2055FD" w14:textId="77777777" w:rsidTr="000A4FFE">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20AD2026"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Year</w:t>
            </w:r>
          </w:p>
        </w:tc>
        <w:tc>
          <w:tcPr>
            <w:tcW w:w="0" w:type="auto"/>
            <w:gridSpan w:val="2"/>
            <w:hideMark/>
          </w:tcPr>
          <w:p w14:paraId="2CB70DE6"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Locally acquired</w:t>
            </w:r>
          </w:p>
        </w:tc>
        <w:tc>
          <w:tcPr>
            <w:tcW w:w="0" w:type="auto"/>
            <w:hideMark/>
          </w:tcPr>
          <w:p w14:paraId="059CFDF6"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Overseas acquired</w:t>
            </w:r>
          </w:p>
        </w:tc>
        <w:tc>
          <w:tcPr>
            <w:tcW w:w="0" w:type="auto"/>
            <w:hideMark/>
          </w:tcPr>
          <w:p w14:paraId="72C76BD4"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Unknown</w:t>
            </w:r>
          </w:p>
        </w:tc>
        <w:tc>
          <w:tcPr>
            <w:tcW w:w="0" w:type="auto"/>
            <w:vMerge w:val="restart"/>
            <w:hideMark/>
          </w:tcPr>
          <w:p w14:paraId="67809D53" w14:textId="77777777" w:rsidR="00BE61A2" w:rsidRPr="00374CC9" w:rsidRDefault="00BE61A2">
            <w:pPr>
              <w:rPr>
                <w:rFonts w:eastAsia="Times New Roman"/>
                <w:sz w:val="18"/>
                <w:szCs w:val="18"/>
              </w:rPr>
            </w:pPr>
            <w:r w:rsidRPr="007D1C35">
              <w:rPr>
                <w:rFonts w:eastAsia="Times New Roman"/>
                <w:color w:val="FFFFFF" w:themeColor="background1"/>
                <w:sz w:val="18"/>
                <w:szCs w:val="18"/>
              </w:rPr>
              <w:t>Total</w:t>
            </w:r>
          </w:p>
        </w:tc>
      </w:tr>
      <w:tr w:rsidR="00BE61A2" w:rsidRPr="00374CC9" w14:paraId="79AC22E7" w14:textId="77777777" w:rsidTr="000A4FFE">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0F8FA6C7" w14:textId="77777777" w:rsidR="00BE61A2" w:rsidRPr="007D1C35" w:rsidRDefault="00BE61A2">
            <w:pPr>
              <w:rPr>
                <w:rFonts w:eastAsia="Times New Roman"/>
                <w:color w:val="FFFFFF" w:themeColor="background1"/>
                <w:sz w:val="18"/>
                <w:szCs w:val="18"/>
              </w:rPr>
            </w:pPr>
          </w:p>
        </w:tc>
        <w:tc>
          <w:tcPr>
            <w:tcW w:w="0" w:type="auto"/>
            <w:hideMark/>
          </w:tcPr>
          <w:p w14:paraId="14FDC7EF"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n</w:t>
            </w:r>
          </w:p>
        </w:tc>
        <w:tc>
          <w:tcPr>
            <w:tcW w:w="0" w:type="auto"/>
            <w:hideMark/>
          </w:tcPr>
          <w:p w14:paraId="66EBD2AB"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w:t>
            </w:r>
            <w:r w:rsidRPr="007D1C35">
              <w:rPr>
                <w:rFonts w:eastAsia="Times New Roman"/>
                <w:color w:val="FFFFFF" w:themeColor="background1"/>
                <w:sz w:val="18"/>
                <w:szCs w:val="18"/>
                <w:vertAlign w:val="superscript"/>
              </w:rPr>
              <w:t>*</w:t>
            </w:r>
          </w:p>
        </w:tc>
        <w:tc>
          <w:tcPr>
            <w:tcW w:w="0" w:type="auto"/>
            <w:hideMark/>
          </w:tcPr>
          <w:p w14:paraId="7FFDE8D2"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n</w:t>
            </w:r>
          </w:p>
        </w:tc>
        <w:tc>
          <w:tcPr>
            <w:tcW w:w="0" w:type="auto"/>
            <w:hideMark/>
          </w:tcPr>
          <w:p w14:paraId="4AD9C669"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n</w:t>
            </w:r>
          </w:p>
        </w:tc>
        <w:tc>
          <w:tcPr>
            <w:tcW w:w="0" w:type="auto"/>
            <w:vMerge/>
            <w:hideMark/>
          </w:tcPr>
          <w:p w14:paraId="1F9D8961" w14:textId="77777777" w:rsidR="00BE61A2" w:rsidRPr="00374CC9" w:rsidRDefault="00BE61A2">
            <w:pPr>
              <w:rPr>
                <w:rFonts w:eastAsia="Times New Roman"/>
                <w:sz w:val="18"/>
                <w:szCs w:val="18"/>
              </w:rPr>
            </w:pPr>
          </w:p>
        </w:tc>
      </w:tr>
      <w:tr w:rsidR="00BE61A2" w:rsidRPr="00374CC9" w14:paraId="409A4A42" w14:textId="77777777" w:rsidTr="000A4FFE">
        <w:tblPrEx>
          <w:tblCellMar>
            <w:right w:w="108" w:type="dxa"/>
          </w:tblCellMar>
        </w:tblPrEx>
        <w:tc>
          <w:tcPr>
            <w:tcW w:w="0" w:type="auto"/>
            <w:hideMark/>
          </w:tcPr>
          <w:p w14:paraId="5BC401D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2010</w:t>
            </w:r>
          </w:p>
        </w:tc>
        <w:tc>
          <w:tcPr>
            <w:tcW w:w="0" w:type="auto"/>
            <w:hideMark/>
          </w:tcPr>
          <w:p w14:paraId="09883E3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113</w:t>
            </w:r>
          </w:p>
        </w:tc>
        <w:tc>
          <w:tcPr>
            <w:tcW w:w="0" w:type="auto"/>
            <w:hideMark/>
          </w:tcPr>
          <w:p w14:paraId="4AC6E5D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44</w:t>
            </w:r>
          </w:p>
        </w:tc>
        <w:tc>
          <w:tcPr>
            <w:tcW w:w="0" w:type="auto"/>
            <w:hideMark/>
          </w:tcPr>
          <w:p w14:paraId="4B6D707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145</w:t>
            </w:r>
          </w:p>
        </w:tc>
        <w:tc>
          <w:tcPr>
            <w:tcW w:w="0" w:type="auto"/>
            <w:hideMark/>
          </w:tcPr>
          <w:p w14:paraId="4080072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w:t>
            </w:r>
          </w:p>
        </w:tc>
        <w:tc>
          <w:tcPr>
            <w:tcW w:w="0" w:type="auto"/>
            <w:hideMark/>
          </w:tcPr>
          <w:p w14:paraId="0AA03EE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267</w:t>
            </w:r>
          </w:p>
        </w:tc>
      </w:tr>
      <w:tr w:rsidR="00BE61A2" w:rsidRPr="00374CC9" w14:paraId="09A7358D"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A1FA91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2011</w:t>
            </w:r>
          </w:p>
        </w:tc>
        <w:tc>
          <w:tcPr>
            <w:tcW w:w="0" w:type="auto"/>
            <w:hideMark/>
          </w:tcPr>
          <w:p w14:paraId="2BA7569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41</w:t>
            </w:r>
          </w:p>
        </w:tc>
        <w:tc>
          <w:tcPr>
            <w:tcW w:w="0" w:type="auto"/>
            <w:hideMark/>
          </w:tcPr>
          <w:p w14:paraId="4DB09F9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28</w:t>
            </w:r>
          </w:p>
        </w:tc>
        <w:tc>
          <w:tcPr>
            <w:tcW w:w="0" w:type="auto"/>
            <w:hideMark/>
          </w:tcPr>
          <w:p w14:paraId="0BE63B9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103</w:t>
            </w:r>
          </w:p>
        </w:tc>
        <w:tc>
          <w:tcPr>
            <w:tcW w:w="0" w:type="auto"/>
            <w:hideMark/>
          </w:tcPr>
          <w:p w14:paraId="1A8804D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6F2F6E4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145</w:t>
            </w:r>
          </w:p>
        </w:tc>
      </w:tr>
      <w:tr w:rsidR="00BE61A2" w:rsidRPr="00374CC9" w14:paraId="20181B74" w14:textId="77777777" w:rsidTr="000A4FFE">
        <w:tblPrEx>
          <w:tblCellMar>
            <w:right w:w="108" w:type="dxa"/>
          </w:tblCellMar>
        </w:tblPrEx>
        <w:tc>
          <w:tcPr>
            <w:tcW w:w="0" w:type="auto"/>
            <w:hideMark/>
          </w:tcPr>
          <w:p w14:paraId="6EBE10E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2012</w:t>
            </w:r>
          </w:p>
        </w:tc>
        <w:tc>
          <w:tcPr>
            <w:tcW w:w="0" w:type="auto"/>
            <w:hideMark/>
          </w:tcPr>
          <w:p w14:paraId="0C9B4DF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32</w:t>
            </w:r>
          </w:p>
        </w:tc>
        <w:tc>
          <w:tcPr>
            <w:tcW w:w="0" w:type="auto"/>
            <w:hideMark/>
          </w:tcPr>
          <w:p w14:paraId="3D0B449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w:t>
            </w:r>
          </w:p>
        </w:tc>
        <w:tc>
          <w:tcPr>
            <w:tcW w:w="0" w:type="auto"/>
            <w:hideMark/>
          </w:tcPr>
          <w:p w14:paraId="745232D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128</w:t>
            </w:r>
          </w:p>
        </w:tc>
        <w:tc>
          <w:tcPr>
            <w:tcW w:w="0" w:type="auto"/>
            <w:hideMark/>
          </w:tcPr>
          <w:p w14:paraId="1076070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w:t>
            </w:r>
          </w:p>
        </w:tc>
        <w:tc>
          <w:tcPr>
            <w:tcW w:w="0" w:type="auto"/>
            <w:hideMark/>
          </w:tcPr>
          <w:p w14:paraId="1AF7663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166</w:t>
            </w:r>
          </w:p>
        </w:tc>
      </w:tr>
      <w:tr w:rsidR="00BE61A2" w:rsidRPr="00374CC9" w14:paraId="6EFDBFFF"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7E1E6B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2013</w:t>
            </w:r>
          </w:p>
        </w:tc>
        <w:tc>
          <w:tcPr>
            <w:tcW w:w="0" w:type="auto"/>
            <w:hideMark/>
          </w:tcPr>
          <w:p w14:paraId="105CCF7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46</w:t>
            </w:r>
          </w:p>
        </w:tc>
        <w:tc>
          <w:tcPr>
            <w:tcW w:w="0" w:type="auto"/>
            <w:hideMark/>
          </w:tcPr>
          <w:p w14:paraId="538F47D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26</w:t>
            </w:r>
          </w:p>
        </w:tc>
        <w:tc>
          <w:tcPr>
            <w:tcW w:w="0" w:type="auto"/>
            <w:hideMark/>
          </w:tcPr>
          <w:p w14:paraId="3AC4E85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134</w:t>
            </w:r>
          </w:p>
        </w:tc>
        <w:tc>
          <w:tcPr>
            <w:tcW w:w="0" w:type="auto"/>
            <w:hideMark/>
          </w:tcPr>
          <w:p w14:paraId="2F13140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w:t>
            </w:r>
          </w:p>
        </w:tc>
        <w:tc>
          <w:tcPr>
            <w:tcW w:w="0" w:type="auto"/>
            <w:hideMark/>
          </w:tcPr>
          <w:p w14:paraId="09F3F4A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190</w:t>
            </w:r>
          </w:p>
        </w:tc>
      </w:tr>
      <w:tr w:rsidR="00BE61A2" w:rsidRPr="00374CC9" w14:paraId="123E7F18" w14:textId="77777777" w:rsidTr="000A4FFE">
        <w:tblPrEx>
          <w:tblCellMar>
            <w:right w:w="108" w:type="dxa"/>
          </w:tblCellMar>
        </w:tblPrEx>
        <w:tc>
          <w:tcPr>
            <w:tcW w:w="0" w:type="auto"/>
            <w:hideMark/>
          </w:tcPr>
          <w:p w14:paraId="17BB9A3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2014</w:t>
            </w:r>
          </w:p>
        </w:tc>
        <w:tc>
          <w:tcPr>
            <w:tcW w:w="0" w:type="auto"/>
            <w:hideMark/>
          </w:tcPr>
          <w:p w14:paraId="1317FE2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44</w:t>
            </w:r>
          </w:p>
        </w:tc>
        <w:tc>
          <w:tcPr>
            <w:tcW w:w="0" w:type="auto"/>
            <w:hideMark/>
          </w:tcPr>
          <w:p w14:paraId="1A7D232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19</w:t>
            </w:r>
          </w:p>
        </w:tc>
        <w:tc>
          <w:tcPr>
            <w:tcW w:w="0" w:type="auto"/>
            <w:hideMark/>
          </w:tcPr>
          <w:p w14:paraId="4DB9C5D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184</w:t>
            </w:r>
          </w:p>
        </w:tc>
        <w:tc>
          <w:tcPr>
            <w:tcW w:w="0" w:type="auto"/>
            <w:hideMark/>
          </w:tcPr>
          <w:p w14:paraId="6AE69D1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0" w:type="auto"/>
            <w:hideMark/>
          </w:tcPr>
          <w:p w14:paraId="2C24939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231</w:t>
            </w:r>
          </w:p>
        </w:tc>
      </w:tr>
      <w:tr w:rsidR="00BE61A2" w:rsidRPr="00374CC9" w14:paraId="33B0BE53"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29E658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2015</w:t>
            </w:r>
          </w:p>
        </w:tc>
        <w:tc>
          <w:tcPr>
            <w:tcW w:w="0" w:type="auto"/>
            <w:hideMark/>
          </w:tcPr>
          <w:p w14:paraId="11A9D38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55</w:t>
            </w:r>
          </w:p>
        </w:tc>
        <w:tc>
          <w:tcPr>
            <w:tcW w:w="0" w:type="auto"/>
            <w:hideMark/>
          </w:tcPr>
          <w:p w14:paraId="3B24693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33</w:t>
            </w:r>
          </w:p>
        </w:tc>
        <w:tc>
          <w:tcPr>
            <w:tcW w:w="0" w:type="auto"/>
            <w:hideMark/>
          </w:tcPr>
          <w:p w14:paraId="7EE6246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113</w:t>
            </w:r>
          </w:p>
        </w:tc>
        <w:tc>
          <w:tcPr>
            <w:tcW w:w="0" w:type="auto"/>
            <w:hideMark/>
          </w:tcPr>
          <w:p w14:paraId="5E10263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w:t>
            </w:r>
          </w:p>
        </w:tc>
        <w:tc>
          <w:tcPr>
            <w:tcW w:w="0" w:type="auto"/>
            <w:hideMark/>
          </w:tcPr>
          <w:p w14:paraId="2C96E3D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178</w:t>
            </w:r>
          </w:p>
        </w:tc>
      </w:tr>
    </w:tbl>
    <w:p w14:paraId="1E82479A" w14:textId="77777777" w:rsidR="00BE61A2" w:rsidRPr="00AE2F1B" w:rsidRDefault="00BE61A2" w:rsidP="00AE2F1B">
      <w:pPr>
        <w:rPr>
          <w:rFonts w:eastAsia="Times New Roman"/>
        </w:rPr>
      </w:pPr>
    </w:p>
    <w:tbl>
      <w:tblPr>
        <w:tblStyle w:val="CDI-StandardTable"/>
        <w:tblW w:w="0" w:type="auto"/>
        <w:tblCellMar>
          <w:top w:w="142" w:type="dxa"/>
          <w:left w:w="142" w:type="dxa"/>
          <w:bottom w:w="142" w:type="dxa"/>
        </w:tblCellMar>
        <w:tblLook w:val="04A0" w:firstRow="1" w:lastRow="0" w:firstColumn="1" w:lastColumn="0" w:noHBand="0" w:noVBand="1"/>
        <w:tblDescription w:val="This table shows the number of notifications for hepatitis A infection in Australia between 2010 and 2015, by place of acquisition. In 2015, place of acquisition was known for 168 cases of hepatitis A. Of these, 33% percent were locally acquired. This is the second highest number of locally-acquired cases in the last five years, with the highest recorded in 2010.&#10;"/>
      </w:tblPr>
      <w:tblGrid>
        <w:gridCol w:w="615"/>
        <w:gridCol w:w="787"/>
        <w:gridCol w:w="680"/>
        <w:gridCol w:w="899"/>
        <w:gridCol w:w="742"/>
        <w:gridCol w:w="495"/>
        <w:gridCol w:w="492"/>
        <w:gridCol w:w="644"/>
      </w:tblGrid>
      <w:tr w:rsidR="00BE61A2" w:rsidRPr="00374CC9" w14:paraId="256D26C1" w14:textId="77777777" w:rsidTr="000A4FFE">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0701A36F"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Year</w:t>
            </w:r>
          </w:p>
        </w:tc>
        <w:tc>
          <w:tcPr>
            <w:tcW w:w="0" w:type="auto"/>
            <w:gridSpan w:val="2"/>
            <w:hideMark/>
          </w:tcPr>
          <w:p w14:paraId="64E78D8C"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Locally acquired</w:t>
            </w:r>
          </w:p>
        </w:tc>
        <w:tc>
          <w:tcPr>
            <w:tcW w:w="0" w:type="auto"/>
            <w:gridSpan w:val="2"/>
            <w:hideMark/>
          </w:tcPr>
          <w:p w14:paraId="222E24DA"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Overseas acquired</w:t>
            </w:r>
          </w:p>
        </w:tc>
        <w:tc>
          <w:tcPr>
            <w:tcW w:w="0" w:type="auto"/>
            <w:gridSpan w:val="2"/>
            <w:hideMark/>
          </w:tcPr>
          <w:p w14:paraId="5F4895BC"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Unknown</w:t>
            </w:r>
          </w:p>
        </w:tc>
        <w:tc>
          <w:tcPr>
            <w:tcW w:w="0" w:type="auto"/>
            <w:vMerge w:val="restart"/>
            <w:hideMark/>
          </w:tcPr>
          <w:p w14:paraId="7EA545A1"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Total</w:t>
            </w:r>
          </w:p>
        </w:tc>
      </w:tr>
      <w:tr w:rsidR="00BE61A2" w:rsidRPr="00374CC9" w14:paraId="0E529B9F" w14:textId="77777777" w:rsidTr="000A4FFE">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677477ED" w14:textId="77777777" w:rsidR="00BE61A2" w:rsidRPr="007D1C35" w:rsidRDefault="00BE61A2">
            <w:pPr>
              <w:rPr>
                <w:rFonts w:eastAsia="Times New Roman"/>
                <w:color w:val="FFFFFF" w:themeColor="background1"/>
                <w:sz w:val="18"/>
                <w:szCs w:val="18"/>
              </w:rPr>
            </w:pPr>
          </w:p>
        </w:tc>
        <w:tc>
          <w:tcPr>
            <w:tcW w:w="0" w:type="auto"/>
            <w:hideMark/>
          </w:tcPr>
          <w:p w14:paraId="7A29B9AD"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n</w:t>
            </w:r>
          </w:p>
        </w:tc>
        <w:tc>
          <w:tcPr>
            <w:tcW w:w="0" w:type="auto"/>
            <w:hideMark/>
          </w:tcPr>
          <w:p w14:paraId="2DC52858"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w:t>
            </w:r>
            <w:r w:rsidRPr="007D1C35">
              <w:rPr>
                <w:rFonts w:eastAsia="Times New Roman"/>
                <w:color w:val="FFFFFF" w:themeColor="background1"/>
                <w:sz w:val="18"/>
                <w:szCs w:val="18"/>
                <w:vertAlign w:val="superscript"/>
              </w:rPr>
              <w:t>*</w:t>
            </w:r>
          </w:p>
        </w:tc>
        <w:tc>
          <w:tcPr>
            <w:tcW w:w="0" w:type="auto"/>
            <w:hideMark/>
          </w:tcPr>
          <w:p w14:paraId="7FA9939A"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n</w:t>
            </w:r>
          </w:p>
        </w:tc>
        <w:tc>
          <w:tcPr>
            <w:tcW w:w="0" w:type="auto"/>
            <w:hideMark/>
          </w:tcPr>
          <w:p w14:paraId="279080C5"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w:t>
            </w:r>
          </w:p>
        </w:tc>
        <w:tc>
          <w:tcPr>
            <w:tcW w:w="0" w:type="auto"/>
            <w:hideMark/>
          </w:tcPr>
          <w:p w14:paraId="6DA8C8ED"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n</w:t>
            </w:r>
          </w:p>
        </w:tc>
        <w:tc>
          <w:tcPr>
            <w:tcW w:w="0" w:type="auto"/>
            <w:hideMark/>
          </w:tcPr>
          <w:p w14:paraId="7F31113F"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w:t>
            </w:r>
          </w:p>
        </w:tc>
        <w:tc>
          <w:tcPr>
            <w:tcW w:w="0" w:type="auto"/>
            <w:vMerge/>
            <w:hideMark/>
          </w:tcPr>
          <w:p w14:paraId="186FA67C" w14:textId="77777777" w:rsidR="00BE61A2" w:rsidRPr="00374CC9" w:rsidRDefault="00BE61A2">
            <w:pPr>
              <w:rPr>
                <w:rFonts w:eastAsia="Times New Roman"/>
                <w:sz w:val="18"/>
                <w:szCs w:val="18"/>
              </w:rPr>
            </w:pPr>
          </w:p>
        </w:tc>
      </w:tr>
      <w:tr w:rsidR="00EE19C2" w:rsidRPr="00374CC9" w14:paraId="750E54D6" w14:textId="77777777" w:rsidTr="000A4FFE">
        <w:tblPrEx>
          <w:tblCellMar>
            <w:right w:w="108" w:type="dxa"/>
          </w:tblCellMar>
        </w:tblPrEx>
        <w:tc>
          <w:tcPr>
            <w:tcW w:w="0" w:type="auto"/>
            <w:hideMark/>
          </w:tcPr>
          <w:p w14:paraId="1228DB8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2010</w:t>
            </w:r>
          </w:p>
        </w:tc>
        <w:tc>
          <w:tcPr>
            <w:tcW w:w="0" w:type="auto"/>
            <w:hideMark/>
          </w:tcPr>
          <w:p w14:paraId="447BCAA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113</w:t>
            </w:r>
          </w:p>
        </w:tc>
        <w:tc>
          <w:tcPr>
            <w:tcW w:w="0" w:type="auto"/>
            <w:hideMark/>
          </w:tcPr>
          <w:p w14:paraId="5C1A2A0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44</w:t>
            </w:r>
          </w:p>
        </w:tc>
        <w:tc>
          <w:tcPr>
            <w:tcW w:w="0" w:type="auto"/>
            <w:hideMark/>
          </w:tcPr>
          <w:p w14:paraId="72CA512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145</w:t>
            </w:r>
          </w:p>
        </w:tc>
        <w:tc>
          <w:tcPr>
            <w:tcW w:w="0" w:type="auto"/>
            <w:hideMark/>
          </w:tcPr>
          <w:p w14:paraId="56997CB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54</w:t>
            </w:r>
          </w:p>
        </w:tc>
        <w:tc>
          <w:tcPr>
            <w:tcW w:w="0" w:type="auto"/>
            <w:hideMark/>
          </w:tcPr>
          <w:p w14:paraId="5951A5F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w:t>
            </w:r>
          </w:p>
        </w:tc>
        <w:tc>
          <w:tcPr>
            <w:tcW w:w="0" w:type="auto"/>
            <w:hideMark/>
          </w:tcPr>
          <w:p w14:paraId="2C598EE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0" w:type="auto"/>
            <w:hideMark/>
          </w:tcPr>
          <w:p w14:paraId="02CC5CB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267</w:t>
            </w:r>
          </w:p>
        </w:tc>
      </w:tr>
      <w:tr w:rsidR="00BE61A2" w:rsidRPr="00374CC9" w14:paraId="75C8E945"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1D98CF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2011</w:t>
            </w:r>
          </w:p>
        </w:tc>
        <w:tc>
          <w:tcPr>
            <w:tcW w:w="0" w:type="auto"/>
            <w:hideMark/>
          </w:tcPr>
          <w:p w14:paraId="52015D1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41</w:t>
            </w:r>
          </w:p>
        </w:tc>
        <w:tc>
          <w:tcPr>
            <w:tcW w:w="0" w:type="auto"/>
            <w:hideMark/>
          </w:tcPr>
          <w:p w14:paraId="195DC74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28</w:t>
            </w:r>
          </w:p>
        </w:tc>
        <w:tc>
          <w:tcPr>
            <w:tcW w:w="0" w:type="auto"/>
            <w:hideMark/>
          </w:tcPr>
          <w:p w14:paraId="3DB39D6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103</w:t>
            </w:r>
          </w:p>
        </w:tc>
        <w:tc>
          <w:tcPr>
            <w:tcW w:w="0" w:type="auto"/>
            <w:hideMark/>
          </w:tcPr>
          <w:p w14:paraId="2EAB513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71</w:t>
            </w:r>
          </w:p>
        </w:tc>
        <w:tc>
          <w:tcPr>
            <w:tcW w:w="0" w:type="auto"/>
            <w:hideMark/>
          </w:tcPr>
          <w:p w14:paraId="7D58678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4389769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&lt;1</w:t>
            </w:r>
          </w:p>
        </w:tc>
        <w:tc>
          <w:tcPr>
            <w:tcW w:w="0" w:type="auto"/>
            <w:hideMark/>
          </w:tcPr>
          <w:p w14:paraId="0B9888E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145</w:t>
            </w:r>
          </w:p>
        </w:tc>
      </w:tr>
      <w:tr w:rsidR="00EE19C2" w:rsidRPr="00374CC9" w14:paraId="2BFEE3C7" w14:textId="77777777" w:rsidTr="000A4FFE">
        <w:tblPrEx>
          <w:tblCellMar>
            <w:right w:w="108" w:type="dxa"/>
          </w:tblCellMar>
        </w:tblPrEx>
        <w:tc>
          <w:tcPr>
            <w:tcW w:w="0" w:type="auto"/>
            <w:hideMark/>
          </w:tcPr>
          <w:p w14:paraId="37A9F6B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2012</w:t>
            </w:r>
          </w:p>
        </w:tc>
        <w:tc>
          <w:tcPr>
            <w:tcW w:w="0" w:type="auto"/>
            <w:hideMark/>
          </w:tcPr>
          <w:p w14:paraId="0E6AFE6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32</w:t>
            </w:r>
          </w:p>
        </w:tc>
        <w:tc>
          <w:tcPr>
            <w:tcW w:w="0" w:type="auto"/>
            <w:hideMark/>
          </w:tcPr>
          <w:p w14:paraId="39ADD40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w:t>
            </w:r>
          </w:p>
        </w:tc>
        <w:tc>
          <w:tcPr>
            <w:tcW w:w="0" w:type="auto"/>
            <w:hideMark/>
          </w:tcPr>
          <w:p w14:paraId="5CAB4BD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128</w:t>
            </w:r>
          </w:p>
        </w:tc>
        <w:tc>
          <w:tcPr>
            <w:tcW w:w="0" w:type="auto"/>
            <w:hideMark/>
          </w:tcPr>
          <w:p w14:paraId="328914E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77</w:t>
            </w:r>
          </w:p>
        </w:tc>
        <w:tc>
          <w:tcPr>
            <w:tcW w:w="0" w:type="auto"/>
            <w:hideMark/>
          </w:tcPr>
          <w:p w14:paraId="4FF4AD2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w:t>
            </w:r>
          </w:p>
        </w:tc>
        <w:tc>
          <w:tcPr>
            <w:tcW w:w="0" w:type="auto"/>
            <w:hideMark/>
          </w:tcPr>
          <w:p w14:paraId="78A4727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w:t>
            </w:r>
          </w:p>
        </w:tc>
        <w:tc>
          <w:tcPr>
            <w:tcW w:w="0" w:type="auto"/>
            <w:hideMark/>
          </w:tcPr>
          <w:p w14:paraId="57C7EDE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166</w:t>
            </w:r>
          </w:p>
        </w:tc>
      </w:tr>
      <w:tr w:rsidR="00BE61A2" w:rsidRPr="00374CC9" w14:paraId="5626C618"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C7524D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2013</w:t>
            </w:r>
          </w:p>
        </w:tc>
        <w:tc>
          <w:tcPr>
            <w:tcW w:w="0" w:type="auto"/>
            <w:hideMark/>
          </w:tcPr>
          <w:p w14:paraId="6513BE0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46</w:t>
            </w:r>
          </w:p>
        </w:tc>
        <w:tc>
          <w:tcPr>
            <w:tcW w:w="0" w:type="auto"/>
            <w:hideMark/>
          </w:tcPr>
          <w:p w14:paraId="416EC02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26</w:t>
            </w:r>
          </w:p>
        </w:tc>
        <w:tc>
          <w:tcPr>
            <w:tcW w:w="0" w:type="auto"/>
            <w:hideMark/>
          </w:tcPr>
          <w:p w14:paraId="50CD8FC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134</w:t>
            </w:r>
          </w:p>
        </w:tc>
        <w:tc>
          <w:tcPr>
            <w:tcW w:w="0" w:type="auto"/>
            <w:hideMark/>
          </w:tcPr>
          <w:p w14:paraId="79126ED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71</w:t>
            </w:r>
          </w:p>
        </w:tc>
        <w:tc>
          <w:tcPr>
            <w:tcW w:w="0" w:type="auto"/>
            <w:hideMark/>
          </w:tcPr>
          <w:p w14:paraId="5332C68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w:t>
            </w:r>
          </w:p>
        </w:tc>
        <w:tc>
          <w:tcPr>
            <w:tcW w:w="0" w:type="auto"/>
            <w:hideMark/>
          </w:tcPr>
          <w:p w14:paraId="5DF731A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w:t>
            </w:r>
          </w:p>
        </w:tc>
        <w:tc>
          <w:tcPr>
            <w:tcW w:w="0" w:type="auto"/>
            <w:hideMark/>
          </w:tcPr>
          <w:p w14:paraId="6F38191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190</w:t>
            </w:r>
          </w:p>
        </w:tc>
      </w:tr>
      <w:tr w:rsidR="00EE19C2" w:rsidRPr="00374CC9" w14:paraId="74090696" w14:textId="77777777" w:rsidTr="000A4FFE">
        <w:tblPrEx>
          <w:tblCellMar>
            <w:right w:w="108" w:type="dxa"/>
          </w:tblCellMar>
        </w:tblPrEx>
        <w:tc>
          <w:tcPr>
            <w:tcW w:w="0" w:type="auto"/>
            <w:hideMark/>
          </w:tcPr>
          <w:p w14:paraId="288A589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2014</w:t>
            </w:r>
          </w:p>
        </w:tc>
        <w:tc>
          <w:tcPr>
            <w:tcW w:w="0" w:type="auto"/>
            <w:hideMark/>
          </w:tcPr>
          <w:p w14:paraId="5E766D5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44</w:t>
            </w:r>
          </w:p>
        </w:tc>
        <w:tc>
          <w:tcPr>
            <w:tcW w:w="0" w:type="auto"/>
            <w:hideMark/>
          </w:tcPr>
          <w:p w14:paraId="004D17B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19</w:t>
            </w:r>
          </w:p>
        </w:tc>
        <w:tc>
          <w:tcPr>
            <w:tcW w:w="0" w:type="auto"/>
            <w:hideMark/>
          </w:tcPr>
          <w:p w14:paraId="2894A0E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184</w:t>
            </w:r>
          </w:p>
        </w:tc>
        <w:tc>
          <w:tcPr>
            <w:tcW w:w="0" w:type="auto"/>
            <w:hideMark/>
          </w:tcPr>
          <w:p w14:paraId="68ED7F5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80</w:t>
            </w:r>
          </w:p>
        </w:tc>
        <w:tc>
          <w:tcPr>
            <w:tcW w:w="0" w:type="auto"/>
            <w:hideMark/>
          </w:tcPr>
          <w:p w14:paraId="7A3AB7B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0" w:type="auto"/>
            <w:hideMark/>
          </w:tcPr>
          <w:p w14:paraId="39A5FD0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2FE80B5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231</w:t>
            </w:r>
          </w:p>
        </w:tc>
      </w:tr>
      <w:tr w:rsidR="00BE61A2" w:rsidRPr="00374CC9" w14:paraId="6D2567B8"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94EA8D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2015</w:t>
            </w:r>
          </w:p>
        </w:tc>
        <w:tc>
          <w:tcPr>
            <w:tcW w:w="0" w:type="auto"/>
            <w:hideMark/>
          </w:tcPr>
          <w:p w14:paraId="79B0462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55</w:t>
            </w:r>
          </w:p>
        </w:tc>
        <w:tc>
          <w:tcPr>
            <w:tcW w:w="0" w:type="auto"/>
            <w:hideMark/>
          </w:tcPr>
          <w:p w14:paraId="7A801E4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33</w:t>
            </w:r>
          </w:p>
        </w:tc>
        <w:tc>
          <w:tcPr>
            <w:tcW w:w="0" w:type="auto"/>
            <w:hideMark/>
          </w:tcPr>
          <w:p w14:paraId="2016A16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113</w:t>
            </w:r>
          </w:p>
        </w:tc>
        <w:tc>
          <w:tcPr>
            <w:tcW w:w="0" w:type="auto"/>
            <w:hideMark/>
          </w:tcPr>
          <w:p w14:paraId="1F39A50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63</w:t>
            </w:r>
          </w:p>
        </w:tc>
        <w:tc>
          <w:tcPr>
            <w:tcW w:w="0" w:type="auto"/>
            <w:hideMark/>
          </w:tcPr>
          <w:p w14:paraId="017D16D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w:t>
            </w:r>
          </w:p>
        </w:tc>
        <w:tc>
          <w:tcPr>
            <w:tcW w:w="0" w:type="auto"/>
            <w:hideMark/>
          </w:tcPr>
          <w:p w14:paraId="36E24EB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w:t>
            </w:r>
          </w:p>
        </w:tc>
        <w:tc>
          <w:tcPr>
            <w:tcW w:w="0" w:type="auto"/>
            <w:hideMark/>
          </w:tcPr>
          <w:p w14:paraId="22F35C3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178</w:t>
            </w:r>
          </w:p>
        </w:tc>
      </w:tr>
    </w:tbl>
    <w:p w14:paraId="4F08F175" w14:textId="77777777" w:rsidR="00BE61A2" w:rsidRPr="004E056D" w:rsidRDefault="00BE61A2" w:rsidP="004E056D">
      <w:pPr>
        <w:pStyle w:val="Heading2"/>
        <w:rPr>
          <w:rFonts w:eastAsiaTheme="minorEastAsia"/>
        </w:rPr>
      </w:pPr>
      <w:bookmarkStart w:id="56" w:name="_Toc1747210"/>
      <w:r w:rsidRPr="004E056D">
        <w:rPr>
          <w:bCs w:val="0"/>
          <w:sz w:val="27"/>
          <w:szCs w:val="27"/>
        </w:rPr>
        <w:t>Hepatitis E</w:t>
      </w:r>
      <w:bookmarkEnd w:id="56"/>
    </w:p>
    <w:p w14:paraId="2523F9D6" w14:textId="77777777" w:rsidR="00BE61A2" w:rsidRPr="00AE2F1B" w:rsidRDefault="00BE61A2" w:rsidP="004A5B02">
      <w:pPr>
        <w:pStyle w:val="ListParagraph"/>
        <w:numPr>
          <w:ilvl w:val="0"/>
          <w:numId w:val="46"/>
        </w:numPr>
      </w:pPr>
      <w:r w:rsidRPr="00AE2F1B">
        <w:t>There were 41 cases of hepatitis E infection notified in 2015.</w:t>
      </w:r>
    </w:p>
    <w:p w14:paraId="70344288" w14:textId="77777777" w:rsidR="00BE61A2" w:rsidRPr="00AE2F1B" w:rsidRDefault="00BE61A2" w:rsidP="00AE2F1B">
      <w:pPr>
        <w:rPr>
          <w:rFonts w:eastAsia="Times New Roman"/>
        </w:rPr>
      </w:pPr>
      <w:r w:rsidRPr="00AE2F1B">
        <w:rPr>
          <w:rFonts w:eastAsia="Times New Roman"/>
        </w:rPr>
        <w:t>Hepatitis E infection is an acute viral infection primarily affecting the liver. The virus is transmitted via the faecal–oral route, most often via food or water.</w:t>
      </w:r>
      <w:r w:rsidRPr="00AE2F1B">
        <w:rPr>
          <w:rFonts w:eastAsia="Times New Roman"/>
          <w:vertAlign w:val="superscript"/>
        </w:rPr>
        <w:t>21</w:t>
      </w:r>
      <w:r w:rsidRPr="00AE2F1B">
        <w:rPr>
          <w:rFonts w:eastAsia="Times New Roman"/>
        </w:rPr>
        <w:t xml:space="preserve"> The infection is usually acquired overseas among travellers to endemic areas. </w:t>
      </w:r>
    </w:p>
    <w:p w14:paraId="1FE959AA" w14:textId="77777777" w:rsidR="00BE61A2" w:rsidRPr="008D2911" w:rsidRDefault="00BE61A2" w:rsidP="008D2911">
      <w:pPr>
        <w:pStyle w:val="Heading3"/>
      </w:pPr>
      <w:bookmarkStart w:id="57" w:name="_Toc1747211"/>
      <w:r w:rsidRPr="008D2911">
        <w:t>Epidemiological situation in 2015</w:t>
      </w:r>
      <w:bookmarkEnd w:id="57"/>
    </w:p>
    <w:p w14:paraId="562184C8" w14:textId="77777777" w:rsidR="00BE61A2" w:rsidRPr="00AE2F1B" w:rsidRDefault="00BE61A2" w:rsidP="00AE2F1B">
      <w:r w:rsidRPr="00AE2F1B">
        <w:t>There were 41 notified cases of hepatitis E infection in 2015 (0.2 per 100,000). This is a 28% decrease on the number of notified cases in 2014 (n=57), and a 2% increase on the 5-year historical mean (n=40).</w:t>
      </w:r>
    </w:p>
    <w:p w14:paraId="5EEFC512" w14:textId="77777777" w:rsidR="00BE61A2" w:rsidRPr="00AE2F1B" w:rsidRDefault="00BE61A2" w:rsidP="00924A50">
      <w:pPr>
        <w:pStyle w:val="Heading3"/>
      </w:pPr>
      <w:bookmarkStart w:id="58" w:name="_Toc1747212"/>
      <w:r w:rsidRPr="00924A50">
        <w:rPr>
          <w:bCs w:val="0"/>
        </w:rPr>
        <w:t>Geographical distribution</w:t>
      </w:r>
      <w:bookmarkEnd w:id="58"/>
    </w:p>
    <w:p w14:paraId="2F682A44" w14:textId="77777777" w:rsidR="00BE61A2" w:rsidRPr="00AE2F1B" w:rsidRDefault="00BE61A2" w:rsidP="00AE2F1B">
      <w:r w:rsidRPr="00AE2F1B">
        <w:t>The majority of notifications were in residents of New South Wales (n=21), followed by residents of Victoria (n=15).</w:t>
      </w:r>
    </w:p>
    <w:p w14:paraId="4A2A4DAA" w14:textId="77777777" w:rsidR="00BE61A2" w:rsidRPr="00AE2F1B" w:rsidRDefault="00BE61A2" w:rsidP="00924A50">
      <w:pPr>
        <w:pStyle w:val="Heading3"/>
      </w:pPr>
      <w:bookmarkStart w:id="59" w:name="_Toc1747213"/>
      <w:r w:rsidRPr="00924A50">
        <w:rPr>
          <w:bCs w:val="0"/>
        </w:rPr>
        <w:t>Age and sex distribution</w:t>
      </w:r>
      <w:bookmarkEnd w:id="59"/>
    </w:p>
    <w:p w14:paraId="53F2603A" w14:textId="77777777" w:rsidR="00BE61A2" w:rsidRDefault="00BE61A2" w:rsidP="00AE2F1B">
      <w:r w:rsidRPr="00AE2F1B">
        <w:t>Hepatitis E infection was most frequently notified among people aged 60–64 and 65–69 years (Figure 21). In 2015, the median age of notified cases was 55 years (range: 6 to 79 years), and 61% (25/41) were male.</w:t>
      </w:r>
    </w:p>
    <w:p w14:paraId="14627960" w14:textId="77777777" w:rsidR="00B43125" w:rsidRDefault="00B43125" w:rsidP="00B43125">
      <w:pPr>
        <w:pStyle w:val="CDIFigures"/>
      </w:pPr>
      <w:r>
        <w:lastRenderedPageBreak/>
        <w:t>Figure 21: Notifications of Hepatitis E infection, Australia, 2015, by age group and sex.</w:t>
      </w:r>
    </w:p>
    <w:p w14:paraId="20D7055C" w14:textId="77777777" w:rsidR="00400834" w:rsidRPr="00AE2F1B" w:rsidRDefault="0021477A" w:rsidP="00B43125">
      <w:pPr>
        <w:pStyle w:val="CDIFigures"/>
      </w:pPr>
      <w:r>
        <w:pict w14:anchorId="4929F60A">
          <v:shape id="_x0000_i1043" type="#_x0000_t75" alt="This figure shows the number of notifications of hepatitis E infection in Australia in 2015, by age group and sex. There were 41 cases in 2017. Cases were more common in adults, with only one case aged less than 20 years." style="width:519pt;height:327.6pt">
            <v:imagedata r:id="rId36" o:title="3-Gastros chapter figure _14 to 31_Page_08"/>
          </v:shape>
        </w:pict>
      </w:r>
    </w:p>
    <w:p w14:paraId="73F557B6" w14:textId="77777777" w:rsidR="00BE61A2" w:rsidRPr="00AE2F1B" w:rsidRDefault="00BE61A2" w:rsidP="00924A50">
      <w:pPr>
        <w:pStyle w:val="Heading3"/>
      </w:pPr>
      <w:bookmarkStart w:id="60" w:name="_Toc1747214"/>
      <w:r w:rsidRPr="00924A50">
        <w:rPr>
          <w:bCs w:val="0"/>
        </w:rPr>
        <w:t>Place of acquisition</w:t>
      </w:r>
      <w:bookmarkEnd w:id="60"/>
    </w:p>
    <w:p w14:paraId="2632D149" w14:textId="77777777" w:rsidR="00BE61A2" w:rsidRPr="00AE2F1B" w:rsidRDefault="00BE61A2" w:rsidP="00AE2F1B">
      <w:r w:rsidRPr="00AE2F1B">
        <w:t>Hepatitis E infection in Australia has traditionally been associated with overseas travel. In 2015, place of acquisition was recorded for 37 cases, of which 30 reported overseas travel during their period of acquisition and were considered to have acquired infection overseas. Of these, 57% (17/30) reported travel to India.</w:t>
      </w:r>
    </w:p>
    <w:p w14:paraId="0693B437" w14:textId="77777777" w:rsidR="00BE61A2" w:rsidRPr="00AE2F1B" w:rsidRDefault="00BE61A2" w:rsidP="00AE2F1B">
      <w:r w:rsidRPr="00AE2F1B">
        <w:t xml:space="preserve">In 2015, 19% (7/37) of cases were locally acquired. One case from Western Australia was associated with a liver transplant. The remaining 6 cases were from New South Wales (n=5) and South Australia (n=1) and there were no apparent links or common sources between these cases. </w:t>
      </w:r>
    </w:p>
    <w:p w14:paraId="6B755B86" w14:textId="77777777" w:rsidR="00BE61A2" w:rsidRPr="004E056D" w:rsidRDefault="00BE61A2" w:rsidP="004E056D">
      <w:pPr>
        <w:pStyle w:val="Heading2"/>
      </w:pPr>
      <w:bookmarkStart w:id="61" w:name="_Toc1747215"/>
      <w:r w:rsidRPr="004E056D">
        <w:rPr>
          <w:bCs w:val="0"/>
          <w:sz w:val="27"/>
          <w:szCs w:val="27"/>
        </w:rPr>
        <w:t>Listeriosis</w:t>
      </w:r>
      <w:bookmarkEnd w:id="61"/>
    </w:p>
    <w:p w14:paraId="104510B4" w14:textId="77777777" w:rsidR="00BE61A2" w:rsidRPr="003B3F2A" w:rsidRDefault="00BE61A2" w:rsidP="00D762CF">
      <w:pPr>
        <w:pStyle w:val="ListParagraph"/>
        <w:numPr>
          <w:ilvl w:val="0"/>
          <w:numId w:val="4"/>
        </w:numPr>
        <w:rPr>
          <w:rFonts w:eastAsia="Times New Roman"/>
        </w:rPr>
      </w:pPr>
      <w:r w:rsidRPr="003B3F2A">
        <w:rPr>
          <w:rFonts w:eastAsia="Times New Roman"/>
        </w:rPr>
        <w:t xml:space="preserve">There were 70 cases of listeriosis notified in 2015. </w:t>
      </w:r>
    </w:p>
    <w:p w14:paraId="449E87F5" w14:textId="77777777" w:rsidR="00BE61A2" w:rsidRPr="003B3F2A" w:rsidRDefault="00BE61A2" w:rsidP="00D762CF">
      <w:pPr>
        <w:pStyle w:val="ListParagraph"/>
        <w:numPr>
          <w:ilvl w:val="0"/>
          <w:numId w:val="4"/>
        </w:numPr>
        <w:rPr>
          <w:rFonts w:eastAsia="Times New Roman"/>
        </w:rPr>
      </w:pPr>
      <w:r w:rsidRPr="003B3F2A">
        <w:rPr>
          <w:rFonts w:eastAsia="Times New Roman"/>
        </w:rPr>
        <w:t xml:space="preserve">Notifications were highest in the 60–64 and 75–79 years age groups. </w:t>
      </w:r>
    </w:p>
    <w:p w14:paraId="10D28F2F" w14:textId="77777777" w:rsidR="00BE61A2" w:rsidRPr="00AE2F1B" w:rsidRDefault="00BE61A2" w:rsidP="00AE2F1B">
      <w:r w:rsidRPr="00AE2F1B">
        <w:t>Invasive listeriosis is caused by a bacterial infection that commonly affects the elderly or immunocompromised, and typically occurs among people with serious underlying illnesses. Listeriosis can also affect pregnant women and infect their unborn baby.</w:t>
      </w:r>
      <w:r w:rsidRPr="00AE2F1B">
        <w:rPr>
          <w:vertAlign w:val="superscript"/>
        </w:rPr>
        <w:t>38</w:t>
      </w:r>
      <w:r w:rsidRPr="00AE2F1B">
        <w:t xml:space="preserve"> Laboratory-confirmed infections in a mother and her unborn child or neonate are notified separately in the NNDSS. </w:t>
      </w:r>
    </w:p>
    <w:p w14:paraId="78CBB4FE" w14:textId="77777777" w:rsidR="00BE61A2" w:rsidRPr="00AE2F1B" w:rsidRDefault="00BE61A2" w:rsidP="00924A50">
      <w:pPr>
        <w:pStyle w:val="Heading3"/>
      </w:pPr>
      <w:bookmarkStart w:id="62" w:name="_Toc1747216"/>
      <w:r w:rsidRPr="00924A50">
        <w:rPr>
          <w:bCs w:val="0"/>
        </w:rPr>
        <w:t>Epidemiological situation in 2015</w:t>
      </w:r>
      <w:bookmarkEnd w:id="62"/>
    </w:p>
    <w:p w14:paraId="39EB79F2" w14:textId="77777777" w:rsidR="00BE61A2" w:rsidRPr="00AE2F1B" w:rsidRDefault="00BE61A2" w:rsidP="00AE2F1B">
      <w:r w:rsidRPr="00AE2F1B">
        <w:t>There were 70 notified cases of listeriosis in 2015 (0.3 per 100,000), which was a 13% decrease on the number of notified cases in 2014 (n=80) and a 10% decrease compared with the 5-year historical mean (n=78.0).</w:t>
      </w:r>
    </w:p>
    <w:p w14:paraId="19B2148E" w14:textId="77777777" w:rsidR="00BE61A2" w:rsidRPr="00AE2F1B" w:rsidRDefault="00BE61A2" w:rsidP="00924A50">
      <w:pPr>
        <w:pStyle w:val="Heading3"/>
      </w:pPr>
      <w:bookmarkStart w:id="63" w:name="_Toc1747217"/>
      <w:r w:rsidRPr="00924A50">
        <w:rPr>
          <w:bCs w:val="0"/>
        </w:rPr>
        <w:t>Geographical distribution</w:t>
      </w:r>
      <w:bookmarkEnd w:id="63"/>
    </w:p>
    <w:p w14:paraId="5FCB44AE" w14:textId="77777777" w:rsidR="00BE61A2" w:rsidRPr="00AE2F1B" w:rsidRDefault="00BE61A2" w:rsidP="00AE2F1B">
      <w:r w:rsidRPr="00AE2F1B">
        <w:t>New South Wales had the highest number of notifications (28/70, 40%), followed by Victoria (21/70 30%).</w:t>
      </w:r>
    </w:p>
    <w:p w14:paraId="1416B0CA" w14:textId="77777777" w:rsidR="00BE61A2" w:rsidRPr="00AE2F1B" w:rsidRDefault="00BE61A2" w:rsidP="00924A50">
      <w:pPr>
        <w:pStyle w:val="Heading3"/>
      </w:pPr>
      <w:bookmarkStart w:id="64" w:name="_Toc1747218"/>
      <w:r w:rsidRPr="00924A50">
        <w:rPr>
          <w:bCs w:val="0"/>
        </w:rPr>
        <w:lastRenderedPageBreak/>
        <w:t>Age and sex distribution</w:t>
      </w:r>
      <w:bookmarkEnd w:id="64"/>
    </w:p>
    <w:p w14:paraId="4588E63C" w14:textId="77777777" w:rsidR="00BE61A2" w:rsidRDefault="00BE61A2" w:rsidP="00AE2F1B">
      <w:r w:rsidRPr="00AE2F1B">
        <w:t>Notifications of listeriosis were highest in the 60–64 and 75–79 years age groups (both 16%, 11/70,) (Figure 22), with over half (61%, 43/70) of</w:t>
      </w:r>
      <w:r w:rsidR="004F1B2A">
        <w:t xml:space="preserve"> all notified cases being male.</w:t>
      </w:r>
    </w:p>
    <w:p w14:paraId="2FF5761F" w14:textId="77777777" w:rsidR="004F1B2A" w:rsidRDefault="004F1B2A" w:rsidP="004F1B2A">
      <w:pPr>
        <w:pStyle w:val="CDIFigures"/>
      </w:pPr>
      <w:r>
        <w:t>Figure 22: Notifications of listeriosis, Australia, 2015, by age group and sex</w:t>
      </w:r>
    </w:p>
    <w:p w14:paraId="76C1536F" w14:textId="77777777" w:rsidR="00BC6638" w:rsidRPr="00AE2F1B" w:rsidRDefault="0021477A" w:rsidP="004F1B2A">
      <w:pPr>
        <w:pStyle w:val="CDIFigures"/>
      </w:pPr>
      <w:r>
        <w:pict w14:anchorId="69D0A7F6">
          <v:shape id="_x0000_i1044" type="#_x0000_t75" alt="This figure shows the number of notifications of listeriosis in Australia in 2015, by age group and sex. Notifications were highest in the 60-64 and 75-79 year age groups (both 16%), and over half (61%) of notifications were male." style="width:524.4pt;height:329.4pt">
            <v:imagedata r:id="rId37" o:title="3-Gastros chapter figure _14 to 31_Page_09"/>
          </v:shape>
        </w:pict>
      </w:r>
    </w:p>
    <w:p w14:paraId="71AAB0CC" w14:textId="77777777" w:rsidR="00BE61A2" w:rsidRPr="00AE2F1B" w:rsidRDefault="00BE61A2" w:rsidP="00924A50">
      <w:pPr>
        <w:pStyle w:val="Heading3"/>
      </w:pPr>
      <w:bookmarkStart w:id="65" w:name="_Toc1747219"/>
      <w:r w:rsidRPr="00924A50">
        <w:rPr>
          <w:bCs w:val="0"/>
        </w:rPr>
        <w:t>Enhanced surveillance datasets</w:t>
      </w:r>
      <w:bookmarkEnd w:id="65"/>
    </w:p>
    <w:p w14:paraId="3C4D7C78" w14:textId="0C624EAA" w:rsidR="00BE61A2" w:rsidRPr="00AE2F1B" w:rsidRDefault="00BE61A2" w:rsidP="00AE2F1B">
      <w:r w:rsidRPr="00AE2F1B">
        <w:t xml:space="preserve">In 2010, </w:t>
      </w:r>
      <w:proofErr w:type="spellStart"/>
      <w:r w:rsidRPr="00AE2F1B">
        <w:t>OzFoodNet</w:t>
      </w:r>
      <w:proofErr w:type="spellEnd"/>
      <w:r w:rsidRPr="00AE2F1B">
        <w:t xml:space="preserve"> implemented the National Enhanced Listeriosis Surveillance System (NELSS), which collects enhanced surveillance data on all notified cases of listeriosis in Australia. The enhanced information includes laboratory data collected from the characterisation of </w:t>
      </w:r>
      <w:r w:rsidRPr="00DF12AB">
        <w:rPr>
          <w:rStyle w:val="Emphasis"/>
          <w:b w:val="0"/>
        </w:rPr>
        <w:t>Listeria monocytogenes</w:t>
      </w:r>
      <w:r w:rsidRPr="00AE2F1B">
        <w:t xml:space="preserve"> isolates by molecular subtyping methods, and epidemiological data including food consumption histories and clinical data. The overall aim of this enhanced surveillance is to enable timely detection of outbreaks and subsequent public health response.</w:t>
      </w:r>
      <w:r w:rsidRPr="00AE2F1B">
        <w:rPr>
          <w:vertAlign w:val="superscript"/>
        </w:rPr>
        <w:t>34</w:t>
      </w:r>
      <w:r w:rsidRPr="00AE2F1B">
        <w:t xml:space="preserve"> From 1 July 2015, </w:t>
      </w:r>
      <w:proofErr w:type="spellStart"/>
      <w:r w:rsidRPr="00AE2F1B">
        <w:t>OzFoodNet’s</w:t>
      </w:r>
      <w:proofErr w:type="spellEnd"/>
      <w:r w:rsidRPr="00AE2F1B">
        <w:t xml:space="preserve"> NELSS began to utilise whole genome sequencing (WGS) in parallel with other molecular subtyping methods. More information on NELSS can be found in </w:t>
      </w:r>
      <w:proofErr w:type="spellStart"/>
      <w:r w:rsidRPr="00AE2F1B">
        <w:t>OzFoodNet</w:t>
      </w:r>
      <w:proofErr w:type="spellEnd"/>
      <w:r w:rsidRPr="00AE2F1B">
        <w:t xml:space="preserve"> Annual Reports (</w:t>
      </w:r>
      <w:hyperlink r:id="rId38" w:tooltip="http://health.gov.au/internet/main/publishing.nsf/Content/cdna-ozfoodnet-reports.htm" w:history="1">
        <w:r w:rsidR="001047AB" w:rsidRPr="009928CF">
          <w:rPr>
            <w:rStyle w:val="Hyperlink"/>
          </w:rPr>
          <w:t>http://health.gov.au/internet/main/publishing.nsf/Content/cdna-ozfoodnet-reports.htm</w:t>
        </w:r>
      </w:hyperlink>
      <w:r w:rsidRPr="00AE2F1B">
        <w:t xml:space="preserve">). </w:t>
      </w:r>
    </w:p>
    <w:p w14:paraId="03ACD2E7" w14:textId="77777777" w:rsidR="00BE61A2" w:rsidRPr="004E056D" w:rsidRDefault="00BE61A2" w:rsidP="004E056D">
      <w:pPr>
        <w:pStyle w:val="Heading2"/>
      </w:pPr>
      <w:bookmarkStart w:id="66" w:name="_Toc1747220"/>
      <w:r w:rsidRPr="004E056D">
        <w:rPr>
          <w:bCs w:val="0"/>
          <w:sz w:val="27"/>
          <w:szCs w:val="27"/>
        </w:rPr>
        <w:t>Paratyphoid</w:t>
      </w:r>
      <w:bookmarkEnd w:id="66"/>
    </w:p>
    <w:p w14:paraId="18238A17" w14:textId="77777777" w:rsidR="00BE61A2" w:rsidRPr="00586740" w:rsidRDefault="00BE61A2" w:rsidP="00D762CF">
      <w:pPr>
        <w:pStyle w:val="ListParagraph"/>
        <w:numPr>
          <w:ilvl w:val="0"/>
          <w:numId w:val="4"/>
        </w:numPr>
        <w:rPr>
          <w:rFonts w:eastAsia="Times New Roman"/>
        </w:rPr>
      </w:pPr>
      <w:r w:rsidRPr="00586740">
        <w:rPr>
          <w:rFonts w:eastAsia="Times New Roman"/>
        </w:rPr>
        <w:t xml:space="preserve">There were 76 cases of paratyphoid notified in 2015. </w:t>
      </w:r>
    </w:p>
    <w:p w14:paraId="2675413D" w14:textId="77777777" w:rsidR="00586740" w:rsidRPr="00586740" w:rsidRDefault="00BE61A2" w:rsidP="00D762CF">
      <w:pPr>
        <w:pStyle w:val="ListParagraph"/>
        <w:numPr>
          <w:ilvl w:val="0"/>
          <w:numId w:val="4"/>
        </w:numPr>
        <w:rPr>
          <w:rFonts w:eastAsia="Times New Roman"/>
        </w:rPr>
      </w:pPr>
      <w:r w:rsidRPr="00586740">
        <w:rPr>
          <w:rFonts w:eastAsia="Times New Roman"/>
        </w:rPr>
        <w:t>This was the second highest number of notification</w:t>
      </w:r>
      <w:r w:rsidR="00586740" w:rsidRPr="00586740">
        <w:rPr>
          <w:rFonts w:eastAsia="Times New Roman"/>
        </w:rPr>
        <w:t>s recorded in NNDSS since 1991.</w:t>
      </w:r>
    </w:p>
    <w:p w14:paraId="7B54936E" w14:textId="77777777" w:rsidR="00BE61A2" w:rsidRPr="00AE2F1B" w:rsidRDefault="00BE61A2" w:rsidP="00AE2F1B">
      <w:pPr>
        <w:rPr>
          <w:rFonts w:eastAsia="Times New Roman"/>
        </w:rPr>
      </w:pPr>
      <w:r w:rsidRPr="00AE2F1B">
        <w:rPr>
          <w:rFonts w:eastAsia="Times New Roman"/>
        </w:rPr>
        <w:t xml:space="preserve">This is the first NNDSS Annual Report to include paratyphoid as a separate notifiable condition from salmonellosis, as paratyphoid was only made a separate condition from 1 January 2016. However, data have been updated retrospectively for all years, making annual comparisons possible. Paratyphoid is a bacterial disease caused by </w:t>
      </w:r>
      <w:r w:rsidRPr="00DF12AB">
        <w:rPr>
          <w:rStyle w:val="Emphasis"/>
          <w:rFonts w:eastAsia="Times New Roman"/>
          <w:b w:val="0"/>
        </w:rPr>
        <w:t>S. enterica</w:t>
      </w:r>
      <w:r w:rsidRPr="00AE2F1B">
        <w:rPr>
          <w:rFonts w:eastAsia="Times New Roman"/>
        </w:rPr>
        <w:t xml:space="preserve"> serovars </w:t>
      </w:r>
      <w:proofErr w:type="spellStart"/>
      <w:r w:rsidRPr="00AE2F1B">
        <w:rPr>
          <w:rFonts w:eastAsia="Times New Roman"/>
        </w:rPr>
        <w:t>Paratyphi</w:t>
      </w:r>
      <w:proofErr w:type="spellEnd"/>
      <w:r w:rsidRPr="00AE2F1B">
        <w:rPr>
          <w:rFonts w:eastAsia="Times New Roman"/>
        </w:rPr>
        <w:t xml:space="preserve"> A, </w:t>
      </w:r>
      <w:proofErr w:type="spellStart"/>
      <w:r w:rsidRPr="00AE2F1B">
        <w:rPr>
          <w:rFonts w:eastAsia="Times New Roman"/>
        </w:rPr>
        <w:t>Paratyphi</w:t>
      </w:r>
      <w:proofErr w:type="spellEnd"/>
      <w:r w:rsidRPr="00AE2F1B">
        <w:rPr>
          <w:rFonts w:eastAsia="Times New Roman"/>
        </w:rPr>
        <w:t xml:space="preserve"> B, or </w:t>
      </w:r>
      <w:proofErr w:type="spellStart"/>
      <w:r w:rsidRPr="00AE2F1B">
        <w:rPr>
          <w:rFonts w:eastAsia="Times New Roman"/>
        </w:rPr>
        <w:t>Paratyphi</w:t>
      </w:r>
      <w:proofErr w:type="spellEnd"/>
      <w:r w:rsidRPr="00AE2F1B">
        <w:rPr>
          <w:rFonts w:eastAsia="Times New Roman"/>
        </w:rPr>
        <w:t xml:space="preserve"> C, which typically produce symptoms similar to typhoid, </w:t>
      </w:r>
      <w:r w:rsidRPr="00AE2F1B">
        <w:rPr>
          <w:rFonts w:eastAsia="Times New Roman"/>
        </w:rPr>
        <w:lastRenderedPageBreak/>
        <w:t xml:space="preserve">known commonly as ‘enteric fever’. Please note: </w:t>
      </w:r>
      <w:r w:rsidRPr="00DF12AB">
        <w:rPr>
          <w:rStyle w:val="Emphasis"/>
          <w:rFonts w:eastAsia="Times New Roman"/>
          <w:b w:val="0"/>
        </w:rPr>
        <w:t>S. enterica</w:t>
      </w:r>
      <w:r w:rsidRPr="00AE2F1B">
        <w:rPr>
          <w:rFonts w:eastAsia="Times New Roman"/>
        </w:rPr>
        <w:t xml:space="preserve"> </w:t>
      </w:r>
      <w:proofErr w:type="spellStart"/>
      <w:r w:rsidRPr="00AE2F1B">
        <w:rPr>
          <w:rFonts w:eastAsia="Times New Roman"/>
        </w:rPr>
        <w:t>Paratyphi</w:t>
      </w:r>
      <w:proofErr w:type="spellEnd"/>
      <w:r w:rsidRPr="00AE2F1B">
        <w:rPr>
          <w:rFonts w:eastAsia="Times New Roman"/>
        </w:rPr>
        <w:t xml:space="preserve"> B biovar Java does not cause an enteric fever and is included under salmonellosis. </w:t>
      </w:r>
    </w:p>
    <w:p w14:paraId="76A8CDBB" w14:textId="77777777" w:rsidR="00BE61A2" w:rsidRPr="00AE2F1B" w:rsidRDefault="00BE61A2" w:rsidP="00924A50">
      <w:pPr>
        <w:pStyle w:val="Heading3"/>
        <w:rPr>
          <w:rFonts w:eastAsiaTheme="minorEastAsia"/>
        </w:rPr>
      </w:pPr>
      <w:bookmarkStart w:id="67" w:name="_Toc1747221"/>
      <w:r w:rsidRPr="00924A50">
        <w:rPr>
          <w:bCs w:val="0"/>
        </w:rPr>
        <w:t>Epidemiological situation in 2015</w:t>
      </w:r>
      <w:bookmarkEnd w:id="67"/>
    </w:p>
    <w:p w14:paraId="44E978FE" w14:textId="77777777" w:rsidR="00BE61A2" w:rsidRPr="00AE2F1B" w:rsidRDefault="00BE61A2" w:rsidP="00AE2F1B">
      <w:r w:rsidRPr="00AE2F1B">
        <w:t>There were 76 notified cases of paratyphoid in 2015 (0.3 per 100,000). This is an increase of 9% compared with 2014 (n=70) (Figure 23), and a 3% increase on the 5-year historical mean (n=74.2).</w:t>
      </w:r>
    </w:p>
    <w:p w14:paraId="4BD37E11" w14:textId="77777777" w:rsidR="00B01638" w:rsidRDefault="00B01638" w:rsidP="00B01638">
      <w:pPr>
        <w:pStyle w:val="CDIFigures"/>
      </w:pPr>
      <w:r w:rsidRPr="00B01638">
        <w:t>Figure 23: Notifications and notification rate for paratyphoid, Australia, 2010 to 2015, by year</w:t>
      </w:r>
    </w:p>
    <w:p w14:paraId="0B982B32" w14:textId="77777777" w:rsidR="00110884" w:rsidRPr="00B01638" w:rsidRDefault="0021477A" w:rsidP="00B01638">
      <w:pPr>
        <w:pStyle w:val="CDIFigures"/>
      </w:pPr>
      <w:r>
        <w:pict w14:anchorId="04C86967">
          <v:shape id="_x0000_i1045" type="#_x0000_t75" alt="This figure shows the number of notifications and the notification rate of paratyphoid in Australia between 2010 and 2015. National paratyphoid notifications in 2015 increased by 9% compared to the number of cases reported in 2014 (70), and increased by 3% compared to the 5-year historical mean (74.2)." style="width:524.4pt;height:295.2pt">
            <v:imagedata r:id="rId39" o:title="3-Gastros chapter figure _14 to 31_Page_10"/>
          </v:shape>
        </w:pict>
      </w:r>
    </w:p>
    <w:p w14:paraId="67BDC88C" w14:textId="77777777" w:rsidR="00BE61A2" w:rsidRPr="00AE2F1B" w:rsidRDefault="00BE61A2" w:rsidP="00924A50">
      <w:pPr>
        <w:pStyle w:val="Heading3"/>
      </w:pPr>
      <w:bookmarkStart w:id="68" w:name="_Toc1747222"/>
      <w:r w:rsidRPr="00924A50">
        <w:rPr>
          <w:bCs w:val="0"/>
        </w:rPr>
        <w:t>Geographical distribution</w:t>
      </w:r>
      <w:bookmarkEnd w:id="68"/>
    </w:p>
    <w:p w14:paraId="76C38337" w14:textId="77777777" w:rsidR="00BE61A2" w:rsidRPr="00AE2F1B" w:rsidRDefault="00BE61A2" w:rsidP="00AE2F1B">
      <w:r w:rsidRPr="00AE2F1B">
        <w:t>The highest number of notifications (36%, 27/76) was in residents of Victoria, followed by New South Wales (24%, 18/76).</w:t>
      </w:r>
    </w:p>
    <w:p w14:paraId="458DC573" w14:textId="77777777" w:rsidR="00BE61A2" w:rsidRPr="00AE2F1B" w:rsidRDefault="00BE61A2" w:rsidP="00924A50">
      <w:pPr>
        <w:pStyle w:val="Heading3"/>
      </w:pPr>
      <w:bookmarkStart w:id="69" w:name="_Toc1747223"/>
      <w:r w:rsidRPr="00924A50">
        <w:rPr>
          <w:bCs w:val="0"/>
        </w:rPr>
        <w:t>Age and sex distribution</w:t>
      </w:r>
      <w:bookmarkEnd w:id="69"/>
    </w:p>
    <w:p w14:paraId="6ADC98FA" w14:textId="77777777" w:rsidR="00BE61A2" w:rsidRDefault="00BE61A2" w:rsidP="00AE2F1B">
      <w:r w:rsidRPr="00AE2F1B">
        <w:t>Paratyphoid was most frequently notified among the 30–34 years age group (20%, 15/76) (Figure 24). The median age of notified cases was 27 years (</w:t>
      </w:r>
      <w:r w:rsidR="00540B03" w:rsidRPr="00AE2F1B">
        <w:t>range:</w:t>
      </w:r>
      <w:r w:rsidRPr="00AE2F1B">
        <w:t xml:space="preserve"> 0 to 66 years), and there were more males (54%, 41</w:t>
      </w:r>
      <w:r w:rsidR="00C37DFB">
        <w:t>/76) than females (46%, 35/76).</w:t>
      </w:r>
    </w:p>
    <w:p w14:paraId="2BE5A49C" w14:textId="77777777" w:rsidR="0094303D" w:rsidRDefault="0094303D">
      <w:pPr>
        <w:rPr>
          <w:b/>
        </w:rPr>
      </w:pPr>
      <w:r>
        <w:br w:type="page"/>
      </w:r>
    </w:p>
    <w:p w14:paraId="23E8BCD4" w14:textId="77777777" w:rsidR="00C37DFB" w:rsidRDefault="00C37DFB" w:rsidP="00C37DFB">
      <w:pPr>
        <w:pStyle w:val="CDIFigures"/>
      </w:pPr>
      <w:r>
        <w:lastRenderedPageBreak/>
        <w:t>Figure 24: Notifications of paratyphoid, Australia, 2015, by age group and sex</w:t>
      </w:r>
    </w:p>
    <w:p w14:paraId="32A0E7C9" w14:textId="77777777" w:rsidR="0094303D" w:rsidRPr="00AE2F1B" w:rsidRDefault="0021477A" w:rsidP="00C37DFB">
      <w:pPr>
        <w:pStyle w:val="CDIFigures"/>
      </w:pPr>
      <w:r>
        <w:pict w14:anchorId="17805083">
          <v:shape id="_x0000_i1046" type="#_x0000_t75" alt="This figure shows the number of notifications of paratyphoid in Australia in 2015, by age group and sex. Notifications were highest in those aged 30-34 years (20%), and just over half (54%) of notifications were male." style="width:522.6pt;height:323.4pt">
            <v:imagedata r:id="rId40" o:title="3-Gastros chapter figure _14 to 31_Page_11"/>
          </v:shape>
        </w:pict>
      </w:r>
    </w:p>
    <w:p w14:paraId="61E8CA88" w14:textId="77777777" w:rsidR="00BE61A2" w:rsidRPr="0039362D" w:rsidRDefault="00BE61A2" w:rsidP="00C37DFB">
      <w:pPr>
        <w:pStyle w:val="Heading3"/>
      </w:pPr>
      <w:bookmarkStart w:id="70" w:name="_Toc1747224"/>
      <w:r w:rsidRPr="0039362D">
        <w:t>Place of acquisition</w:t>
      </w:r>
      <w:bookmarkEnd w:id="70"/>
    </w:p>
    <w:p w14:paraId="3AAEAC4E" w14:textId="77777777" w:rsidR="00BE61A2" w:rsidRPr="00AE2F1B" w:rsidRDefault="00BE61A2" w:rsidP="00AE2F1B">
      <w:r w:rsidRPr="00AE2F1B">
        <w:t xml:space="preserve">Overseas travel is the primary risk factor for notified cases of paratyphoid. In 2015, place of acquisition was reported for 87% (66/76) of notified cases of paratyphoid. Of these, 94% (62/66) reported overseas travel during their exposure period and were considered overseas acquired. The most frequently reported country of acquisition was India, accounting for 34% (21/62) of overseas-acquired cases in 2015. Four cases were reported as locally acquired, and the place of acquisition was unknown or not stated for 10 cases (Table 13). Four locally acquired cases were residents of South Australia, 3 of which were a family cluster in 1 household; </w:t>
      </w:r>
      <w:r w:rsidRPr="00DF12AB">
        <w:rPr>
          <w:rStyle w:val="Emphasis"/>
          <w:b w:val="0"/>
        </w:rPr>
        <w:t>S. enterica</w:t>
      </w:r>
      <w:r w:rsidRPr="00AE2F1B">
        <w:t xml:space="preserve"> serovar </w:t>
      </w:r>
      <w:proofErr w:type="spellStart"/>
      <w:r w:rsidRPr="00AE2F1B">
        <w:t>Paratyphi</w:t>
      </w:r>
      <w:proofErr w:type="spellEnd"/>
      <w:r w:rsidRPr="00AE2F1B">
        <w:t xml:space="preserve"> B was detected in all 4 cases. Two cases in residents of Victoria with an unknown place of acquisition were suspected to have been locally acquired, but a source could not </w:t>
      </w:r>
      <w:r w:rsidR="001A2F1A">
        <w:t xml:space="preserve">be </w:t>
      </w:r>
      <w:r w:rsidRPr="00AE2F1B">
        <w:t>determined despite screening of household contacts of both</w:t>
      </w:r>
      <w:r w:rsidR="006A10CA">
        <w:t> </w:t>
      </w:r>
      <w:r w:rsidRPr="00AE2F1B">
        <w:t>cases.</w:t>
      </w:r>
    </w:p>
    <w:p w14:paraId="5A151190" w14:textId="77777777" w:rsidR="00D24D4A" w:rsidRDefault="00D24D4A">
      <w:pPr>
        <w:rPr>
          <w:b/>
        </w:rPr>
      </w:pPr>
      <w:r>
        <w:br w:type="page"/>
      </w:r>
    </w:p>
    <w:p w14:paraId="754FAA5C" w14:textId="77777777" w:rsidR="00BE61A2" w:rsidRPr="00AE2F1B" w:rsidRDefault="00BE61A2" w:rsidP="007D1C35">
      <w:pPr>
        <w:pStyle w:val="CDIFigures"/>
      </w:pPr>
      <w:r w:rsidRPr="00AE2F1B">
        <w:lastRenderedPageBreak/>
        <w:t xml:space="preserve">Table 13: Notifications of paratyphoid, Australia, 2010 to 2015, by place of acquisition </w:t>
      </w:r>
    </w:p>
    <w:tbl>
      <w:tblPr>
        <w:tblStyle w:val="CDI-StandardTable"/>
        <w:tblW w:w="0" w:type="auto"/>
        <w:tblCellMar>
          <w:top w:w="142" w:type="dxa"/>
          <w:left w:w="142" w:type="dxa"/>
          <w:bottom w:w="142" w:type="dxa"/>
        </w:tblCellMar>
        <w:tblLook w:val="04A0" w:firstRow="1" w:lastRow="0" w:firstColumn="1" w:lastColumn="0" w:noHBand="0" w:noVBand="1"/>
        <w:tblDescription w:val="This table shows the number of notifications for paratyphoid in Australia between 2010 and 2015, by place of acquisition. In 2015, for cases where place of acquisition was reported, 94% were overseas acquired.&#10;"/>
      </w:tblPr>
      <w:tblGrid>
        <w:gridCol w:w="1229"/>
        <w:gridCol w:w="1260"/>
        <w:gridCol w:w="1260"/>
        <w:gridCol w:w="1260"/>
        <w:gridCol w:w="1260"/>
        <w:gridCol w:w="1260"/>
        <w:gridCol w:w="1260"/>
        <w:gridCol w:w="1651"/>
      </w:tblGrid>
      <w:tr w:rsidR="00BE61A2" w:rsidRPr="00374CC9" w14:paraId="1E0115C8" w14:textId="77777777" w:rsidTr="00E16D3B">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0C477E97"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Year notified</w:t>
            </w:r>
          </w:p>
        </w:tc>
        <w:tc>
          <w:tcPr>
            <w:tcW w:w="2520" w:type="dxa"/>
            <w:gridSpan w:val="2"/>
            <w:hideMark/>
          </w:tcPr>
          <w:p w14:paraId="2DD02160"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Locally acquired</w:t>
            </w:r>
          </w:p>
        </w:tc>
        <w:tc>
          <w:tcPr>
            <w:tcW w:w="2520" w:type="dxa"/>
            <w:gridSpan w:val="2"/>
            <w:hideMark/>
          </w:tcPr>
          <w:p w14:paraId="249D3465"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Overseas acquired</w:t>
            </w:r>
          </w:p>
        </w:tc>
        <w:tc>
          <w:tcPr>
            <w:tcW w:w="2520" w:type="dxa"/>
            <w:gridSpan w:val="2"/>
            <w:hideMark/>
          </w:tcPr>
          <w:p w14:paraId="3DEFDC56"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Unknown</w:t>
            </w:r>
          </w:p>
        </w:tc>
        <w:tc>
          <w:tcPr>
            <w:tcW w:w="1651" w:type="dxa"/>
            <w:vMerge w:val="restart"/>
            <w:hideMark/>
          </w:tcPr>
          <w:p w14:paraId="35E49A52"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Total</w:t>
            </w:r>
          </w:p>
        </w:tc>
      </w:tr>
      <w:tr w:rsidR="00BE61A2" w:rsidRPr="00374CC9" w14:paraId="40E5D4FB" w14:textId="77777777" w:rsidTr="00E16D3B">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2AAD52E7" w14:textId="77777777" w:rsidR="00BE61A2" w:rsidRPr="007D1C35" w:rsidRDefault="00BE61A2">
            <w:pPr>
              <w:rPr>
                <w:rFonts w:eastAsia="Times New Roman"/>
                <w:color w:val="FFFFFF" w:themeColor="background1"/>
                <w:sz w:val="18"/>
                <w:szCs w:val="18"/>
              </w:rPr>
            </w:pPr>
          </w:p>
        </w:tc>
        <w:tc>
          <w:tcPr>
            <w:tcW w:w="1260" w:type="dxa"/>
            <w:hideMark/>
          </w:tcPr>
          <w:p w14:paraId="56523910"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n</w:t>
            </w:r>
          </w:p>
        </w:tc>
        <w:tc>
          <w:tcPr>
            <w:tcW w:w="1260" w:type="dxa"/>
            <w:hideMark/>
          </w:tcPr>
          <w:p w14:paraId="2B641027"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w:t>
            </w:r>
            <w:r w:rsidRPr="007D1C35">
              <w:rPr>
                <w:rFonts w:eastAsia="Times New Roman"/>
                <w:color w:val="FFFFFF" w:themeColor="background1"/>
                <w:sz w:val="18"/>
                <w:szCs w:val="18"/>
                <w:vertAlign w:val="superscript"/>
              </w:rPr>
              <w:t>*</w:t>
            </w:r>
          </w:p>
        </w:tc>
        <w:tc>
          <w:tcPr>
            <w:tcW w:w="1260" w:type="dxa"/>
            <w:hideMark/>
          </w:tcPr>
          <w:p w14:paraId="38CC6CE1"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n</w:t>
            </w:r>
          </w:p>
        </w:tc>
        <w:tc>
          <w:tcPr>
            <w:tcW w:w="1260" w:type="dxa"/>
            <w:hideMark/>
          </w:tcPr>
          <w:p w14:paraId="1579BCDF"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w:t>
            </w:r>
          </w:p>
        </w:tc>
        <w:tc>
          <w:tcPr>
            <w:tcW w:w="1260" w:type="dxa"/>
            <w:hideMark/>
          </w:tcPr>
          <w:p w14:paraId="7A4F7546"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n</w:t>
            </w:r>
          </w:p>
        </w:tc>
        <w:tc>
          <w:tcPr>
            <w:tcW w:w="1260" w:type="dxa"/>
            <w:hideMark/>
          </w:tcPr>
          <w:p w14:paraId="5552FC75"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w:t>
            </w:r>
          </w:p>
        </w:tc>
        <w:tc>
          <w:tcPr>
            <w:tcW w:w="1651" w:type="dxa"/>
            <w:vMerge/>
            <w:hideMark/>
          </w:tcPr>
          <w:p w14:paraId="6BAC026C" w14:textId="77777777" w:rsidR="00BE61A2" w:rsidRPr="00374CC9" w:rsidRDefault="00BE61A2">
            <w:pPr>
              <w:rPr>
                <w:rFonts w:eastAsia="Times New Roman"/>
                <w:sz w:val="18"/>
                <w:szCs w:val="18"/>
              </w:rPr>
            </w:pPr>
          </w:p>
        </w:tc>
      </w:tr>
      <w:tr w:rsidR="000A4FFE" w:rsidRPr="00374CC9" w14:paraId="636CDE5F" w14:textId="77777777" w:rsidTr="00E16D3B">
        <w:tblPrEx>
          <w:tblCellMar>
            <w:right w:w="108" w:type="dxa"/>
          </w:tblCellMar>
        </w:tblPrEx>
        <w:tc>
          <w:tcPr>
            <w:tcW w:w="0" w:type="auto"/>
            <w:hideMark/>
          </w:tcPr>
          <w:p w14:paraId="4C2882D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2010</w:t>
            </w:r>
          </w:p>
        </w:tc>
        <w:tc>
          <w:tcPr>
            <w:tcW w:w="1260" w:type="dxa"/>
            <w:hideMark/>
          </w:tcPr>
          <w:p w14:paraId="492F596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w:t>
            </w:r>
          </w:p>
        </w:tc>
        <w:tc>
          <w:tcPr>
            <w:tcW w:w="1260" w:type="dxa"/>
            <w:hideMark/>
          </w:tcPr>
          <w:p w14:paraId="3885973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w:t>
            </w:r>
          </w:p>
        </w:tc>
        <w:tc>
          <w:tcPr>
            <w:tcW w:w="1260" w:type="dxa"/>
            <w:hideMark/>
          </w:tcPr>
          <w:p w14:paraId="7806E7C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75</w:t>
            </w:r>
          </w:p>
        </w:tc>
        <w:tc>
          <w:tcPr>
            <w:tcW w:w="1260" w:type="dxa"/>
            <w:hideMark/>
          </w:tcPr>
          <w:p w14:paraId="3BF7A6F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89</w:t>
            </w:r>
          </w:p>
        </w:tc>
        <w:tc>
          <w:tcPr>
            <w:tcW w:w="1260" w:type="dxa"/>
            <w:hideMark/>
          </w:tcPr>
          <w:p w14:paraId="26CD6FE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1260" w:type="dxa"/>
            <w:hideMark/>
          </w:tcPr>
          <w:p w14:paraId="324ADBC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w:t>
            </w:r>
          </w:p>
        </w:tc>
        <w:tc>
          <w:tcPr>
            <w:tcW w:w="1651" w:type="dxa"/>
            <w:hideMark/>
          </w:tcPr>
          <w:p w14:paraId="7CDDC8C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84</w:t>
            </w:r>
          </w:p>
        </w:tc>
      </w:tr>
      <w:tr w:rsidR="00BE61A2" w:rsidRPr="00374CC9" w14:paraId="475292B0" w14:textId="77777777" w:rsidTr="00E16D3B">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29BDF6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2011</w:t>
            </w:r>
          </w:p>
        </w:tc>
        <w:tc>
          <w:tcPr>
            <w:tcW w:w="1260" w:type="dxa"/>
            <w:hideMark/>
          </w:tcPr>
          <w:p w14:paraId="10D6DDD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w:t>
            </w:r>
          </w:p>
        </w:tc>
        <w:tc>
          <w:tcPr>
            <w:tcW w:w="1260" w:type="dxa"/>
            <w:hideMark/>
          </w:tcPr>
          <w:p w14:paraId="1E09765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w:t>
            </w:r>
          </w:p>
        </w:tc>
        <w:tc>
          <w:tcPr>
            <w:tcW w:w="1260" w:type="dxa"/>
            <w:hideMark/>
          </w:tcPr>
          <w:p w14:paraId="6C0ED84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65</w:t>
            </w:r>
          </w:p>
        </w:tc>
        <w:tc>
          <w:tcPr>
            <w:tcW w:w="1260" w:type="dxa"/>
            <w:hideMark/>
          </w:tcPr>
          <w:p w14:paraId="108B02D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94</w:t>
            </w:r>
          </w:p>
        </w:tc>
        <w:tc>
          <w:tcPr>
            <w:tcW w:w="1260" w:type="dxa"/>
            <w:hideMark/>
          </w:tcPr>
          <w:p w14:paraId="3FF9BC9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260" w:type="dxa"/>
            <w:hideMark/>
          </w:tcPr>
          <w:p w14:paraId="6AC5B53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651" w:type="dxa"/>
            <w:hideMark/>
          </w:tcPr>
          <w:p w14:paraId="3DC4F0B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69</w:t>
            </w:r>
          </w:p>
        </w:tc>
      </w:tr>
      <w:tr w:rsidR="000A4FFE" w:rsidRPr="00374CC9" w14:paraId="1AC13E7F" w14:textId="77777777" w:rsidTr="00E16D3B">
        <w:tblPrEx>
          <w:tblCellMar>
            <w:right w:w="108" w:type="dxa"/>
          </w:tblCellMar>
        </w:tblPrEx>
        <w:tc>
          <w:tcPr>
            <w:tcW w:w="0" w:type="auto"/>
            <w:hideMark/>
          </w:tcPr>
          <w:p w14:paraId="45D2425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2012</w:t>
            </w:r>
          </w:p>
        </w:tc>
        <w:tc>
          <w:tcPr>
            <w:tcW w:w="1260" w:type="dxa"/>
            <w:hideMark/>
          </w:tcPr>
          <w:p w14:paraId="2E485D6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1260" w:type="dxa"/>
            <w:hideMark/>
          </w:tcPr>
          <w:p w14:paraId="2934D33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1260" w:type="dxa"/>
            <w:hideMark/>
          </w:tcPr>
          <w:p w14:paraId="6A9712A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63</w:t>
            </w:r>
          </w:p>
        </w:tc>
        <w:tc>
          <w:tcPr>
            <w:tcW w:w="1260" w:type="dxa"/>
            <w:hideMark/>
          </w:tcPr>
          <w:p w14:paraId="40B2B92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85</w:t>
            </w:r>
          </w:p>
        </w:tc>
        <w:tc>
          <w:tcPr>
            <w:tcW w:w="1260" w:type="dxa"/>
            <w:hideMark/>
          </w:tcPr>
          <w:p w14:paraId="2375E10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w:t>
            </w:r>
          </w:p>
        </w:tc>
        <w:tc>
          <w:tcPr>
            <w:tcW w:w="1260" w:type="dxa"/>
            <w:hideMark/>
          </w:tcPr>
          <w:p w14:paraId="7C4613B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12</w:t>
            </w:r>
          </w:p>
        </w:tc>
        <w:tc>
          <w:tcPr>
            <w:tcW w:w="1651" w:type="dxa"/>
            <w:hideMark/>
          </w:tcPr>
          <w:p w14:paraId="2770503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74</w:t>
            </w:r>
          </w:p>
        </w:tc>
      </w:tr>
      <w:tr w:rsidR="00BE61A2" w:rsidRPr="00374CC9" w14:paraId="5BA045D8" w14:textId="77777777" w:rsidTr="00E16D3B">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28747B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2013</w:t>
            </w:r>
          </w:p>
        </w:tc>
        <w:tc>
          <w:tcPr>
            <w:tcW w:w="1260" w:type="dxa"/>
            <w:hideMark/>
          </w:tcPr>
          <w:p w14:paraId="1AD5CB3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1260" w:type="dxa"/>
            <w:hideMark/>
          </w:tcPr>
          <w:p w14:paraId="16E27B4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1260" w:type="dxa"/>
            <w:hideMark/>
          </w:tcPr>
          <w:p w14:paraId="09A0A31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66</w:t>
            </w:r>
          </w:p>
        </w:tc>
        <w:tc>
          <w:tcPr>
            <w:tcW w:w="1260" w:type="dxa"/>
            <w:hideMark/>
          </w:tcPr>
          <w:p w14:paraId="729DA80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89</w:t>
            </w:r>
          </w:p>
        </w:tc>
        <w:tc>
          <w:tcPr>
            <w:tcW w:w="1260" w:type="dxa"/>
            <w:hideMark/>
          </w:tcPr>
          <w:p w14:paraId="2545273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w:t>
            </w:r>
          </w:p>
        </w:tc>
        <w:tc>
          <w:tcPr>
            <w:tcW w:w="1260" w:type="dxa"/>
            <w:hideMark/>
          </w:tcPr>
          <w:p w14:paraId="68FDFB7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90</w:t>
            </w:r>
          </w:p>
        </w:tc>
        <w:tc>
          <w:tcPr>
            <w:tcW w:w="1651" w:type="dxa"/>
            <w:hideMark/>
          </w:tcPr>
          <w:p w14:paraId="72A5BF1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74</w:t>
            </w:r>
          </w:p>
        </w:tc>
      </w:tr>
      <w:tr w:rsidR="000A4FFE" w:rsidRPr="00374CC9" w14:paraId="51D5B45E" w14:textId="77777777" w:rsidTr="00E16D3B">
        <w:tblPrEx>
          <w:tblCellMar>
            <w:right w:w="108" w:type="dxa"/>
          </w:tblCellMar>
        </w:tblPrEx>
        <w:tc>
          <w:tcPr>
            <w:tcW w:w="0" w:type="auto"/>
            <w:hideMark/>
          </w:tcPr>
          <w:p w14:paraId="2EA458B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2014</w:t>
            </w:r>
          </w:p>
        </w:tc>
        <w:tc>
          <w:tcPr>
            <w:tcW w:w="1260" w:type="dxa"/>
            <w:hideMark/>
          </w:tcPr>
          <w:p w14:paraId="71ED52B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1260" w:type="dxa"/>
            <w:hideMark/>
          </w:tcPr>
          <w:p w14:paraId="388BA46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1260" w:type="dxa"/>
            <w:hideMark/>
          </w:tcPr>
          <w:p w14:paraId="602DEBF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57</w:t>
            </w:r>
          </w:p>
        </w:tc>
        <w:tc>
          <w:tcPr>
            <w:tcW w:w="1260" w:type="dxa"/>
            <w:hideMark/>
          </w:tcPr>
          <w:p w14:paraId="5CC31F1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81</w:t>
            </w:r>
          </w:p>
        </w:tc>
        <w:tc>
          <w:tcPr>
            <w:tcW w:w="1260" w:type="dxa"/>
            <w:hideMark/>
          </w:tcPr>
          <w:p w14:paraId="448C17C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11</w:t>
            </w:r>
          </w:p>
        </w:tc>
        <w:tc>
          <w:tcPr>
            <w:tcW w:w="1260" w:type="dxa"/>
            <w:hideMark/>
          </w:tcPr>
          <w:p w14:paraId="4D7850F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16</w:t>
            </w:r>
          </w:p>
        </w:tc>
        <w:tc>
          <w:tcPr>
            <w:tcW w:w="1651" w:type="dxa"/>
            <w:hideMark/>
          </w:tcPr>
          <w:p w14:paraId="1BC78F6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70</w:t>
            </w:r>
          </w:p>
        </w:tc>
      </w:tr>
      <w:tr w:rsidR="00BE61A2" w:rsidRPr="00374CC9" w14:paraId="4FECFDB9" w14:textId="77777777" w:rsidTr="00E16D3B">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E75525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2015</w:t>
            </w:r>
          </w:p>
        </w:tc>
        <w:tc>
          <w:tcPr>
            <w:tcW w:w="1260" w:type="dxa"/>
            <w:hideMark/>
          </w:tcPr>
          <w:p w14:paraId="45E4A56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w:t>
            </w:r>
          </w:p>
        </w:tc>
        <w:tc>
          <w:tcPr>
            <w:tcW w:w="1260" w:type="dxa"/>
            <w:hideMark/>
          </w:tcPr>
          <w:p w14:paraId="6FAB2DE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w:t>
            </w:r>
          </w:p>
        </w:tc>
        <w:tc>
          <w:tcPr>
            <w:tcW w:w="1260" w:type="dxa"/>
            <w:hideMark/>
          </w:tcPr>
          <w:p w14:paraId="150DA31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62</w:t>
            </w:r>
          </w:p>
        </w:tc>
        <w:tc>
          <w:tcPr>
            <w:tcW w:w="1260" w:type="dxa"/>
            <w:hideMark/>
          </w:tcPr>
          <w:p w14:paraId="4736294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82</w:t>
            </w:r>
          </w:p>
        </w:tc>
        <w:tc>
          <w:tcPr>
            <w:tcW w:w="1260" w:type="dxa"/>
            <w:hideMark/>
          </w:tcPr>
          <w:p w14:paraId="03DA820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w:t>
            </w:r>
          </w:p>
        </w:tc>
        <w:tc>
          <w:tcPr>
            <w:tcW w:w="1260" w:type="dxa"/>
            <w:hideMark/>
          </w:tcPr>
          <w:p w14:paraId="70BB1C5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13</w:t>
            </w:r>
          </w:p>
        </w:tc>
        <w:tc>
          <w:tcPr>
            <w:tcW w:w="1651" w:type="dxa"/>
            <w:hideMark/>
          </w:tcPr>
          <w:p w14:paraId="553AE84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76</w:t>
            </w:r>
          </w:p>
        </w:tc>
      </w:tr>
    </w:tbl>
    <w:p w14:paraId="51CE8290" w14:textId="77777777" w:rsidR="00BE61A2" w:rsidRPr="00AE2F1B" w:rsidRDefault="00BE61A2" w:rsidP="009F4FD4">
      <w:pPr>
        <w:pStyle w:val="CDIfootnotes"/>
      </w:pPr>
      <w:r w:rsidRPr="00AE2F1B">
        <w:rPr>
          <w:vertAlign w:val="superscript"/>
        </w:rPr>
        <w:t>*</w:t>
      </w:r>
      <w:r w:rsidRPr="00AE2F1B">
        <w:tab/>
        <w:t xml:space="preserve">Excludes cases where the place of acquisition was not supplied or unknown. </w:t>
      </w:r>
    </w:p>
    <w:p w14:paraId="7A73BEC7" w14:textId="77777777" w:rsidR="00BE61A2" w:rsidRPr="004E056D" w:rsidRDefault="00BE61A2" w:rsidP="004E056D">
      <w:pPr>
        <w:pStyle w:val="Heading2"/>
      </w:pPr>
      <w:bookmarkStart w:id="71" w:name="_Toc1747225"/>
      <w:r w:rsidRPr="004E056D">
        <w:rPr>
          <w:bCs w:val="0"/>
          <w:sz w:val="27"/>
          <w:szCs w:val="27"/>
        </w:rPr>
        <w:t>Salmonellosis (non-typhoidal)</w:t>
      </w:r>
      <w:bookmarkEnd w:id="71"/>
    </w:p>
    <w:p w14:paraId="456ACAC9" w14:textId="77777777" w:rsidR="00BE61A2" w:rsidRPr="00E43DDC" w:rsidRDefault="00BE61A2" w:rsidP="00D762CF">
      <w:pPr>
        <w:pStyle w:val="ListParagraph"/>
        <w:numPr>
          <w:ilvl w:val="0"/>
          <w:numId w:val="4"/>
        </w:numPr>
        <w:rPr>
          <w:rFonts w:eastAsia="Times New Roman"/>
        </w:rPr>
      </w:pPr>
      <w:r w:rsidRPr="00E43DDC">
        <w:rPr>
          <w:rFonts w:eastAsia="Times New Roman"/>
        </w:rPr>
        <w:t xml:space="preserve">There were 17,013 cases of salmonellosis notified in 2015. </w:t>
      </w:r>
    </w:p>
    <w:p w14:paraId="2CF2497A" w14:textId="77777777" w:rsidR="00BE61A2" w:rsidRPr="00E43DDC" w:rsidRDefault="00BE61A2" w:rsidP="00D762CF">
      <w:pPr>
        <w:pStyle w:val="ListParagraph"/>
        <w:numPr>
          <w:ilvl w:val="0"/>
          <w:numId w:val="4"/>
        </w:numPr>
        <w:rPr>
          <w:rFonts w:eastAsia="Times New Roman"/>
        </w:rPr>
      </w:pPr>
      <w:r w:rsidRPr="00E43DDC">
        <w:rPr>
          <w:rFonts w:eastAsia="Times New Roman"/>
        </w:rPr>
        <w:t xml:space="preserve">Salmonellosis was the second most frequently notified enteric infection in 2015. </w:t>
      </w:r>
    </w:p>
    <w:p w14:paraId="65F99998" w14:textId="77777777" w:rsidR="00BE61A2" w:rsidRPr="00E43DDC" w:rsidRDefault="00BE61A2" w:rsidP="00D762CF">
      <w:pPr>
        <w:pStyle w:val="ListParagraph"/>
        <w:numPr>
          <w:ilvl w:val="0"/>
          <w:numId w:val="4"/>
        </w:numPr>
        <w:rPr>
          <w:rFonts w:eastAsia="Times New Roman"/>
        </w:rPr>
      </w:pPr>
      <w:r w:rsidRPr="00E43DDC">
        <w:rPr>
          <w:rFonts w:eastAsia="Times New Roman"/>
        </w:rPr>
        <w:t xml:space="preserve">This was the highest number of salmonellosis notifications recorded in the NNDSS since 1991. </w:t>
      </w:r>
    </w:p>
    <w:p w14:paraId="338658FA" w14:textId="77777777" w:rsidR="00BE61A2" w:rsidRPr="00AE2F1B" w:rsidRDefault="00BE61A2" w:rsidP="00AE2F1B">
      <w:r w:rsidRPr="00AE2F1B">
        <w:t>Salmonellosis is a bacterial disease characterised by the rapid development of symptoms including abdominal pain, fever, diarrhoea, muscle pain, nausea and/or vomiting. The predominant mode of transmission is contaminated food, mainly of animal origin</w:t>
      </w:r>
      <w:r w:rsidR="00E43DDC" w:rsidRPr="00AE2F1B">
        <w:t>;</w:t>
      </w:r>
      <w:r w:rsidR="00E43DDC" w:rsidRPr="00AE2F1B">
        <w:rPr>
          <w:vertAlign w:val="superscript"/>
        </w:rPr>
        <w:t xml:space="preserve"> 21</w:t>
      </w:r>
      <w:r w:rsidRPr="00AE2F1B">
        <w:t xml:space="preserve"> however, people can also become infected via faecal–oral transmission, through animal contact and from environmental exposures.</w:t>
      </w:r>
    </w:p>
    <w:p w14:paraId="441032DB" w14:textId="77777777" w:rsidR="00BE61A2" w:rsidRPr="00AE2F1B" w:rsidRDefault="00BE61A2" w:rsidP="00924A50">
      <w:pPr>
        <w:pStyle w:val="Heading3"/>
      </w:pPr>
      <w:bookmarkStart w:id="72" w:name="_Toc1747226"/>
      <w:r w:rsidRPr="00924A50">
        <w:rPr>
          <w:bCs w:val="0"/>
        </w:rPr>
        <w:t>Epidemiological situation in 2015</w:t>
      </w:r>
      <w:bookmarkEnd w:id="72"/>
    </w:p>
    <w:p w14:paraId="3C7BD2B3" w14:textId="77777777" w:rsidR="00BE61A2" w:rsidRDefault="00BE61A2" w:rsidP="00AE2F1B">
      <w:r w:rsidRPr="00AE2F1B">
        <w:t>There were 17,013 notified cases of salmonellosis in 2015 (71.5 per 100,000). This is the highest annual number of notifications ever recorded in the NNDSS since salmonellosis became nationally notifiable in 1991. This represents a 4% increase on the number of cases reported in 2014 (n=16,283) (Figure 25), and a 32% increase on the 5-year historical mean (n=12,841.6), which is grea</w:t>
      </w:r>
      <w:r w:rsidR="006A48E3">
        <w:t>ter than 2 standard deviations.</w:t>
      </w:r>
    </w:p>
    <w:p w14:paraId="754F0061" w14:textId="77777777" w:rsidR="00665663" w:rsidRDefault="00665663">
      <w:pPr>
        <w:rPr>
          <w:b/>
        </w:rPr>
      </w:pPr>
      <w:r>
        <w:br w:type="page"/>
      </w:r>
    </w:p>
    <w:p w14:paraId="72CE83E5" w14:textId="77777777" w:rsidR="006A48E3" w:rsidRDefault="006A48E3" w:rsidP="006A48E3">
      <w:pPr>
        <w:pStyle w:val="CDIFigures"/>
      </w:pPr>
      <w:r w:rsidRPr="006A48E3">
        <w:lastRenderedPageBreak/>
        <w:t>Figure 25: Notifications and notification rate for salmonellosis, Australia, 2010 to 2015, by year</w:t>
      </w:r>
    </w:p>
    <w:p w14:paraId="77A6CF5D" w14:textId="77777777" w:rsidR="00665663" w:rsidRPr="006A48E3" w:rsidRDefault="0021477A" w:rsidP="006A48E3">
      <w:pPr>
        <w:pStyle w:val="CDIFigures"/>
      </w:pPr>
      <w:r>
        <w:pict w14:anchorId="309D7EFE">
          <v:shape id="_x0000_i1047" type="#_x0000_t75" alt="This figure shows the number of notifications and the notification rate of salmonellosis in Australia between 2010 and 2015. National salmonellosis notifications in 2015 increased by 4% compared to the number of cases reported in 2014 (16,283), and increased by 32% compared to the 5-year historical mean (12,841.6)." style="width:501.6pt;height:295.2pt">
            <v:imagedata r:id="rId41" o:title="3-Gastros chapter figure _14 to 31_Page_12"/>
          </v:shape>
        </w:pict>
      </w:r>
    </w:p>
    <w:p w14:paraId="556E27A2" w14:textId="77777777" w:rsidR="00BE61A2" w:rsidRPr="00AE2F1B" w:rsidRDefault="00BE61A2" w:rsidP="00924A50">
      <w:pPr>
        <w:pStyle w:val="Heading3"/>
      </w:pPr>
      <w:bookmarkStart w:id="73" w:name="_Toc1747227"/>
      <w:r w:rsidRPr="00924A50">
        <w:rPr>
          <w:bCs w:val="0"/>
        </w:rPr>
        <w:t>Geographical distribution</w:t>
      </w:r>
      <w:bookmarkEnd w:id="73"/>
    </w:p>
    <w:p w14:paraId="7DF34DA3" w14:textId="77777777" w:rsidR="00BE61A2" w:rsidRPr="00AE2F1B" w:rsidRDefault="00BE61A2" w:rsidP="00AE2F1B">
      <w:r w:rsidRPr="00AE2F1B">
        <w:t>Rates ranged from 49.3 per 100,000 in Tasmania to 222.5 per 100,000 in the Northern Territory (Table 5).</w:t>
      </w:r>
    </w:p>
    <w:p w14:paraId="79F6539B" w14:textId="77777777" w:rsidR="00BE61A2" w:rsidRPr="00AE2F1B" w:rsidRDefault="00BE61A2" w:rsidP="00924A50">
      <w:pPr>
        <w:pStyle w:val="Heading3"/>
      </w:pPr>
      <w:bookmarkStart w:id="74" w:name="_Toc1747228"/>
      <w:r w:rsidRPr="00924A50">
        <w:rPr>
          <w:bCs w:val="0"/>
        </w:rPr>
        <w:t>Age and sex distribution</w:t>
      </w:r>
      <w:bookmarkEnd w:id="74"/>
    </w:p>
    <w:p w14:paraId="79F26900" w14:textId="77777777" w:rsidR="00BE61A2" w:rsidRDefault="00BE61A2" w:rsidP="00AE2F1B">
      <w:r w:rsidRPr="00AE2F1B">
        <w:t xml:space="preserve">Salmonellosis was most frequently notified among the 0–4 years age group (23%; 3,846/17,013) (Figure 26), where age was recorded, with an age-specific rate of 249.6 per 100,000 population. The median age of notified cases was 27 years (range: 0 to 104 years), and over half (53%, 8,960/17,013) of cases where sex was recorded were female. </w:t>
      </w:r>
    </w:p>
    <w:p w14:paraId="63B32367" w14:textId="77777777" w:rsidR="007D34C3" w:rsidRDefault="007D34C3">
      <w:pPr>
        <w:rPr>
          <w:b/>
        </w:rPr>
      </w:pPr>
      <w:r>
        <w:br w:type="page"/>
      </w:r>
    </w:p>
    <w:p w14:paraId="6A6210BD" w14:textId="77777777" w:rsidR="00893381" w:rsidRDefault="00893381" w:rsidP="00893381">
      <w:pPr>
        <w:pStyle w:val="CDIFigures"/>
        <w:rPr>
          <w:rStyle w:val="A9"/>
          <w:rFonts w:asciiTheme="minorHAnsi" w:hAnsiTheme="minorHAnsi" w:cstheme="minorBidi"/>
          <w:b/>
          <w:bCs w:val="0"/>
          <w:color w:val="auto"/>
          <w:sz w:val="22"/>
          <w:szCs w:val="22"/>
        </w:rPr>
      </w:pPr>
      <w:r w:rsidRPr="00893381">
        <w:lastRenderedPageBreak/>
        <w:t>Figure 26: Notification rate for salmonellosis, Australia, 2015, by age group and sex (n=16,999)</w:t>
      </w:r>
      <w:r w:rsidRPr="00FD3CF7">
        <w:rPr>
          <w:rStyle w:val="A9"/>
          <w:rFonts w:asciiTheme="minorHAnsi" w:hAnsiTheme="minorHAnsi" w:cstheme="minorBidi"/>
          <w:b/>
          <w:bCs w:val="0"/>
          <w:color w:val="auto"/>
          <w:sz w:val="22"/>
          <w:szCs w:val="22"/>
          <w:vertAlign w:val="superscript"/>
        </w:rPr>
        <w:t>*</w:t>
      </w:r>
    </w:p>
    <w:p w14:paraId="4F291932" w14:textId="77777777" w:rsidR="007D34C3" w:rsidRDefault="0021477A" w:rsidP="00893381">
      <w:pPr>
        <w:pStyle w:val="CDIFigures"/>
        <w:rPr>
          <w:rStyle w:val="A9"/>
          <w:rFonts w:asciiTheme="minorHAnsi" w:hAnsiTheme="minorHAnsi" w:cstheme="minorBidi"/>
          <w:b/>
          <w:bCs w:val="0"/>
          <w:color w:val="auto"/>
          <w:sz w:val="22"/>
          <w:szCs w:val="22"/>
        </w:rPr>
      </w:pPr>
      <w:r>
        <w:rPr>
          <w:rStyle w:val="A9"/>
          <w:rFonts w:asciiTheme="minorHAnsi" w:hAnsiTheme="minorHAnsi" w:cstheme="minorBidi"/>
          <w:b/>
          <w:bCs w:val="0"/>
          <w:color w:val="auto"/>
          <w:sz w:val="22"/>
          <w:szCs w:val="22"/>
        </w:rPr>
        <w:pict w14:anchorId="251DA21A">
          <v:shape id="_x0000_i1048" type="#_x0000_t75" alt="This figure shows the notification rate for salmonellosis in Australia in 2015, by age group and sex. Notification rates were highest in those aged 0-4 years." style="width:524.4pt;height:337.8pt">
            <v:imagedata r:id="rId42" o:title="3-Gastros chapter figure _14 to 31_Page_13"/>
          </v:shape>
        </w:pict>
      </w:r>
    </w:p>
    <w:p w14:paraId="76B87AA3" w14:textId="77777777" w:rsidR="00893381" w:rsidRPr="00893381" w:rsidRDefault="00893381" w:rsidP="00893381">
      <w:pPr>
        <w:pStyle w:val="CDIfootnotes"/>
      </w:pPr>
      <w:r w:rsidRPr="00893381">
        <w:t>* Excludes notifications where age (n=1), sex (n=12) or both (n=1) were not reported.</w:t>
      </w:r>
    </w:p>
    <w:p w14:paraId="1E45B980" w14:textId="77777777" w:rsidR="00BE61A2" w:rsidRPr="004E056D" w:rsidRDefault="00BE61A2" w:rsidP="004E056D">
      <w:pPr>
        <w:pStyle w:val="Heading2"/>
      </w:pPr>
      <w:bookmarkStart w:id="75" w:name="_Toc1747229"/>
      <w:r w:rsidRPr="004E056D">
        <w:rPr>
          <w:bCs w:val="0"/>
          <w:sz w:val="27"/>
          <w:szCs w:val="27"/>
        </w:rPr>
        <w:t>Shigellosis</w:t>
      </w:r>
      <w:bookmarkEnd w:id="75"/>
    </w:p>
    <w:p w14:paraId="73EA27C2" w14:textId="77777777" w:rsidR="00BE61A2" w:rsidRPr="00F12402" w:rsidRDefault="00BE61A2" w:rsidP="00D762CF">
      <w:pPr>
        <w:pStyle w:val="ListParagraph"/>
        <w:numPr>
          <w:ilvl w:val="0"/>
          <w:numId w:val="4"/>
        </w:numPr>
        <w:rPr>
          <w:rFonts w:eastAsia="Times New Roman"/>
        </w:rPr>
      </w:pPr>
      <w:r w:rsidRPr="00F12402">
        <w:rPr>
          <w:rFonts w:eastAsia="Times New Roman"/>
        </w:rPr>
        <w:t xml:space="preserve">There were 1,038 cases of shigellosis notified in 2015. </w:t>
      </w:r>
    </w:p>
    <w:p w14:paraId="79042985" w14:textId="77777777" w:rsidR="00BE61A2" w:rsidRPr="00F12402" w:rsidRDefault="00BE61A2" w:rsidP="00D762CF">
      <w:pPr>
        <w:pStyle w:val="ListParagraph"/>
        <w:numPr>
          <w:ilvl w:val="0"/>
          <w:numId w:val="4"/>
        </w:numPr>
        <w:rPr>
          <w:rFonts w:eastAsia="Times New Roman"/>
        </w:rPr>
      </w:pPr>
      <w:r w:rsidRPr="00F12402">
        <w:rPr>
          <w:rFonts w:eastAsia="Times New Roman"/>
        </w:rPr>
        <w:t xml:space="preserve">This rise in notifications is possibly associated with the increase in culture-independent diagnostic testing since late 2013. </w:t>
      </w:r>
    </w:p>
    <w:p w14:paraId="2FB9D0D3" w14:textId="77777777" w:rsidR="00BE61A2" w:rsidRPr="00AE2F1B" w:rsidRDefault="00BE61A2" w:rsidP="00AE2F1B">
      <w:r w:rsidRPr="00AE2F1B">
        <w:t xml:space="preserve">Shigellosis is a bacterial disease characterised by acute abdominal pain and fever, small-volume loose stools, vomiting and tenesmus. </w:t>
      </w:r>
      <w:r w:rsidRPr="00DF12AB">
        <w:rPr>
          <w:rStyle w:val="Emphasis"/>
          <w:b w:val="0"/>
        </w:rPr>
        <w:t>Shigella</w:t>
      </w:r>
      <w:r w:rsidRPr="00AE2F1B">
        <w:t xml:space="preserve"> is transmitted via the faecal–oral route, either directly (such as male-to-male sexual contact) or indirectly through contaminated food or water.</w:t>
      </w:r>
      <w:r w:rsidRPr="00AE2F1B">
        <w:rPr>
          <w:vertAlign w:val="superscript"/>
        </w:rPr>
        <w:t>21</w:t>
      </w:r>
      <w:r w:rsidRPr="00AE2F1B">
        <w:t xml:space="preserve"> </w:t>
      </w:r>
    </w:p>
    <w:p w14:paraId="068CEBB9" w14:textId="77777777" w:rsidR="00BE61A2" w:rsidRPr="00AE2F1B" w:rsidRDefault="00BE61A2" w:rsidP="00924A50">
      <w:pPr>
        <w:pStyle w:val="Heading3"/>
      </w:pPr>
      <w:bookmarkStart w:id="76" w:name="_Toc1747230"/>
      <w:r w:rsidRPr="00924A50">
        <w:rPr>
          <w:bCs w:val="0"/>
        </w:rPr>
        <w:t>Epidemiological situation in 2015</w:t>
      </w:r>
      <w:bookmarkEnd w:id="76"/>
    </w:p>
    <w:p w14:paraId="673BCD1B" w14:textId="77777777" w:rsidR="00BE61A2" w:rsidRDefault="00BE61A2" w:rsidP="00AE2F1B">
      <w:r w:rsidRPr="00AE2F1B">
        <w:t xml:space="preserve">There were 1,038 notified cases of shigellosis in 2015 (4.4 per 100,000). This is a slight decrease of 1% compared with 2014 (n=1,034) (Figure 27), and a 64% increase on the 5-year historical mean (n=632.8). This rise may be associated with the increased use of culture-independent diagnostic testing (CIDT). The current CIDT methods are unable to differentiate between infection caused by the notifiable </w:t>
      </w:r>
      <w:r w:rsidRPr="00DF12AB">
        <w:rPr>
          <w:rStyle w:val="Emphasis"/>
          <w:b w:val="0"/>
        </w:rPr>
        <w:t>Shigella</w:t>
      </w:r>
      <w:r w:rsidRPr="00AE2F1B">
        <w:t xml:space="preserve"> and the non-notifiable entero-invasive </w:t>
      </w:r>
      <w:r w:rsidRPr="00DF12AB">
        <w:rPr>
          <w:rStyle w:val="Emphasis"/>
          <w:b w:val="0"/>
        </w:rPr>
        <w:t>Escherichia coli</w:t>
      </w:r>
      <w:r w:rsidRPr="00AE2F1B">
        <w:t>.</w:t>
      </w:r>
      <w:r w:rsidRPr="00AE2F1B">
        <w:rPr>
          <w:vertAlign w:val="superscript"/>
        </w:rPr>
        <w:t>39</w:t>
      </w:r>
    </w:p>
    <w:p w14:paraId="7C3867C9" w14:textId="77777777" w:rsidR="000F5401" w:rsidRDefault="000F5401">
      <w:pPr>
        <w:rPr>
          <w:b/>
        </w:rPr>
      </w:pPr>
      <w:r>
        <w:br w:type="page"/>
      </w:r>
    </w:p>
    <w:p w14:paraId="1AF28834" w14:textId="77777777" w:rsidR="00CD2FE7" w:rsidRDefault="00CD2FE7" w:rsidP="00CD2FE7">
      <w:pPr>
        <w:pStyle w:val="CDIFigures"/>
      </w:pPr>
      <w:r w:rsidRPr="00CD2FE7">
        <w:lastRenderedPageBreak/>
        <w:t>Figure 27: Notifications and notification rate for shigellosis, Australia, 2010 to 2015, by year</w:t>
      </w:r>
    </w:p>
    <w:p w14:paraId="655FE1DE" w14:textId="77777777" w:rsidR="000F5401" w:rsidRPr="00CD2FE7" w:rsidRDefault="0021477A" w:rsidP="00CD2FE7">
      <w:pPr>
        <w:pStyle w:val="CDIFigures"/>
      </w:pPr>
      <w:r>
        <w:pict w14:anchorId="7CE09263">
          <v:shape id="_x0000_i1049" type="#_x0000_t75" alt="This figure shows the number of notifications and the notification rate for shigellosis in Australia between 2010 and 2015. National shigellosis notifications in 2015 increased by 64% compared to the 5-year historical mean (632.8). This increase may be associated with the increased use of culture-independent diagnostic testing." style="width:524.4pt;height:279.6pt">
            <v:imagedata r:id="rId43" o:title="3-Gastros chapter figure _14 to 31_Page_14"/>
          </v:shape>
        </w:pict>
      </w:r>
    </w:p>
    <w:p w14:paraId="2A68FD95" w14:textId="77777777" w:rsidR="00BE61A2" w:rsidRPr="00AE2F1B" w:rsidRDefault="00BE61A2" w:rsidP="00924A50">
      <w:pPr>
        <w:pStyle w:val="Heading3"/>
      </w:pPr>
      <w:bookmarkStart w:id="77" w:name="_Toc1747231"/>
      <w:r w:rsidRPr="00924A50">
        <w:rPr>
          <w:bCs w:val="0"/>
        </w:rPr>
        <w:t>Geographical distribution</w:t>
      </w:r>
      <w:bookmarkEnd w:id="77"/>
    </w:p>
    <w:p w14:paraId="18D5013E" w14:textId="77777777" w:rsidR="00BE61A2" w:rsidRPr="00AE2F1B" w:rsidRDefault="00BE61A2" w:rsidP="00AE2F1B">
      <w:r w:rsidRPr="00AE2F1B">
        <w:t>Notification rates ranged from 1.1 per 100,000 in South Australia to 55.6 per 100,000 in the Northern Territory. State and territory rates for 2015 should be interpreted with caution as some jurisdictions require CIDT-positive samples to be confirmed by culture while others do not.</w:t>
      </w:r>
    </w:p>
    <w:p w14:paraId="3E9D5F45" w14:textId="77777777" w:rsidR="00BE61A2" w:rsidRPr="00AE2F1B" w:rsidRDefault="00BE61A2" w:rsidP="00924A50">
      <w:pPr>
        <w:pStyle w:val="Heading3"/>
      </w:pPr>
      <w:bookmarkStart w:id="78" w:name="_Toc1747232"/>
      <w:r w:rsidRPr="00924A50">
        <w:rPr>
          <w:bCs w:val="0"/>
        </w:rPr>
        <w:t>Age and sex distribution</w:t>
      </w:r>
      <w:bookmarkEnd w:id="78"/>
    </w:p>
    <w:p w14:paraId="365CB94D" w14:textId="77777777" w:rsidR="00BE61A2" w:rsidRDefault="00BE61A2" w:rsidP="00AE2F1B">
      <w:r w:rsidRPr="00AE2F1B">
        <w:t>Notifications of shigellosis were highest in the 0–4 years age group (17%, 174/1,038) (Figure 28). In 2015, the median age of notified cases was 31 years (range: 0 to 89 years), and just over half (54%, 561/1,038) were male.</w:t>
      </w:r>
    </w:p>
    <w:p w14:paraId="1E3D93A5" w14:textId="77777777" w:rsidR="00986EA3" w:rsidRDefault="00986EA3">
      <w:pPr>
        <w:rPr>
          <w:b/>
        </w:rPr>
      </w:pPr>
      <w:r>
        <w:br w:type="page"/>
      </w:r>
    </w:p>
    <w:p w14:paraId="3B55DE29" w14:textId="77777777" w:rsidR="004A40FE" w:rsidRDefault="004A40FE" w:rsidP="004A40FE">
      <w:pPr>
        <w:pStyle w:val="CDIFigures"/>
      </w:pPr>
      <w:r w:rsidRPr="004A40FE">
        <w:lastRenderedPageBreak/>
        <w:t>Figure 28: Notifications of shigellosis, Australia, 2015, by age group and sex</w:t>
      </w:r>
    </w:p>
    <w:p w14:paraId="68388DBA" w14:textId="77777777" w:rsidR="00986EA3" w:rsidRPr="004A40FE" w:rsidRDefault="0021477A" w:rsidP="004A40FE">
      <w:pPr>
        <w:pStyle w:val="CDIFigures"/>
      </w:pPr>
      <w:r>
        <w:pict w14:anchorId="4E5CE317">
          <v:shape id="_x0000_i1050" type="#_x0000_t75" alt="This figure shows the number of notifications for shigellosis in Australia in 2015, by age group and sex. Notifications were highest in those aged 0-4 years, and just over half (54%) of shigellosis notifications were male." style="width:524.4pt;height:327pt">
            <v:imagedata r:id="rId44" o:title="3-Gastros chapter figure _14 to 31_Page_15"/>
          </v:shape>
        </w:pict>
      </w:r>
    </w:p>
    <w:p w14:paraId="5CA219AC" w14:textId="77777777" w:rsidR="00BE61A2" w:rsidRPr="0039362D" w:rsidRDefault="00BE61A2" w:rsidP="007D1C35">
      <w:pPr>
        <w:pStyle w:val="Heading3"/>
      </w:pPr>
      <w:bookmarkStart w:id="79" w:name="_Toc1747233"/>
      <w:r w:rsidRPr="0039362D">
        <w:t>Indigenous status</w:t>
      </w:r>
      <w:bookmarkEnd w:id="79"/>
    </w:p>
    <w:p w14:paraId="51BFB40D" w14:textId="77777777" w:rsidR="00BE61A2" w:rsidRPr="00AE2F1B" w:rsidRDefault="00BE61A2" w:rsidP="00AE2F1B">
      <w:r w:rsidRPr="00AE2F1B">
        <w:t xml:space="preserve">Information on Indigenous status was available for 88% (909/1,038) of shigellosis cases. This proportion varied by state or territory: 86% for the Australian Capital Territory (86%); 87% for New South Wales; 82% for Victoria; and 100% for the Northern Territory, Tasmania, South </w:t>
      </w:r>
      <w:proofErr w:type="gramStart"/>
      <w:r w:rsidRPr="00AE2F1B">
        <w:t>Australia</w:t>
      </w:r>
      <w:proofErr w:type="gramEnd"/>
      <w:r w:rsidRPr="00AE2F1B">
        <w:t xml:space="preserve"> and Western Australia. The proportion of notified cases who identified as being of Aboriginal and/or Torres Strait Islander origin was 24% (214/909).</w:t>
      </w:r>
    </w:p>
    <w:p w14:paraId="426B2506" w14:textId="77777777" w:rsidR="00BE61A2" w:rsidRPr="0039362D" w:rsidRDefault="00BE61A2" w:rsidP="007D1C35">
      <w:pPr>
        <w:pStyle w:val="Heading3"/>
      </w:pPr>
      <w:bookmarkStart w:id="80" w:name="_Toc1747234"/>
      <w:r w:rsidRPr="0039362D">
        <w:t>Place of acquisition</w:t>
      </w:r>
      <w:bookmarkEnd w:id="80"/>
    </w:p>
    <w:p w14:paraId="237829E7" w14:textId="77777777" w:rsidR="00BE61A2" w:rsidRPr="00AE2F1B" w:rsidRDefault="00BE61A2" w:rsidP="00AE2F1B">
      <w:r w:rsidRPr="00AE2F1B">
        <w:t xml:space="preserve">Place of acquisition was reported in 65% (678/1.038) of notified cases of shigellosis, </w:t>
      </w:r>
      <w:r w:rsidR="0034070A" w:rsidRPr="00AE2F1B">
        <w:t>of</w:t>
      </w:r>
      <w:r w:rsidRPr="00AE2F1B">
        <w:t xml:space="preserve"> these, 64% (435/678) were reported as being acquired overseas (Table 14). The top 5 countries of acquisition were India (n=98), Indonesia (n=95), Philippines (n=19), Thailand (n=19) and Vietnam (n=18).</w:t>
      </w:r>
    </w:p>
    <w:p w14:paraId="53EC4AC6" w14:textId="77777777" w:rsidR="001F5258" w:rsidRDefault="001F5258">
      <w:pPr>
        <w:rPr>
          <w:b/>
        </w:rPr>
      </w:pPr>
      <w:r>
        <w:br w:type="page"/>
      </w:r>
    </w:p>
    <w:p w14:paraId="2AFD6F30" w14:textId="77777777" w:rsidR="00BE61A2" w:rsidRPr="00AE2F1B" w:rsidRDefault="00BE61A2" w:rsidP="00B65FE7">
      <w:pPr>
        <w:pStyle w:val="CDIFigures"/>
      </w:pPr>
      <w:r w:rsidRPr="00AE2F1B">
        <w:lastRenderedPageBreak/>
        <w:t xml:space="preserve">Table 14: Notifications of shigellosis, Australia, 2010 to 2015, by place of acquisition </w:t>
      </w:r>
      <w:r w:rsidRPr="00AE2F1B">
        <w:rPr>
          <w:vertAlign w:val="superscript"/>
        </w:rPr>
        <w:t>*</w:t>
      </w:r>
      <w:r w:rsidRPr="00AE2F1B">
        <w:t xml:space="preserve">Excludes cases with unknown place of </w:t>
      </w:r>
      <w:proofErr w:type="gramStart"/>
      <w:r w:rsidRPr="00AE2F1B">
        <w:t>acquisition</w:t>
      </w:r>
      <w:proofErr w:type="gramEnd"/>
      <w:r w:rsidRPr="00AE2F1B">
        <w:t xml:space="preserve"> </w:t>
      </w:r>
    </w:p>
    <w:tbl>
      <w:tblPr>
        <w:tblStyle w:val="CDI-StandardTable"/>
        <w:tblW w:w="0" w:type="auto"/>
        <w:tblCellMar>
          <w:top w:w="142" w:type="dxa"/>
          <w:left w:w="142" w:type="dxa"/>
          <w:bottom w:w="142" w:type="dxa"/>
        </w:tblCellMar>
        <w:tblLook w:val="04A0" w:firstRow="1" w:lastRow="0" w:firstColumn="1" w:lastColumn="0" w:noHBand="0" w:noVBand="1"/>
        <w:tblDescription w:val="This table shows the number of notifications of shigellosis in Australia between 2010 and 2015, by place of acquisition. In 2015, where place of acquisition was reported, 64% of shigellosis notifications were overseas acquired.&#10;"/>
      </w:tblPr>
      <w:tblGrid>
        <w:gridCol w:w="1985"/>
        <w:gridCol w:w="1417"/>
        <w:gridCol w:w="1511"/>
        <w:gridCol w:w="1842"/>
        <w:gridCol w:w="1842"/>
        <w:gridCol w:w="1843"/>
      </w:tblGrid>
      <w:tr w:rsidR="00BE61A2" w:rsidRPr="00374CC9" w14:paraId="414189C6" w14:textId="77777777" w:rsidTr="00CD1878">
        <w:trPr>
          <w:cnfStyle w:val="100000000000" w:firstRow="1" w:lastRow="0" w:firstColumn="0" w:lastColumn="0" w:oddVBand="0" w:evenVBand="0" w:oddHBand="0" w:evenHBand="0" w:firstRowFirstColumn="0" w:firstRowLastColumn="0" w:lastRowFirstColumn="0" w:lastRowLastColumn="0"/>
          <w:tblHeader/>
        </w:trPr>
        <w:tc>
          <w:tcPr>
            <w:tcW w:w="1985" w:type="dxa"/>
            <w:vMerge w:val="restart"/>
            <w:hideMark/>
          </w:tcPr>
          <w:p w14:paraId="579F556F"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Year notified</w:t>
            </w:r>
          </w:p>
        </w:tc>
        <w:tc>
          <w:tcPr>
            <w:tcW w:w="2928" w:type="dxa"/>
            <w:gridSpan w:val="2"/>
            <w:hideMark/>
          </w:tcPr>
          <w:p w14:paraId="169D6ABA"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Locally acquired</w:t>
            </w:r>
          </w:p>
        </w:tc>
        <w:tc>
          <w:tcPr>
            <w:tcW w:w="1842" w:type="dxa"/>
            <w:hideMark/>
          </w:tcPr>
          <w:p w14:paraId="30142E86"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Overseas acquired</w:t>
            </w:r>
          </w:p>
        </w:tc>
        <w:tc>
          <w:tcPr>
            <w:tcW w:w="1842" w:type="dxa"/>
            <w:hideMark/>
          </w:tcPr>
          <w:p w14:paraId="11499310"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Unknown</w:t>
            </w:r>
          </w:p>
        </w:tc>
        <w:tc>
          <w:tcPr>
            <w:tcW w:w="1843" w:type="dxa"/>
            <w:hideMark/>
          </w:tcPr>
          <w:p w14:paraId="4E9B921F"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Total</w:t>
            </w:r>
          </w:p>
        </w:tc>
      </w:tr>
      <w:tr w:rsidR="00BE61A2" w:rsidRPr="00374CC9" w14:paraId="482C86D9" w14:textId="77777777" w:rsidTr="00CD1878">
        <w:trPr>
          <w:cnfStyle w:val="100000000000" w:firstRow="1" w:lastRow="0" w:firstColumn="0" w:lastColumn="0" w:oddVBand="0" w:evenVBand="0" w:oddHBand="0" w:evenHBand="0" w:firstRowFirstColumn="0" w:firstRowLastColumn="0" w:lastRowFirstColumn="0" w:lastRowLastColumn="0"/>
          <w:tblHeader/>
        </w:trPr>
        <w:tc>
          <w:tcPr>
            <w:tcW w:w="1985" w:type="dxa"/>
            <w:vMerge/>
            <w:hideMark/>
          </w:tcPr>
          <w:p w14:paraId="0A4F5AF5" w14:textId="77777777" w:rsidR="00BE61A2" w:rsidRPr="007D1C35" w:rsidRDefault="00BE61A2">
            <w:pPr>
              <w:rPr>
                <w:rFonts w:eastAsia="Times New Roman"/>
                <w:color w:val="FFFFFF" w:themeColor="background1"/>
                <w:sz w:val="18"/>
                <w:szCs w:val="18"/>
              </w:rPr>
            </w:pPr>
          </w:p>
        </w:tc>
        <w:tc>
          <w:tcPr>
            <w:tcW w:w="1417" w:type="dxa"/>
            <w:hideMark/>
          </w:tcPr>
          <w:p w14:paraId="21611D4E"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n</w:t>
            </w:r>
          </w:p>
        </w:tc>
        <w:tc>
          <w:tcPr>
            <w:tcW w:w="1511" w:type="dxa"/>
            <w:hideMark/>
          </w:tcPr>
          <w:p w14:paraId="25AE0AEF"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w:t>
            </w:r>
            <w:r w:rsidRPr="007D1C35">
              <w:rPr>
                <w:rFonts w:eastAsia="Times New Roman"/>
                <w:color w:val="FFFFFF" w:themeColor="background1"/>
                <w:sz w:val="18"/>
                <w:szCs w:val="18"/>
                <w:vertAlign w:val="superscript"/>
              </w:rPr>
              <w:t>*</w:t>
            </w:r>
          </w:p>
        </w:tc>
        <w:tc>
          <w:tcPr>
            <w:tcW w:w="1842" w:type="dxa"/>
            <w:hideMark/>
          </w:tcPr>
          <w:p w14:paraId="20E6453F"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n</w:t>
            </w:r>
          </w:p>
        </w:tc>
        <w:tc>
          <w:tcPr>
            <w:tcW w:w="1842" w:type="dxa"/>
            <w:hideMark/>
          </w:tcPr>
          <w:p w14:paraId="3CFB543C"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n</w:t>
            </w:r>
          </w:p>
        </w:tc>
        <w:tc>
          <w:tcPr>
            <w:tcW w:w="1843" w:type="dxa"/>
            <w:hideMark/>
          </w:tcPr>
          <w:p w14:paraId="10DB4D2E"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n</w:t>
            </w:r>
          </w:p>
        </w:tc>
      </w:tr>
      <w:tr w:rsidR="00BE61A2" w:rsidRPr="00374CC9" w14:paraId="5E938653" w14:textId="77777777" w:rsidTr="00CD1878">
        <w:tblPrEx>
          <w:tblCellMar>
            <w:right w:w="108" w:type="dxa"/>
          </w:tblCellMar>
        </w:tblPrEx>
        <w:tc>
          <w:tcPr>
            <w:tcW w:w="1985" w:type="dxa"/>
            <w:hideMark/>
          </w:tcPr>
          <w:p w14:paraId="6F3E01F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2010</w:t>
            </w:r>
          </w:p>
        </w:tc>
        <w:tc>
          <w:tcPr>
            <w:tcW w:w="1417" w:type="dxa"/>
            <w:hideMark/>
          </w:tcPr>
          <w:p w14:paraId="38DDE6A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179</w:t>
            </w:r>
          </w:p>
        </w:tc>
        <w:tc>
          <w:tcPr>
            <w:tcW w:w="1511" w:type="dxa"/>
            <w:hideMark/>
          </w:tcPr>
          <w:p w14:paraId="33E655A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47</w:t>
            </w:r>
          </w:p>
        </w:tc>
        <w:tc>
          <w:tcPr>
            <w:tcW w:w="1842" w:type="dxa"/>
            <w:hideMark/>
          </w:tcPr>
          <w:p w14:paraId="266FEDD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201</w:t>
            </w:r>
          </w:p>
        </w:tc>
        <w:tc>
          <w:tcPr>
            <w:tcW w:w="1842" w:type="dxa"/>
            <w:hideMark/>
          </w:tcPr>
          <w:p w14:paraId="2F03F73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172</w:t>
            </w:r>
          </w:p>
        </w:tc>
        <w:tc>
          <w:tcPr>
            <w:tcW w:w="1843" w:type="dxa"/>
            <w:hideMark/>
          </w:tcPr>
          <w:p w14:paraId="4630F0D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552</w:t>
            </w:r>
          </w:p>
        </w:tc>
      </w:tr>
      <w:tr w:rsidR="00BE61A2" w:rsidRPr="00374CC9" w14:paraId="546646B2" w14:textId="77777777" w:rsidTr="00CD1878">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1985" w:type="dxa"/>
            <w:hideMark/>
          </w:tcPr>
          <w:p w14:paraId="5C94F66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2011</w:t>
            </w:r>
          </w:p>
        </w:tc>
        <w:tc>
          <w:tcPr>
            <w:tcW w:w="1417" w:type="dxa"/>
            <w:hideMark/>
          </w:tcPr>
          <w:p w14:paraId="59BE3FA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169</w:t>
            </w:r>
          </w:p>
        </w:tc>
        <w:tc>
          <w:tcPr>
            <w:tcW w:w="1511" w:type="dxa"/>
            <w:hideMark/>
          </w:tcPr>
          <w:p w14:paraId="729D199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53</w:t>
            </w:r>
          </w:p>
        </w:tc>
        <w:tc>
          <w:tcPr>
            <w:tcW w:w="1842" w:type="dxa"/>
            <w:hideMark/>
          </w:tcPr>
          <w:p w14:paraId="0FEBEF4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148</w:t>
            </w:r>
          </w:p>
        </w:tc>
        <w:tc>
          <w:tcPr>
            <w:tcW w:w="1842" w:type="dxa"/>
            <w:hideMark/>
          </w:tcPr>
          <w:p w14:paraId="69484C6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176</w:t>
            </w:r>
          </w:p>
        </w:tc>
        <w:tc>
          <w:tcPr>
            <w:tcW w:w="1843" w:type="dxa"/>
            <w:hideMark/>
          </w:tcPr>
          <w:p w14:paraId="15A775F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493</w:t>
            </w:r>
          </w:p>
        </w:tc>
      </w:tr>
      <w:tr w:rsidR="00BE61A2" w:rsidRPr="00374CC9" w14:paraId="1BC37887" w14:textId="77777777" w:rsidTr="00CD1878">
        <w:tblPrEx>
          <w:tblCellMar>
            <w:right w:w="108" w:type="dxa"/>
          </w:tblCellMar>
        </w:tblPrEx>
        <w:tc>
          <w:tcPr>
            <w:tcW w:w="1985" w:type="dxa"/>
            <w:hideMark/>
          </w:tcPr>
          <w:p w14:paraId="72B3080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2012</w:t>
            </w:r>
          </w:p>
        </w:tc>
        <w:tc>
          <w:tcPr>
            <w:tcW w:w="1417" w:type="dxa"/>
            <w:hideMark/>
          </w:tcPr>
          <w:p w14:paraId="594908C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170</w:t>
            </w:r>
          </w:p>
        </w:tc>
        <w:tc>
          <w:tcPr>
            <w:tcW w:w="1511" w:type="dxa"/>
            <w:hideMark/>
          </w:tcPr>
          <w:p w14:paraId="61E2B8B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45</w:t>
            </w:r>
          </w:p>
        </w:tc>
        <w:tc>
          <w:tcPr>
            <w:tcW w:w="1842" w:type="dxa"/>
            <w:hideMark/>
          </w:tcPr>
          <w:p w14:paraId="51D46EE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204</w:t>
            </w:r>
          </w:p>
        </w:tc>
        <w:tc>
          <w:tcPr>
            <w:tcW w:w="1842" w:type="dxa"/>
            <w:hideMark/>
          </w:tcPr>
          <w:p w14:paraId="5DAFD03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173</w:t>
            </w:r>
          </w:p>
        </w:tc>
        <w:tc>
          <w:tcPr>
            <w:tcW w:w="1843" w:type="dxa"/>
            <w:hideMark/>
          </w:tcPr>
          <w:p w14:paraId="3CD3933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547</w:t>
            </w:r>
          </w:p>
        </w:tc>
      </w:tr>
      <w:tr w:rsidR="00BE61A2" w:rsidRPr="00374CC9" w14:paraId="470CEE5D" w14:textId="77777777" w:rsidTr="00CD1878">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1985" w:type="dxa"/>
            <w:hideMark/>
          </w:tcPr>
          <w:p w14:paraId="34F39AD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2013</w:t>
            </w:r>
          </w:p>
        </w:tc>
        <w:tc>
          <w:tcPr>
            <w:tcW w:w="1417" w:type="dxa"/>
            <w:hideMark/>
          </w:tcPr>
          <w:p w14:paraId="00876AF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137</w:t>
            </w:r>
          </w:p>
        </w:tc>
        <w:tc>
          <w:tcPr>
            <w:tcW w:w="1511" w:type="dxa"/>
            <w:hideMark/>
          </w:tcPr>
          <w:p w14:paraId="661E74A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39</w:t>
            </w:r>
          </w:p>
        </w:tc>
        <w:tc>
          <w:tcPr>
            <w:tcW w:w="1842" w:type="dxa"/>
            <w:hideMark/>
          </w:tcPr>
          <w:p w14:paraId="396EAB2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210</w:t>
            </w:r>
          </w:p>
        </w:tc>
        <w:tc>
          <w:tcPr>
            <w:tcW w:w="1842" w:type="dxa"/>
            <w:hideMark/>
          </w:tcPr>
          <w:p w14:paraId="65A8ACB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191</w:t>
            </w:r>
          </w:p>
        </w:tc>
        <w:tc>
          <w:tcPr>
            <w:tcW w:w="1843" w:type="dxa"/>
            <w:hideMark/>
          </w:tcPr>
          <w:p w14:paraId="12F7C9F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538</w:t>
            </w:r>
          </w:p>
        </w:tc>
      </w:tr>
      <w:tr w:rsidR="00BE61A2" w:rsidRPr="00374CC9" w14:paraId="70ACFC8D" w14:textId="77777777" w:rsidTr="00CD1878">
        <w:tblPrEx>
          <w:tblCellMar>
            <w:right w:w="108" w:type="dxa"/>
          </w:tblCellMar>
        </w:tblPrEx>
        <w:tc>
          <w:tcPr>
            <w:tcW w:w="1985" w:type="dxa"/>
            <w:hideMark/>
          </w:tcPr>
          <w:p w14:paraId="56213E8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2014</w:t>
            </w:r>
          </w:p>
        </w:tc>
        <w:tc>
          <w:tcPr>
            <w:tcW w:w="1417" w:type="dxa"/>
            <w:hideMark/>
          </w:tcPr>
          <w:p w14:paraId="546790B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184</w:t>
            </w:r>
          </w:p>
        </w:tc>
        <w:tc>
          <w:tcPr>
            <w:tcW w:w="1511" w:type="dxa"/>
            <w:hideMark/>
          </w:tcPr>
          <w:p w14:paraId="24286D2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36</w:t>
            </w:r>
          </w:p>
        </w:tc>
        <w:tc>
          <w:tcPr>
            <w:tcW w:w="1842" w:type="dxa"/>
            <w:hideMark/>
          </w:tcPr>
          <w:p w14:paraId="3DEFC6A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334</w:t>
            </w:r>
          </w:p>
        </w:tc>
        <w:tc>
          <w:tcPr>
            <w:tcW w:w="1842" w:type="dxa"/>
            <w:hideMark/>
          </w:tcPr>
          <w:p w14:paraId="32A601C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516</w:t>
            </w:r>
          </w:p>
        </w:tc>
        <w:tc>
          <w:tcPr>
            <w:tcW w:w="1843" w:type="dxa"/>
            <w:hideMark/>
          </w:tcPr>
          <w:p w14:paraId="259F708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1,034</w:t>
            </w:r>
          </w:p>
        </w:tc>
      </w:tr>
      <w:tr w:rsidR="00BE61A2" w:rsidRPr="00374CC9" w14:paraId="1D09A09C" w14:textId="77777777" w:rsidTr="00CD1878">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1985" w:type="dxa"/>
            <w:hideMark/>
          </w:tcPr>
          <w:p w14:paraId="3761A3A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2015</w:t>
            </w:r>
          </w:p>
        </w:tc>
        <w:tc>
          <w:tcPr>
            <w:tcW w:w="1417" w:type="dxa"/>
            <w:hideMark/>
          </w:tcPr>
          <w:p w14:paraId="37D1512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243</w:t>
            </w:r>
          </w:p>
        </w:tc>
        <w:tc>
          <w:tcPr>
            <w:tcW w:w="1511" w:type="dxa"/>
            <w:hideMark/>
          </w:tcPr>
          <w:p w14:paraId="74234A8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36</w:t>
            </w:r>
          </w:p>
        </w:tc>
        <w:tc>
          <w:tcPr>
            <w:tcW w:w="1842" w:type="dxa"/>
            <w:hideMark/>
          </w:tcPr>
          <w:p w14:paraId="08EF764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435</w:t>
            </w:r>
          </w:p>
        </w:tc>
        <w:tc>
          <w:tcPr>
            <w:tcW w:w="1842" w:type="dxa"/>
            <w:hideMark/>
          </w:tcPr>
          <w:p w14:paraId="6598B1F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360</w:t>
            </w:r>
          </w:p>
        </w:tc>
        <w:tc>
          <w:tcPr>
            <w:tcW w:w="1843" w:type="dxa"/>
            <w:hideMark/>
          </w:tcPr>
          <w:p w14:paraId="2DF14C5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1,038</w:t>
            </w:r>
          </w:p>
        </w:tc>
      </w:tr>
    </w:tbl>
    <w:p w14:paraId="15634AB4" w14:textId="77777777" w:rsidR="00BE61A2" w:rsidRPr="004E056D" w:rsidRDefault="00BE61A2" w:rsidP="004E056D">
      <w:pPr>
        <w:pStyle w:val="Heading2"/>
        <w:rPr>
          <w:rFonts w:eastAsiaTheme="minorEastAsia"/>
        </w:rPr>
      </w:pPr>
      <w:bookmarkStart w:id="81" w:name="_Toc1747235"/>
      <w:r w:rsidRPr="004E056D">
        <w:rPr>
          <w:bCs w:val="0"/>
          <w:sz w:val="27"/>
          <w:szCs w:val="27"/>
        </w:rPr>
        <w:t>Shiga toxin-producing Escherichia coli</w:t>
      </w:r>
      <w:bookmarkEnd w:id="81"/>
    </w:p>
    <w:p w14:paraId="1D35A08D" w14:textId="77777777" w:rsidR="00BE61A2" w:rsidRPr="00B65FE7" w:rsidRDefault="00BE61A2" w:rsidP="00D762CF">
      <w:pPr>
        <w:pStyle w:val="ListParagraph"/>
        <w:numPr>
          <w:ilvl w:val="0"/>
          <w:numId w:val="4"/>
        </w:numPr>
        <w:rPr>
          <w:rFonts w:eastAsia="Times New Roman"/>
        </w:rPr>
      </w:pPr>
      <w:r w:rsidRPr="00B65FE7">
        <w:rPr>
          <w:rFonts w:eastAsia="Times New Roman"/>
        </w:rPr>
        <w:t xml:space="preserve">There were 137 cases of Shiga toxin-producing </w:t>
      </w:r>
      <w:r w:rsidRPr="00B65FE7">
        <w:rPr>
          <w:rStyle w:val="Emphasis"/>
          <w:rFonts w:eastAsia="Times New Roman"/>
          <w:b w:val="0"/>
        </w:rPr>
        <w:t>Escherichia coli</w:t>
      </w:r>
      <w:r w:rsidRPr="00B65FE7">
        <w:rPr>
          <w:rFonts w:eastAsia="Times New Roman"/>
        </w:rPr>
        <w:t xml:space="preserve"> infection notified in 2015. </w:t>
      </w:r>
    </w:p>
    <w:p w14:paraId="2D5D0DCD" w14:textId="77777777" w:rsidR="00B65FE7" w:rsidRPr="00B65FE7" w:rsidRDefault="00BE61A2" w:rsidP="00D762CF">
      <w:pPr>
        <w:pStyle w:val="ListParagraph"/>
        <w:numPr>
          <w:ilvl w:val="0"/>
          <w:numId w:val="4"/>
        </w:numPr>
        <w:rPr>
          <w:rFonts w:eastAsia="Times New Roman"/>
        </w:rPr>
      </w:pPr>
      <w:r w:rsidRPr="00B65FE7">
        <w:rPr>
          <w:rFonts w:eastAsia="Times New Roman"/>
        </w:rPr>
        <w:t>In 2015, the median age of notified cases was 3</w:t>
      </w:r>
      <w:r w:rsidR="00B65FE7" w:rsidRPr="00B65FE7">
        <w:rPr>
          <w:rFonts w:eastAsia="Times New Roman"/>
        </w:rPr>
        <w:t>7 years (range: 0 to 91 years).</w:t>
      </w:r>
    </w:p>
    <w:p w14:paraId="65E73D5F" w14:textId="77777777" w:rsidR="00BE61A2" w:rsidRPr="00AE2F1B" w:rsidRDefault="00BE61A2" w:rsidP="00AE2F1B">
      <w:pPr>
        <w:rPr>
          <w:rFonts w:eastAsia="Times New Roman"/>
        </w:rPr>
      </w:pPr>
      <w:r w:rsidRPr="00AE2F1B">
        <w:rPr>
          <w:rFonts w:eastAsia="Times New Roman"/>
        </w:rPr>
        <w:t xml:space="preserve">Shiga toxin-producing </w:t>
      </w:r>
      <w:r w:rsidRPr="00DF12AB">
        <w:rPr>
          <w:rStyle w:val="Emphasis"/>
          <w:rFonts w:eastAsia="Times New Roman"/>
          <w:b w:val="0"/>
        </w:rPr>
        <w:t>Escherichia coli</w:t>
      </w:r>
      <w:r w:rsidRPr="00AE2F1B">
        <w:rPr>
          <w:rFonts w:eastAsia="Times New Roman"/>
        </w:rPr>
        <w:t xml:space="preserve"> (STEC) is a common cause of diarrhoeal illness in humans. People can become infected via faecal–oral transmission, ingesting contaminated food, through animal contact and from environmental exposures. Severe illness can progress to HUS. Children under 5 years of age are most frequently diagnosed with infection and are at greatest risk of developing HUS.</w:t>
      </w:r>
      <w:r w:rsidRPr="00AE2F1B">
        <w:rPr>
          <w:rFonts w:eastAsia="Times New Roman"/>
          <w:vertAlign w:val="superscript"/>
        </w:rPr>
        <w:t>21</w:t>
      </w:r>
      <w:r w:rsidRPr="00AE2F1B">
        <w:rPr>
          <w:rFonts w:eastAsia="Times New Roman"/>
        </w:rPr>
        <w:t xml:space="preserve"> </w:t>
      </w:r>
    </w:p>
    <w:p w14:paraId="732A65C9" w14:textId="77777777" w:rsidR="00BE61A2" w:rsidRPr="00AE2F1B" w:rsidRDefault="00BE61A2" w:rsidP="00924A50">
      <w:pPr>
        <w:pStyle w:val="Heading3"/>
        <w:rPr>
          <w:rFonts w:eastAsiaTheme="minorEastAsia"/>
        </w:rPr>
      </w:pPr>
      <w:bookmarkStart w:id="82" w:name="_Toc1747236"/>
      <w:r w:rsidRPr="00924A50">
        <w:rPr>
          <w:bCs w:val="0"/>
        </w:rPr>
        <w:t>Epidemiological situation in 2015</w:t>
      </w:r>
      <w:bookmarkEnd w:id="82"/>
    </w:p>
    <w:p w14:paraId="3C8FCF06" w14:textId="77777777" w:rsidR="00BE61A2" w:rsidRPr="00AE2F1B" w:rsidRDefault="00BE61A2" w:rsidP="00AE2F1B">
      <w:r w:rsidRPr="00AE2F1B">
        <w:t>There were 137 notified cases of STEC in 2015 (0.6 per 100,000). This was a 19% decrease from the number of cases in 2014 (n=115) and an 18% increase compared to the 5-year historical mean (n=116.4).</w:t>
      </w:r>
    </w:p>
    <w:p w14:paraId="7405EE85" w14:textId="77777777" w:rsidR="00BE61A2" w:rsidRPr="00AE2F1B" w:rsidRDefault="00BE61A2" w:rsidP="00924A50">
      <w:pPr>
        <w:pStyle w:val="Heading3"/>
      </w:pPr>
      <w:bookmarkStart w:id="83" w:name="_Toc1747237"/>
      <w:r w:rsidRPr="00924A50">
        <w:rPr>
          <w:bCs w:val="0"/>
        </w:rPr>
        <w:t>Geographical distribution</w:t>
      </w:r>
      <w:bookmarkEnd w:id="83"/>
    </w:p>
    <w:p w14:paraId="229C6040" w14:textId="77777777" w:rsidR="00BE61A2" w:rsidRPr="00AE2F1B" w:rsidRDefault="00BE61A2" w:rsidP="00AE2F1B">
      <w:r w:rsidRPr="00AE2F1B">
        <w:t>Detection of STEC infection is strongly influenced by jurisdictional practices regarding the screening of stool specimens.</w:t>
      </w:r>
      <w:r w:rsidRPr="00AE2F1B">
        <w:rPr>
          <w:vertAlign w:val="superscript"/>
        </w:rPr>
        <w:t>34</w:t>
      </w:r>
      <w:r w:rsidRPr="00AE2F1B">
        <w:t xml:space="preserve"> South Australia continues to test all bloody stools for STEC using PCR and has the most comprehensive screening practices across all jurisdictions. As a result of these testing practices, it has the highest notification rate in the country; 2.6 cases per 100,000 compared with between 0.4 and 0.7 cases per 100,000 in other states and territories reporting cases. The differences in testing practices among states and territories render comparison of notification data by jurisdiction and over time invalid. </w:t>
      </w:r>
    </w:p>
    <w:p w14:paraId="64253B82" w14:textId="77777777" w:rsidR="00BE61A2" w:rsidRPr="00AE2F1B" w:rsidRDefault="00BE61A2" w:rsidP="00924A50">
      <w:pPr>
        <w:pStyle w:val="Heading3"/>
      </w:pPr>
      <w:bookmarkStart w:id="84" w:name="_Toc1747238"/>
      <w:r w:rsidRPr="00924A50">
        <w:rPr>
          <w:bCs w:val="0"/>
        </w:rPr>
        <w:t>Age and sex distribution</w:t>
      </w:r>
      <w:bookmarkEnd w:id="84"/>
    </w:p>
    <w:p w14:paraId="0368D647" w14:textId="77777777" w:rsidR="00BE61A2" w:rsidRDefault="00BE61A2" w:rsidP="00AE2F1B">
      <w:r w:rsidRPr="00AE2F1B">
        <w:t>Notifications of STEC were highest in the 0–4 years age group (12%, 16/137) (Figure 29). In 2015, the median age of notified cases was 37 years (range: 0 to 91 years) and 53% (72/137) of notified cases were male.</w:t>
      </w:r>
    </w:p>
    <w:p w14:paraId="67F1126B" w14:textId="77777777" w:rsidR="006833D2" w:rsidRDefault="006833D2">
      <w:pPr>
        <w:rPr>
          <w:b/>
        </w:rPr>
      </w:pPr>
      <w:r>
        <w:br w:type="page"/>
      </w:r>
    </w:p>
    <w:p w14:paraId="265C8EA8" w14:textId="77777777" w:rsidR="002D6E54" w:rsidRDefault="002D6E54" w:rsidP="002D6E54">
      <w:pPr>
        <w:pStyle w:val="CDIFigures"/>
      </w:pPr>
      <w:r w:rsidRPr="002D6E54">
        <w:lastRenderedPageBreak/>
        <w:t>Figure 29: Number of notifications of Shiga toxin-producing Escherichia coli infection, Australia, 2015, by age group and sex</w:t>
      </w:r>
    </w:p>
    <w:p w14:paraId="47D97934" w14:textId="77777777" w:rsidR="006833D2" w:rsidRPr="002D6E54" w:rsidRDefault="0021477A" w:rsidP="002D6E54">
      <w:pPr>
        <w:pStyle w:val="CDIFigures"/>
      </w:pPr>
      <w:r>
        <w:pict w14:anchorId="5C80BE66">
          <v:shape id="_x0000_i1051" type="#_x0000_t75" alt="This figure shows the number of notifications for Shiga toxin-producing Escherichia coli infection in Australia in 2015, by age group and sex. Notifications were highest in those aged 0-4 years (12%), and 53% of notifications were male." style="width:522.6pt;height:327pt;mso-position-vertical:absolute">
            <v:imagedata r:id="rId45" o:title="3-Gastros chapter figure _14 to 31_Page_16"/>
          </v:shape>
        </w:pict>
      </w:r>
    </w:p>
    <w:p w14:paraId="7D0BA63D" w14:textId="77777777" w:rsidR="00BE61A2" w:rsidRPr="00AE2F1B" w:rsidRDefault="00BE61A2" w:rsidP="00924A50">
      <w:pPr>
        <w:pStyle w:val="Heading3"/>
      </w:pPr>
      <w:bookmarkStart w:id="85" w:name="_Toc1747239"/>
      <w:r w:rsidRPr="00924A50">
        <w:rPr>
          <w:bCs w:val="0"/>
        </w:rPr>
        <w:t>Microbiological trends</w:t>
      </w:r>
      <w:bookmarkEnd w:id="85"/>
    </w:p>
    <w:p w14:paraId="42F57702" w14:textId="77777777" w:rsidR="00BE61A2" w:rsidRPr="00AE2F1B" w:rsidRDefault="00BE61A2" w:rsidP="00AE2F1B">
      <w:r w:rsidRPr="00AE2F1B">
        <w:t xml:space="preserve">A partial or complete serotype was available for 61% (84/137) of STEC notifications in 2015, while a further 2 were reported as being not typable (Table 15). </w:t>
      </w:r>
    </w:p>
    <w:p w14:paraId="5DE36383" w14:textId="77777777" w:rsidR="007E4CF4" w:rsidRDefault="007E4CF4">
      <w:pPr>
        <w:rPr>
          <w:rStyle w:val="Strong"/>
        </w:rPr>
      </w:pPr>
      <w:r>
        <w:rPr>
          <w:rStyle w:val="Strong"/>
          <w:b w:val="0"/>
        </w:rPr>
        <w:br w:type="page"/>
      </w:r>
    </w:p>
    <w:p w14:paraId="776D85FB" w14:textId="77777777" w:rsidR="00BE61A2" w:rsidRPr="00AE2F1B" w:rsidRDefault="00BE61A2" w:rsidP="00001B05">
      <w:pPr>
        <w:pStyle w:val="CDIFigures"/>
      </w:pPr>
      <w:r w:rsidRPr="00924A50">
        <w:rPr>
          <w:rStyle w:val="Strong"/>
          <w:b/>
        </w:rPr>
        <w:lastRenderedPageBreak/>
        <w:t>Table 15: Notifications of Shiga toxin-producing E.coli (STEC) in 2015 by serotype or partial serotype</w:t>
      </w:r>
    </w:p>
    <w:tbl>
      <w:tblPr>
        <w:tblStyle w:val="CDI-StandardTable"/>
        <w:tblW w:w="0" w:type="auto"/>
        <w:tblCellMar>
          <w:top w:w="142" w:type="dxa"/>
          <w:left w:w="142" w:type="dxa"/>
          <w:bottom w:w="142" w:type="dxa"/>
        </w:tblCellMar>
        <w:tblLook w:val="04A0" w:firstRow="1" w:lastRow="0" w:firstColumn="1" w:lastColumn="0" w:noHBand="0" w:noVBand="1"/>
        <w:tblDescription w:val="This table shows the number of notifications for Shiga toxin-producing Escherichia coli (STEC) in Australia in 2015, by serotype or partial serotype. In 2015, a partial or complete serotype was available for 61% of STEC notifications.&#10;"/>
      </w:tblPr>
      <w:tblGrid>
        <w:gridCol w:w="2280"/>
        <w:gridCol w:w="1406"/>
      </w:tblGrid>
      <w:tr w:rsidR="00BE61A2" w:rsidRPr="00374CC9" w14:paraId="02310C8C" w14:textId="77777777" w:rsidTr="007E4CF4">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3FB9F5E1"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Serotype / partial serotype</w:t>
            </w:r>
          </w:p>
        </w:tc>
        <w:tc>
          <w:tcPr>
            <w:tcW w:w="1406" w:type="dxa"/>
            <w:hideMark/>
          </w:tcPr>
          <w:p w14:paraId="5C1A90C7"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n</w:t>
            </w:r>
          </w:p>
        </w:tc>
      </w:tr>
      <w:tr w:rsidR="00BE61A2" w:rsidRPr="00374CC9" w14:paraId="606B6BAC" w14:textId="77777777" w:rsidTr="007E4CF4">
        <w:tblPrEx>
          <w:tblCellMar>
            <w:right w:w="108" w:type="dxa"/>
          </w:tblCellMar>
        </w:tblPrEx>
        <w:tc>
          <w:tcPr>
            <w:tcW w:w="0" w:type="auto"/>
            <w:hideMark/>
          </w:tcPr>
          <w:p w14:paraId="2EBAF9B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O111</w:t>
            </w:r>
          </w:p>
        </w:tc>
        <w:tc>
          <w:tcPr>
            <w:tcW w:w="1406" w:type="dxa"/>
            <w:hideMark/>
          </w:tcPr>
          <w:p w14:paraId="560A33A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w:t>
            </w:r>
          </w:p>
        </w:tc>
      </w:tr>
      <w:tr w:rsidR="00BE61A2" w:rsidRPr="00374CC9" w14:paraId="0465D7A5" w14:textId="77777777" w:rsidTr="007E4CF4">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40E8A9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O111:H</w:t>
            </w:r>
          </w:p>
        </w:tc>
        <w:tc>
          <w:tcPr>
            <w:tcW w:w="1406" w:type="dxa"/>
            <w:hideMark/>
          </w:tcPr>
          <w:p w14:paraId="0CE6916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w:t>
            </w:r>
          </w:p>
        </w:tc>
      </w:tr>
      <w:tr w:rsidR="00BE61A2" w:rsidRPr="00374CC9" w14:paraId="1D9DFCD0" w14:textId="77777777" w:rsidTr="007E4CF4">
        <w:tblPrEx>
          <w:tblCellMar>
            <w:right w:w="108" w:type="dxa"/>
          </w:tblCellMar>
        </w:tblPrEx>
        <w:tc>
          <w:tcPr>
            <w:tcW w:w="0" w:type="auto"/>
            <w:hideMark/>
          </w:tcPr>
          <w:p w14:paraId="520E8EA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O113</w:t>
            </w:r>
          </w:p>
        </w:tc>
        <w:tc>
          <w:tcPr>
            <w:tcW w:w="1406" w:type="dxa"/>
            <w:hideMark/>
          </w:tcPr>
          <w:p w14:paraId="1382D7D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w:t>
            </w:r>
          </w:p>
        </w:tc>
      </w:tr>
      <w:tr w:rsidR="00BE61A2" w:rsidRPr="00374CC9" w14:paraId="5DE0854C" w14:textId="77777777" w:rsidTr="007E4CF4">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0F87E8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O128:H2</w:t>
            </w:r>
          </w:p>
        </w:tc>
        <w:tc>
          <w:tcPr>
            <w:tcW w:w="1406" w:type="dxa"/>
            <w:hideMark/>
          </w:tcPr>
          <w:p w14:paraId="681A8EA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r>
      <w:tr w:rsidR="00BE61A2" w:rsidRPr="00374CC9" w14:paraId="149A58F1" w14:textId="77777777" w:rsidTr="007E4CF4">
        <w:tblPrEx>
          <w:tblCellMar>
            <w:right w:w="108" w:type="dxa"/>
          </w:tblCellMar>
        </w:tblPrEx>
        <w:tc>
          <w:tcPr>
            <w:tcW w:w="0" w:type="auto"/>
            <w:hideMark/>
          </w:tcPr>
          <w:p w14:paraId="0966978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O146:H-</w:t>
            </w:r>
          </w:p>
        </w:tc>
        <w:tc>
          <w:tcPr>
            <w:tcW w:w="1406" w:type="dxa"/>
            <w:hideMark/>
          </w:tcPr>
          <w:p w14:paraId="3FCF73C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r>
      <w:tr w:rsidR="00BE61A2" w:rsidRPr="00374CC9" w14:paraId="1F69E927" w14:textId="77777777" w:rsidTr="007E4CF4">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052C46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O157</w:t>
            </w:r>
          </w:p>
        </w:tc>
        <w:tc>
          <w:tcPr>
            <w:tcW w:w="1406" w:type="dxa"/>
            <w:hideMark/>
          </w:tcPr>
          <w:p w14:paraId="0244AB3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15</w:t>
            </w:r>
          </w:p>
        </w:tc>
      </w:tr>
      <w:tr w:rsidR="00BE61A2" w:rsidRPr="00374CC9" w14:paraId="7A3381C7" w14:textId="77777777" w:rsidTr="007E4CF4">
        <w:tblPrEx>
          <w:tblCellMar>
            <w:right w:w="108" w:type="dxa"/>
          </w:tblCellMar>
        </w:tblPrEx>
        <w:tc>
          <w:tcPr>
            <w:tcW w:w="0" w:type="auto"/>
            <w:hideMark/>
          </w:tcPr>
          <w:p w14:paraId="3D22428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O157:H</w:t>
            </w:r>
          </w:p>
        </w:tc>
        <w:tc>
          <w:tcPr>
            <w:tcW w:w="1406" w:type="dxa"/>
            <w:hideMark/>
          </w:tcPr>
          <w:p w14:paraId="665F89B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16</w:t>
            </w:r>
          </w:p>
        </w:tc>
      </w:tr>
      <w:tr w:rsidR="00BE61A2" w:rsidRPr="00374CC9" w14:paraId="24E8B4A6" w14:textId="77777777" w:rsidTr="007E4CF4">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506AE0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O163:H19</w:t>
            </w:r>
          </w:p>
        </w:tc>
        <w:tc>
          <w:tcPr>
            <w:tcW w:w="1406" w:type="dxa"/>
            <w:hideMark/>
          </w:tcPr>
          <w:p w14:paraId="0C4DEF7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r>
      <w:tr w:rsidR="00BE61A2" w:rsidRPr="00374CC9" w14:paraId="73634ED1" w14:textId="77777777" w:rsidTr="007E4CF4">
        <w:tblPrEx>
          <w:tblCellMar>
            <w:right w:w="108" w:type="dxa"/>
          </w:tblCellMar>
        </w:tblPrEx>
        <w:tc>
          <w:tcPr>
            <w:tcW w:w="0" w:type="auto"/>
            <w:hideMark/>
          </w:tcPr>
          <w:p w14:paraId="0E6706E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O181:H16</w:t>
            </w:r>
          </w:p>
        </w:tc>
        <w:tc>
          <w:tcPr>
            <w:tcW w:w="1406" w:type="dxa"/>
            <w:hideMark/>
          </w:tcPr>
          <w:p w14:paraId="21812B3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r>
      <w:tr w:rsidR="00BE61A2" w:rsidRPr="00374CC9" w14:paraId="234CC401" w14:textId="77777777" w:rsidTr="007E4CF4">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3D39B7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O26</w:t>
            </w:r>
          </w:p>
        </w:tc>
        <w:tc>
          <w:tcPr>
            <w:tcW w:w="1406" w:type="dxa"/>
            <w:hideMark/>
          </w:tcPr>
          <w:p w14:paraId="280001A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16</w:t>
            </w:r>
          </w:p>
        </w:tc>
      </w:tr>
      <w:tr w:rsidR="00BE61A2" w:rsidRPr="00374CC9" w14:paraId="00F45B1C" w14:textId="77777777" w:rsidTr="007E4CF4">
        <w:tblPrEx>
          <w:tblCellMar>
            <w:right w:w="108" w:type="dxa"/>
          </w:tblCellMar>
        </w:tblPrEx>
        <w:tc>
          <w:tcPr>
            <w:tcW w:w="0" w:type="auto"/>
            <w:hideMark/>
          </w:tcPr>
          <w:p w14:paraId="53082DC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O26:H</w:t>
            </w:r>
          </w:p>
        </w:tc>
        <w:tc>
          <w:tcPr>
            <w:tcW w:w="1406" w:type="dxa"/>
            <w:hideMark/>
          </w:tcPr>
          <w:p w14:paraId="7BD04BA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r>
      <w:tr w:rsidR="00BE61A2" w:rsidRPr="00374CC9" w14:paraId="0D8E748D" w14:textId="77777777" w:rsidTr="007E4CF4">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957EF4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O26:H11</w:t>
            </w:r>
          </w:p>
        </w:tc>
        <w:tc>
          <w:tcPr>
            <w:tcW w:w="1406" w:type="dxa"/>
            <w:hideMark/>
          </w:tcPr>
          <w:p w14:paraId="7D825F4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w:t>
            </w:r>
          </w:p>
        </w:tc>
      </w:tr>
      <w:tr w:rsidR="00BE61A2" w:rsidRPr="00374CC9" w14:paraId="72AD4C39" w14:textId="77777777" w:rsidTr="007E4CF4">
        <w:tblPrEx>
          <w:tblCellMar>
            <w:right w:w="108" w:type="dxa"/>
          </w:tblCellMar>
        </w:tblPrEx>
        <w:tc>
          <w:tcPr>
            <w:tcW w:w="0" w:type="auto"/>
            <w:hideMark/>
          </w:tcPr>
          <w:p w14:paraId="2D19F09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O5/O7:H</w:t>
            </w:r>
          </w:p>
        </w:tc>
        <w:tc>
          <w:tcPr>
            <w:tcW w:w="1406" w:type="dxa"/>
            <w:hideMark/>
          </w:tcPr>
          <w:p w14:paraId="57304AA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r>
      <w:tr w:rsidR="00BE61A2" w:rsidRPr="00374CC9" w14:paraId="22906CE7" w14:textId="77777777" w:rsidTr="007E4CF4">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D52193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O59:H19</w:t>
            </w:r>
          </w:p>
        </w:tc>
        <w:tc>
          <w:tcPr>
            <w:tcW w:w="1406" w:type="dxa"/>
            <w:hideMark/>
          </w:tcPr>
          <w:p w14:paraId="519D81F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r>
      <w:tr w:rsidR="00BE61A2" w:rsidRPr="00374CC9" w14:paraId="148D930A" w14:textId="77777777" w:rsidTr="007E4CF4">
        <w:tblPrEx>
          <w:tblCellMar>
            <w:right w:w="108" w:type="dxa"/>
          </w:tblCellMar>
        </w:tblPrEx>
        <w:tc>
          <w:tcPr>
            <w:tcW w:w="0" w:type="auto"/>
            <w:hideMark/>
          </w:tcPr>
          <w:p w14:paraId="19AE90E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Ont:H19</w:t>
            </w:r>
          </w:p>
        </w:tc>
        <w:tc>
          <w:tcPr>
            <w:tcW w:w="1406" w:type="dxa"/>
            <w:hideMark/>
          </w:tcPr>
          <w:p w14:paraId="58FA474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r>
      <w:tr w:rsidR="00BE61A2" w:rsidRPr="00374CC9" w14:paraId="5E37501C" w14:textId="77777777" w:rsidTr="007E4CF4">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64EA01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Ont:H2</w:t>
            </w:r>
          </w:p>
        </w:tc>
        <w:tc>
          <w:tcPr>
            <w:tcW w:w="1406" w:type="dxa"/>
            <w:hideMark/>
          </w:tcPr>
          <w:p w14:paraId="6160EB7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r>
      <w:tr w:rsidR="00BE61A2" w:rsidRPr="00374CC9" w14:paraId="384A1971" w14:textId="77777777" w:rsidTr="007E4CF4">
        <w:tblPrEx>
          <w:tblCellMar>
            <w:right w:w="108" w:type="dxa"/>
          </w:tblCellMar>
        </w:tblPrEx>
        <w:tc>
          <w:tcPr>
            <w:tcW w:w="0" w:type="auto"/>
            <w:hideMark/>
          </w:tcPr>
          <w:p w14:paraId="0B092E5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Ont:H8</w:t>
            </w:r>
          </w:p>
        </w:tc>
        <w:tc>
          <w:tcPr>
            <w:tcW w:w="1406" w:type="dxa"/>
            <w:hideMark/>
          </w:tcPr>
          <w:p w14:paraId="7A44B11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r>
      <w:tr w:rsidR="00BE61A2" w:rsidRPr="00374CC9" w14:paraId="38D1F3A4" w14:textId="77777777" w:rsidTr="007E4CF4">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DBEE17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Or:H41</w:t>
            </w:r>
          </w:p>
        </w:tc>
        <w:tc>
          <w:tcPr>
            <w:tcW w:w="1406" w:type="dxa"/>
            <w:hideMark/>
          </w:tcPr>
          <w:p w14:paraId="6EDD3F4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r>
      <w:tr w:rsidR="00BE61A2" w:rsidRPr="00374CC9" w14:paraId="786DC67B" w14:textId="77777777" w:rsidTr="007E4CF4">
        <w:tblPrEx>
          <w:tblCellMar>
            <w:right w:w="108" w:type="dxa"/>
          </w:tblCellMar>
        </w:tblPrEx>
        <w:tc>
          <w:tcPr>
            <w:tcW w:w="0" w:type="auto"/>
            <w:hideMark/>
          </w:tcPr>
          <w:p w14:paraId="697CBAD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Or:H7</w:t>
            </w:r>
          </w:p>
        </w:tc>
        <w:tc>
          <w:tcPr>
            <w:tcW w:w="1406" w:type="dxa"/>
            <w:hideMark/>
          </w:tcPr>
          <w:p w14:paraId="7119736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r>
      <w:tr w:rsidR="00BE61A2" w:rsidRPr="00374CC9" w14:paraId="26AB53C8" w14:textId="77777777" w:rsidTr="007E4CF4">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6644B34" w14:textId="77777777" w:rsidR="00BE61A2" w:rsidRPr="00374CC9" w:rsidRDefault="00BE61A2">
            <w:pPr>
              <w:rPr>
                <w:rFonts w:asciiTheme="minorHAnsi" w:eastAsia="Times New Roman" w:hAnsiTheme="minorHAnsi"/>
                <w:sz w:val="18"/>
                <w:szCs w:val="18"/>
              </w:rPr>
            </w:pPr>
            <w:proofErr w:type="spellStart"/>
            <w:r w:rsidRPr="00374CC9">
              <w:rPr>
                <w:rFonts w:asciiTheme="minorHAnsi" w:eastAsia="Times New Roman" w:hAnsiTheme="minorHAnsi"/>
                <w:sz w:val="18"/>
                <w:szCs w:val="18"/>
              </w:rPr>
              <w:t>Untypable</w:t>
            </w:r>
            <w:proofErr w:type="spellEnd"/>
          </w:p>
        </w:tc>
        <w:tc>
          <w:tcPr>
            <w:tcW w:w="1406" w:type="dxa"/>
            <w:hideMark/>
          </w:tcPr>
          <w:p w14:paraId="70A5E0B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r>
      <w:tr w:rsidR="00BE61A2" w:rsidRPr="00374CC9" w14:paraId="06AEA464" w14:textId="77777777" w:rsidTr="007E4CF4">
        <w:tblPrEx>
          <w:tblCellMar>
            <w:right w:w="108" w:type="dxa"/>
          </w:tblCellMar>
        </w:tblPrEx>
        <w:tc>
          <w:tcPr>
            <w:tcW w:w="0" w:type="auto"/>
            <w:hideMark/>
          </w:tcPr>
          <w:p w14:paraId="15B9DE3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Serogroup Unknown</w:t>
            </w:r>
          </w:p>
        </w:tc>
        <w:tc>
          <w:tcPr>
            <w:tcW w:w="1406" w:type="dxa"/>
            <w:hideMark/>
          </w:tcPr>
          <w:p w14:paraId="168EFDE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54</w:t>
            </w:r>
          </w:p>
        </w:tc>
      </w:tr>
      <w:tr w:rsidR="00BE61A2" w:rsidRPr="00374CC9" w14:paraId="6FAC11B5" w14:textId="77777777" w:rsidTr="007E4CF4">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4E5494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Total</w:t>
            </w:r>
          </w:p>
        </w:tc>
        <w:tc>
          <w:tcPr>
            <w:tcW w:w="1406" w:type="dxa"/>
            <w:hideMark/>
          </w:tcPr>
          <w:p w14:paraId="1B38DE1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137</w:t>
            </w:r>
          </w:p>
        </w:tc>
      </w:tr>
    </w:tbl>
    <w:p w14:paraId="37303D4C" w14:textId="77777777" w:rsidR="00BE61A2" w:rsidRPr="008D1B0A" w:rsidRDefault="008D1B0A" w:rsidP="008D1B0A">
      <w:pPr>
        <w:pStyle w:val="CDIfootnotes"/>
      </w:pPr>
      <w:proofErr w:type="spellStart"/>
      <w:r>
        <w:t>Ont</w:t>
      </w:r>
      <w:proofErr w:type="spellEnd"/>
      <w:r>
        <w:t>=O antigen not typable</w:t>
      </w:r>
      <w:r>
        <w:br/>
        <w:t>Or=Rough O antigen</w:t>
      </w:r>
    </w:p>
    <w:p w14:paraId="50AC5FDB" w14:textId="77777777" w:rsidR="00604201" w:rsidRDefault="00604201">
      <w:pPr>
        <w:rPr>
          <w:rFonts w:asciiTheme="majorHAnsi" w:eastAsiaTheme="majorEastAsia" w:hAnsiTheme="majorHAnsi" w:cstheme="majorBidi"/>
          <w:b/>
          <w:sz w:val="27"/>
          <w:szCs w:val="27"/>
        </w:rPr>
      </w:pPr>
      <w:r>
        <w:rPr>
          <w:bCs/>
          <w:sz w:val="27"/>
          <w:szCs w:val="27"/>
        </w:rPr>
        <w:br w:type="page"/>
      </w:r>
    </w:p>
    <w:p w14:paraId="7FE626D4" w14:textId="77777777" w:rsidR="00BE61A2" w:rsidRPr="004E056D" w:rsidRDefault="00BE61A2" w:rsidP="004E056D">
      <w:pPr>
        <w:pStyle w:val="Heading2"/>
        <w:rPr>
          <w:rFonts w:eastAsiaTheme="minorEastAsia"/>
        </w:rPr>
      </w:pPr>
      <w:bookmarkStart w:id="86" w:name="_Toc1747240"/>
      <w:r w:rsidRPr="004E056D">
        <w:rPr>
          <w:bCs w:val="0"/>
          <w:sz w:val="27"/>
          <w:szCs w:val="27"/>
        </w:rPr>
        <w:lastRenderedPageBreak/>
        <w:t>Typhoid</w:t>
      </w:r>
      <w:bookmarkEnd w:id="86"/>
    </w:p>
    <w:p w14:paraId="3B6C7DCA" w14:textId="77777777" w:rsidR="00B13361" w:rsidRPr="00B13361" w:rsidRDefault="00BE61A2" w:rsidP="00D762CF">
      <w:pPr>
        <w:pStyle w:val="ListParagraph"/>
        <w:numPr>
          <w:ilvl w:val="0"/>
          <w:numId w:val="4"/>
        </w:numPr>
        <w:rPr>
          <w:rFonts w:eastAsia="Times New Roman"/>
        </w:rPr>
      </w:pPr>
      <w:r w:rsidRPr="00B13361">
        <w:rPr>
          <w:rFonts w:eastAsia="Times New Roman"/>
        </w:rPr>
        <w:t xml:space="preserve">There were 115 cases of typhoid notified in 2015. Of these, 98% were acquired overseas. </w:t>
      </w:r>
    </w:p>
    <w:p w14:paraId="4C228214" w14:textId="77777777" w:rsidR="00BE61A2" w:rsidRPr="00AE2F1B" w:rsidRDefault="00BE61A2" w:rsidP="00AE2F1B">
      <w:pPr>
        <w:rPr>
          <w:rFonts w:eastAsia="Times New Roman"/>
        </w:rPr>
      </w:pPr>
      <w:r w:rsidRPr="00AE2F1B">
        <w:rPr>
          <w:rFonts w:eastAsia="Times New Roman"/>
        </w:rPr>
        <w:t xml:space="preserve">Typhoid is a bacterial disease caused by </w:t>
      </w:r>
      <w:r w:rsidRPr="00DF12AB">
        <w:rPr>
          <w:rStyle w:val="Emphasis"/>
          <w:rFonts w:eastAsia="Times New Roman"/>
          <w:b w:val="0"/>
        </w:rPr>
        <w:t>S. enterica</w:t>
      </w:r>
      <w:r w:rsidRPr="00AE2F1B">
        <w:rPr>
          <w:rFonts w:eastAsia="Times New Roman"/>
        </w:rPr>
        <w:t xml:space="preserve"> serovar Typhi. Symptoms include sustained fever, marked headache, malaise, and constipation more often than diarrhoea in adults. The transmission mode is the same as for salmonellosis; however, typhoid differs in that humans are the reservoir for the bacterium.</w:t>
      </w:r>
      <w:r w:rsidRPr="00AE2F1B">
        <w:rPr>
          <w:rFonts w:eastAsia="Times New Roman"/>
          <w:vertAlign w:val="superscript"/>
        </w:rPr>
        <w:t>21</w:t>
      </w:r>
      <w:r w:rsidRPr="00AE2F1B">
        <w:rPr>
          <w:rFonts w:eastAsia="Times New Roman"/>
        </w:rPr>
        <w:t xml:space="preserve"> </w:t>
      </w:r>
    </w:p>
    <w:p w14:paraId="62E50EFB" w14:textId="77777777" w:rsidR="00BE61A2" w:rsidRPr="00AE2F1B" w:rsidRDefault="00BE61A2" w:rsidP="00924A50">
      <w:pPr>
        <w:pStyle w:val="Heading3"/>
        <w:rPr>
          <w:rFonts w:eastAsiaTheme="minorEastAsia"/>
        </w:rPr>
      </w:pPr>
      <w:bookmarkStart w:id="87" w:name="_Toc1747241"/>
      <w:r w:rsidRPr="00924A50">
        <w:rPr>
          <w:bCs w:val="0"/>
        </w:rPr>
        <w:t>Epidemiological situation in 2015</w:t>
      </w:r>
      <w:bookmarkEnd w:id="87"/>
    </w:p>
    <w:p w14:paraId="087CAB99" w14:textId="77777777" w:rsidR="00BE61A2" w:rsidRDefault="00BE61A2" w:rsidP="00AE2F1B">
      <w:r w:rsidRPr="00AE2F1B">
        <w:t>There were 115 notified cases of typhoid in 2015 (0.5 per 100,000). This was a slight decrease of 3% from the number of cases in 2014 (n=119) (Figure 30) and 8% fewer than the 5-year historical mean (n=125).</w:t>
      </w:r>
    </w:p>
    <w:p w14:paraId="31CFBC16" w14:textId="77777777" w:rsidR="007956CE" w:rsidRDefault="007956CE" w:rsidP="007956CE">
      <w:pPr>
        <w:pStyle w:val="CDIFigures"/>
      </w:pPr>
      <w:r w:rsidRPr="007956CE">
        <w:t>Figure 30: Notifications and notification rate for typhoid, Australia, 2010 to 2015, by year</w:t>
      </w:r>
    </w:p>
    <w:p w14:paraId="096F77FB" w14:textId="77777777" w:rsidR="00741A86" w:rsidRPr="007956CE" w:rsidRDefault="0021477A" w:rsidP="007956CE">
      <w:pPr>
        <w:pStyle w:val="CDIFigures"/>
      </w:pPr>
      <w:r>
        <w:pict w14:anchorId="52152F1D">
          <v:shape id="_x0000_i1052" type="#_x0000_t75" alt="This figure shows the number of notifications and the notification rate of typhoid in Australia between 2010 and 2015. National typhoid notifications in 2015 decreased by 8% compared to the 5-year historical mean (125.0)." style="width:522.6pt;height:294.6pt;mso-position-vertical:absolute">
            <v:imagedata r:id="rId46" o:title="3-Gastros chapter figure _14 to 31_Page_17"/>
          </v:shape>
        </w:pict>
      </w:r>
    </w:p>
    <w:p w14:paraId="145A7F73" w14:textId="77777777" w:rsidR="00BE61A2" w:rsidRPr="00AE2F1B" w:rsidRDefault="00BE61A2" w:rsidP="00924A50">
      <w:pPr>
        <w:pStyle w:val="Heading3"/>
      </w:pPr>
      <w:bookmarkStart w:id="88" w:name="_Toc1747242"/>
      <w:r w:rsidRPr="00924A50">
        <w:rPr>
          <w:bCs w:val="0"/>
        </w:rPr>
        <w:t>Geographical distribution</w:t>
      </w:r>
      <w:bookmarkEnd w:id="88"/>
    </w:p>
    <w:p w14:paraId="6ED81925" w14:textId="77777777" w:rsidR="00BE61A2" w:rsidRPr="00AE2F1B" w:rsidRDefault="00BE61A2" w:rsidP="00AE2F1B">
      <w:r w:rsidRPr="00AE2F1B">
        <w:t>Almost two-thirds (63%, 74/115) of notifications were in residents of New South Wales (n=42) and Victoria (n=30).</w:t>
      </w:r>
    </w:p>
    <w:p w14:paraId="73498D62" w14:textId="77777777" w:rsidR="00BE61A2" w:rsidRPr="00AE2F1B" w:rsidRDefault="00BE61A2" w:rsidP="00924A50">
      <w:pPr>
        <w:pStyle w:val="Heading3"/>
      </w:pPr>
      <w:bookmarkStart w:id="89" w:name="_Toc1747243"/>
      <w:r w:rsidRPr="00924A50">
        <w:rPr>
          <w:bCs w:val="0"/>
        </w:rPr>
        <w:t>Age and sex distribution</w:t>
      </w:r>
      <w:bookmarkEnd w:id="89"/>
    </w:p>
    <w:p w14:paraId="67C1ECFF" w14:textId="77777777" w:rsidR="00BE61A2" w:rsidRDefault="00BE61A2" w:rsidP="00AE2F1B">
      <w:r w:rsidRPr="00AE2F1B">
        <w:t>Typhoid was most frequently notified among the 25–29 years age group (26%, 30/115) (Figure 31). The median age of notified cases was 26 years (range: 0 to 77 years), with similar proportions of males 50% (57/115) and females 50% (58/115).</w:t>
      </w:r>
    </w:p>
    <w:p w14:paraId="15ADF158" w14:textId="77777777" w:rsidR="00B06ABF" w:rsidRDefault="00B06ABF">
      <w:pPr>
        <w:rPr>
          <w:b/>
        </w:rPr>
      </w:pPr>
      <w:r>
        <w:br w:type="page"/>
      </w:r>
    </w:p>
    <w:p w14:paraId="4D10765D" w14:textId="77777777" w:rsidR="008214AA" w:rsidRDefault="008214AA" w:rsidP="008214AA">
      <w:pPr>
        <w:pStyle w:val="CDIFigures"/>
      </w:pPr>
      <w:r w:rsidRPr="008214AA">
        <w:lastRenderedPageBreak/>
        <w:t>Figure 31: Notifications of typhoid, Australia, 2015, by age group and sex</w:t>
      </w:r>
    </w:p>
    <w:p w14:paraId="0B99ACDF" w14:textId="77777777" w:rsidR="00B06ABF" w:rsidRPr="008214AA" w:rsidRDefault="0021477A" w:rsidP="008214AA">
      <w:pPr>
        <w:pStyle w:val="CDIFigures"/>
      </w:pPr>
      <w:r>
        <w:pict w14:anchorId="11BD4022">
          <v:shape id="_x0000_i1053" type="#_x0000_t75" alt="This figure shows the number of notifications for typhoid in Australia in 2015, by age group and sex. Notifications were highest in those aged 25-29 years (26%), and there was a similar proportion of male (50%) and female (50%) notifications." style="width:522.6pt;height:327pt">
            <v:imagedata r:id="rId47" o:title="3-Gastros chapter figure _14 to 31_Page_18"/>
          </v:shape>
        </w:pict>
      </w:r>
    </w:p>
    <w:p w14:paraId="2189ADBF" w14:textId="77777777" w:rsidR="00BE61A2" w:rsidRPr="008D1B0A" w:rsidRDefault="00BE61A2" w:rsidP="008D1B0A">
      <w:pPr>
        <w:pStyle w:val="Heading3"/>
      </w:pPr>
      <w:bookmarkStart w:id="90" w:name="_Toc1747244"/>
      <w:r w:rsidRPr="008D1B0A">
        <w:t>Place of acquisition</w:t>
      </w:r>
      <w:bookmarkEnd w:id="90"/>
    </w:p>
    <w:p w14:paraId="39DB3DD9" w14:textId="77777777" w:rsidR="00BE61A2" w:rsidRPr="00AE2F1B" w:rsidRDefault="00BE61A2" w:rsidP="00A52F61">
      <w:r w:rsidRPr="00AE2F1B">
        <w:t>As in previous years, overseas travel was the primary risk factor for notified cases. In 2015, 93% (107/115) of notifications reported overseas travel during their period of acquisition and were considered overseas acquired. India continues to be the most frequently reported country of acquisition, accounting for 59% (63/107) of overseas-acquired cases in 2015. Two cases were listed as locally acquired (2%), and the place of acquisition was unknown for 6 cases (5%) (Table 16</w:t>
      </w:r>
      <w:r w:rsidR="00D709B9" w:rsidRPr="00AE2F1B">
        <w:t xml:space="preserve">). </w:t>
      </w:r>
      <w:r w:rsidRPr="00AE2F1B">
        <w:t>Of the 2 locally acquired cases, one case from Queensland was a resident of the Torres Strait and their source of infection was unknown. The second case was from South Australia had not travelled during their incubation period but had migrated from Afghanistan and was thought to have been a chronic carrier of typhoid. Two of the cases notified by Victoria in 2015 as having an unknown place of acquisition were suspected to have been locally acquired, but the source of infection could not be determined despite extensive screening of contacts.</w:t>
      </w:r>
    </w:p>
    <w:p w14:paraId="2AE06FEC" w14:textId="77777777" w:rsidR="00D93A54" w:rsidRDefault="00D93A54">
      <w:pPr>
        <w:rPr>
          <w:b/>
        </w:rPr>
      </w:pPr>
      <w:r>
        <w:br w:type="page"/>
      </w:r>
    </w:p>
    <w:p w14:paraId="7F326C26" w14:textId="77777777" w:rsidR="00BE61A2" w:rsidRPr="00AE2F1B" w:rsidRDefault="00BE61A2" w:rsidP="00A52F61">
      <w:pPr>
        <w:pStyle w:val="CDIFigures"/>
      </w:pPr>
      <w:r w:rsidRPr="00AE2F1B">
        <w:lastRenderedPageBreak/>
        <w:t xml:space="preserve">Table 16: Notifications of typhoid, Australia, 2010 to 2015, by place of acquisition </w:t>
      </w:r>
    </w:p>
    <w:tbl>
      <w:tblPr>
        <w:tblStyle w:val="CDI-StandardTable"/>
        <w:tblW w:w="0" w:type="auto"/>
        <w:tblCellMar>
          <w:top w:w="142" w:type="dxa"/>
          <w:left w:w="142" w:type="dxa"/>
          <w:bottom w:w="142" w:type="dxa"/>
        </w:tblCellMar>
        <w:tblLook w:val="04A0" w:firstRow="1" w:lastRow="0" w:firstColumn="1" w:lastColumn="0" w:noHBand="0" w:noVBand="1"/>
        <w:tblDescription w:val="This table shows the number of notifications of typhoid in Australia between 2010 and 2015, by place of acquisition. In 2015, where place of acquisition was reported, 98% of typhoid notifications were overseas acquired.&#10;"/>
      </w:tblPr>
      <w:tblGrid>
        <w:gridCol w:w="1229"/>
        <w:gridCol w:w="1842"/>
        <w:gridCol w:w="1842"/>
        <w:gridCol w:w="1842"/>
        <w:gridCol w:w="1842"/>
        <w:gridCol w:w="1843"/>
      </w:tblGrid>
      <w:tr w:rsidR="00BE61A2" w:rsidRPr="00374CC9" w14:paraId="17D041E5" w14:textId="77777777" w:rsidTr="002F0A41">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4C6BEF94" w14:textId="77777777" w:rsidR="00BE61A2" w:rsidRPr="007D1C35" w:rsidRDefault="00BE61A2" w:rsidP="00A52F61">
            <w:pPr>
              <w:rPr>
                <w:rFonts w:eastAsia="Times New Roman"/>
                <w:color w:val="FFFFFF" w:themeColor="background1"/>
                <w:sz w:val="18"/>
                <w:szCs w:val="18"/>
              </w:rPr>
            </w:pPr>
            <w:r w:rsidRPr="007D1C35">
              <w:rPr>
                <w:rFonts w:eastAsia="Times New Roman"/>
                <w:color w:val="FFFFFF" w:themeColor="background1"/>
                <w:sz w:val="18"/>
                <w:szCs w:val="18"/>
              </w:rPr>
              <w:t>Year notified</w:t>
            </w:r>
          </w:p>
        </w:tc>
        <w:tc>
          <w:tcPr>
            <w:tcW w:w="3684" w:type="dxa"/>
            <w:gridSpan w:val="2"/>
            <w:hideMark/>
          </w:tcPr>
          <w:p w14:paraId="63D2F1AE" w14:textId="77777777" w:rsidR="00BE61A2" w:rsidRPr="007D1C35" w:rsidRDefault="00BE61A2" w:rsidP="00A52F61">
            <w:pPr>
              <w:rPr>
                <w:rFonts w:eastAsia="Times New Roman"/>
                <w:color w:val="FFFFFF" w:themeColor="background1"/>
                <w:sz w:val="18"/>
                <w:szCs w:val="18"/>
              </w:rPr>
            </w:pPr>
            <w:r w:rsidRPr="007D1C35">
              <w:rPr>
                <w:rFonts w:eastAsia="Times New Roman"/>
                <w:color w:val="FFFFFF" w:themeColor="background1"/>
                <w:sz w:val="18"/>
                <w:szCs w:val="18"/>
              </w:rPr>
              <w:t>Locally acquired</w:t>
            </w:r>
          </w:p>
        </w:tc>
        <w:tc>
          <w:tcPr>
            <w:tcW w:w="1842" w:type="dxa"/>
            <w:hideMark/>
          </w:tcPr>
          <w:p w14:paraId="2E8E9626" w14:textId="77777777" w:rsidR="00BE61A2" w:rsidRPr="007D1C35" w:rsidRDefault="00BE61A2" w:rsidP="00A52F61">
            <w:pPr>
              <w:rPr>
                <w:rFonts w:eastAsia="Times New Roman"/>
                <w:color w:val="FFFFFF" w:themeColor="background1"/>
                <w:sz w:val="18"/>
                <w:szCs w:val="18"/>
              </w:rPr>
            </w:pPr>
            <w:r w:rsidRPr="007D1C35">
              <w:rPr>
                <w:rFonts w:eastAsia="Times New Roman"/>
                <w:color w:val="FFFFFF" w:themeColor="background1"/>
                <w:sz w:val="18"/>
                <w:szCs w:val="18"/>
              </w:rPr>
              <w:t>Overseas acquired</w:t>
            </w:r>
          </w:p>
        </w:tc>
        <w:tc>
          <w:tcPr>
            <w:tcW w:w="1842" w:type="dxa"/>
            <w:hideMark/>
          </w:tcPr>
          <w:p w14:paraId="2F2305E6" w14:textId="77777777" w:rsidR="00BE61A2" w:rsidRPr="007D1C35" w:rsidRDefault="00BE61A2" w:rsidP="00A52F61">
            <w:pPr>
              <w:rPr>
                <w:rFonts w:eastAsia="Times New Roman"/>
                <w:color w:val="FFFFFF" w:themeColor="background1"/>
                <w:sz w:val="18"/>
                <w:szCs w:val="18"/>
              </w:rPr>
            </w:pPr>
            <w:r w:rsidRPr="007D1C35">
              <w:rPr>
                <w:rFonts w:eastAsia="Times New Roman"/>
                <w:color w:val="FFFFFF" w:themeColor="background1"/>
                <w:sz w:val="18"/>
                <w:szCs w:val="18"/>
              </w:rPr>
              <w:t>Unknown</w:t>
            </w:r>
          </w:p>
        </w:tc>
        <w:tc>
          <w:tcPr>
            <w:tcW w:w="1843" w:type="dxa"/>
            <w:hideMark/>
          </w:tcPr>
          <w:p w14:paraId="6DA61714" w14:textId="77777777" w:rsidR="00BE61A2" w:rsidRPr="007D1C35" w:rsidRDefault="00BE61A2" w:rsidP="00A52F61">
            <w:pPr>
              <w:rPr>
                <w:rFonts w:eastAsia="Times New Roman"/>
                <w:color w:val="FFFFFF" w:themeColor="background1"/>
                <w:sz w:val="18"/>
                <w:szCs w:val="18"/>
              </w:rPr>
            </w:pPr>
            <w:r w:rsidRPr="007D1C35">
              <w:rPr>
                <w:rFonts w:eastAsia="Times New Roman"/>
                <w:color w:val="FFFFFF" w:themeColor="background1"/>
                <w:sz w:val="18"/>
                <w:szCs w:val="18"/>
              </w:rPr>
              <w:t>Total</w:t>
            </w:r>
          </w:p>
        </w:tc>
      </w:tr>
      <w:tr w:rsidR="00BE61A2" w:rsidRPr="00374CC9" w14:paraId="5CF1D2A0" w14:textId="77777777" w:rsidTr="002F0A41">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2B7CA9C3" w14:textId="77777777" w:rsidR="00BE61A2" w:rsidRPr="007D1C35" w:rsidRDefault="00BE61A2" w:rsidP="00A52F61">
            <w:pPr>
              <w:rPr>
                <w:rFonts w:eastAsia="Times New Roman"/>
                <w:color w:val="FFFFFF" w:themeColor="background1"/>
                <w:sz w:val="18"/>
                <w:szCs w:val="18"/>
              </w:rPr>
            </w:pPr>
          </w:p>
        </w:tc>
        <w:tc>
          <w:tcPr>
            <w:tcW w:w="1842" w:type="dxa"/>
            <w:hideMark/>
          </w:tcPr>
          <w:p w14:paraId="688960D3" w14:textId="77777777" w:rsidR="00BE61A2" w:rsidRPr="007D1C35" w:rsidRDefault="00BE61A2" w:rsidP="00A52F61">
            <w:pPr>
              <w:rPr>
                <w:rFonts w:eastAsia="Times New Roman"/>
                <w:color w:val="FFFFFF" w:themeColor="background1"/>
                <w:sz w:val="18"/>
                <w:szCs w:val="18"/>
              </w:rPr>
            </w:pPr>
            <w:r w:rsidRPr="007D1C35">
              <w:rPr>
                <w:rFonts w:eastAsia="Times New Roman"/>
                <w:color w:val="FFFFFF" w:themeColor="background1"/>
                <w:sz w:val="18"/>
                <w:szCs w:val="18"/>
              </w:rPr>
              <w:t>n</w:t>
            </w:r>
          </w:p>
        </w:tc>
        <w:tc>
          <w:tcPr>
            <w:tcW w:w="1842" w:type="dxa"/>
            <w:hideMark/>
          </w:tcPr>
          <w:p w14:paraId="79546753" w14:textId="77777777" w:rsidR="00BE61A2" w:rsidRPr="007D1C35" w:rsidRDefault="00BE61A2" w:rsidP="00A52F61">
            <w:pPr>
              <w:rPr>
                <w:rFonts w:eastAsia="Times New Roman"/>
                <w:color w:val="FFFFFF" w:themeColor="background1"/>
                <w:sz w:val="18"/>
                <w:szCs w:val="18"/>
              </w:rPr>
            </w:pPr>
            <w:r w:rsidRPr="007D1C35">
              <w:rPr>
                <w:rFonts w:eastAsia="Times New Roman"/>
                <w:color w:val="FFFFFF" w:themeColor="background1"/>
                <w:sz w:val="18"/>
                <w:szCs w:val="18"/>
              </w:rPr>
              <w:t>%</w:t>
            </w:r>
            <w:r w:rsidRPr="007D1C35">
              <w:rPr>
                <w:rFonts w:eastAsia="Times New Roman"/>
                <w:color w:val="FFFFFF" w:themeColor="background1"/>
                <w:sz w:val="18"/>
                <w:szCs w:val="18"/>
                <w:vertAlign w:val="superscript"/>
              </w:rPr>
              <w:t>*</w:t>
            </w:r>
          </w:p>
        </w:tc>
        <w:tc>
          <w:tcPr>
            <w:tcW w:w="1842" w:type="dxa"/>
            <w:hideMark/>
          </w:tcPr>
          <w:p w14:paraId="360CD1D7" w14:textId="77777777" w:rsidR="00BE61A2" w:rsidRPr="007D1C35" w:rsidRDefault="00BE61A2" w:rsidP="00A52F61">
            <w:pPr>
              <w:rPr>
                <w:rFonts w:eastAsia="Times New Roman"/>
                <w:color w:val="FFFFFF" w:themeColor="background1"/>
                <w:sz w:val="18"/>
                <w:szCs w:val="18"/>
              </w:rPr>
            </w:pPr>
            <w:r w:rsidRPr="007D1C35">
              <w:rPr>
                <w:rFonts w:eastAsia="Times New Roman"/>
                <w:color w:val="FFFFFF" w:themeColor="background1"/>
                <w:sz w:val="18"/>
                <w:szCs w:val="18"/>
              </w:rPr>
              <w:t>n</w:t>
            </w:r>
          </w:p>
        </w:tc>
        <w:tc>
          <w:tcPr>
            <w:tcW w:w="1842" w:type="dxa"/>
            <w:hideMark/>
          </w:tcPr>
          <w:p w14:paraId="24DAF428" w14:textId="77777777" w:rsidR="00BE61A2" w:rsidRPr="007D1C35" w:rsidRDefault="00BE61A2" w:rsidP="00A52F61">
            <w:pPr>
              <w:rPr>
                <w:rFonts w:eastAsia="Times New Roman"/>
                <w:color w:val="FFFFFF" w:themeColor="background1"/>
                <w:sz w:val="18"/>
                <w:szCs w:val="18"/>
              </w:rPr>
            </w:pPr>
            <w:r w:rsidRPr="007D1C35">
              <w:rPr>
                <w:rFonts w:eastAsia="Times New Roman"/>
                <w:color w:val="FFFFFF" w:themeColor="background1"/>
                <w:sz w:val="18"/>
                <w:szCs w:val="18"/>
              </w:rPr>
              <w:t>n</w:t>
            </w:r>
          </w:p>
        </w:tc>
        <w:tc>
          <w:tcPr>
            <w:tcW w:w="1843" w:type="dxa"/>
            <w:hideMark/>
          </w:tcPr>
          <w:p w14:paraId="7ED56E35" w14:textId="77777777" w:rsidR="00BE61A2" w:rsidRPr="007D1C35" w:rsidRDefault="00BE61A2" w:rsidP="00A52F61">
            <w:pPr>
              <w:rPr>
                <w:rFonts w:eastAsia="Times New Roman"/>
                <w:color w:val="FFFFFF" w:themeColor="background1"/>
                <w:sz w:val="18"/>
                <w:szCs w:val="18"/>
              </w:rPr>
            </w:pPr>
            <w:r w:rsidRPr="007D1C35">
              <w:rPr>
                <w:rFonts w:eastAsia="Times New Roman"/>
                <w:color w:val="FFFFFF" w:themeColor="background1"/>
                <w:sz w:val="18"/>
                <w:szCs w:val="18"/>
              </w:rPr>
              <w:t>n</w:t>
            </w:r>
          </w:p>
        </w:tc>
      </w:tr>
      <w:tr w:rsidR="00BE61A2" w:rsidRPr="00374CC9" w14:paraId="0FC43C8A" w14:textId="77777777" w:rsidTr="002F0A41">
        <w:tblPrEx>
          <w:tblCellMar>
            <w:right w:w="108" w:type="dxa"/>
          </w:tblCellMar>
        </w:tblPrEx>
        <w:tc>
          <w:tcPr>
            <w:tcW w:w="0" w:type="auto"/>
            <w:hideMark/>
          </w:tcPr>
          <w:p w14:paraId="442A2934"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2010</w:t>
            </w:r>
          </w:p>
        </w:tc>
        <w:tc>
          <w:tcPr>
            <w:tcW w:w="1842" w:type="dxa"/>
            <w:hideMark/>
          </w:tcPr>
          <w:p w14:paraId="207B8B01"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1842" w:type="dxa"/>
            <w:hideMark/>
          </w:tcPr>
          <w:p w14:paraId="3E907A68"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1842" w:type="dxa"/>
            <w:hideMark/>
          </w:tcPr>
          <w:p w14:paraId="47B4C7D7"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92</w:t>
            </w:r>
          </w:p>
        </w:tc>
        <w:tc>
          <w:tcPr>
            <w:tcW w:w="1842" w:type="dxa"/>
            <w:hideMark/>
          </w:tcPr>
          <w:p w14:paraId="7D6357B2"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1843" w:type="dxa"/>
            <w:hideMark/>
          </w:tcPr>
          <w:p w14:paraId="67284AA3"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96</w:t>
            </w:r>
          </w:p>
        </w:tc>
      </w:tr>
      <w:tr w:rsidR="00BE61A2" w:rsidRPr="00374CC9" w14:paraId="388BA535" w14:textId="77777777" w:rsidTr="002F0A41">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6532E21"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2011</w:t>
            </w:r>
          </w:p>
        </w:tc>
        <w:tc>
          <w:tcPr>
            <w:tcW w:w="1842" w:type="dxa"/>
            <w:hideMark/>
          </w:tcPr>
          <w:p w14:paraId="701DAA70"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6</w:t>
            </w:r>
          </w:p>
        </w:tc>
        <w:tc>
          <w:tcPr>
            <w:tcW w:w="1842" w:type="dxa"/>
            <w:hideMark/>
          </w:tcPr>
          <w:p w14:paraId="3D206DAB"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5</w:t>
            </w:r>
          </w:p>
        </w:tc>
        <w:tc>
          <w:tcPr>
            <w:tcW w:w="1842" w:type="dxa"/>
            <w:hideMark/>
          </w:tcPr>
          <w:p w14:paraId="201C1104"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125</w:t>
            </w:r>
          </w:p>
        </w:tc>
        <w:tc>
          <w:tcPr>
            <w:tcW w:w="1842" w:type="dxa"/>
            <w:hideMark/>
          </w:tcPr>
          <w:p w14:paraId="6FC57C66"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4</w:t>
            </w:r>
          </w:p>
        </w:tc>
        <w:tc>
          <w:tcPr>
            <w:tcW w:w="1843" w:type="dxa"/>
            <w:hideMark/>
          </w:tcPr>
          <w:p w14:paraId="06424CDE"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135</w:t>
            </w:r>
          </w:p>
        </w:tc>
      </w:tr>
      <w:tr w:rsidR="00BE61A2" w:rsidRPr="00374CC9" w14:paraId="1D848EAB" w14:textId="77777777" w:rsidTr="002F0A41">
        <w:tblPrEx>
          <w:tblCellMar>
            <w:right w:w="108" w:type="dxa"/>
          </w:tblCellMar>
        </w:tblPrEx>
        <w:tc>
          <w:tcPr>
            <w:tcW w:w="0" w:type="auto"/>
            <w:hideMark/>
          </w:tcPr>
          <w:p w14:paraId="604DC3CF"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2012</w:t>
            </w:r>
          </w:p>
        </w:tc>
        <w:tc>
          <w:tcPr>
            <w:tcW w:w="1842" w:type="dxa"/>
            <w:hideMark/>
          </w:tcPr>
          <w:p w14:paraId="225DC912"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1842" w:type="dxa"/>
            <w:hideMark/>
          </w:tcPr>
          <w:p w14:paraId="02F78E76"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8</w:t>
            </w:r>
          </w:p>
        </w:tc>
        <w:tc>
          <w:tcPr>
            <w:tcW w:w="1842" w:type="dxa"/>
            <w:hideMark/>
          </w:tcPr>
          <w:p w14:paraId="6E20ECF4"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118</w:t>
            </w:r>
          </w:p>
        </w:tc>
        <w:tc>
          <w:tcPr>
            <w:tcW w:w="1842" w:type="dxa"/>
            <w:hideMark/>
          </w:tcPr>
          <w:p w14:paraId="002F2D4E"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1843" w:type="dxa"/>
            <w:hideMark/>
          </w:tcPr>
          <w:p w14:paraId="2CE9B9AB"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123</w:t>
            </w:r>
          </w:p>
        </w:tc>
      </w:tr>
      <w:tr w:rsidR="00BE61A2" w:rsidRPr="00374CC9" w14:paraId="7A61B973" w14:textId="77777777" w:rsidTr="002F0A41">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1620B2B"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2013</w:t>
            </w:r>
          </w:p>
        </w:tc>
        <w:tc>
          <w:tcPr>
            <w:tcW w:w="1842" w:type="dxa"/>
            <w:hideMark/>
          </w:tcPr>
          <w:p w14:paraId="29532A51"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8</w:t>
            </w:r>
          </w:p>
        </w:tc>
        <w:tc>
          <w:tcPr>
            <w:tcW w:w="1842" w:type="dxa"/>
            <w:hideMark/>
          </w:tcPr>
          <w:p w14:paraId="768B3A05"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5</w:t>
            </w:r>
          </w:p>
        </w:tc>
        <w:tc>
          <w:tcPr>
            <w:tcW w:w="1842" w:type="dxa"/>
            <w:hideMark/>
          </w:tcPr>
          <w:p w14:paraId="563DB9EE"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141</w:t>
            </w:r>
          </w:p>
        </w:tc>
        <w:tc>
          <w:tcPr>
            <w:tcW w:w="1842" w:type="dxa"/>
            <w:hideMark/>
          </w:tcPr>
          <w:p w14:paraId="1912B51B"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1843" w:type="dxa"/>
            <w:hideMark/>
          </w:tcPr>
          <w:p w14:paraId="7DBA97E2"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152</w:t>
            </w:r>
          </w:p>
        </w:tc>
      </w:tr>
      <w:tr w:rsidR="00EE19C2" w:rsidRPr="00374CC9" w14:paraId="79071978" w14:textId="77777777" w:rsidTr="002F0A41">
        <w:tblPrEx>
          <w:tblCellMar>
            <w:right w:w="108" w:type="dxa"/>
          </w:tblCellMar>
        </w:tblPrEx>
        <w:tc>
          <w:tcPr>
            <w:tcW w:w="0" w:type="auto"/>
            <w:hideMark/>
          </w:tcPr>
          <w:p w14:paraId="121476D4"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2014</w:t>
            </w:r>
          </w:p>
        </w:tc>
        <w:tc>
          <w:tcPr>
            <w:tcW w:w="1842" w:type="dxa"/>
            <w:hideMark/>
          </w:tcPr>
          <w:p w14:paraId="361F54D8"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6</w:t>
            </w:r>
          </w:p>
        </w:tc>
        <w:tc>
          <w:tcPr>
            <w:tcW w:w="1842" w:type="dxa"/>
            <w:hideMark/>
          </w:tcPr>
          <w:p w14:paraId="6B06B44A"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5</w:t>
            </w:r>
          </w:p>
        </w:tc>
        <w:tc>
          <w:tcPr>
            <w:tcW w:w="1842" w:type="dxa"/>
            <w:hideMark/>
          </w:tcPr>
          <w:p w14:paraId="7B3F6235"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109</w:t>
            </w:r>
          </w:p>
        </w:tc>
        <w:tc>
          <w:tcPr>
            <w:tcW w:w="1842" w:type="dxa"/>
            <w:hideMark/>
          </w:tcPr>
          <w:p w14:paraId="49A777AD"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4</w:t>
            </w:r>
          </w:p>
        </w:tc>
        <w:tc>
          <w:tcPr>
            <w:tcW w:w="1843" w:type="dxa"/>
            <w:hideMark/>
          </w:tcPr>
          <w:p w14:paraId="38A6FB65"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119</w:t>
            </w:r>
          </w:p>
        </w:tc>
      </w:tr>
      <w:tr w:rsidR="00EE19C2" w:rsidRPr="00374CC9" w14:paraId="16E379C4" w14:textId="77777777" w:rsidTr="002F0A41">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069113F"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2015</w:t>
            </w:r>
          </w:p>
        </w:tc>
        <w:tc>
          <w:tcPr>
            <w:tcW w:w="1842" w:type="dxa"/>
            <w:hideMark/>
          </w:tcPr>
          <w:p w14:paraId="79C77314"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1842" w:type="dxa"/>
            <w:hideMark/>
          </w:tcPr>
          <w:p w14:paraId="7396B442"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1842" w:type="dxa"/>
            <w:hideMark/>
          </w:tcPr>
          <w:p w14:paraId="778E3AB0"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107</w:t>
            </w:r>
          </w:p>
        </w:tc>
        <w:tc>
          <w:tcPr>
            <w:tcW w:w="1842" w:type="dxa"/>
            <w:hideMark/>
          </w:tcPr>
          <w:p w14:paraId="266E75BD"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6</w:t>
            </w:r>
          </w:p>
        </w:tc>
        <w:tc>
          <w:tcPr>
            <w:tcW w:w="1843" w:type="dxa"/>
            <w:hideMark/>
          </w:tcPr>
          <w:p w14:paraId="76A79A9D"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115</w:t>
            </w:r>
          </w:p>
        </w:tc>
      </w:tr>
    </w:tbl>
    <w:p w14:paraId="2FC30A14" w14:textId="77777777" w:rsidR="00412A2F" w:rsidRDefault="00412A2F" w:rsidP="00A52F61">
      <w:pPr>
        <w:pStyle w:val="CDIfootnotes"/>
        <w:rPr>
          <w:rStyle w:val="Heading1Char"/>
          <w:b w:val="0"/>
        </w:rPr>
      </w:pPr>
      <w:r w:rsidRPr="00AE2F1B">
        <w:rPr>
          <w:vertAlign w:val="superscript"/>
        </w:rPr>
        <w:t>*</w:t>
      </w:r>
      <w:r w:rsidRPr="00AE2F1B">
        <w:t>Excludes cases where the place of acquisition was unknown or not supplied</w:t>
      </w:r>
    </w:p>
    <w:p w14:paraId="68666BBE" w14:textId="77777777" w:rsidR="00BE61A2" w:rsidRPr="00095AA3" w:rsidRDefault="00BE61A2" w:rsidP="00095AA3">
      <w:pPr>
        <w:pStyle w:val="Heading1"/>
        <w:rPr>
          <w:rFonts w:eastAsiaTheme="minorEastAsia"/>
        </w:rPr>
      </w:pPr>
      <w:bookmarkStart w:id="91" w:name="_Toc1747245"/>
      <w:r w:rsidRPr="00095AA3">
        <w:rPr>
          <w:rStyle w:val="Heading1Char"/>
          <w:b/>
        </w:rPr>
        <w:t>Quarantinable diseases</w:t>
      </w:r>
      <w:bookmarkEnd w:id="91"/>
    </w:p>
    <w:p w14:paraId="3C4046FE" w14:textId="77777777" w:rsidR="00BE61A2" w:rsidRPr="00AE2F1B" w:rsidRDefault="00BE61A2" w:rsidP="00AE2F1B">
      <w:r w:rsidRPr="00AE2F1B">
        <w:t xml:space="preserve">Human diseases covered by the </w:t>
      </w:r>
      <w:r w:rsidRPr="00DF12AB">
        <w:rPr>
          <w:rStyle w:val="Emphasis"/>
          <w:b w:val="0"/>
        </w:rPr>
        <w:t>Quarantine Act 1908,</w:t>
      </w:r>
      <w:r w:rsidRPr="00AE2F1B">
        <w:t xml:space="preserve"> and notifiable in Australia and to the WHO in 2015 were cholera, plague, rabies, yellow fever, smallpox, highly pathogenic avian influenza in humans (HPAIH), severe acute respiratory syndrome (SARS) and 4 viral haemorrhagic fevers (Ebola, Marburg, </w:t>
      </w:r>
      <w:proofErr w:type="gramStart"/>
      <w:r w:rsidRPr="00AE2F1B">
        <w:t>Lassa</w:t>
      </w:r>
      <w:proofErr w:type="gramEnd"/>
      <w:r w:rsidRPr="00AE2F1B">
        <w:t xml:space="preserve"> and Crimean–Congo). These diseases are of international public health significance. </w:t>
      </w:r>
    </w:p>
    <w:p w14:paraId="08F0587E" w14:textId="77777777" w:rsidR="00BE61A2" w:rsidRPr="00AE2F1B" w:rsidRDefault="00BE61A2" w:rsidP="00AE2F1B">
      <w:r w:rsidRPr="00AE2F1B">
        <w:t>There were no cases of plague, rabies, yellow fever, smallpox, SARS, HPAIH or viral haemorrhagic fevers reported in Australia in 2015. While there were 2 cases of overseas-acquired cholera in 2015, Australia remains free of all the listed quarantinable diseases (Table 17).</w:t>
      </w:r>
    </w:p>
    <w:p w14:paraId="077F8190" w14:textId="77777777" w:rsidR="00AD4A21" w:rsidRDefault="00AD4A21">
      <w:pPr>
        <w:rPr>
          <w:b/>
        </w:rPr>
      </w:pPr>
      <w:r>
        <w:br w:type="page"/>
      </w:r>
    </w:p>
    <w:p w14:paraId="419A3619" w14:textId="77777777" w:rsidR="00BE61A2" w:rsidRPr="00AE2F1B" w:rsidRDefault="00BE61A2" w:rsidP="00990EF0">
      <w:pPr>
        <w:pStyle w:val="CDIFigures"/>
      </w:pPr>
      <w:r w:rsidRPr="00AE2F1B">
        <w:lastRenderedPageBreak/>
        <w:t>Table 17: Australia’s status for human quarantinable diseases, 2015</w:t>
      </w:r>
    </w:p>
    <w:tbl>
      <w:tblPr>
        <w:tblStyle w:val="CDI-StandardTable"/>
        <w:tblW w:w="0" w:type="auto"/>
        <w:tblCellMar>
          <w:top w:w="142" w:type="dxa"/>
          <w:left w:w="142" w:type="dxa"/>
          <w:bottom w:w="142" w:type="dxa"/>
        </w:tblCellMar>
        <w:tblLook w:val="04A0" w:firstRow="1" w:lastRow="0" w:firstColumn="1" w:lastColumn="0" w:noHBand="0" w:noVBand="1"/>
        <w:tblDescription w:val="This table describes the current status of human quarantinable diseases in Australia, detailing the date of the last case that was notified in Australia. &#10;"/>
      </w:tblPr>
      <w:tblGrid>
        <w:gridCol w:w="1985"/>
        <w:gridCol w:w="1843"/>
        <w:gridCol w:w="6638"/>
      </w:tblGrid>
      <w:tr w:rsidR="00BE61A2" w:rsidRPr="00374CC9" w14:paraId="1D5BF3DA" w14:textId="77777777" w:rsidTr="00DD268A">
        <w:trPr>
          <w:cnfStyle w:val="100000000000" w:firstRow="1" w:lastRow="0" w:firstColumn="0" w:lastColumn="0" w:oddVBand="0" w:evenVBand="0" w:oddHBand="0" w:evenHBand="0" w:firstRowFirstColumn="0" w:firstRowLastColumn="0" w:lastRowFirstColumn="0" w:lastRowLastColumn="0"/>
          <w:tblHeader/>
        </w:trPr>
        <w:tc>
          <w:tcPr>
            <w:tcW w:w="1985" w:type="dxa"/>
            <w:hideMark/>
          </w:tcPr>
          <w:p w14:paraId="541A2D2E"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Disease</w:t>
            </w:r>
          </w:p>
        </w:tc>
        <w:tc>
          <w:tcPr>
            <w:tcW w:w="1843" w:type="dxa"/>
            <w:hideMark/>
          </w:tcPr>
          <w:p w14:paraId="0B441E39"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Status</w:t>
            </w:r>
          </w:p>
        </w:tc>
        <w:tc>
          <w:tcPr>
            <w:tcW w:w="6638" w:type="dxa"/>
            <w:hideMark/>
          </w:tcPr>
          <w:p w14:paraId="4F482262" w14:textId="77777777" w:rsidR="00BE61A2" w:rsidRPr="007D1C35" w:rsidRDefault="00BE61A2">
            <w:pPr>
              <w:rPr>
                <w:rFonts w:eastAsia="Times New Roman"/>
                <w:color w:val="FFFFFF" w:themeColor="background1"/>
                <w:sz w:val="18"/>
                <w:szCs w:val="18"/>
              </w:rPr>
            </w:pPr>
            <w:r w:rsidRPr="007D1C35">
              <w:rPr>
                <w:rFonts w:eastAsia="Times New Roman"/>
                <w:color w:val="FFFFFF" w:themeColor="background1"/>
                <w:sz w:val="18"/>
                <w:szCs w:val="18"/>
              </w:rPr>
              <w:t>Date of last record and notes</w:t>
            </w:r>
          </w:p>
        </w:tc>
      </w:tr>
      <w:tr w:rsidR="00BE61A2" w:rsidRPr="00374CC9" w14:paraId="7B13B2D5" w14:textId="77777777" w:rsidTr="00DD268A">
        <w:tblPrEx>
          <w:tblCellMar>
            <w:right w:w="108" w:type="dxa"/>
          </w:tblCellMar>
        </w:tblPrEx>
        <w:tc>
          <w:tcPr>
            <w:tcW w:w="1985" w:type="dxa"/>
            <w:hideMark/>
          </w:tcPr>
          <w:p w14:paraId="6BA6BB6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Cholera</w:t>
            </w:r>
          </w:p>
        </w:tc>
        <w:tc>
          <w:tcPr>
            <w:tcW w:w="1843" w:type="dxa"/>
            <w:hideMark/>
          </w:tcPr>
          <w:p w14:paraId="767023A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Free</w:t>
            </w:r>
          </w:p>
        </w:tc>
        <w:tc>
          <w:tcPr>
            <w:tcW w:w="6638" w:type="dxa"/>
            <w:hideMark/>
          </w:tcPr>
          <w:p w14:paraId="4714913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Small number of cases reported annually related to overseas travel. Very rare instances of local acquisition as described under the section ‘Cholera’.</w:t>
            </w:r>
          </w:p>
        </w:tc>
      </w:tr>
      <w:tr w:rsidR="00BE61A2" w:rsidRPr="00374CC9" w14:paraId="68AB675D" w14:textId="77777777" w:rsidTr="00DD268A">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1985" w:type="dxa"/>
            <w:hideMark/>
          </w:tcPr>
          <w:p w14:paraId="3DC09D0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Plague</w:t>
            </w:r>
          </w:p>
        </w:tc>
        <w:tc>
          <w:tcPr>
            <w:tcW w:w="1843" w:type="dxa"/>
            <w:hideMark/>
          </w:tcPr>
          <w:p w14:paraId="2153DA2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Free</w:t>
            </w:r>
          </w:p>
        </w:tc>
        <w:tc>
          <w:tcPr>
            <w:tcW w:w="6638" w:type="dxa"/>
            <w:hideMark/>
          </w:tcPr>
          <w:p w14:paraId="28E4B2C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Last case recorded in Australia in 192340</w:t>
            </w:r>
          </w:p>
        </w:tc>
      </w:tr>
      <w:tr w:rsidR="00BE61A2" w:rsidRPr="00374CC9" w14:paraId="7D9ECD52" w14:textId="77777777" w:rsidTr="00DD268A">
        <w:tblPrEx>
          <w:tblCellMar>
            <w:right w:w="108" w:type="dxa"/>
          </w:tblCellMar>
        </w:tblPrEx>
        <w:tc>
          <w:tcPr>
            <w:tcW w:w="1985" w:type="dxa"/>
            <w:hideMark/>
          </w:tcPr>
          <w:p w14:paraId="12A94A4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Rabies</w:t>
            </w:r>
          </w:p>
        </w:tc>
        <w:tc>
          <w:tcPr>
            <w:tcW w:w="1843" w:type="dxa"/>
            <w:hideMark/>
          </w:tcPr>
          <w:p w14:paraId="03936A6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Free</w:t>
            </w:r>
          </w:p>
        </w:tc>
        <w:tc>
          <w:tcPr>
            <w:tcW w:w="6638" w:type="dxa"/>
            <w:hideMark/>
          </w:tcPr>
          <w:p w14:paraId="496688E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Last case (overseas acquired) recorded in Australia in 199041</w:t>
            </w:r>
          </w:p>
        </w:tc>
      </w:tr>
      <w:tr w:rsidR="00BE61A2" w:rsidRPr="00374CC9" w14:paraId="45C1154F" w14:textId="77777777" w:rsidTr="00DD268A">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1985" w:type="dxa"/>
            <w:hideMark/>
          </w:tcPr>
          <w:p w14:paraId="5037C6F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Smallpox</w:t>
            </w:r>
          </w:p>
        </w:tc>
        <w:tc>
          <w:tcPr>
            <w:tcW w:w="1843" w:type="dxa"/>
            <w:hideMark/>
          </w:tcPr>
          <w:p w14:paraId="06D8B51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Free</w:t>
            </w:r>
          </w:p>
        </w:tc>
        <w:tc>
          <w:tcPr>
            <w:tcW w:w="6638" w:type="dxa"/>
            <w:hideMark/>
          </w:tcPr>
          <w:p w14:paraId="42A8188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Last case recorded in Australia in 1938, last case world-wide in 1977, declared eradicated by the World Health Organization 198042, 43</w:t>
            </w:r>
          </w:p>
        </w:tc>
      </w:tr>
      <w:tr w:rsidR="00BE61A2" w:rsidRPr="00374CC9" w14:paraId="5AEE5B2A" w14:textId="77777777" w:rsidTr="00DD268A">
        <w:tblPrEx>
          <w:tblCellMar>
            <w:right w:w="108" w:type="dxa"/>
          </w:tblCellMar>
        </w:tblPrEx>
        <w:tc>
          <w:tcPr>
            <w:tcW w:w="1985" w:type="dxa"/>
            <w:hideMark/>
          </w:tcPr>
          <w:p w14:paraId="1B5B48A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Yellow fever</w:t>
            </w:r>
          </w:p>
        </w:tc>
        <w:tc>
          <w:tcPr>
            <w:tcW w:w="1843" w:type="dxa"/>
            <w:hideMark/>
          </w:tcPr>
          <w:p w14:paraId="17FDDC3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Free</w:t>
            </w:r>
          </w:p>
        </w:tc>
        <w:tc>
          <w:tcPr>
            <w:tcW w:w="6638" w:type="dxa"/>
            <w:hideMark/>
          </w:tcPr>
          <w:p w14:paraId="00F53B3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Two cases in 2011 were the first recorded, related to overseas travel44</w:t>
            </w:r>
          </w:p>
        </w:tc>
      </w:tr>
      <w:tr w:rsidR="00BE61A2" w:rsidRPr="00374CC9" w14:paraId="29635B26" w14:textId="77777777" w:rsidTr="00DD268A">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1985" w:type="dxa"/>
            <w:hideMark/>
          </w:tcPr>
          <w:p w14:paraId="052C497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SARS</w:t>
            </w:r>
          </w:p>
        </w:tc>
        <w:tc>
          <w:tcPr>
            <w:tcW w:w="1843" w:type="dxa"/>
            <w:hideMark/>
          </w:tcPr>
          <w:p w14:paraId="0F0ABB5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Free</w:t>
            </w:r>
          </w:p>
        </w:tc>
        <w:tc>
          <w:tcPr>
            <w:tcW w:w="6638" w:type="dxa"/>
            <w:hideMark/>
          </w:tcPr>
          <w:p w14:paraId="29C2988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Last case recorded in Australia in 200345</w:t>
            </w:r>
          </w:p>
        </w:tc>
      </w:tr>
      <w:tr w:rsidR="00BE61A2" w:rsidRPr="00374CC9" w14:paraId="17FE8540" w14:textId="77777777" w:rsidTr="00DD268A">
        <w:tblPrEx>
          <w:tblCellMar>
            <w:right w:w="108" w:type="dxa"/>
          </w:tblCellMar>
        </w:tblPrEx>
        <w:tc>
          <w:tcPr>
            <w:tcW w:w="1985" w:type="dxa"/>
            <w:hideMark/>
          </w:tcPr>
          <w:p w14:paraId="63AC994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HPAIH</w:t>
            </w:r>
          </w:p>
        </w:tc>
        <w:tc>
          <w:tcPr>
            <w:tcW w:w="1843" w:type="dxa"/>
            <w:hideMark/>
          </w:tcPr>
          <w:p w14:paraId="6F81BFF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Free</w:t>
            </w:r>
          </w:p>
        </w:tc>
        <w:tc>
          <w:tcPr>
            <w:tcW w:w="6638" w:type="dxa"/>
            <w:hideMark/>
          </w:tcPr>
          <w:p w14:paraId="5FAD576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No cases recorded46</w:t>
            </w:r>
          </w:p>
        </w:tc>
      </w:tr>
      <w:tr w:rsidR="00BE61A2" w:rsidRPr="00990EF0" w14:paraId="3DF40155" w14:textId="77777777" w:rsidTr="00990EF0">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gridSpan w:val="3"/>
            <w:shd w:val="clear" w:color="auto" w:fill="BFBFBF" w:themeFill="background1" w:themeFillShade="BF"/>
            <w:hideMark/>
          </w:tcPr>
          <w:p w14:paraId="1A4AADA3" w14:textId="77777777" w:rsidR="00BE61A2" w:rsidRPr="00990EF0" w:rsidRDefault="00BE61A2">
            <w:pPr>
              <w:rPr>
                <w:rFonts w:asciiTheme="minorHAnsi" w:eastAsia="Times New Roman" w:hAnsiTheme="minorHAnsi"/>
                <w:b/>
                <w:sz w:val="18"/>
                <w:szCs w:val="18"/>
              </w:rPr>
            </w:pPr>
            <w:r w:rsidRPr="00990EF0">
              <w:rPr>
                <w:rFonts w:asciiTheme="minorHAnsi" w:eastAsia="Times New Roman" w:hAnsiTheme="minorHAnsi"/>
                <w:b/>
                <w:sz w:val="18"/>
                <w:szCs w:val="18"/>
              </w:rPr>
              <w:t>Viral haemorrhagic fevers</w:t>
            </w:r>
          </w:p>
        </w:tc>
      </w:tr>
      <w:tr w:rsidR="00BE61A2" w:rsidRPr="00374CC9" w14:paraId="28AF2ED7" w14:textId="77777777" w:rsidTr="00DD268A">
        <w:tblPrEx>
          <w:tblCellMar>
            <w:right w:w="108" w:type="dxa"/>
          </w:tblCellMar>
        </w:tblPrEx>
        <w:tc>
          <w:tcPr>
            <w:tcW w:w="1985" w:type="dxa"/>
            <w:hideMark/>
          </w:tcPr>
          <w:p w14:paraId="54E3FFC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Ebola</w:t>
            </w:r>
          </w:p>
        </w:tc>
        <w:tc>
          <w:tcPr>
            <w:tcW w:w="1843" w:type="dxa"/>
            <w:hideMark/>
          </w:tcPr>
          <w:p w14:paraId="49D876B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Free</w:t>
            </w:r>
          </w:p>
        </w:tc>
        <w:tc>
          <w:tcPr>
            <w:tcW w:w="6638" w:type="dxa"/>
            <w:hideMark/>
          </w:tcPr>
          <w:p w14:paraId="104E58B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No cases recorded</w:t>
            </w:r>
          </w:p>
        </w:tc>
      </w:tr>
      <w:tr w:rsidR="00BE61A2" w:rsidRPr="00374CC9" w14:paraId="31B4B41F" w14:textId="77777777" w:rsidTr="00DD268A">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1985" w:type="dxa"/>
            <w:hideMark/>
          </w:tcPr>
          <w:p w14:paraId="63A4C25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Marburg</w:t>
            </w:r>
          </w:p>
        </w:tc>
        <w:tc>
          <w:tcPr>
            <w:tcW w:w="1843" w:type="dxa"/>
            <w:hideMark/>
          </w:tcPr>
          <w:p w14:paraId="42BFCA4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Free</w:t>
            </w:r>
          </w:p>
        </w:tc>
        <w:tc>
          <w:tcPr>
            <w:tcW w:w="6638" w:type="dxa"/>
            <w:hideMark/>
          </w:tcPr>
          <w:p w14:paraId="52C02E1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No cases recorded</w:t>
            </w:r>
          </w:p>
        </w:tc>
      </w:tr>
      <w:tr w:rsidR="00BE61A2" w:rsidRPr="00374CC9" w14:paraId="1D9378E6" w14:textId="77777777" w:rsidTr="00DD268A">
        <w:tblPrEx>
          <w:tblCellMar>
            <w:right w:w="108" w:type="dxa"/>
          </w:tblCellMar>
        </w:tblPrEx>
        <w:tc>
          <w:tcPr>
            <w:tcW w:w="1985" w:type="dxa"/>
            <w:hideMark/>
          </w:tcPr>
          <w:p w14:paraId="7C6ED09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Lassa</w:t>
            </w:r>
          </w:p>
        </w:tc>
        <w:tc>
          <w:tcPr>
            <w:tcW w:w="1843" w:type="dxa"/>
            <w:hideMark/>
          </w:tcPr>
          <w:p w14:paraId="42452E1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Free</w:t>
            </w:r>
          </w:p>
        </w:tc>
        <w:tc>
          <w:tcPr>
            <w:tcW w:w="6638" w:type="dxa"/>
            <w:hideMark/>
          </w:tcPr>
          <w:p w14:paraId="7304E35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No cases recorded</w:t>
            </w:r>
          </w:p>
        </w:tc>
      </w:tr>
      <w:tr w:rsidR="00BE61A2" w:rsidRPr="00374CC9" w14:paraId="60FCDFD8" w14:textId="77777777" w:rsidTr="00DD268A">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1985" w:type="dxa"/>
            <w:hideMark/>
          </w:tcPr>
          <w:p w14:paraId="3D91CAD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Crimean–Congo</w:t>
            </w:r>
          </w:p>
        </w:tc>
        <w:tc>
          <w:tcPr>
            <w:tcW w:w="1843" w:type="dxa"/>
            <w:hideMark/>
          </w:tcPr>
          <w:p w14:paraId="1D1ECE2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Free</w:t>
            </w:r>
          </w:p>
        </w:tc>
        <w:tc>
          <w:tcPr>
            <w:tcW w:w="6638" w:type="dxa"/>
            <w:hideMark/>
          </w:tcPr>
          <w:p w14:paraId="41D69AC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No cases recorded</w:t>
            </w:r>
          </w:p>
        </w:tc>
      </w:tr>
    </w:tbl>
    <w:p w14:paraId="60243E9A" w14:textId="77777777" w:rsidR="00BE61A2" w:rsidRPr="004E056D" w:rsidRDefault="00BE61A2" w:rsidP="004E056D">
      <w:pPr>
        <w:pStyle w:val="Heading2"/>
        <w:rPr>
          <w:rFonts w:eastAsiaTheme="minorEastAsia"/>
        </w:rPr>
      </w:pPr>
      <w:bookmarkStart w:id="92" w:name="_Toc1747246"/>
      <w:r w:rsidRPr="004E056D">
        <w:rPr>
          <w:bCs w:val="0"/>
          <w:sz w:val="27"/>
          <w:szCs w:val="27"/>
        </w:rPr>
        <w:t>Cholera</w:t>
      </w:r>
      <w:bookmarkEnd w:id="92"/>
      <w:r w:rsidRPr="004E056D">
        <w:rPr>
          <w:bCs w:val="0"/>
          <w:sz w:val="27"/>
          <w:szCs w:val="27"/>
        </w:rPr>
        <w:t xml:space="preserve"> </w:t>
      </w:r>
    </w:p>
    <w:p w14:paraId="698291AE" w14:textId="77777777" w:rsidR="00BE61A2" w:rsidRPr="00EE19C2" w:rsidRDefault="00BE61A2" w:rsidP="00EE19C2">
      <w:pPr>
        <w:pStyle w:val="ListParagraph"/>
        <w:numPr>
          <w:ilvl w:val="0"/>
          <w:numId w:val="4"/>
        </w:numPr>
        <w:rPr>
          <w:rFonts w:eastAsia="Times New Roman"/>
        </w:rPr>
      </w:pPr>
      <w:r w:rsidRPr="00EE19C2">
        <w:rPr>
          <w:rFonts w:eastAsia="Times New Roman"/>
        </w:rPr>
        <w:t xml:space="preserve">There were </w:t>
      </w:r>
      <w:r w:rsidR="00E20044">
        <w:rPr>
          <w:rFonts w:eastAsia="Times New Roman"/>
        </w:rPr>
        <w:t>2</w:t>
      </w:r>
      <w:r w:rsidRPr="00EE19C2">
        <w:rPr>
          <w:rFonts w:eastAsia="Times New Roman"/>
        </w:rPr>
        <w:t xml:space="preserve"> cases of cholera notified in 2015. </w:t>
      </w:r>
    </w:p>
    <w:p w14:paraId="511BA417" w14:textId="77777777" w:rsidR="00BE61A2" w:rsidRPr="00EE19C2" w:rsidRDefault="00BE61A2" w:rsidP="00EE19C2">
      <w:pPr>
        <w:pStyle w:val="ListParagraph"/>
        <w:numPr>
          <w:ilvl w:val="0"/>
          <w:numId w:val="4"/>
        </w:numPr>
        <w:rPr>
          <w:rFonts w:eastAsia="Times New Roman"/>
        </w:rPr>
      </w:pPr>
      <w:r w:rsidRPr="00EE19C2">
        <w:rPr>
          <w:rFonts w:eastAsia="Times New Roman"/>
        </w:rPr>
        <w:t xml:space="preserve">Between 2010 and 2015, there have been a total of 19 cases of cholera were notified in Australia. </w:t>
      </w:r>
    </w:p>
    <w:p w14:paraId="2C72E511" w14:textId="77777777" w:rsidR="00BE61A2" w:rsidRPr="00AE2F1B" w:rsidRDefault="00BE61A2" w:rsidP="00AE2F1B">
      <w:r w:rsidRPr="00AE2F1B">
        <w:t xml:space="preserve">Cholera is an infection of the digestive tract caused by certain strains of the bacterium </w:t>
      </w:r>
      <w:r w:rsidRPr="00DF12AB">
        <w:rPr>
          <w:rStyle w:val="Emphasis"/>
          <w:b w:val="0"/>
        </w:rPr>
        <w:t>Vibrio cholerae</w:t>
      </w:r>
      <w:r w:rsidRPr="00AE2F1B">
        <w:t xml:space="preserve"> that produce toxins. It is most commonly acquired in parts of Africa, Asia, South America, the Middle </w:t>
      </w:r>
      <w:proofErr w:type="gramStart"/>
      <w:r w:rsidRPr="00AE2F1B">
        <w:t>East</w:t>
      </w:r>
      <w:proofErr w:type="gramEnd"/>
      <w:r w:rsidRPr="00AE2F1B">
        <w:t xml:space="preserve"> and the Pacific islands. </w:t>
      </w:r>
      <w:r w:rsidRPr="00DF12AB">
        <w:rPr>
          <w:rStyle w:val="Emphasis"/>
          <w:b w:val="0"/>
        </w:rPr>
        <w:t>V. cholerae</w:t>
      </w:r>
      <w:r w:rsidRPr="00AE2F1B">
        <w:t xml:space="preserve"> is found in the faeces of infected people, and is spread by drinking contaminated water, eating food washed with contaminated water or prepared with soiled hands, or eating fish or shellfish caught in contaminated water. Person to person spread of cholera is less common. Most people do not develop symptoms or have only mild </w:t>
      </w:r>
      <w:proofErr w:type="gramStart"/>
      <w:r w:rsidRPr="00AE2F1B">
        <w:t>illness</w:t>
      </w:r>
      <w:proofErr w:type="gramEnd"/>
      <w:r w:rsidRPr="00AE2F1B">
        <w:t xml:space="preserve"> but a small proportion of people will develop severe symptoms. Symptoms typically start between 2 hours and 5 days (usually 2 to 3 days) after ingesting the bacteria. Symptoms can include characteristic ‘rice water’ faeces (profuse, watery diarrhoea), nausea and vomiting and signs of dehydration, such as weakness, </w:t>
      </w:r>
      <w:proofErr w:type="gramStart"/>
      <w:r w:rsidRPr="00AE2F1B">
        <w:t>lethargy</w:t>
      </w:r>
      <w:proofErr w:type="gramEnd"/>
      <w:r w:rsidRPr="00AE2F1B">
        <w:t xml:space="preserve"> and muscle cramps. Only toxigenic </w:t>
      </w:r>
      <w:r w:rsidRPr="00DF12AB">
        <w:rPr>
          <w:rStyle w:val="Emphasis"/>
          <w:b w:val="0"/>
        </w:rPr>
        <w:t>V. cholerae</w:t>
      </w:r>
      <w:r w:rsidRPr="00AE2F1B">
        <w:t xml:space="preserve"> O1 and O139 are notifiable in Australia.</w:t>
      </w:r>
    </w:p>
    <w:p w14:paraId="4ECA876E" w14:textId="77777777" w:rsidR="00BE61A2" w:rsidRPr="00AE2F1B" w:rsidRDefault="00BE61A2" w:rsidP="00924A50">
      <w:pPr>
        <w:pStyle w:val="Heading3"/>
      </w:pPr>
      <w:bookmarkStart w:id="93" w:name="_Toc1747247"/>
      <w:r w:rsidRPr="00924A50">
        <w:rPr>
          <w:bCs w:val="0"/>
        </w:rPr>
        <w:t>Epidemiological situation in 2015</w:t>
      </w:r>
      <w:bookmarkEnd w:id="93"/>
    </w:p>
    <w:p w14:paraId="4ABA6106" w14:textId="77777777" w:rsidR="00BE61A2" w:rsidRPr="00AE2F1B" w:rsidRDefault="00BE61A2" w:rsidP="00AE2F1B">
      <w:r w:rsidRPr="00AE2F1B">
        <w:t>In 2015, there were 2 notifications of cholera in Australia. The following details are available about the relevant exposures and place of acquisition for these cases:</w:t>
      </w:r>
    </w:p>
    <w:p w14:paraId="6B2909C1" w14:textId="77777777" w:rsidR="00BE61A2" w:rsidRPr="00EE19C2" w:rsidRDefault="00BE61A2" w:rsidP="00EE19C2">
      <w:pPr>
        <w:pStyle w:val="ListParagraph"/>
        <w:numPr>
          <w:ilvl w:val="0"/>
          <w:numId w:val="4"/>
        </w:numPr>
        <w:rPr>
          <w:rFonts w:eastAsia="Times New Roman"/>
        </w:rPr>
      </w:pPr>
      <w:r w:rsidRPr="00EE19C2">
        <w:rPr>
          <w:rFonts w:eastAsia="Times New Roman"/>
        </w:rPr>
        <w:t xml:space="preserve">Case 1, notified by South Australia, was a 78-year-old male who acquired the infection while travelling in Indonesia; and </w:t>
      </w:r>
    </w:p>
    <w:p w14:paraId="20682481" w14:textId="77777777" w:rsidR="00BE61A2" w:rsidRPr="00EE19C2" w:rsidRDefault="00BE61A2" w:rsidP="00EE19C2">
      <w:pPr>
        <w:pStyle w:val="ListParagraph"/>
        <w:numPr>
          <w:ilvl w:val="0"/>
          <w:numId w:val="4"/>
        </w:numPr>
        <w:rPr>
          <w:rFonts w:eastAsia="Times New Roman"/>
        </w:rPr>
      </w:pPr>
      <w:r w:rsidRPr="00EE19C2">
        <w:rPr>
          <w:rFonts w:eastAsia="Times New Roman"/>
        </w:rPr>
        <w:t xml:space="preserve">Case 2, notified by New South Wales, was a 47-year-old female who acquired the infection while travelling in Thailand. </w:t>
      </w:r>
    </w:p>
    <w:p w14:paraId="564D3836" w14:textId="77777777" w:rsidR="00BE61A2" w:rsidRPr="0010296C" w:rsidRDefault="00BE61A2" w:rsidP="0010296C">
      <w:r w:rsidRPr="00AE2F1B">
        <w:lastRenderedPageBreak/>
        <w:t xml:space="preserve">There </w:t>
      </w:r>
      <w:proofErr w:type="gramStart"/>
      <w:r w:rsidRPr="00AE2F1B">
        <w:t>were</w:t>
      </w:r>
      <w:proofErr w:type="gramEnd"/>
      <w:r w:rsidRPr="00AE2F1B">
        <w:t xml:space="preserve"> a total of 19 cases of cholera notified in Australia between 2010 and 2015. All cases of cholera reported from the commencement of the NNDSS in 1991 to 2015 were acquired outside Australia, except for 1 case of laboratory-acquired cholera in 1996,</w:t>
      </w:r>
      <w:r w:rsidRPr="00AE2F1B">
        <w:rPr>
          <w:vertAlign w:val="superscript"/>
        </w:rPr>
        <w:t>47</w:t>
      </w:r>
      <w:r w:rsidRPr="00AE2F1B">
        <w:t xml:space="preserve"> 3 cases in 2006 linked to imported whitebait</w:t>
      </w:r>
      <w:r w:rsidRPr="00AE2F1B">
        <w:rPr>
          <w:vertAlign w:val="superscript"/>
        </w:rPr>
        <w:t>48</w:t>
      </w:r>
      <w:r w:rsidRPr="00AE2F1B">
        <w:t xml:space="preserve"> and 1 laboratory-acquired case in </w:t>
      </w:r>
      <w:proofErr w:type="gramStart"/>
      <w:r w:rsidRPr="00AE2F1B">
        <w:t>2013.</w:t>
      </w:r>
      <w:r w:rsidRPr="00AE2F1B">
        <w:rPr>
          <w:vertAlign w:val="superscript"/>
        </w:rPr>
        <w:t>44</w:t>
      </w:r>
      <w:proofErr w:type="gramEnd"/>
      <w:r w:rsidRPr="00AE2F1B">
        <w:t xml:space="preserve">  </w:t>
      </w:r>
    </w:p>
    <w:p w14:paraId="6B72572A" w14:textId="77777777" w:rsidR="00BE61A2" w:rsidRPr="00095AA3" w:rsidRDefault="00BE61A2" w:rsidP="00095AA3">
      <w:pPr>
        <w:pStyle w:val="Heading1"/>
      </w:pPr>
      <w:bookmarkStart w:id="94" w:name="_Toc1747248"/>
      <w:r w:rsidRPr="00095AA3">
        <w:rPr>
          <w:rStyle w:val="Heading1Char"/>
          <w:b/>
        </w:rPr>
        <w:t>Sexually Transmissible Infections</w:t>
      </w:r>
      <w:bookmarkEnd w:id="94"/>
    </w:p>
    <w:p w14:paraId="1C86E783" w14:textId="77777777" w:rsidR="00BE61A2" w:rsidRPr="00AE2F1B" w:rsidRDefault="00BE61A2" w:rsidP="00AE2F1B">
      <w:r w:rsidRPr="00AE2F1B">
        <w:t>In 2015, the STIs notified to the NNDSS were chlamydial infection, donovanosis, gonococcal infection, and congenital and non-congenital syphilis. Other national surveillance systems that monitor STIs in Australia include the Australian Gonococcal Surveillance Programme (AGSP), which is a network of specialist laboratories monitoring antimicrobial susceptibility patterns of gonococcal infection; and the National HIV Registry maintained by the Kirby Institute at the University of New South Wales.</w:t>
      </w:r>
    </w:p>
    <w:p w14:paraId="7E6C4CCD" w14:textId="77777777" w:rsidR="00BE61A2" w:rsidRPr="004E056D" w:rsidRDefault="00BE61A2" w:rsidP="004E056D">
      <w:pPr>
        <w:pStyle w:val="Heading2"/>
      </w:pPr>
      <w:bookmarkStart w:id="95" w:name="_Toc1747249"/>
      <w:r w:rsidRPr="004E056D">
        <w:rPr>
          <w:bCs w:val="0"/>
          <w:sz w:val="27"/>
          <w:szCs w:val="27"/>
        </w:rPr>
        <w:t>Chlamydial infection</w:t>
      </w:r>
      <w:bookmarkEnd w:id="95"/>
    </w:p>
    <w:p w14:paraId="1BCB47DD" w14:textId="77777777" w:rsidR="00BE61A2" w:rsidRPr="00625AAD" w:rsidRDefault="00BE61A2" w:rsidP="00625AAD">
      <w:pPr>
        <w:pStyle w:val="ListParagraph"/>
        <w:numPr>
          <w:ilvl w:val="0"/>
          <w:numId w:val="4"/>
        </w:numPr>
        <w:rPr>
          <w:rFonts w:eastAsia="Times New Roman"/>
        </w:rPr>
      </w:pPr>
      <w:r w:rsidRPr="00625AAD">
        <w:rPr>
          <w:rFonts w:eastAsia="Times New Roman"/>
        </w:rPr>
        <w:t xml:space="preserve">There were 65,998 cases of chlamydial infection notified in 2015. </w:t>
      </w:r>
    </w:p>
    <w:p w14:paraId="6090B8A2" w14:textId="77777777" w:rsidR="00BE61A2" w:rsidRPr="00625AAD" w:rsidRDefault="00BE61A2" w:rsidP="00625AAD">
      <w:pPr>
        <w:pStyle w:val="ListParagraph"/>
        <w:numPr>
          <w:ilvl w:val="0"/>
          <w:numId w:val="4"/>
        </w:numPr>
        <w:rPr>
          <w:rFonts w:eastAsia="Times New Roman"/>
        </w:rPr>
      </w:pPr>
      <w:r w:rsidRPr="00625AAD">
        <w:rPr>
          <w:rFonts w:eastAsia="Times New Roman"/>
        </w:rPr>
        <w:t xml:space="preserve">Chlamydia notifications from Victoria in 2015 were incomplete and have been excluded from the report. Victorian notifications normally account for approximately 23% of notifications nationally. </w:t>
      </w:r>
    </w:p>
    <w:p w14:paraId="2B080667" w14:textId="77777777" w:rsidR="00625AAD" w:rsidRPr="00625AAD" w:rsidRDefault="00BE61A2" w:rsidP="00625AAD">
      <w:pPr>
        <w:pStyle w:val="ListParagraph"/>
        <w:numPr>
          <w:ilvl w:val="0"/>
          <w:numId w:val="4"/>
        </w:numPr>
        <w:rPr>
          <w:rFonts w:eastAsia="Times New Roman"/>
        </w:rPr>
      </w:pPr>
      <w:r w:rsidRPr="00625AAD">
        <w:rPr>
          <w:rFonts w:eastAsia="Times New Roman"/>
        </w:rPr>
        <w:t xml:space="preserve">Thirty-seven per cent of notifications in 2015 were </w:t>
      </w:r>
      <w:r w:rsidR="00625AAD" w:rsidRPr="00625AAD">
        <w:rPr>
          <w:rFonts w:eastAsia="Times New Roman"/>
        </w:rPr>
        <w:t>among females aged 15‒24 years.</w:t>
      </w:r>
    </w:p>
    <w:p w14:paraId="6DEA784E" w14:textId="77777777" w:rsidR="00BE61A2" w:rsidRPr="00AE2F1B" w:rsidRDefault="00BE61A2" w:rsidP="00AE2F1B">
      <w:pPr>
        <w:rPr>
          <w:rFonts w:eastAsia="Times New Roman"/>
        </w:rPr>
      </w:pPr>
      <w:r w:rsidRPr="00AE2F1B">
        <w:rPr>
          <w:rFonts w:eastAsia="Times New Roman"/>
        </w:rPr>
        <w:t xml:space="preserve">Genital chlamydial infection is caused by the bacterium </w:t>
      </w:r>
      <w:r w:rsidRPr="00DF12AB">
        <w:rPr>
          <w:rStyle w:val="Emphasis"/>
          <w:rFonts w:eastAsia="Times New Roman"/>
          <w:b w:val="0"/>
        </w:rPr>
        <w:t>Chlamydia trachomatis</w:t>
      </w:r>
      <w:r w:rsidRPr="00AE2F1B">
        <w:rPr>
          <w:rFonts w:eastAsia="Times New Roman"/>
        </w:rPr>
        <w:t xml:space="preserve"> serogroups D to K. Screening is important in detecting chlamydial infections, as a large proportion of infections are asymptomatic. Chlamydial infection is highly treatable, although reinfection is common.</w:t>
      </w:r>
      <w:r w:rsidRPr="00AE2F1B">
        <w:rPr>
          <w:rFonts w:eastAsia="Times New Roman"/>
          <w:vertAlign w:val="superscript"/>
        </w:rPr>
        <w:t>49</w:t>
      </w:r>
      <w:r w:rsidRPr="00AE2F1B">
        <w:rPr>
          <w:rFonts w:eastAsia="Times New Roman"/>
        </w:rPr>
        <w:t xml:space="preserve"> If it is left untreated, complications such as epididymitis in males and infertility and pelvic inflammatory disease in females can arise.</w:t>
      </w:r>
      <w:r w:rsidRPr="00AE2F1B">
        <w:rPr>
          <w:rFonts w:eastAsia="Times New Roman"/>
          <w:vertAlign w:val="superscript"/>
        </w:rPr>
        <w:t>21</w:t>
      </w:r>
      <w:r w:rsidRPr="00AE2F1B">
        <w:rPr>
          <w:rFonts w:eastAsia="Times New Roman"/>
        </w:rPr>
        <w:t xml:space="preserve"> </w:t>
      </w:r>
    </w:p>
    <w:p w14:paraId="57162ED6" w14:textId="77777777" w:rsidR="00BE61A2" w:rsidRPr="00AE2F1B" w:rsidRDefault="00BE61A2" w:rsidP="00AE2F1B">
      <w:r w:rsidRPr="00AE2F1B">
        <w:t xml:space="preserve">Chlamydia notifications in 2015 are incomplete for </w:t>
      </w:r>
      <w:proofErr w:type="gramStart"/>
      <w:r w:rsidRPr="00AE2F1B">
        <w:t>Victoria, but</w:t>
      </w:r>
      <w:proofErr w:type="gramEnd"/>
      <w:r w:rsidRPr="00AE2F1B">
        <w:t xml:space="preserve"> will be available for future reporting. Victoria is excluded for every year in the analyses and figures presented below.</w:t>
      </w:r>
    </w:p>
    <w:p w14:paraId="090FB42B" w14:textId="77777777" w:rsidR="00BE61A2" w:rsidRPr="00AE2F1B" w:rsidRDefault="00BE61A2" w:rsidP="00924A50">
      <w:pPr>
        <w:pStyle w:val="Heading3"/>
      </w:pPr>
      <w:bookmarkStart w:id="96" w:name="_Toc1747250"/>
      <w:r w:rsidRPr="00924A50">
        <w:rPr>
          <w:bCs w:val="0"/>
        </w:rPr>
        <w:t>Epidemiological situation in 2015</w:t>
      </w:r>
      <w:bookmarkEnd w:id="96"/>
    </w:p>
    <w:p w14:paraId="3A7F82BB" w14:textId="77777777" w:rsidR="00BE61A2" w:rsidRDefault="00BE61A2" w:rsidP="00AE2F1B">
      <w:r w:rsidRPr="00AE2F1B">
        <w:t>In 2015, there were 65,998 cases of chlamydial infection, representing 21% of all notifications reported to the NNDSS. From 2011 to 2014, notification rates remained relatively stable, increasing marginally from 368.0 per 100,000 in 2011 to 379.4 per 100,000 in 2014, and declining in 2015 to 369.9 per 100,000 (Figure 32).</w:t>
      </w:r>
    </w:p>
    <w:p w14:paraId="48C700BF" w14:textId="77777777" w:rsidR="00FA7949" w:rsidRDefault="00FA7949">
      <w:pPr>
        <w:rPr>
          <w:b/>
        </w:rPr>
      </w:pPr>
      <w:r>
        <w:br w:type="page"/>
      </w:r>
    </w:p>
    <w:p w14:paraId="15747DCD" w14:textId="77777777" w:rsidR="00387493" w:rsidRDefault="00387493" w:rsidP="00387493">
      <w:pPr>
        <w:pStyle w:val="CDIFigures"/>
        <w:rPr>
          <w:rStyle w:val="A9"/>
          <w:rFonts w:asciiTheme="minorHAnsi" w:hAnsiTheme="minorHAnsi" w:cstheme="minorBidi"/>
          <w:b/>
          <w:bCs w:val="0"/>
          <w:color w:val="auto"/>
          <w:sz w:val="22"/>
          <w:szCs w:val="22"/>
        </w:rPr>
      </w:pPr>
      <w:r w:rsidRPr="00387493">
        <w:lastRenderedPageBreak/>
        <w:t>Figure 32: Notifications and notification rate for chlamydial infection, Australia, 2010 to 2015, by year</w:t>
      </w:r>
      <w:r w:rsidRPr="00FD3CF7">
        <w:rPr>
          <w:rStyle w:val="A9"/>
          <w:rFonts w:asciiTheme="minorHAnsi" w:hAnsiTheme="minorHAnsi" w:cstheme="minorBidi"/>
          <w:b/>
          <w:bCs w:val="0"/>
          <w:color w:val="auto"/>
          <w:sz w:val="22"/>
          <w:szCs w:val="22"/>
          <w:vertAlign w:val="superscript"/>
        </w:rPr>
        <w:t>*</w:t>
      </w:r>
    </w:p>
    <w:p w14:paraId="310ACFDB" w14:textId="77777777" w:rsidR="00AD4A21" w:rsidRDefault="0021477A" w:rsidP="00387493">
      <w:pPr>
        <w:pStyle w:val="CDIFigures"/>
        <w:rPr>
          <w:rStyle w:val="A9"/>
          <w:rFonts w:asciiTheme="minorHAnsi" w:hAnsiTheme="minorHAnsi" w:cstheme="minorBidi"/>
          <w:b/>
          <w:bCs w:val="0"/>
          <w:color w:val="auto"/>
          <w:sz w:val="22"/>
          <w:szCs w:val="22"/>
        </w:rPr>
      </w:pPr>
      <w:r>
        <w:rPr>
          <w:rStyle w:val="A9"/>
          <w:rFonts w:asciiTheme="minorHAnsi" w:hAnsiTheme="minorHAnsi" w:cstheme="minorBidi"/>
          <w:b/>
          <w:bCs w:val="0"/>
          <w:color w:val="auto"/>
          <w:sz w:val="22"/>
          <w:szCs w:val="22"/>
        </w:rPr>
        <w:pict w14:anchorId="24520E9A">
          <v:shape id="_x0000_i1054" type="#_x0000_t75" alt="This figure shows the notifications (scale on left Y-axis) and notification rate (scale on right Y-axis) from 2010 to 2015 for chlamydial infection. Over the 5 year period, the notification rates for chlamydial infection remained relatively stable. Notifications and notification rates were highest in 2014." style="width:522.6pt;height:273pt">
            <v:imagedata r:id="rId48" o:title="4-Sexual tranmissibale infections chapter_figures 32 to 49_Page_01"/>
          </v:shape>
        </w:pict>
      </w:r>
    </w:p>
    <w:p w14:paraId="06D4C8BF" w14:textId="77777777" w:rsidR="00387493" w:rsidRPr="00387493" w:rsidRDefault="00387493" w:rsidP="00387493">
      <w:pPr>
        <w:pStyle w:val="CDIfootnotes"/>
      </w:pPr>
      <w:r w:rsidRPr="00387493">
        <w:t>*</w:t>
      </w:r>
      <w:r>
        <w:tab/>
      </w:r>
      <w:r w:rsidRPr="00387493">
        <w:t>Excludes Victoria.</w:t>
      </w:r>
    </w:p>
    <w:p w14:paraId="2C26061A" w14:textId="77777777" w:rsidR="00BE61A2" w:rsidRPr="00AE2F1B" w:rsidRDefault="00BE61A2" w:rsidP="00924A50">
      <w:pPr>
        <w:pStyle w:val="Heading3"/>
      </w:pPr>
      <w:bookmarkStart w:id="97" w:name="_Toc1747251"/>
      <w:r w:rsidRPr="00924A50">
        <w:rPr>
          <w:bCs w:val="0"/>
        </w:rPr>
        <w:t>Geographical distribution</w:t>
      </w:r>
      <w:bookmarkEnd w:id="97"/>
    </w:p>
    <w:p w14:paraId="49C4EE8F" w14:textId="77777777" w:rsidR="00BE61A2" w:rsidRDefault="00BE61A2" w:rsidP="00AE2F1B">
      <w:r w:rsidRPr="00AE2F1B">
        <w:t>In 2015, the notification rate for chlamydia was 3 times higher in the Northern Territory (1,119.8 per 100,000) compared to the national rate (369.8 per 100,000) (Figure 33). This is probably due to the disproportionate representation of Aboriginal and Torres Strait Islander women, particularly in regional and remote areas, in the chlamydia notification data (Figure 36).</w:t>
      </w:r>
      <w:r w:rsidRPr="00AE2F1B">
        <w:rPr>
          <w:vertAlign w:val="superscript"/>
        </w:rPr>
        <w:t>9</w:t>
      </w:r>
    </w:p>
    <w:p w14:paraId="2300B8FF" w14:textId="77777777" w:rsidR="00A26E5A" w:rsidRDefault="00A26E5A">
      <w:pPr>
        <w:rPr>
          <w:b/>
        </w:rPr>
      </w:pPr>
      <w:r>
        <w:br w:type="page"/>
      </w:r>
    </w:p>
    <w:p w14:paraId="6DC5C854" w14:textId="77777777" w:rsidR="008F3B7C" w:rsidRDefault="008F3B7C" w:rsidP="00CA27DB">
      <w:pPr>
        <w:pStyle w:val="CDIFigures"/>
        <w:rPr>
          <w:rStyle w:val="A9"/>
          <w:rFonts w:asciiTheme="minorHAnsi" w:hAnsiTheme="minorHAnsi" w:cstheme="minorBidi"/>
          <w:b/>
          <w:bCs w:val="0"/>
          <w:color w:val="auto"/>
          <w:sz w:val="22"/>
          <w:szCs w:val="22"/>
        </w:rPr>
      </w:pPr>
      <w:r w:rsidRPr="00CA27DB">
        <w:lastRenderedPageBreak/>
        <w:t>Figure 33: Notifications and notification rate for chlamydial infection, Australia, 2015, by state or territory</w:t>
      </w:r>
      <w:r w:rsidRPr="00FD3CF7">
        <w:rPr>
          <w:rStyle w:val="A9"/>
          <w:rFonts w:asciiTheme="minorHAnsi" w:hAnsiTheme="minorHAnsi" w:cstheme="minorBidi"/>
          <w:b/>
          <w:bCs w:val="0"/>
          <w:color w:val="auto"/>
          <w:sz w:val="22"/>
          <w:szCs w:val="22"/>
          <w:vertAlign w:val="superscript"/>
        </w:rPr>
        <w:t>*</w:t>
      </w:r>
    </w:p>
    <w:p w14:paraId="57A33979" w14:textId="77777777" w:rsidR="00A26E5A" w:rsidRDefault="0021477A" w:rsidP="00CA27DB">
      <w:pPr>
        <w:pStyle w:val="CDIFigures"/>
        <w:rPr>
          <w:rStyle w:val="A9"/>
          <w:rFonts w:asciiTheme="minorHAnsi" w:hAnsiTheme="minorHAnsi" w:cstheme="minorBidi"/>
          <w:b/>
          <w:bCs w:val="0"/>
          <w:color w:val="auto"/>
          <w:sz w:val="22"/>
          <w:szCs w:val="22"/>
        </w:rPr>
      </w:pPr>
      <w:r>
        <w:rPr>
          <w:rStyle w:val="A9"/>
          <w:rFonts w:asciiTheme="minorHAnsi" w:hAnsiTheme="minorHAnsi" w:cstheme="minorBidi"/>
          <w:b/>
          <w:bCs w:val="0"/>
          <w:color w:val="auto"/>
          <w:sz w:val="22"/>
          <w:szCs w:val="22"/>
        </w:rPr>
        <w:pict w14:anchorId="7B06F0E6">
          <v:shape id="_x0000_i1055" type="#_x0000_t75" alt="This figure shows that, by jurisdiction, notifications of chlamydial infection in 2015 were highest in New South Wales. However, the notification rate was highest in the Northern Territory, far exceeding the notification rates of other jurisdictions." style="width:522.6pt;height:351.6pt">
            <v:imagedata r:id="rId49" o:title="4-Sexual tranmissibale infections chapter_figures 32 to 49_Page_02"/>
          </v:shape>
        </w:pict>
      </w:r>
    </w:p>
    <w:p w14:paraId="2BE0B3A5" w14:textId="77777777" w:rsidR="00CA27DB" w:rsidRDefault="00CA27DB" w:rsidP="00CA27DB">
      <w:pPr>
        <w:pStyle w:val="CDIfootnotes"/>
      </w:pPr>
      <w:r w:rsidRPr="00CA27DB">
        <w:t>*</w:t>
      </w:r>
      <w:r w:rsidRPr="00CA27DB">
        <w:tab/>
        <w:t>Excludes Victoria.</w:t>
      </w:r>
    </w:p>
    <w:p w14:paraId="66588EDD" w14:textId="77777777" w:rsidR="00697FCD" w:rsidRDefault="00697FCD">
      <w:pPr>
        <w:rPr>
          <w:b/>
        </w:rPr>
      </w:pPr>
      <w:r>
        <w:br w:type="page"/>
      </w:r>
    </w:p>
    <w:p w14:paraId="6E6DB0E3" w14:textId="77777777" w:rsidR="00787BAC" w:rsidRDefault="00787BAC" w:rsidP="00787BAC">
      <w:pPr>
        <w:pStyle w:val="CDIFigures"/>
      </w:pPr>
      <w:r w:rsidRPr="00787BAC">
        <w:lastRenderedPageBreak/>
        <w:t>Figure 34: Notification rate</w:t>
      </w:r>
      <w:r w:rsidRPr="00FD3CF7">
        <w:rPr>
          <w:rStyle w:val="A9"/>
          <w:rFonts w:asciiTheme="minorHAnsi" w:hAnsiTheme="minorHAnsi" w:cstheme="minorBidi"/>
          <w:b/>
          <w:bCs w:val="0"/>
          <w:color w:val="auto"/>
          <w:sz w:val="22"/>
          <w:szCs w:val="22"/>
          <w:vertAlign w:val="superscript"/>
        </w:rPr>
        <w:t>*</w:t>
      </w:r>
      <w:r w:rsidRPr="00787BAC">
        <w:rPr>
          <w:rStyle w:val="A9"/>
          <w:rFonts w:asciiTheme="minorHAnsi" w:hAnsiTheme="minorHAnsi" w:cstheme="minorBidi"/>
          <w:b/>
          <w:bCs w:val="0"/>
          <w:color w:val="auto"/>
          <w:sz w:val="22"/>
          <w:szCs w:val="22"/>
        </w:rPr>
        <w:t xml:space="preserve"> </w:t>
      </w:r>
      <w:r w:rsidRPr="00787BAC">
        <w:t>for chlamydial infection, Australia, 2015, by age group and sex</w:t>
      </w:r>
    </w:p>
    <w:p w14:paraId="0127F74B" w14:textId="77777777" w:rsidR="00451CD8" w:rsidRDefault="0021477A" w:rsidP="00787BAC">
      <w:pPr>
        <w:pStyle w:val="CDIFigures"/>
      </w:pPr>
      <w:r>
        <w:pict w14:anchorId="5454A848">
          <v:shape id="_x0000_i1056" type="#_x0000_t75" alt="This figure shows the annual notification rate for chlamydial infection by 5-year age group and sex. In 2015, notification rates for chlamydial infection peaked in females aged 20-24 years. Notification rates for those aged less than 30 years were higher in females than in males." style="width:522.6pt;height:329.4pt">
            <v:imagedata r:id="rId50" o:title="4-Sexual tranmissibale infections chapter_figures 32 to 49_Page_03"/>
          </v:shape>
        </w:pict>
      </w:r>
    </w:p>
    <w:p w14:paraId="7546B16A" w14:textId="77777777" w:rsidR="00BD7F61" w:rsidRDefault="00BD7F61" w:rsidP="00BD7F61">
      <w:pPr>
        <w:pStyle w:val="CDIfootnotes"/>
      </w:pPr>
      <w:r w:rsidRPr="00CA27DB">
        <w:t>*</w:t>
      </w:r>
      <w:r w:rsidRPr="00CA27DB">
        <w:tab/>
        <w:t>Excludes Victoria.</w:t>
      </w:r>
    </w:p>
    <w:p w14:paraId="3411200D" w14:textId="77777777" w:rsidR="00035E3A" w:rsidRDefault="00035E3A">
      <w:pPr>
        <w:rPr>
          <w:b/>
        </w:rPr>
      </w:pPr>
      <w:r>
        <w:br w:type="page"/>
      </w:r>
    </w:p>
    <w:p w14:paraId="1007715C" w14:textId="77777777" w:rsidR="00BD7F61" w:rsidRDefault="00C5500A" w:rsidP="00C5500A">
      <w:pPr>
        <w:pStyle w:val="CDIFigures"/>
      </w:pPr>
      <w:r w:rsidRPr="00C5500A">
        <w:lastRenderedPageBreak/>
        <w:t>Figure 35: Notification rate</w:t>
      </w:r>
      <w:r w:rsidRPr="00FD3CF7">
        <w:rPr>
          <w:rStyle w:val="A9"/>
          <w:rFonts w:asciiTheme="minorHAnsi" w:hAnsiTheme="minorHAnsi" w:cstheme="minorBidi"/>
          <w:b/>
          <w:bCs w:val="0"/>
          <w:color w:val="auto"/>
          <w:sz w:val="22"/>
          <w:szCs w:val="22"/>
          <w:vertAlign w:val="superscript"/>
        </w:rPr>
        <w:t>*</w:t>
      </w:r>
      <w:r w:rsidRPr="00C5500A">
        <w:rPr>
          <w:rStyle w:val="A9"/>
          <w:rFonts w:asciiTheme="minorHAnsi" w:hAnsiTheme="minorHAnsi" w:cstheme="minorBidi"/>
          <w:b/>
          <w:bCs w:val="0"/>
          <w:color w:val="auto"/>
          <w:sz w:val="22"/>
          <w:szCs w:val="22"/>
        </w:rPr>
        <w:t xml:space="preserve"> </w:t>
      </w:r>
      <w:r w:rsidRPr="00C5500A">
        <w:t xml:space="preserve">for chlamydial infection, Australia, 2010 to 2015, by year, </w:t>
      </w:r>
      <w:proofErr w:type="gramStart"/>
      <w:r w:rsidRPr="00C5500A">
        <w:t>sex</w:t>
      </w:r>
      <w:proofErr w:type="gramEnd"/>
      <w:r w:rsidRPr="00C5500A">
        <w:t xml:space="preserve"> and selected age groups</w:t>
      </w:r>
    </w:p>
    <w:p w14:paraId="089499B6" w14:textId="77777777" w:rsidR="00035E3A" w:rsidRDefault="0021477A" w:rsidP="00C5500A">
      <w:pPr>
        <w:pStyle w:val="CDIFigures"/>
      </w:pPr>
      <w:r>
        <w:pict w14:anchorId="4EC8AE64">
          <v:shape id="_x0000_i1057" type="#_x0000_t75" alt="This figure shows the annual notification rate for chlamydial infection from 2010 to 2015, by sex, for the following selected age groups: 15–19 years, 20–24 years, 25–29 years, 30–34 years and 35–39 years. Overall, notification rates increased for these age groups over the six year period." style="width:524.4pt;height:329.4pt">
            <v:imagedata r:id="rId51" o:title="4-Sexual tranmissibale infections chapter_figures 32 to 49_Page_04"/>
          </v:shape>
        </w:pict>
      </w:r>
    </w:p>
    <w:p w14:paraId="47D992F0" w14:textId="77777777" w:rsidR="00C5500A" w:rsidRDefault="00C5500A" w:rsidP="00C5500A">
      <w:pPr>
        <w:pStyle w:val="CDIfootnotes"/>
      </w:pPr>
      <w:r w:rsidRPr="00CA27DB">
        <w:t>*</w:t>
      </w:r>
      <w:r w:rsidRPr="00CA27DB">
        <w:tab/>
        <w:t>Excludes Victoria.</w:t>
      </w:r>
    </w:p>
    <w:p w14:paraId="00E6E765" w14:textId="77777777" w:rsidR="000A4FD4" w:rsidRDefault="000A4FD4">
      <w:pPr>
        <w:rPr>
          <w:b/>
        </w:rPr>
      </w:pPr>
      <w:r>
        <w:br w:type="page"/>
      </w:r>
    </w:p>
    <w:p w14:paraId="3547B7E1" w14:textId="77777777" w:rsidR="00C5500A" w:rsidRDefault="001756EF" w:rsidP="00C32EAA">
      <w:pPr>
        <w:pStyle w:val="CDIFigures"/>
      </w:pPr>
      <w:r w:rsidRPr="00C32EAA">
        <w:lastRenderedPageBreak/>
        <w:t xml:space="preserve">Figure 36. Age-standardised notification rates for chlamydial infection, selected </w:t>
      </w:r>
      <w:proofErr w:type="gramStart"/>
      <w:r w:rsidRPr="00C32EAA">
        <w:t>states</w:t>
      </w:r>
      <w:proofErr w:type="gramEnd"/>
      <w:r w:rsidRPr="00C32EAA">
        <w:t xml:space="preserve"> and territories,</w:t>
      </w:r>
      <w:r w:rsidRPr="00FD3CF7">
        <w:rPr>
          <w:rStyle w:val="A9"/>
          <w:rFonts w:asciiTheme="minorHAnsi" w:hAnsiTheme="minorHAnsi" w:cstheme="minorBidi"/>
          <w:b/>
          <w:bCs w:val="0"/>
          <w:color w:val="auto"/>
          <w:sz w:val="22"/>
          <w:szCs w:val="22"/>
          <w:vertAlign w:val="superscript"/>
        </w:rPr>
        <w:t>*</w:t>
      </w:r>
      <w:r w:rsidRPr="00C32EAA">
        <w:rPr>
          <w:rStyle w:val="A9"/>
          <w:rFonts w:asciiTheme="minorHAnsi" w:hAnsiTheme="minorHAnsi" w:cstheme="minorBidi"/>
          <w:b/>
          <w:bCs w:val="0"/>
          <w:color w:val="auto"/>
          <w:sz w:val="22"/>
          <w:szCs w:val="22"/>
        </w:rPr>
        <w:t xml:space="preserve"> </w:t>
      </w:r>
      <w:r w:rsidRPr="00C32EAA">
        <w:t>2010 to 2015, by year and Indigenous status</w:t>
      </w:r>
    </w:p>
    <w:p w14:paraId="1B65F055" w14:textId="77777777" w:rsidR="002C3FA3" w:rsidRPr="00C32EAA" w:rsidRDefault="0021477A" w:rsidP="00C32EAA">
      <w:pPr>
        <w:pStyle w:val="CDIFigures"/>
      </w:pPr>
      <w:r>
        <w:pict w14:anchorId="03D7232D">
          <v:shape id="_x0000_i1058" type="#_x0000_t75" alt="This figure shows the age-standardised notification rates for chlamydial infection from 2010 to 2015, by Indigenous status, for the states and territories where Indigenous status was reported for more than 50% of cases: the Northern Territory, Queensland, South Australia and Western Australia. Notification rates for Indigenous people were higher than for non-Indigenous people and increased overall over the six year period. Between 2014 and 2015, Indigenous rates have declined in Western Australia, South Australia and Northern Territory." style="width:522.6pt;height:329.4pt;mso-position-vertical:absolute">
            <v:imagedata r:id="rId52" o:title="4-Sexual tranmissibale infections chapter_figures 32 to 49_Page_05"/>
          </v:shape>
        </w:pict>
      </w:r>
    </w:p>
    <w:p w14:paraId="30C1B7B2" w14:textId="77777777" w:rsidR="00C32EAA" w:rsidRPr="00C32EAA" w:rsidRDefault="002C3FA3" w:rsidP="00DE634F">
      <w:pPr>
        <w:pStyle w:val="CDIfootnotes"/>
        <w:ind w:left="720" w:hanging="720"/>
      </w:pPr>
      <w:r>
        <w:t>*</w:t>
      </w:r>
      <w:r>
        <w:tab/>
      </w:r>
      <w:r w:rsidR="00C32EAA" w:rsidRPr="00C32EAA">
        <w:t xml:space="preserve">Includes the states and territories where Indigenous status was reported for more than 50% of cases between 2010 and 2015: the Northern Territory, Queensland, South </w:t>
      </w:r>
      <w:proofErr w:type="gramStart"/>
      <w:r w:rsidR="00C32EAA" w:rsidRPr="00C32EAA">
        <w:t>Australia</w:t>
      </w:r>
      <w:proofErr w:type="gramEnd"/>
      <w:r w:rsidR="00C32EAA" w:rsidRPr="00C32EAA">
        <w:t xml:space="preserve"> and Western Australia.</w:t>
      </w:r>
    </w:p>
    <w:p w14:paraId="12B0FC73" w14:textId="77777777" w:rsidR="00BE61A2" w:rsidRPr="00AE2F1B" w:rsidRDefault="00BE61A2" w:rsidP="00924A50">
      <w:pPr>
        <w:pStyle w:val="Heading3"/>
      </w:pPr>
      <w:bookmarkStart w:id="98" w:name="_Toc1747252"/>
      <w:r w:rsidRPr="00924A50">
        <w:rPr>
          <w:bCs w:val="0"/>
        </w:rPr>
        <w:t>Age and sex distribution</w:t>
      </w:r>
      <w:bookmarkEnd w:id="98"/>
    </w:p>
    <w:p w14:paraId="2AD17C44" w14:textId="77777777" w:rsidR="00BE61A2" w:rsidRPr="00AE2F1B" w:rsidRDefault="00BE61A2" w:rsidP="00AE2F1B">
      <w:r w:rsidRPr="00AE2F1B">
        <w:t>In 2015, chlamydial infection occurred predominately in females aged 15‒24 years, accounting for 37% of all chlamydial infections (Figure 34). The national notification rate for chlamydial infection in 2015 was 368.4 per 100,000 in males and 479.9 per 100,000 in females. The overall higher rate among females may be partly attributable to preferential testing of women attending health services compared with men.</w:t>
      </w:r>
      <w:r w:rsidRPr="00AE2F1B">
        <w:rPr>
          <w:vertAlign w:val="superscript"/>
        </w:rPr>
        <w:t>9,50</w:t>
      </w:r>
      <w:r w:rsidRPr="00AE2F1B">
        <w:t xml:space="preserve"> Notification rates for males and females, aged 20–39 years, increased between 2010 and 2015: in males by 17% (706.6 in 2010 to 823.4 in 2015) and in females by 16% (872.6 in 2010 to 1,016.0). Notification rates for both males and females aged 15–19 years decreased between 2011 and 2015, declining by 19% (784.5 in 2011 to 635.3 in 2015) in males and 20% (2,421.6 in 2011 to 1,944.6 in 2015) in females (Figure 35).</w:t>
      </w:r>
    </w:p>
    <w:p w14:paraId="41990C8A" w14:textId="77777777" w:rsidR="00BE61A2" w:rsidRPr="0039362D" w:rsidRDefault="00BE61A2" w:rsidP="00EE19C2">
      <w:pPr>
        <w:pStyle w:val="Heading3"/>
      </w:pPr>
      <w:bookmarkStart w:id="99" w:name="_Toc1747253"/>
      <w:r w:rsidRPr="0039362D">
        <w:t>Indigenous status</w:t>
      </w:r>
      <w:bookmarkEnd w:id="99"/>
    </w:p>
    <w:p w14:paraId="2782E56F" w14:textId="77777777" w:rsidR="00BE61A2" w:rsidRPr="00AE2F1B" w:rsidRDefault="00BE61A2" w:rsidP="00AE2F1B">
      <w:r w:rsidRPr="00AE2F1B">
        <w:t xml:space="preserve">The completeness of Indigenous status identification for chlamydial infection notification data varies by year and jurisdiction. Nationally in 2015, data on Indigenous status were complete for 49% (32,047) of chlamydial infection notifications, which is lower than the preceding five-year average of 46% (range: 37% to 51%). Four jurisdictions had greater than 50% completeness of the Indigenous status field in each year during the 2010–2015 period: the Northern Territory, Queensland, South Australia, and Western Australia. Among these jurisdictions, the combined age-standardised notification rate ratio between Indigenous and non-Indigenous populations in 2015 was 2.8:1, which is slightly lower compared to the previous 5 years (range: 2.9 to 3.2). </w:t>
      </w:r>
    </w:p>
    <w:p w14:paraId="63A8A6A5" w14:textId="77777777" w:rsidR="00BE61A2" w:rsidRPr="00AE2F1B" w:rsidRDefault="00BE61A2" w:rsidP="00AE2F1B">
      <w:r w:rsidRPr="00AE2F1B">
        <w:lastRenderedPageBreak/>
        <w:t>Among the Indigenous population, the age-standardised notification rate for the 4 states and territories with more than 50% Indigenous status completeness declined from 1,455.8 per 100,000 in 2011 to 1,288.6 per 100,000 in 2015. This followed a slight increase from 1,430.3 per 100,000 in 2010 to 1,455.8 per 100,000 in 2011.</w:t>
      </w:r>
    </w:p>
    <w:p w14:paraId="580DE12E" w14:textId="77777777" w:rsidR="00BE61A2" w:rsidRPr="00AE2F1B" w:rsidRDefault="00BE61A2" w:rsidP="00AE2F1B">
      <w:r w:rsidRPr="00AE2F1B">
        <w:t>Age-standardised notification rates among the non-Indigenous population increased overall from 364.2 per 100,000 in 2010 to 392.5 per 100,000 in 2015.</w:t>
      </w:r>
    </w:p>
    <w:p w14:paraId="2784885D" w14:textId="77777777" w:rsidR="00BE61A2" w:rsidRPr="00AE2F1B" w:rsidRDefault="00BE61A2" w:rsidP="00AE2F1B">
      <w:r w:rsidRPr="00AE2F1B">
        <w:t>Between 2014 and 2015, age-standardised notification rates for chlamydial infection in the Indigenous population decreased by 17% in South Australia (1,020.6 to 852.0 per 100,000), by 7% in Western Australia (1,326.3 to 1,232.5 per 100,000), and by 10% (1,864.8 to 1,680.5 per 100,000) in the Northern Territory. Conversely, rates increased in Queensland by 3% (1,192.1 to 1,230.9 per 100,000).</w:t>
      </w:r>
    </w:p>
    <w:p w14:paraId="22702BC8" w14:textId="77777777" w:rsidR="00BE61A2" w:rsidRPr="00AE2F1B" w:rsidRDefault="00BE61A2" w:rsidP="00AE2F1B">
      <w:r w:rsidRPr="00AE2F1B">
        <w:t>Between 2014 and 2015, age-standardised notification rates for chlamydial infection in the non-Indigenous population decreased by 1% (327.4 to 324.3 per 100,000) in South Australia, Western Australia (392.5 to 388.5) and Queensland (412.1 to 407.5 per 100,000), and by 8% in the Northern Territory (726.2 to 655.9 per 100,000) (Figure</w:t>
      </w:r>
      <w:r w:rsidR="00DD268A">
        <w:t> </w:t>
      </w:r>
      <w:r w:rsidRPr="00AE2F1B">
        <w:t xml:space="preserve">36). </w:t>
      </w:r>
    </w:p>
    <w:p w14:paraId="444C62E2" w14:textId="77777777" w:rsidR="00BE61A2" w:rsidRPr="004E056D" w:rsidRDefault="00BE61A2" w:rsidP="004E056D">
      <w:pPr>
        <w:pStyle w:val="Heading2"/>
      </w:pPr>
      <w:bookmarkStart w:id="100" w:name="_Toc1747254"/>
      <w:r w:rsidRPr="004E056D">
        <w:rPr>
          <w:bCs w:val="0"/>
          <w:sz w:val="27"/>
          <w:szCs w:val="27"/>
        </w:rPr>
        <w:t>Donovanosis</w:t>
      </w:r>
      <w:bookmarkEnd w:id="100"/>
    </w:p>
    <w:p w14:paraId="417A6007" w14:textId="77777777" w:rsidR="00BE61A2" w:rsidRPr="00EE19C2" w:rsidRDefault="00BE61A2" w:rsidP="00EE19C2">
      <w:pPr>
        <w:pStyle w:val="ListParagraph"/>
        <w:numPr>
          <w:ilvl w:val="0"/>
          <w:numId w:val="4"/>
        </w:numPr>
        <w:rPr>
          <w:rFonts w:eastAsia="Times New Roman"/>
        </w:rPr>
      </w:pPr>
      <w:r w:rsidRPr="00EE19C2">
        <w:rPr>
          <w:rFonts w:eastAsia="Times New Roman"/>
        </w:rPr>
        <w:t xml:space="preserve">There were no cases of donovanosis notified in 2015. </w:t>
      </w:r>
    </w:p>
    <w:p w14:paraId="0EC2C3EA" w14:textId="77777777" w:rsidR="00BE61A2" w:rsidRPr="00EE19C2" w:rsidRDefault="00BE61A2" w:rsidP="00EE19C2">
      <w:pPr>
        <w:pStyle w:val="ListParagraph"/>
        <w:numPr>
          <w:ilvl w:val="0"/>
          <w:numId w:val="4"/>
        </w:numPr>
        <w:rPr>
          <w:rFonts w:eastAsia="Times New Roman"/>
        </w:rPr>
      </w:pPr>
      <w:r w:rsidRPr="00EE19C2">
        <w:rPr>
          <w:rFonts w:eastAsia="Times New Roman"/>
        </w:rPr>
        <w:t xml:space="preserve">Donovanosis remains rare in Australia. </w:t>
      </w:r>
    </w:p>
    <w:p w14:paraId="60E2938A" w14:textId="77777777" w:rsidR="00BE61A2" w:rsidRPr="00AE2F1B" w:rsidRDefault="00BE61A2" w:rsidP="00AE2F1B">
      <w:r w:rsidRPr="00AE2F1B">
        <w:t xml:space="preserve">Donovanosis, caused by the bacterium </w:t>
      </w:r>
      <w:r w:rsidRPr="00DF12AB">
        <w:rPr>
          <w:rStyle w:val="Emphasis"/>
          <w:b w:val="0"/>
        </w:rPr>
        <w:t xml:space="preserve">Klebsiella </w:t>
      </w:r>
      <w:proofErr w:type="spellStart"/>
      <w:r w:rsidRPr="00DF12AB">
        <w:rPr>
          <w:rStyle w:val="Emphasis"/>
          <w:b w:val="0"/>
        </w:rPr>
        <w:t>granulomatis</w:t>
      </w:r>
      <w:proofErr w:type="spellEnd"/>
      <w:r w:rsidRPr="00AE2F1B">
        <w:t xml:space="preserve"> , is a chronic, progressively destructive infection that is primarily transmitted through sexual exposure. It affects the skin and mucous membranes of the external genitalia, inguinal and anal regions.</w:t>
      </w:r>
      <w:r w:rsidRPr="00AE2F1B">
        <w:rPr>
          <w:vertAlign w:val="superscript"/>
        </w:rPr>
        <w:t>51</w:t>
      </w:r>
      <w:r w:rsidRPr="00AE2F1B">
        <w:t xml:space="preserve"> Once diagnosed, donovanosis is treated with a series of antibiotics.</w:t>
      </w:r>
      <w:r w:rsidRPr="00AE2F1B">
        <w:rPr>
          <w:vertAlign w:val="superscript"/>
        </w:rPr>
        <w:t>52</w:t>
      </w:r>
      <w:r w:rsidRPr="00AE2F1B">
        <w:t xml:space="preserve"> </w:t>
      </w:r>
    </w:p>
    <w:p w14:paraId="6F43036D" w14:textId="77777777" w:rsidR="00BE61A2" w:rsidRPr="00AE2F1B" w:rsidRDefault="00BE61A2" w:rsidP="00AE2F1B">
      <w:r w:rsidRPr="00AE2F1B">
        <w:t>All donovanosis notifications in Australia since 1991 have been reported the Northern Territory, Western Australia or Queensland and have predominately occurred in Aboriginal and Torres Strait Islander people living in remote areas in northern and central Australia.</w:t>
      </w:r>
    </w:p>
    <w:p w14:paraId="78E754D2" w14:textId="77777777" w:rsidR="00BE61A2" w:rsidRDefault="00BE61A2" w:rsidP="00AE2F1B">
      <w:r w:rsidRPr="00AE2F1B">
        <w:t>Donovanosis was targeted for elimination in Australia through the National Donovanosis Elimination Project 2001–2004.</w:t>
      </w:r>
      <w:r w:rsidRPr="00AE2F1B">
        <w:rPr>
          <w:vertAlign w:val="superscript"/>
        </w:rPr>
        <w:t>53</w:t>
      </w:r>
      <w:r w:rsidRPr="00AE2F1B">
        <w:t xml:space="preserve"> It is now rare, with fewer than 17 cases notified each year since 2002, and fewer than 5 cases notified each year since 2007 (Figure 37).</w:t>
      </w:r>
    </w:p>
    <w:p w14:paraId="5DADEF9A" w14:textId="77777777" w:rsidR="00827EA0" w:rsidRDefault="00827EA0">
      <w:pPr>
        <w:rPr>
          <w:b/>
        </w:rPr>
      </w:pPr>
      <w:r>
        <w:br w:type="page"/>
      </w:r>
    </w:p>
    <w:p w14:paraId="74CDD5C3" w14:textId="77777777" w:rsidR="006D436E" w:rsidRDefault="006D436E" w:rsidP="006D436E">
      <w:pPr>
        <w:pStyle w:val="CDIFigures"/>
      </w:pPr>
      <w:r w:rsidRPr="006D436E">
        <w:lastRenderedPageBreak/>
        <w:t>Figure 37: Notified cases of donovanosis,</w:t>
      </w:r>
      <w:r w:rsidRPr="006D436E">
        <w:rPr>
          <w:rStyle w:val="A9"/>
          <w:rFonts w:asciiTheme="minorHAnsi" w:hAnsiTheme="minorHAnsi" w:cstheme="minorBidi"/>
          <w:b/>
          <w:bCs w:val="0"/>
          <w:color w:val="auto"/>
          <w:sz w:val="22"/>
          <w:szCs w:val="22"/>
        </w:rPr>
        <w:t xml:space="preserve"> </w:t>
      </w:r>
      <w:r w:rsidRPr="006D436E">
        <w:t>Australia, 1991 to 2015, by year</w:t>
      </w:r>
    </w:p>
    <w:p w14:paraId="178E8C7C" w14:textId="77777777" w:rsidR="00827EA0" w:rsidRPr="006D436E" w:rsidRDefault="0021477A" w:rsidP="006D436E">
      <w:pPr>
        <w:pStyle w:val="CDIFigures"/>
      </w:pPr>
      <w:r>
        <w:pict w14:anchorId="6F6D1796">
          <v:shape id="_x0000_i1059" type="#_x0000_t75" alt="This figure shows the annual number of notifications of donovanosis from 1991 to 2015. Following a peak in 1994, notification rates have steeply declined, with a small secondary peak in 2001. There have been fewer than five cases notified annually since 2007 and no cases notified in 2015." style="width:524.4pt;height:321pt">
            <v:imagedata r:id="rId53" o:title="4-Sexual tranmissibale infections chapter_figures 32 to 49_Page_06"/>
          </v:shape>
        </w:pict>
      </w:r>
    </w:p>
    <w:p w14:paraId="52B0213A" w14:textId="77777777" w:rsidR="00BE61A2" w:rsidRPr="00AE2F1B" w:rsidRDefault="00BE61A2" w:rsidP="00924A50">
      <w:pPr>
        <w:pStyle w:val="Heading3"/>
      </w:pPr>
      <w:bookmarkStart w:id="101" w:name="_Toc1747255"/>
      <w:r w:rsidRPr="00924A50">
        <w:rPr>
          <w:bCs w:val="0"/>
        </w:rPr>
        <w:t>Epidemiological situation in 2015</w:t>
      </w:r>
      <w:bookmarkEnd w:id="101"/>
    </w:p>
    <w:p w14:paraId="49F7800B" w14:textId="77777777" w:rsidR="00BE61A2" w:rsidRDefault="00BE61A2" w:rsidP="00AE2F1B">
      <w:r w:rsidRPr="00AE2F1B">
        <w:t>In 2015, no cases of donovanosis were not</w:t>
      </w:r>
      <w:r w:rsidR="00E96A0F">
        <w:t>ified in Australia (Figure 37).</w:t>
      </w:r>
    </w:p>
    <w:p w14:paraId="36F7F4E5" w14:textId="77777777" w:rsidR="00BE61A2" w:rsidRPr="004E056D" w:rsidRDefault="00BE61A2" w:rsidP="004E056D">
      <w:pPr>
        <w:pStyle w:val="Heading2"/>
      </w:pPr>
      <w:bookmarkStart w:id="102" w:name="_Toc1747256"/>
      <w:r w:rsidRPr="004E056D">
        <w:rPr>
          <w:bCs w:val="0"/>
          <w:sz w:val="27"/>
          <w:szCs w:val="27"/>
        </w:rPr>
        <w:t>Gonococcal infection</w:t>
      </w:r>
      <w:bookmarkEnd w:id="102"/>
    </w:p>
    <w:p w14:paraId="617AD94B" w14:textId="77777777" w:rsidR="00BE61A2" w:rsidRPr="00EE19C2" w:rsidRDefault="00BE61A2" w:rsidP="00EE19C2">
      <w:pPr>
        <w:pStyle w:val="ListParagraph"/>
        <w:numPr>
          <w:ilvl w:val="0"/>
          <w:numId w:val="4"/>
        </w:numPr>
        <w:rPr>
          <w:rFonts w:eastAsia="Times New Roman"/>
        </w:rPr>
      </w:pPr>
      <w:r w:rsidRPr="00EE19C2">
        <w:rPr>
          <w:rFonts w:eastAsia="Times New Roman"/>
        </w:rPr>
        <w:t xml:space="preserve">There were 18,550 cases of gonococcal infection notified in 2015. </w:t>
      </w:r>
    </w:p>
    <w:p w14:paraId="40EF05DC" w14:textId="77777777" w:rsidR="00BE61A2" w:rsidRPr="00EE19C2" w:rsidRDefault="00BE61A2" w:rsidP="00EE19C2">
      <w:pPr>
        <w:pStyle w:val="ListParagraph"/>
        <w:numPr>
          <w:ilvl w:val="0"/>
          <w:numId w:val="4"/>
        </w:numPr>
        <w:rPr>
          <w:rFonts w:eastAsia="Times New Roman"/>
        </w:rPr>
      </w:pPr>
      <w:r w:rsidRPr="00EE19C2">
        <w:rPr>
          <w:rFonts w:eastAsia="Times New Roman"/>
        </w:rPr>
        <w:t xml:space="preserve">Notification rates for gonococcal infection have continued to increase. </w:t>
      </w:r>
    </w:p>
    <w:p w14:paraId="2CC0AD2D" w14:textId="77777777" w:rsidR="00BE61A2" w:rsidRPr="00EE19C2" w:rsidRDefault="00BE61A2" w:rsidP="00EE19C2">
      <w:pPr>
        <w:pStyle w:val="ListParagraph"/>
        <w:numPr>
          <w:ilvl w:val="0"/>
          <w:numId w:val="4"/>
        </w:numPr>
        <w:rPr>
          <w:rFonts w:eastAsia="Times New Roman"/>
        </w:rPr>
      </w:pPr>
      <w:r w:rsidRPr="00EE19C2">
        <w:rPr>
          <w:rFonts w:eastAsia="Times New Roman"/>
        </w:rPr>
        <w:t xml:space="preserve">Notifications occurred predominately in males aged 20–39 years. </w:t>
      </w:r>
    </w:p>
    <w:p w14:paraId="76C07288" w14:textId="77777777" w:rsidR="00BE61A2" w:rsidRPr="00AE2F1B" w:rsidRDefault="00BE61A2" w:rsidP="00AE2F1B">
      <w:r w:rsidRPr="00AE2F1B">
        <w:t xml:space="preserve">Gonococcal infection is caused by the bacterium </w:t>
      </w:r>
      <w:r w:rsidRPr="00DF12AB">
        <w:rPr>
          <w:rStyle w:val="Emphasis"/>
          <w:b w:val="0"/>
        </w:rPr>
        <w:t xml:space="preserve">Neisseria </w:t>
      </w:r>
      <w:r w:rsidR="00AF5B63" w:rsidRPr="00DF12AB">
        <w:rPr>
          <w:rStyle w:val="Emphasis"/>
          <w:b w:val="0"/>
        </w:rPr>
        <w:t>gonorrhoeae</w:t>
      </w:r>
      <w:r w:rsidR="00AF5B63" w:rsidRPr="00AE2F1B">
        <w:t>,</w:t>
      </w:r>
      <w:r w:rsidRPr="00AE2F1B">
        <w:t xml:space="preserve"> which affects the mucous membranes causing symptomatic and asymptomatic genital and extra-genital tract infections. The most common source of transmission is via unprotected sexual intercourse with an infected person.</w:t>
      </w:r>
      <w:r w:rsidRPr="00AE2F1B">
        <w:rPr>
          <w:vertAlign w:val="superscript"/>
        </w:rPr>
        <w:t>21</w:t>
      </w:r>
      <w:r w:rsidRPr="00AE2F1B">
        <w:t xml:space="preserve"> If left untreated, it can lead to pelvic inflammatory disease in women and infertility in both men and women. Gonococcal infection also increases the risk of both acquisition and transmission of HIV.</w:t>
      </w:r>
      <w:r w:rsidRPr="00AE2F1B">
        <w:rPr>
          <w:vertAlign w:val="superscript"/>
        </w:rPr>
        <w:t>51</w:t>
      </w:r>
      <w:r w:rsidRPr="00AE2F1B">
        <w:t xml:space="preserve"> </w:t>
      </w:r>
    </w:p>
    <w:p w14:paraId="4FF6CDC8" w14:textId="77777777" w:rsidR="00BE61A2" w:rsidRPr="00AE2F1B" w:rsidRDefault="00BE61A2" w:rsidP="00924A50">
      <w:pPr>
        <w:pStyle w:val="Heading3"/>
      </w:pPr>
      <w:bookmarkStart w:id="103" w:name="_Toc1747257"/>
      <w:r w:rsidRPr="00924A50">
        <w:rPr>
          <w:bCs w:val="0"/>
        </w:rPr>
        <w:t>Epidemiological situation in 2015</w:t>
      </w:r>
      <w:bookmarkEnd w:id="103"/>
    </w:p>
    <w:p w14:paraId="4A414D98" w14:textId="77777777" w:rsidR="00BE61A2" w:rsidRDefault="00BE61A2" w:rsidP="00AE2F1B">
      <w:r w:rsidRPr="00AE2F1B">
        <w:t>In 2015, there were 18,550 notified cases of gonococcal infection, a notification rate of 78.0 per 100,000. This was a 16% increase compared with the rate reported in 2014 (67.0 per 100,000). In the past 6 years, gonococcal infection notification rates increased, on average, 11% each year since 2010 (range: 4% to 16%). Overall, gonococcal infection notification rates have increased by 66% from 2010 (46.9 per 100,000) to 2015 (78.0 per 100,000) (Figure 38). The increases in gonorrhoea notifications, particularly in females from 2012, is most likely due to the increased practice of dual testing for both chlamydia and gonorrhoea.</w:t>
      </w:r>
      <w:r w:rsidRPr="00AE2F1B">
        <w:rPr>
          <w:vertAlign w:val="superscript"/>
        </w:rPr>
        <w:t>54</w:t>
      </w:r>
      <w:r w:rsidRPr="00AE2F1B">
        <w:t xml:space="preserve"> </w:t>
      </w:r>
    </w:p>
    <w:p w14:paraId="464A9530" w14:textId="77777777" w:rsidR="00E46929" w:rsidRDefault="00E46929">
      <w:pPr>
        <w:rPr>
          <w:b/>
        </w:rPr>
      </w:pPr>
      <w:r>
        <w:br w:type="page"/>
      </w:r>
    </w:p>
    <w:p w14:paraId="364A2B87" w14:textId="77777777" w:rsidR="0051759A" w:rsidRDefault="0051759A" w:rsidP="0051759A">
      <w:pPr>
        <w:pStyle w:val="CDIFigures"/>
      </w:pPr>
      <w:r>
        <w:lastRenderedPageBreak/>
        <w:t>Figure 38: Notifications and notification rate for gonococcal infection, Australia, 2010 to 2015, by year</w:t>
      </w:r>
    </w:p>
    <w:p w14:paraId="5674B2C2" w14:textId="77777777" w:rsidR="00E46929" w:rsidRPr="00AE2F1B" w:rsidRDefault="0021477A" w:rsidP="0051759A">
      <w:pPr>
        <w:pStyle w:val="CDIFigures"/>
      </w:pPr>
      <w:r>
        <w:pict w14:anchorId="472ED612">
          <v:shape id="_x0000_i1060" type="#_x0000_t75" alt="This figure shows the annual number of notifications and notification rates per 100,000 for gonococcal infection from 2010 to 2015. Both the notifications and notification rates have increased annually over the six year period." style="width:524.4pt;height:318.6pt">
            <v:imagedata r:id="rId54" o:title="4-Sexual tranmissibale infections chapter_figures 32 to 49_Page_07"/>
          </v:shape>
        </w:pict>
      </w:r>
    </w:p>
    <w:p w14:paraId="55FA98B6" w14:textId="77777777" w:rsidR="00BE61A2" w:rsidRPr="00AE2F1B" w:rsidRDefault="00BE61A2" w:rsidP="00924A50">
      <w:pPr>
        <w:pStyle w:val="Heading3"/>
      </w:pPr>
      <w:bookmarkStart w:id="104" w:name="_Toc1747258"/>
      <w:r w:rsidRPr="00924A50">
        <w:rPr>
          <w:bCs w:val="0"/>
        </w:rPr>
        <w:t>Geographical distribution</w:t>
      </w:r>
      <w:bookmarkEnd w:id="104"/>
    </w:p>
    <w:p w14:paraId="09C16EF6" w14:textId="77777777" w:rsidR="00BE61A2" w:rsidRDefault="00BE61A2" w:rsidP="00AE2F1B">
      <w:r w:rsidRPr="00AE2F1B">
        <w:t>In 2015, the notification rate for gonococcal infection was almost 10 times higher in the Northern Territory (749.3 per 100,000) compared to the national rate (78.0 per 100,000) (Figure 39).</w:t>
      </w:r>
    </w:p>
    <w:p w14:paraId="5CCA9BF9" w14:textId="77777777" w:rsidR="00CE0F34" w:rsidRDefault="00CE0F34">
      <w:pPr>
        <w:rPr>
          <w:b/>
        </w:rPr>
      </w:pPr>
      <w:r>
        <w:br w:type="page"/>
      </w:r>
    </w:p>
    <w:p w14:paraId="63CE79AB" w14:textId="77777777" w:rsidR="00E35EF9" w:rsidRDefault="00E35EF9" w:rsidP="00E35EF9">
      <w:pPr>
        <w:pStyle w:val="CDIFigures"/>
      </w:pPr>
      <w:r>
        <w:lastRenderedPageBreak/>
        <w:t>Figure 39: Notifications and notification rate for gonococcal infection, Australia, 2015, by state or territory</w:t>
      </w:r>
    </w:p>
    <w:p w14:paraId="031E89A3" w14:textId="77777777" w:rsidR="006B3BF1" w:rsidRPr="00AE2F1B" w:rsidRDefault="0021477A" w:rsidP="00E35EF9">
      <w:pPr>
        <w:pStyle w:val="CDIFigures"/>
      </w:pPr>
      <w:r>
        <w:pict w14:anchorId="6AD73EB0">
          <v:shape id="_x0000_i1061" type="#_x0000_t75" alt="This figure shows the jurisdiction-specific notifications and notification rates for gonococcal infection in 2015. The highest number of notifications was reported from New South Wales. However, the highest notification rate was reported from the Northern Territory, which far exceeded the rate of other jurisdictions." style="width:522.6pt;height:327pt">
            <v:imagedata r:id="rId55" o:title="4-Sexual tranmissibale infections chapter_figures 32 to 49_Page_08"/>
          </v:shape>
        </w:pict>
      </w:r>
    </w:p>
    <w:p w14:paraId="4592F700" w14:textId="77777777" w:rsidR="00BE61A2" w:rsidRPr="00AE2F1B" w:rsidRDefault="00BE61A2" w:rsidP="00924A50">
      <w:pPr>
        <w:pStyle w:val="Heading3"/>
      </w:pPr>
      <w:bookmarkStart w:id="105" w:name="_Toc1747259"/>
      <w:r w:rsidRPr="00924A50">
        <w:rPr>
          <w:bCs w:val="0"/>
        </w:rPr>
        <w:t>Age and sex distribution</w:t>
      </w:r>
      <w:bookmarkEnd w:id="105"/>
    </w:p>
    <w:p w14:paraId="321A8B1A" w14:textId="77777777" w:rsidR="00BE61A2" w:rsidRDefault="00BE61A2" w:rsidP="00AE2F1B">
      <w:r w:rsidRPr="00AE2F1B">
        <w:t>Nationally, the notification rate for gonococcal infection was 116.0 per 100,000 in males and 39.3 per 100,000 in females in 2015. Notification rates increased by 18% in males and 11% in females compared with 2014 (98.1 and 35.3 per 100,000 respectively). In 2015, 53% of all notifications occurred in males in the 20–39 years age group. Notification rates in males exceeded those in females across all age groups above 20 years (Figure 40). This was consistent with previous years when, with the exception of Indigenous people, notifications were largely reported in men who have sex with men (MSM).</w:t>
      </w:r>
      <w:r w:rsidRPr="00AE2F1B">
        <w:rPr>
          <w:vertAlign w:val="superscript"/>
        </w:rPr>
        <w:t>55</w:t>
      </w:r>
      <w:r w:rsidRPr="00AE2F1B">
        <w:t xml:space="preserve"> </w:t>
      </w:r>
    </w:p>
    <w:p w14:paraId="3F573598" w14:textId="77777777" w:rsidR="00651C32" w:rsidRDefault="00651C32">
      <w:pPr>
        <w:rPr>
          <w:b/>
        </w:rPr>
      </w:pPr>
      <w:r>
        <w:br w:type="page"/>
      </w:r>
    </w:p>
    <w:p w14:paraId="0FAFD732" w14:textId="77777777" w:rsidR="00123DF1" w:rsidRDefault="00123DF1" w:rsidP="00123DF1">
      <w:pPr>
        <w:pStyle w:val="CDIFigures"/>
      </w:pPr>
      <w:r w:rsidRPr="00123DF1">
        <w:lastRenderedPageBreak/>
        <w:t>Figure 40: Notification rate for gonococcal infection, Australia, 2015, by age group and sex</w:t>
      </w:r>
    </w:p>
    <w:p w14:paraId="67DF5DDF" w14:textId="77777777" w:rsidR="00651C32" w:rsidRDefault="0021477A" w:rsidP="00123DF1">
      <w:pPr>
        <w:pStyle w:val="CDIFigures"/>
      </w:pPr>
      <w:r>
        <w:pict w14:anchorId="5E8CD115">
          <v:shape id="_x0000_i1062" type="#_x0000_t75" alt="This figure shows the annual notification rate for gonococcal infection by 5-year age group. In 2015, notification rates for gonococcal infection peaked in males aged 25–29 years. For those aged 20 years and over, notification rates were higher in males." style="width:522.6pt;height:321.6pt">
            <v:imagedata r:id="rId56" o:title="4-Sexual tranmissibale infections chapter_figures 32 to 49_Page_09"/>
          </v:shape>
        </w:pict>
      </w:r>
    </w:p>
    <w:p w14:paraId="7F212380" w14:textId="77777777" w:rsidR="00123DF1" w:rsidRPr="00346C4C" w:rsidRDefault="00346C4C" w:rsidP="00346C4C">
      <w:pPr>
        <w:pStyle w:val="CDIfootnotes"/>
      </w:pPr>
      <w:r>
        <w:t>*</w:t>
      </w:r>
      <w:r>
        <w:tab/>
      </w:r>
      <w:r w:rsidRPr="00346C4C">
        <w:t>Excludes notifications where age and/or sex were not reported and those less than 13 years of age.</w:t>
      </w:r>
    </w:p>
    <w:p w14:paraId="355BF07E" w14:textId="77777777" w:rsidR="00BE61A2" w:rsidRDefault="00BE61A2" w:rsidP="00AE2F1B">
      <w:r w:rsidRPr="00AE2F1B">
        <w:t>From 2010 to 2015, notification rates of gonococcal infection increased annually for males aged 20–49. The biggest overall increase was seen in the 30–34 years age group, with notification rates increasing by 121% (from 116.7 to 257.5 per 100,000), followed by the 45–49 years age group, with notification rates increasing by 119% (from 48.9 to 107.2 per 100,000). As with males, 2015 marked the highest notification rate reported for females, since gonococcal infection first became nationally notifiable in 1991. Females aged 15–19 years consistently had the highest rate between 2010 and 2014, however in 2015 females aged 20–24 years surpassed this age group (Figure 41).</w:t>
      </w:r>
    </w:p>
    <w:p w14:paraId="2325E984" w14:textId="77777777" w:rsidR="000732A9" w:rsidRDefault="000732A9">
      <w:pPr>
        <w:rPr>
          <w:b/>
        </w:rPr>
      </w:pPr>
      <w:r>
        <w:br w:type="page"/>
      </w:r>
    </w:p>
    <w:p w14:paraId="007C3B55" w14:textId="77777777" w:rsidR="002C5FE5" w:rsidRDefault="002C5FE5" w:rsidP="002C5FE5">
      <w:pPr>
        <w:pStyle w:val="CDIFigures"/>
        <w:rPr>
          <w:rStyle w:val="A9"/>
          <w:rFonts w:asciiTheme="minorHAnsi" w:hAnsiTheme="minorHAnsi" w:cstheme="minorBidi"/>
          <w:b/>
          <w:bCs w:val="0"/>
          <w:color w:val="auto"/>
          <w:sz w:val="22"/>
          <w:szCs w:val="22"/>
        </w:rPr>
      </w:pPr>
      <w:r w:rsidRPr="002C5FE5">
        <w:lastRenderedPageBreak/>
        <w:t xml:space="preserve">Figure 41: Notification rate for gonococcal infection, Australia, 2010 to 2015, by year, </w:t>
      </w:r>
      <w:proofErr w:type="gramStart"/>
      <w:r w:rsidRPr="002C5FE5">
        <w:t>sex</w:t>
      </w:r>
      <w:proofErr w:type="gramEnd"/>
      <w:r w:rsidRPr="002C5FE5">
        <w:t xml:space="preserve"> and selected age</w:t>
      </w:r>
      <w:r w:rsidR="003A5FC5">
        <w:t> </w:t>
      </w:r>
      <w:r w:rsidRPr="002C5FE5">
        <w:t>groups</w:t>
      </w:r>
      <w:r w:rsidRPr="00FD3CF7">
        <w:rPr>
          <w:rStyle w:val="A9"/>
          <w:rFonts w:asciiTheme="minorHAnsi" w:hAnsiTheme="minorHAnsi" w:cstheme="minorBidi"/>
          <w:b/>
          <w:bCs w:val="0"/>
          <w:color w:val="auto"/>
          <w:sz w:val="22"/>
          <w:szCs w:val="22"/>
          <w:vertAlign w:val="superscript"/>
        </w:rPr>
        <w:t>*</w:t>
      </w:r>
    </w:p>
    <w:p w14:paraId="38FCDF35" w14:textId="77777777" w:rsidR="000732A9" w:rsidRDefault="0021477A" w:rsidP="002C5FE5">
      <w:pPr>
        <w:pStyle w:val="CDIFigures"/>
        <w:rPr>
          <w:rStyle w:val="A9"/>
          <w:rFonts w:asciiTheme="minorHAnsi" w:hAnsiTheme="minorHAnsi" w:cstheme="minorBidi"/>
          <w:b/>
          <w:bCs w:val="0"/>
          <w:color w:val="auto"/>
          <w:sz w:val="22"/>
          <w:szCs w:val="22"/>
        </w:rPr>
      </w:pPr>
      <w:r>
        <w:rPr>
          <w:rStyle w:val="A9"/>
          <w:rFonts w:asciiTheme="minorHAnsi" w:hAnsiTheme="minorHAnsi" w:cstheme="minorBidi"/>
          <w:b/>
          <w:bCs w:val="0"/>
          <w:color w:val="auto"/>
          <w:sz w:val="22"/>
          <w:szCs w:val="22"/>
        </w:rPr>
        <w:pict w14:anchorId="5B3E093D">
          <v:shape id="_x0000_i1063" type="#_x0000_t75" alt="This figure shows the annual notification rate for gonococcal infection from 2010 to 2015, by sex, for the following selected age groups: 15–19 years, 20–24 years, 25–29 years, 30–34 years, 35–39 years, 40–44 years and 45–49 years. Overall, notification rates increased for males and females aged 20-49 over the five year period, especially for males in the 20–24, 25–29 and 30–34 year age groups." style="width:522.6pt;height:310.8pt;mso-position-vertical:absolute">
            <v:imagedata r:id="rId57" o:title="4-Sexual tranmissibale infections chapter_figures 32 to 49_Page_10"/>
          </v:shape>
        </w:pict>
      </w:r>
    </w:p>
    <w:p w14:paraId="580BB7FD" w14:textId="77777777" w:rsidR="009C0A55" w:rsidRPr="009C0A55" w:rsidRDefault="009C0A55" w:rsidP="009C0A55">
      <w:pPr>
        <w:pStyle w:val="CDIfootnotes"/>
      </w:pPr>
      <w:r>
        <w:t>*</w:t>
      </w:r>
      <w:r>
        <w:tab/>
      </w:r>
      <w:r w:rsidRPr="009C0A55">
        <w:t>Excludes notifications where age and/or sex were not reported.</w:t>
      </w:r>
    </w:p>
    <w:p w14:paraId="549E5201" w14:textId="77777777" w:rsidR="00BE61A2" w:rsidRPr="0039362D" w:rsidRDefault="00BE61A2" w:rsidP="00EE19C2">
      <w:pPr>
        <w:pStyle w:val="Heading3"/>
      </w:pPr>
      <w:bookmarkStart w:id="106" w:name="_Toc1747260"/>
      <w:r w:rsidRPr="0039362D">
        <w:t>Indigenous</w:t>
      </w:r>
      <w:bookmarkEnd w:id="106"/>
    </w:p>
    <w:p w14:paraId="58BCDC2F" w14:textId="77777777" w:rsidR="00BE61A2" w:rsidRPr="00AE2F1B" w:rsidRDefault="00BE61A2" w:rsidP="00AE2F1B">
      <w:r w:rsidRPr="00AE2F1B">
        <w:t>The completeness of Indigenous status identification in the notification data varies by year and by jurisdiction. Nationally in 2015, data on Indigenous status were complete for 64% of notifications, which was slightly lower than the preceding 5-year mean of 68% (range: 65% to 71%). All states and territories except New South Wales had greater than 50% completeness of the Indigenous status field across the 2010 to 2015 period. Among the states and territories with greater than 50% completeness, the combined age-standardised notification rate ratio between Indigenous and non-Indigenous populations in 2015 was 10.0:1.0, decreasing from 13.1:1.0 in 2014. Overall, the rate ratio has declined by 63% from 2010 to 2015 (from 26.6:1.0 to 10.0:1.0).</w:t>
      </w:r>
    </w:p>
    <w:p w14:paraId="6057DF86" w14:textId="77777777" w:rsidR="00BE61A2" w:rsidRPr="00AE2F1B" w:rsidRDefault="00BE61A2" w:rsidP="00AE2F1B">
      <w:r w:rsidRPr="00AE2F1B">
        <w:t>Among the Indigenous population, the age-standardised notification rate decreased by 2% from 2014 to 2015 (from 630.5 to 617.4 per 100,000 respectively). From 2010 to 2015, the age-standardised Indigenous rate declined by 19% from 762.0 per 100,000 to 617.4 per 100,000.</w:t>
      </w:r>
    </w:p>
    <w:p w14:paraId="2626F977" w14:textId="77777777" w:rsidR="00BE61A2" w:rsidRDefault="00BE61A2" w:rsidP="00AE2F1B">
      <w:r w:rsidRPr="00AE2F1B">
        <w:t>Among the non-Indigenous population, the age-standardised notification rate increased by 116% from 2010 to 2015 (28.6 and 61.9 per 100,000 respectively). Among the states and territories in which Indigenous status was more than 50% complete, age-standardised notification rates for gonococcal infection in the Indigenous population between 2014 and 2015 decreased in South Australia by 11% (from 543.7 to 485.1 per 100,000), in Victoria by 22% (from 87.6 to 68.1 per 100,000) in Western Australia by 17% (from 850.5 to 709.0 per 100,000); and increased in the Northern Territory by 4% (from 1,722.6 to 1,790.0 per 100,000) in Queensland by 8% (from 301.3 to 325.9 per 100,000) and in the Australian Capital Territory by 232% (from 13.1 to</w:t>
      </w:r>
      <w:r w:rsidR="003D12C4">
        <w:t xml:space="preserve"> 43.6 per 100,000) (Figure 42).</w:t>
      </w:r>
    </w:p>
    <w:p w14:paraId="403CFF48" w14:textId="77777777" w:rsidR="00FD3CF7" w:rsidRDefault="00FD3CF7">
      <w:pPr>
        <w:rPr>
          <w:b/>
        </w:rPr>
      </w:pPr>
      <w:r>
        <w:br w:type="page"/>
      </w:r>
    </w:p>
    <w:p w14:paraId="7F1A37B5" w14:textId="77777777" w:rsidR="003D12C4" w:rsidRDefault="003D12C4" w:rsidP="003D12C4">
      <w:pPr>
        <w:pStyle w:val="CDIFigures"/>
      </w:pPr>
      <w:r w:rsidRPr="003D12C4">
        <w:lastRenderedPageBreak/>
        <w:t xml:space="preserve">Figure 42: Age-standardised notification rates for gonococcal infection, selected </w:t>
      </w:r>
      <w:proofErr w:type="gramStart"/>
      <w:r w:rsidRPr="003D12C4">
        <w:t>states</w:t>
      </w:r>
      <w:proofErr w:type="gramEnd"/>
      <w:r w:rsidRPr="003D12C4">
        <w:t xml:space="preserve"> and territories,</w:t>
      </w:r>
      <w:r w:rsidRPr="00FD3CF7">
        <w:rPr>
          <w:rStyle w:val="A9"/>
          <w:rFonts w:asciiTheme="minorHAnsi" w:hAnsiTheme="minorHAnsi" w:cstheme="minorBidi"/>
          <w:b/>
          <w:bCs w:val="0"/>
          <w:color w:val="auto"/>
          <w:sz w:val="22"/>
          <w:szCs w:val="22"/>
          <w:vertAlign w:val="superscript"/>
        </w:rPr>
        <w:t>*</w:t>
      </w:r>
      <w:r w:rsidRPr="003D12C4">
        <w:rPr>
          <w:rStyle w:val="A9"/>
          <w:rFonts w:asciiTheme="minorHAnsi" w:hAnsiTheme="minorHAnsi" w:cstheme="minorBidi"/>
          <w:b/>
          <w:bCs w:val="0"/>
          <w:color w:val="auto"/>
          <w:sz w:val="22"/>
          <w:szCs w:val="22"/>
        </w:rPr>
        <w:t xml:space="preserve"> </w:t>
      </w:r>
      <w:r w:rsidRPr="003D12C4">
        <w:t>2010 to 2015, by Indigenous status and year</w:t>
      </w:r>
    </w:p>
    <w:p w14:paraId="2BD810B1" w14:textId="77777777" w:rsidR="00281302" w:rsidRDefault="0021477A" w:rsidP="003D12C4">
      <w:pPr>
        <w:pStyle w:val="CDIFigures"/>
      </w:pPr>
      <w:r>
        <w:pict w14:anchorId="75F5579A">
          <v:shape id="_x0000_i1064" type="#_x0000_t75" alt="This figure shows the age-standardised notification rates for gonococcal infection from 2010 to 2015, by Indigenous status, for the states and territories where Indigenous status was reported for more than 50% of cases, which were all jurisdictions except New South Wales. Notification rates were highest for Indigenous people from the Northern Territory, followed by Western Australia, South Australia and Queensland. Furthermore, non-Indigenous rates were much lower than Indigenous rates in these jurisdictions." style="width:522.6pt;height:351.6pt;mso-position-vertical:absolute">
            <v:imagedata r:id="rId58" o:title="4-Sexual tranmissibale infections chapter_figures 32 to 49_Page_11"/>
          </v:shape>
        </w:pict>
      </w:r>
    </w:p>
    <w:p w14:paraId="1B052C8C" w14:textId="77777777" w:rsidR="003D12C4" w:rsidRPr="00364C03" w:rsidRDefault="00BE766A" w:rsidP="00A8129D">
      <w:pPr>
        <w:pStyle w:val="CDIfootnotes"/>
        <w:ind w:left="720" w:hanging="720"/>
      </w:pPr>
      <w:r>
        <w:t>*</w:t>
      </w:r>
      <w:r>
        <w:tab/>
      </w:r>
      <w:r w:rsidR="00364C03" w:rsidRPr="00364C03">
        <w:t xml:space="preserve">Includes the states and territories where Indigenous status was reported for more than 50% of cases between 2010 and 2015: the Australian Capital Territory, the Northern Territory, Queensland, South Australia, Tasmania, </w:t>
      </w:r>
      <w:proofErr w:type="gramStart"/>
      <w:r w:rsidR="00364C03" w:rsidRPr="00364C03">
        <w:t>Victoria</w:t>
      </w:r>
      <w:proofErr w:type="gramEnd"/>
      <w:r w:rsidR="00364C03" w:rsidRPr="00364C03">
        <w:t xml:space="preserve"> and Western Australia.</w:t>
      </w:r>
    </w:p>
    <w:p w14:paraId="308AACF5" w14:textId="77777777" w:rsidR="00BE61A2" w:rsidRPr="0039362D" w:rsidRDefault="00BE61A2" w:rsidP="00EE19C2">
      <w:pPr>
        <w:pStyle w:val="Heading3"/>
      </w:pPr>
      <w:bookmarkStart w:id="107" w:name="_Toc1747261"/>
      <w:r w:rsidRPr="0039362D">
        <w:t>Microbiological trends</w:t>
      </w:r>
      <w:bookmarkEnd w:id="107"/>
    </w:p>
    <w:p w14:paraId="531A1263" w14:textId="77777777" w:rsidR="00BE61A2" w:rsidRPr="00AE2F1B" w:rsidRDefault="00BE61A2" w:rsidP="00AE2F1B">
      <w:r w:rsidRPr="00AE2F1B">
        <w:t xml:space="preserve">The Australian Gonococcal Surveillance Program (AGSP) is the national surveillance system for monitoring the antimicrobial resistance of </w:t>
      </w:r>
      <w:r w:rsidRPr="00DF12AB">
        <w:rPr>
          <w:rStyle w:val="Emphasis"/>
          <w:b w:val="0"/>
        </w:rPr>
        <w:t>N. gonorrhoeae</w:t>
      </w:r>
      <w:r w:rsidRPr="00AE2F1B">
        <w:t xml:space="preserve"> isolates. These results are published in more detail in the AGSP annual report in CDI. At the time of writing, the 2015 AGSP annual report was in-press. Earlier AGSP annual and quarterly reports are available in the various editions of the CDI.</w:t>
      </w:r>
    </w:p>
    <w:p w14:paraId="2A404292" w14:textId="77777777" w:rsidR="00BE61A2" w:rsidRPr="00AE2F1B" w:rsidRDefault="00BE61A2" w:rsidP="00AE2F1B">
      <w:r w:rsidRPr="00AE2F1B">
        <w:t>In 2015, the AGSP reported that a total of 5,411 gonococcal isolates were referred for antibiotic susceptibility testing, representing 28%</w:t>
      </w:r>
      <w:r w:rsidRPr="00AE2F1B">
        <w:rPr>
          <w:vertAlign w:val="superscript"/>
        </w:rPr>
        <w:t>*</w:t>
      </w:r>
      <w:r w:rsidRPr="00AE2F1B">
        <w:t xml:space="preserve"> of gonococcal infections notified to the NNDSS. This was slightly lower than the proportion of NNDSS cases tested in 2014 (31%</w:t>
      </w:r>
      <w:r w:rsidR="00E02FB2" w:rsidRPr="00AE2F1B">
        <w:rPr>
          <w:vertAlign w:val="superscript"/>
        </w:rPr>
        <w:t>*</w:t>
      </w:r>
      <w:r w:rsidR="00E02FB2" w:rsidRPr="00AE2F1B">
        <w:t>,</w:t>
      </w:r>
      <w:r w:rsidRPr="00AE2F1B">
        <w:t xml:space="preserve"> 4,804/15,728).</w:t>
      </w:r>
    </w:p>
    <w:p w14:paraId="7E46B660" w14:textId="77777777" w:rsidR="00BE61A2" w:rsidRPr="00AE2F1B" w:rsidRDefault="00BE61A2" w:rsidP="00AE2F1B">
      <w:r w:rsidRPr="00AE2F1B">
        <w:t>Eighty-three per cent of the isolates (n=4,505) were from males and 17% (n=900) were from females (M:F=5:1). There were 6 isolates for which gender was unknown. The proportion of gonococcal isolates from males and females tested by the AGSP has remained stable over recent years (2010–2015).</w:t>
      </w:r>
    </w:p>
    <w:p w14:paraId="79CF6AD2" w14:textId="77777777" w:rsidR="00BE61A2" w:rsidRDefault="00BE61A2" w:rsidP="00AE2F1B">
      <w:r w:rsidRPr="00AE2F1B">
        <w:t>Current treatment recommendations for the majority of gonococcal infections in Australia are for a dual therapeutic strategy of ceftriaxone and azithromycin.</w:t>
      </w:r>
      <w:r w:rsidRPr="00AE2F1B">
        <w:rPr>
          <w:vertAlign w:val="superscript"/>
        </w:rPr>
        <w:t>56</w:t>
      </w:r>
      <w:r w:rsidRPr="00AE2F1B">
        <w:t xml:space="preserve"> Decreased susceptibility to ceftriaxone (minimum inhibitory concentration (MIC) value 0.06–0.125 mg/L) was found nationally in 1.8% of isolates, lower than that reported in the AGSP Annual Report 2014 (5.4%). The highest proportions were reported from South Australia and New South Wales </w:t>
      </w:r>
      <w:r w:rsidRPr="00AE2F1B">
        <w:lastRenderedPageBreak/>
        <w:t xml:space="preserve">(3.6% and 2.7% respectively). High-level resistance to azithromycin (MIC value ≥256 mg/L) was again reported in 2015, one strain in New South Wales and one in urban Western Australia. There was no reported azithromycin resistance in the Australian Capital Territory, the Northern Territory, or remote Western Australia. </w:t>
      </w:r>
    </w:p>
    <w:p w14:paraId="2541F480" w14:textId="77777777" w:rsidR="008F6C66" w:rsidRPr="00FD528C" w:rsidRDefault="00FD528C" w:rsidP="00FD528C">
      <w:pPr>
        <w:pStyle w:val="CDIfootnotes"/>
      </w:pPr>
      <w:r>
        <w:t>*</w:t>
      </w:r>
      <w:r>
        <w:tab/>
      </w:r>
      <w:r w:rsidR="008F6C66" w:rsidRPr="00FD528C">
        <w:t>The denominator (gonorrhoea notifications reported to NNDSS) used to calculate proportions of isolates tested may differ from reported notifications in this report due to data being extracted at different points in time.</w:t>
      </w:r>
    </w:p>
    <w:p w14:paraId="6E4D8FDD" w14:textId="77777777" w:rsidR="00BE61A2" w:rsidRPr="004E056D" w:rsidRDefault="00BE61A2" w:rsidP="004E056D">
      <w:pPr>
        <w:pStyle w:val="Heading2"/>
      </w:pPr>
      <w:bookmarkStart w:id="108" w:name="_Toc1747262"/>
      <w:r w:rsidRPr="004E056D">
        <w:rPr>
          <w:bCs w:val="0"/>
          <w:sz w:val="27"/>
          <w:szCs w:val="27"/>
        </w:rPr>
        <w:t>Syphilis (non-congenital categories)</w:t>
      </w:r>
      <w:bookmarkEnd w:id="108"/>
    </w:p>
    <w:p w14:paraId="3095086C" w14:textId="77777777" w:rsidR="00BE61A2" w:rsidRPr="006F40D8" w:rsidRDefault="00BE61A2" w:rsidP="00D762CF">
      <w:pPr>
        <w:pStyle w:val="ListParagraph"/>
        <w:numPr>
          <w:ilvl w:val="0"/>
          <w:numId w:val="4"/>
        </w:numPr>
        <w:rPr>
          <w:rFonts w:eastAsia="Times New Roman"/>
        </w:rPr>
      </w:pPr>
      <w:r w:rsidRPr="006F40D8">
        <w:rPr>
          <w:rFonts w:eastAsia="Times New Roman"/>
        </w:rPr>
        <w:t xml:space="preserve">There were 4,652 cases of syphilis (non-congenital categories) notified in 2015, a notification rate of 19.6 per 100,000. </w:t>
      </w:r>
    </w:p>
    <w:p w14:paraId="6070E9E1" w14:textId="77777777" w:rsidR="00BE61A2" w:rsidRPr="006F40D8" w:rsidRDefault="00BE61A2" w:rsidP="00D762CF">
      <w:pPr>
        <w:pStyle w:val="ListParagraph"/>
        <w:numPr>
          <w:ilvl w:val="0"/>
          <w:numId w:val="4"/>
        </w:numPr>
        <w:rPr>
          <w:rFonts w:eastAsia="Times New Roman"/>
        </w:rPr>
      </w:pPr>
      <w:r w:rsidRPr="006F40D8">
        <w:rPr>
          <w:rFonts w:eastAsia="Times New Roman"/>
        </w:rPr>
        <w:t xml:space="preserve">Cases of non-congenital syphilis were more frequently reported in MSM. </w:t>
      </w:r>
    </w:p>
    <w:p w14:paraId="66C943FD" w14:textId="77777777" w:rsidR="00BE61A2" w:rsidRPr="00AE2F1B" w:rsidRDefault="00BE61A2" w:rsidP="00AE2F1B">
      <w:r w:rsidRPr="00AE2F1B">
        <w:t xml:space="preserve">Syphilis is a sexually transmitted infection caused by the bacterium </w:t>
      </w:r>
      <w:r w:rsidRPr="00DF12AB">
        <w:rPr>
          <w:rStyle w:val="Emphasis"/>
          <w:b w:val="0"/>
        </w:rPr>
        <w:t xml:space="preserve">Treponema </w:t>
      </w:r>
      <w:r w:rsidR="001707A3" w:rsidRPr="00DF12AB">
        <w:rPr>
          <w:rStyle w:val="Emphasis"/>
          <w:b w:val="0"/>
        </w:rPr>
        <w:t>palladium</w:t>
      </w:r>
      <w:r w:rsidR="001707A3" w:rsidRPr="00AE2F1B">
        <w:t xml:space="preserve">. </w:t>
      </w:r>
      <w:r w:rsidRPr="00AE2F1B">
        <w:t>Infection is characterised by a primary lesion, a secondary eruption involving skin and mucous membranes, long periods of latency and late lesions of skin, bone, viscera, cardiovascular and nervous systems.</w:t>
      </w:r>
      <w:r w:rsidRPr="00AE2F1B">
        <w:rPr>
          <w:vertAlign w:val="superscript"/>
        </w:rPr>
        <w:t>21</w:t>
      </w:r>
      <w:r w:rsidRPr="00AE2F1B">
        <w:t xml:space="preserve"> </w:t>
      </w:r>
    </w:p>
    <w:p w14:paraId="5242264A" w14:textId="77777777" w:rsidR="00BE61A2" w:rsidRPr="00AE2F1B" w:rsidRDefault="00BE61A2" w:rsidP="00AE2F1B">
      <w:r w:rsidRPr="00AE2F1B">
        <w:t xml:space="preserve">In 2004, all jurisdictions except South Australia began reporting non-congenital syphilis infections to the NNDSS separately categorised as: infectious syphilis (primary, </w:t>
      </w:r>
      <w:proofErr w:type="gramStart"/>
      <w:r w:rsidRPr="00AE2F1B">
        <w:t>secondary</w:t>
      </w:r>
      <w:proofErr w:type="gramEnd"/>
      <w:r w:rsidRPr="00AE2F1B">
        <w:t xml:space="preserve"> or early latent) of less than 2 years duration; and syphilis of more than 2 years or unknown duration. From 2004 to 2011, South Australia reported only cases of infectious syphilis; it then commenced reporting syphilis of more than 2 years or unknown duration in 2012.</w:t>
      </w:r>
    </w:p>
    <w:p w14:paraId="4EC3B581" w14:textId="77777777" w:rsidR="00BE61A2" w:rsidRPr="00AE2F1B" w:rsidRDefault="00BE61A2" w:rsidP="00924A50">
      <w:pPr>
        <w:pStyle w:val="Heading3"/>
      </w:pPr>
      <w:bookmarkStart w:id="109" w:name="_Toc1747263"/>
      <w:r w:rsidRPr="00924A50">
        <w:rPr>
          <w:bCs w:val="0"/>
        </w:rPr>
        <w:t>Epidemiological situation in 2015</w:t>
      </w:r>
      <w:bookmarkEnd w:id="109"/>
    </w:p>
    <w:p w14:paraId="451700C9" w14:textId="77777777" w:rsidR="00BE61A2" w:rsidRDefault="00BE61A2" w:rsidP="00AE2F1B">
      <w:r w:rsidRPr="00AE2F1B">
        <w:t>In 2015, a total of 4,652 cases of syphilis (non-congenital) were reported to the NNDSS. This represented a rate of 19.6 per 100,000, a 17% increase compared with 2014 (16.6 per 100,000) (Figure 43). In 2015, 42% of syphilis notifications were categorised as greater than 2 years or unknown duration, and 58% of cases were cate</w:t>
      </w:r>
      <w:r w:rsidR="00664FF3">
        <w:t>gorised as infectious syphilis.</w:t>
      </w:r>
    </w:p>
    <w:p w14:paraId="1E860094" w14:textId="77777777" w:rsidR="00512CE2" w:rsidRDefault="00512CE2">
      <w:pPr>
        <w:rPr>
          <w:b/>
        </w:rPr>
      </w:pPr>
      <w:r>
        <w:br w:type="page"/>
      </w:r>
    </w:p>
    <w:p w14:paraId="15D0F447" w14:textId="77777777" w:rsidR="00664FF3" w:rsidRDefault="00664FF3" w:rsidP="00664FF3">
      <w:pPr>
        <w:pStyle w:val="CDIFigures"/>
      </w:pPr>
      <w:r w:rsidRPr="00664FF3">
        <w:lastRenderedPageBreak/>
        <w:t>Figure 43: Notification rate for non-congenital syphilis infection (all categories)</w:t>
      </w:r>
      <w:r w:rsidR="00FD3CF7" w:rsidRPr="00664FF3">
        <w:t>,</w:t>
      </w:r>
      <w:r w:rsidR="00FD3CF7" w:rsidRPr="00FD3CF7">
        <w:rPr>
          <w:rStyle w:val="A9"/>
          <w:rFonts w:asciiTheme="minorHAnsi" w:hAnsiTheme="minorHAnsi" w:cstheme="minorBidi"/>
          <w:b/>
          <w:bCs w:val="0"/>
          <w:color w:val="auto"/>
          <w:sz w:val="22"/>
          <w:szCs w:val="22"/>
          <w:vertAlign w:val="superscript"/>
        </w:rPr>
        <w:t xml:space="preserve"> †</w:t>
      </w:r>
      <w:r w:rsidRPr="00664FF3">
        <w:rPr>
          <w:rStyle w:val="A9"/>
          <w:rFonts w:asciiTheme="minorHAnsi" w:hAnsiTheme="minorHAnsi" w:cstheme="minorBidi"/>
          <w:b/>
          <w:bCs w:val="0"/>
          <w:color w:val="auto"/>
          <w:sz w:val="22"/>
          <w:szCs w:val="22"/>
        </w:rPr>
        <w:t xml:space="preserve"> </w:t>
      </w:r>
      <w:r w:rsidRPr="00664FF3">
        <w:t>Australia, 2010 to 2015, by category and year</w:t>
      </w:r>
    </w:p>
    <w:p w14:paraId="0C37F85A" w14:textId="77777777" w:rsidR="00DF0EB8" w:rsidRDefault="0021477A" w:rsidP="00664FF3">
      <w:pPr>
        <w:pStyle w:val="CDIFigures"/>
      </w:pPr>
      <w:r>
        <w:pict w14:anchorId="602EA51B">
          <v:shape id="_x0000_i1065" type="#_x0000_t75" alt="This figure shows the notification rates for both combined and separate categories of non-congenital syphilis infections in Australia, from 2010 to 2015. The figure illustrates the notification rates of infectious syphilis, less than two years duration, and the notification rates for syphilis of more than two years or unknown duration. Overall, the notification rate increased for all categories of non-congenital syphilis over the six year period." style="width:522.6pt;height:306.6pt;mso-position-vertical:absolute">
            <v:imagedata r:id="rId59" o:title="4-Sexual tranmissibale infections chapter_figures 32 to 49_Page_12"/>
          </v:shape>
        </w:pict>
      </w:r>
    </w:p>
    <w:p w14:paraId="5A3F3CC8" w14:textId="77777777" w:rsidR="00664FF3" w:rsidRPr="00664FF3" w:rsidRDefault="00664FF3" w:rsidP="00664FF3">
      <w:pPr>
        <w:pStyle w:val="CDIfootnotes"/>
      </w:pPr>
      <w:r>
        <w:rPr>
          <w:rStyle w:val="A13"/>
          <w:rFonts w:cstheme="minorBidi"/>
          <w:color w:val="auto"/>
          <w:sz w:val="18"/>
          <w:szCs w:val="22"/>
        </w:rPr>
        <w:t>†</w:t>
      </w:r>
      <w:r>
        <w:rPr>
          <w:rStyle w:val="A13"/>
          <w:rFonts w:cstheme="minorBidi"/>
          <w:color w:val="auto"/>
          <w:sz w:val="18"/>
          <w:szCs w:val="22"/>
        </w:rPr>
        <w:tab/>
      </w:r>
      <w:r w:rsidRPr="00664FF3">
        <w:rPr>
          <w:rStyle w:val="A11"/>
          <w:rFonts w:cstheme="minorBidi"/>
          <w:color w:val="auto"/>
          <w:sz w:val="18"/>
          <w:u w:val="none"/>
        </w:rPr>
        <w:t>For syphilis of more than 2 years or unknown duration, excludes South Australia from 2010–2011.</w:t>
      </w:r>
    </w:p>
    <w:p w14:paraId="470BA550" w14:textId="77777777" w:rsidR="00BE61A2" w:rsidRPr="004E056D" w:rsidRDefault="00BE61A2" w:rsidP="004E056D">
      <w:pPr>
        <w:pStyle w:val="Heading2"/>
      </w:pPr>
      <w:bookmarkStart w:id="110" w:name="_Toc1747264"/>
      <w:r w:rsidRPr="004E056D">
        <w:rPr>
          <w:bCs w:val="0"/>
          <w:sz w:val="27"/>
          <w:szCs w:val="27"/>
        </w:rPr>
        <w:t xml:space="preserve">Syphilis – infectious (primary, </w:t>
      </w:r>
      <w:proofErr w:type="gramStart"/>
      <w:r w:rsidRPr="004E056D">
        <w:rPr>
          <w:bCs w:val="0"/>
          <w:sz w:val="27"/>
          <w:szCs w:val="27"/>
        </w:rPr>
        <w:t>secondary</w:t>
      </w:r>
      <w:proofErr w:type="gramEnd"/>
      <w:r w:rsidRPr="004E056D">
        <w:rPr>
          <w:bCs w:val="0"/>
          <w:sz w:val="27"/>
          <w:szCs w:val="27"/>
        </w:rPr>
        <w:t xml:space="preserve"> and early latent), less than 2</w:t>
      </w:r>
      <w:r w:rsidR="00725092">
        <w:rPr>
          <w:bCs w:val="0"/>
          <w:sz w:val="27"/>
          <w:szCs w:val="27"/>
        </w:rPr>
        <w:t> </w:t>
      </w:r>
      <w:r w:rsidRPr="004E056D">
        <w:rPr>
          <w:bCs w:val="0"/>
          <w:sz w:val="27"/>
          <w:szCs w:val="27"/>
        </w:rPr>
        <w:t>years</w:t>
      </w:r>
      <w:r w:rsidR="00FD3CF7">
        <w:rPr>
          <w:bCs w:val="0"/>
          <w:sz w:val="27"/>
          <w:szCs w:val="27"/>
        </w:rPr>
        <w:t> </w:t>
      </w:r>
      <w:r w:rsidRPr="004E056D">
        <w:rPr>
          <w:bCs w:val="0"/>
          <w:sz w:val="27"/>
          <w:szCs w:val="27"/>
        </w:rPr>
        <w:t>duration</w:t>
      </w:r>
      <w:bookmarkEnd w:id="110"/>
    </w:p>
    <w:p w14:paraId="24D1D40B" w14:textId="77777777" w:rsidR="00BE61A2" w:rsidRPr="00EA3799" w:rsidRDefault="00BE61A2" w:rsidP="00D762CF">
      <w:pPr>
        <w:pStyle w:val="ListParagraph"/>
        <w:numPr>
          <w:ilvl w:val="0"/>
          <w:numId w:val="3"/>
        </w:numPr>
        <w:rPr>
          <w:rFonts w:eastAsia="Times New Roman"/>
        </w:rPr>
      </w:pPr>
      <w:r w:rsidRPr="00EA3799">
        <w:rPr>
          <w:rFonts w:eastAsia="Times New Roman"/>
        </w:rPr>
        <w:t xml:space="preserve">There were 2,713 cases of infectious syphilis notified in 2015. </w:t>
      </w:r>
    </w:p>
    <w:p w14:paraId="20C065A4" w14:textId="77777777" w:rsidR="00BE61A2" w:rsidRPr="00EA3799" w:rsidRDefault="00BE61A2" w:rsidP="00D762CF">
      <w:pPr>
        <w:pStyle w:val="ListParagraph"/>
        <w:numPr>
          <w:ilvl w:val="0"/>
          <w:numId w:val="3"/>
        </w:numPr>
        <w:rPr>
          <w:rFonts w:eastAsia="Times New Roman"/>
        </w:rPr>
      </w:pPr>
      <w:r w:rsidRPr="00EA3799">
        <w:rPr>
          <w:rFonts w:eastAsia="Times New Roman"/>
        </w:rPr>
        <w:t>Of all notifications, 79% occurred in males aged 20–54 years, indicating transmission through male-to-male</w:t>
      </w:r>
      <w:r w:rsidR="00725092">
        <w:rPr>
          <w:rFonts w:eastAsia="Times New Roman"/>
        </w:rPr>
        <w:t> </w:t>
      </w:r>
      <w:r w:rsidRPr="00EA3799">
        <w:rPr>
          <w:rFonts w:eastAsia="Times New Roman"/>
        </w:rPr>
        <w:t xml:space="preserve">sex. </w:t>
      </w:r>
    </w:p>
    <w:p w14:paraId="10080E89" w14:textId="77777777" w:rsidR="00BE61A2" w:rsidRPr="00EA3799" w:rsidRDefault="00BE61A2" w:rsidP="00D762CF">
      <w:pPr>
        <w:pStyle w:val="ListParagraph"/>
        <w:numPr>
          <w:ilvl w:val="0"/>
          <w:numId w:val="3"/>
        </w:numPr>
        <w:rPr>
          <w:rFonts w:eastAsia="Times New Roman"/>
        </w:rPr>
      </w:pPr>
      <w:r w:rsidRPr="00EA3799">
        <w:rPr>
          <w:rFonts w:eastAsia="Times New Roman"/>
        </w:rPr>
        <w:t xml:space="preserve">Notifications continued to increase in Aboriginal and Torres Strait Islander people due to the ongoing outbreak in northern Australia. </w:t>
      </w:r>
    </w:p>
    <w:p w14:paraId="20225BF6" w14:textId="77777777" w:rsidR="00BE61A2" w:rsidRPr="00AE2F1B" w:rsidRDefault="00BE61A2" w:rsidP="00924A50">
      <w:pPr>
        <w:pStyle w:val="Heading3"/>
        <w:rPr>
          <w:rFonts w:eastAsiaTheme="minorEastAsia"/>
        </w:rPr>
      </w:pPr>
      <w:bookmarkStart w:id="111" w:name="_Toc1747265"/>
      <w:r w:rsidRPr="00924A50">
        <w:rPr>
          <w:bCs w:val="0"/>
        </w:rPr>
        <w:t>Epidemiological situation in 2015</w:t>
      </w:r>
      <w:bookmarkEnd w:id="111"/>
    </w:p>
    <w:p w14:paraId="612EBD10" w14:textId="77777777" w:rsidR="00BE61A2" w:rsidRPr="00AE2F1B" w:rsidRDefault="00BE61A2" w:rsidP="00AE2F1B">
      <w:r w:rsidRPr="00AE2F1B">
        <w:t>In 2015, 2,713 notified cases of infectious syphilis of less than 2 years duration were reported to the NNDSS, representing a rate of 11.4 per 100,000. This was a 17% increase compared with the rate reported in 2014 (8.7 per 100,000), and a 74% increase from 2010 (5.1 per 100,000) to 2015 (Table 5).</w:t>
      </w:r>
    </w:p>
    <w:p w14:paraId="591800B4" w14:textId="77777777" w:rsidR="00BE61A2" w:rsidRPr="00AE2F1B" w:rsidRDefault="00BE61A2" w:rsidP="00AE2F1B">
      <w:r w:rsidRPr="00AE2F1B">
        <w:t>In 2015, the infectious syphilis case definition was changed to include both probable and confirmed infectious syphilis cases.</w:t>
      </w:r>
      <w:r w:rsidRPr="00AE2F1B">
        <w:rPr>
          <w:vertAlign w:val="superscript"/>
        </w:rPr>
        <w:t>57</w:t>
      </w:r>
      <w:r w:rsidRPr="00AE2F1B">
        <w:t xml:space="preserve"> Of the cases notified in 2015, 9% (n=245) were reported as probable. </w:t>
      </w:r>
    </w:p>
    <w:p w14:paraId="08DFD6D4" w14:textId="77777777" w:rsidR="00BE61A2" w:rsidRPr="00AE2F1B" w:rsidRDefault="00BE61A2" w:rsidP="00924A50">
      <w:pPr>
        <w:pStyle w:val="Heading3"/>
      </w:pPr>
      <w:bookmarkStart w:id="112" w:name="_Toc1747266"/>
      <w:r w:rsidRPr="00924A50">
        <w:rPr>
          <w:bCs w:val="0"/>
        </w:rPr>
        <w:t>Geographical distribution</w:t>
      </w:r>
      <w:bookmarkEnd w:id="112"/>
    </w:p>
    <w:p w14:paraId="0E4149E7" w14:textId="77777777" w:rsidR="00BE61A2" w:rsidRPr="00AE2F1B" w:rsidRDefault="00BE61A2" w:rsidP="00AE2F1B">
      <w:r w:rsidRPr="00AE2F1B">
        <w:t>In 2015, notification rates for infectious syphilis were highest in the Northern Territory (82.6 per 100,000), followed by Victoria (15.7 per 100,000) and Queensland (11.9 per 100,000) (Table 5). This probably reflects the on-going outbreaks in Indigenous people in the Northern Territory and Queensland, and MSM in Victoria.</w:t>
      </w:r>
      <w:r w:rsidRPr="00AE2F1B">
        <w:rPr>
          <w:vertAlign w:val="superscript"/>
        </w:rPr>
        <w:t>58,</w:t>
      </w:r>
      <w:proofErr w:type="gramStart"/>
      <w:r w:rsidRPr="00AE2F1B">
        <w:rPr>
          <w:vertAlign w:val="superscript"/>
        </w:rPr>
        <w:t>59</w:t>
      </w:r>
      <w:proofErr w:type="gramEnd"/>
      <w:r w:rsidRPr="00AE2F1B">
        <w:t xml:space="preserve"> </w:t>
      </w:r>
    </w:p>
    <w:p w14:paraId="79BCCFF2" w14:textId="77777777" w:rsidR="00AF5B63" w:rsidRDefault="00AF5B63">
      <w:pPr>
        <w:rPr>
          <w:rFonts w:asciiTheme="majorHAnsi" w:eastAsiaTheme="majorEastAsia" w:hAnsiTheme="majorHAnsi" w:cstheme="majorBidi"/>
          <w:b/>
        </w:rPr>
      </w:pPr>
      <w:bookmarkStart w:id="113" w:name="_Toc1747267"/>
      <w:r>
        <w:rPr>
          <w:bCs/>
        </w:rPr>
        <w:br w:type="page"/>
      </w:r>
    </w:p>
    <w:p w14:paraId="5B827D7C" w14:textId="77777777" w:rsidR="00BE61A2" w:rsidRPr="00AE2F1B" w:rsidRDefault="00BE61A2" w:rsidP="00924A50">
      <w:pPr>
        <w:pStyle w:val="Heading3"/>
      </w:pPr>
      <w:r w:rsidRPr="00924A50">
        <w:rPr>
          <w:bCs w:val="0"/>
        </w:rPr>
        <w:lastRenderedPageBreak/>
        <w:t>Age and sex distribution</w:t>
      </w:r>
      <w:bookmarkEnd w:id="113"/>
    </w:p>
    <w:p w14:paraId="3814E094" w14:textId="77777777" w:rsidR="00BE61A2" w:rsidRDefault="00BE61A2" w:rsidP="00AE2F1B">
      <w:r w:rsidRPr="00AE2F1B">
        <w:t>Nationally, the notification rate for infectious syphilis was 20.5 per 100,000 in males and 2.4 per 100,000 in females in 2015, a male to female rate ratio of 8.5:1, which was consistent with previous years. In males, rates increased by 30% compared with 2014 (16.0 per 100,000). The notification rate for females in 2015 increased by 71% compared with 2014 (1.0 per 100,000). In 2015, 79% (2,137/2,713) of all notifications occurred in males aged 20–54 years</w:t>
      </w:r>
      <w:r w:rsidR="001870FA">
        <w:t> </w:t>
      </w:r>
      <w:r w:rsidRPr="00AE2F1B">
        <w:t>(Figure 44).</w:t>
      </w:r>
    </w:p>
    <w:p w14:paraId="13F86223" w14:textId="77777777" w:rsidR="00281D94" w:rsidRDefault="00281D94" w:rsidP="00281D94">
      <w:pPr>
        <w:pStyle w:val="CDIFigures"/>
        <w:rPr>
          <w:rStyle w:val="A9"/>
          <w:rFonts w:asciiTheme="minorHAnsi" w:hAnsiTheme="minorHAnsi" w:cstheme="minorBidi"/>
          <w:b/>
          <w:bCs w:val="0"/>
          <w:color w:val="auto"/>
          <w:sz w:val="22"/>
          <w:szCs w:val="22"/>
        </w:rPr>
      </w:pPr>
      <w:r w:rsidRPr="00281D94">
        <w:t xml:space="preserve">Figure 44: Notification rate for infectious syphilis (primary, </w:t>
      </w:r>
      <w:proofErr w:type="gramStart"/>
      <w:r w:rsidRPr="00281D94">
        <w:t>secondary</w:t>
      </w:r>
      <w:proofErr w:type="gramEnd"/>
      <w:r w:rsidRPr="00281D94">
        <w:t xml:space="preserve"> and early latent), less than 2 years duration, Australia, 2015, by age group and sex</w:t>
      </w:r>
      <w:r w:rsidRPr="00EC7F85">
        <w:rPr>
          <w:rStyle w:val="A9"/>
          <w:rFonts w:asciiTheme="minorHAnsi" w:hAnsiTheme="minorHAnsi" w:cstheme="minorBidi"/>
          <w:b/>
          <w:bCs w:val="0"/>
          <w:color w:val="auto"/>
          <w:sz w:val="22"/>
          <w:szCs w:val="22"/>
          <w:vertAlign w:val="superscript"/>
        </w:rPr>
        <w:t>*</w:t>
      </w:r>
    </w:p>
    <w:p w14:paraId="3AD9A06C" w14:textId="77777777" w:rsidR="00EC7F85" w:rsidRDefault="0021477A" w:rsidP="00281D94">
      <w:pPr>
        <w:pStyle w:val="CDIFigures"/>
        <w:rPr>
          <w:rStyle w:val="A9"/>
          <w:rFonts w:asciiTheme="minorHAnsi" w:hAnsiTheme="minorHAnsi" w:cstheme="minorBidi"/>
          <w:b/>
          <w:bCs w:val="0"/>
          <w:color w:val="auto"/>
          <w:sz w:val="22"/>
          <w:szCs w:val="22"/>
        </w:rPr>
      </w:pPr>
      <w:r>
        <w:rPr>
          <w:rStyle w:val="A9"/>
          <w:rFonts w:asciiTheme="minorHAnsi" w:hAnsiTheme="minorHAnsi" w:cstheme="minorBidi"/>
          <w:b/>
          <w:bCs w:val="0"/>
          <w:color w:val="auto"/>
          <w:sz w:val="22"/>
          <w:szCs w:val="22"/>
        </w:rPr>
        <w:pict w14:anchorId="7880E7E1">
          <v:shape id="_x0000_i1066" type="#_x0000_t75" alt="This figure shows the notification rates of infectious syphilis in Australia in 2015, by age group and sex. Notification rates were higher in males than in females across all age groups except the 10– 14 and 80-84 years age groups, reflecting a male to female rate ratio of 8.5:1. The notification rate among females was highest in the 15 – 19 years age group, while the notification rate among males was highest in the 25– 29 years age group." style="width:522.6pt;height:321.6pt">
            <v:imagedata r:id="rId60" o:title="4-Sexual tranmissibale infections chapter_figures 32 to 49_Page_13"/>
          </v:shape>
        </w:pict>
      </w:r>
    </w:p>
    <w:p w14:paraId="49EC228E" w14:textId="77777777" w:rsidR="00281D94" w:rsidRPr="00281D94" w:rsidRDefault="00281D94" w:rsidP="00281D94">
      <w:pPr>
        <w:pStyle w:val="CDIfootnotes"/>
      </w:pPr>
      <w:r>
        <w:rPr>
          <w:rStyle w:val="A13"/>
          <w:rFonts w:cstheme="minorBidi"/>
          <w:color w:val="auto"/>
          <w:sz w:val="18"/>
          <w:szCs w:val="22"/>
        </w:rPr>
        <w:t>*</w:t>
      </w:r>
      <w:r>
        <w:rPr>
          <w:rStyle w:val="A13"/>
          <w:rFonts w:cstheme="minorBidi"/>
          <w:color w:val="auto"/>
          <w:sz w:val="18"/>
          <w:szCs w:val="22"/>
        </w:rPr>
        <w:tab/>
      </w:r>
      <w:r w:rsidRPr="00281D94">
        <w:t>Excludes notifications where age and/or sex were not reported and those less than 13 years of age.</w:t>
      </w:r>
    </w:p>
    <w:p w14:paraId="02F67AD4" w14:textId="77777777" w:rsidR="00BE61A2" w:rsidRDefault="00BE61A2" w:rsidP="00AE2F1B">
      <w:r w:rsidRPr="00AE2F1B">
        <w:t xml:space="preserve">Notification rates for males aged 15 years or over increased overall from 2010 to 2015 for all age groups. For the majority of age groups, rates were at their lowest in 2010, after which rates steadily increased and reached maximum values for the period in 2015 (Figure 45). The greatest increases among females aged 15 years or over were within the 15–34 years age groups (Figure 14). </w:t>
      </w:r>
    </w:p>
    <w:p w14:paraId="44D2D74E" w14:textId="77777777" w:rsidR="00490CD9" w:rsidRDefault="00490CD9">
      <w:pPr>
        <w:rPr>
          <w:b/>
        </w:rPr>
      </w:pPr>
      <w:r>
        <w:br w:type="page"/>
      </w:r>
    </w:p>
    <w:p w14:paraId="679A9F55" w14:textId="77777777" w:rsidR="000F1C4E" w:rsidRDefault="000F1C4E" w:rsidP="000F1C4E">
      <w:pPr>
        <w:pStyle w:val="CDIFigures"/>
        <w:rPr>
          <w:rStyle w:val="A9"/>
          <w:rFonts w:asciiTheme="minorHAnsi" w:hAnsiTheme="minorHAnsi" w:cstheme="minorBidi"/>
          <w:b/>
          <w:bCs w:val="0"/>
          <w:color w:val="auto"/>
          <w:sz w:val="22"/>
          <w:szCs w:val="22"/>
          <w:vertAlign w:val="superscript"/>
        </w:rPr>
      </w:pPr>
      <w:r w:rsidRPr="000F1C4E">
        <w:lastRenderedPageBreak/>
        <w:t xml:space="preserve">Figure 45: Notification rate for infectious syphilis (primary, </w:t>
      </w:r>
      <w:proofErr w:type="gramStart"/>
      <w:r w:rsidRPr="000F1C4E">
        <w:t>secondary</w:t>
      </w:r>
      <w:proofErr w:type="gramEnd"/>
      <w:r w:rsidRPr="000F1C4E">
        <w:t xml:space="preserve"> and early latent), less than 2 years duration, Australia, 2010 to 2015, by year, sex and selected age groups</w:t>
      </w:r>
      <w:r w:rsidRPr="004F7AE8">
        <w:rPr>
          <w:rStyle w:val="A9"/>
          <w:rFonts w:asciiTheme="minorHAnsi" w:hAnsiTheme="minorHAnsi" w:cstheme="minorBidi"/>
          <w:b/>
          <w:bCs w:val="0"/>
          <w:color w:val="auto"/>
          <w:sz w:val="22"/>
          <w:szCs w:val="22"/>
          <w:vertAlign w:val="superscript"/>
        </w:rPr>
        <w:t>*</w:t>
      </w:r>
    </w:p>
    <w:p w14:paraId="31DF621C" w14:textId="77777777" w:rsidR="00490CD9" w:rsidRDefault="0021477A" w:rsidP="000F1C4E">
      <w:pPr>
        <w:pStyle w:val="CDIFigures"/>
        <w:rPr>
          <w:rStyle w:val="A9"/>
          <w:rFonts w:asciiTheme="minorHAnsi" w:hAnsiTheme="minorHAnsi" w:cstheme="minorBidi"/>
          <w:b/>
          <w:bCs w:val="0"/>
          <w:color w:val="auto"/>
          <w:sz w:val="22"/>
          <w:szCs w:val="22"/>
        </w:rPr>
      </w:pPr>
      <w:r>
        <w:rPr>
          <w:rStyle w:val="A9"/>
          <w:rFonts w:asciiTheme="minorHAnsi" w:hAnsiTheme="minorHAnsi" w:cstheme="minorBidi"/>
          <w:b/>
          <w:bCs w:val="0"/>
          <w:color w:val="auto"/>
          <w:sz w:val="22"/>
          <w:szCs w:val="22"/>
          <w:vertAlign w:val="superscript"/>
        </w:rPr>
        <w:pict w14:anchorId="044C923C">
          <v:shape id="_x0000_i1067" type="#_x0000_t75" alt="This figure shows the notification rates of infectious syphilis in persons aged 15 years and over, in Australia from 2010 to 2015, by selected age group and sex and year. Notification rates for males aged 15 years or over increased overall from 2010 to 2015 for all age groups. For the majority of age groups, rates were at their lowest in 2010 after which rates steadily increased and reached maximum values for the period in 2015.  The greatest increases among females aged 15 years or over were within the 15-34 year age groups." style="width:522.6pt;height:323.4pt">
            <v:imagedata r:id="rId61" o:title="4-Sexual tranmissibale infections chapter_figures 32 to 49_Page_14"/>
          </v:shape>
        </w:pict>
      </w:r>
    </w:p>
    <w:p w14:paraId="61C3AB08" w14:textId="77777777" w:rsidR="000F1C4E" w:rsidRPr="000F1C4E" w:rsidRDefault="00F42560" w:rsidP="000F1C4E">
      <w:pPr>
        <w:pStyle w:val="CDIfootnotes"/>
      </w:pPr>
      <w:r>
        <w:t>*</w:t>
      </w:r>
      <w:r>
        <w:tab/>
      </w:r>
      <w:r w:rsidR="000F1C4E" w:rsidRPr="000F1C4E">
        <w:t>Excludes notifications where age and/or sex were not reported and those less than 13 years of age.</w:t>
      </w:r>
    </w:p>
    <w:p w14:paraId="2A852A19" w14:textId="77777777" w:rsidR="00BE61A2" w:rsidRPr="0039362D" w:rsidRDefault="00BE61A2" w:rsidP="00EE19C2">
      <w:pPr>
        <w:pStyle w:val="Heading3"/>
      </w:pPr>
      <w:bookmarkStart w:id="114" w:name="_Toc1747268"/>
      <w:r w:rsidRPr="0039362D">
        <w:t>Indigenous</w:t>
      </w:r>
      <w:bookmarkEnd w:id="114"/>
    </w:p>
    <w:p w14:paraId="51ACD2E7" w14:textId="77777777" w:rsidR="00BE61A2" w:rsidRPr="00AE2F1B" w:rsidRDefault="00BE61A2" w:rsidP="00AE2F1B">
      <w:r w:rsidRPr="00AE2F1B">
        <w:t>The completeness of Indigenous status identification in the notification data varies by year and jurisdiction. Nationally in 2015, data on Indigenous status were complete for 91% of notifications of infectious syphilis, decreasing by 1% since 2014, compared to the preceding 5-year mean of 94% (range: 91% to 96%). All states and territories had greater than 50% completeness of the Indigenous status field across the 2010 to 2015 period.</w:t>
      </w:r>
    </w:p>
    <w:p w14:paraId="6E23CF3E" w14:textId="77777777" w:rsidR="00BE61A2" w:rsidRDefault="00BE61A2" w:rsidP="00AE2F1B">
      <w:r w:rsidRPr="00AE2F1B">
        <w:t>In 2015, where rates were calculated for Indigenous and non-Indigenous people, the age-standardised rates were higher for Indigenous people than non-Indigenous people in all jurisdictions, with the exception of New South Wales (Figure 46). For all states and territories, the combined age-standardised notification rate ratio between the Indigenous and non-Indigenous populations in 2015 was 6.2:1, which was higher than the preceding 5-year mean (4.6:1; range: 3.1 to 5.9). In 2015, for jurisdictions where cases were notified in both Indigenous and non-Indigenous people, the age-standardised notification rate ratio between Indigenous and non-Indigenous populations ranged from 0.8:1 in New South Wales to 17.3:1 in the Northern Territory. Between 2014 and 2015, the largest increase in the difference between Indigenous and non-Indigenous age-standardised notification rates was 161% in Western Australia (3.7 to 9.7 per 100,000). The only 2 jurisdictions where the difference between Indigenous and non-Indigenous age-standardised notification rates decreased from 2014 to 2015 were New South Wales (a decrease of 43%) and Queensland (a decrease of 12%).</w:t>
      </w:r>
    </w:p>
    <w:p w14:paraId="6ED269DE" w14:textId="77777777" w:rsidR="00E719B8" w:rsidRDefault="00E719B8">
      <w:pPr>
        <w:rPr>
          <w:b/>
        </w:rPr>
      </w:pPr>
      <w:r>
        <w:br w:type="page"/>
      </w:r>
    </w:p>
    <w:p w14:paraId="19345CAB" w14:textId="77777777" w:rsidR="00BB384A" w:rsidRDefault="00BB384A" w:rsidP="00BB384A">
      <w:pPr>
        <w:pStyle w:val="CDIFigures"/>
      </w:pPr>
      <w:r w:rsidRPr="00BB384A">
        <w:lastRenderedPageBreak/>
        <w:t xml:space="preserve">Figure 46: Age-standardised notification rate for infectious syphilis (primary, </w:t>
      </w:r>
      <w:proofErr w:type="gramStart"/>
      <w:r w:rsidRPr="00BB384A">
        <w:t>secondary</w:t>
      </w:r>
      <w:proofErr w:type="gramEnd"/>
      <w:r w:rsidRPr="00BB384A">
        <w:t xml:space="preserve"> and early latent), less than 2 years duration, selected states and territories,</w:t>
      </w:r>
      <w:r w:rsidRPr="00E719B8">
        <w:rPr>
          <w:rStyle w:val="A9"/>
          <w:rFonts w:asciiTheme="minorHAnsi" w:hAnsiTheme="minorHAnsi" w:cstheme="minorBidi"/>
          <w:b/>
          <w:bCs w:val="0"/>
          <w:color w:val="auto"/>
          <w:sz w:val="22"/>
          <w:szCs w:val="22"/>
          <w:vertAlign w:val="superscript"/>
        </w:rPr>
        <w:t>*</w:t>
      </w:r>
      <w:r w:rsidRPr="00BB384A">
        <w:rPr>
          <w:rStyle w:val="A9"/>
          <w:rFonts w:asciiTheme="minorHAnsi" w:hAnsiTheme="minorHAnsi" w:cstheme="minorBidi"/>
          <w:b/>
          <w:bCs w:val="0"/>
          <w:color w:val="auto"/>
          <w:sz w:val="22"/>
          <w:szCs w:val="22"/>
        </w:rPr>
        <w:t xml:space="preserve"> </w:t>
      </w:r>
      <w:r w:rsidRPr="00BB384A">
        <w:t>2010 to 2015, by Indigenous status and year</w:t>
      </w:r>
    </w:p>
    <w:p w14:paraId="08D3B8B5" w14:textId="77777777" w:rsidR="00E719B8" w:rsidRDefault="0021477A" w:rsidP="00BB384A">
      <w:pPr>
        <w:pStyle w:val="CDIFigures"/>
      </w:pPr>
      <w:r>
        <w:pict w14:anchorId="0892C611">
          <v:shape id="_x0000_i1068" type="#_x0000_t75" alt="This figure shows the age-standardised notification rates of infectious syphilis for each Australian state or territory excluding Tasmania and the Australian Capital Territory from 2010 to 2015 by Indigenous status and year. Over the six year period, the age-standardised rates were generally higher among the Indigenous population than the non-Indigenous population in most jurisdictions, reflecting the Indigenous to non-Indigenous age-standardised rate ratio for 2015 of 6.2:1. In the Indigenous population, the age-standardised notification rates in 2015 were highest in Northern Territory and Queensland.  The figure insert shows that in 2015, the age-standardised notification rates in the non-Indigenous population were highest in Victoria, Northern Territory and New South Wales." style="width:522.6pt;height:313.2pt;mso-position-vertical:absolute">
            <v:imagedata r:id="rId62" o:title="4-Sexual tranmissibale infections chapter_figures 32 to 49_Page_15"/>
          </v:shape>
        </w:pict>
      </w:r>
    </w:p>
    <w:p w14:paraId="3D61AE27" w14:textId="77777777" w:rsidR="00BB384A" w:rsidRPr="00BB384A" w:rsidRDefault="00BB384A" w:rsidP="00AF5B63">
      <w:pPr>
        <w:pStyle w:val="CDIfootnotes"/>
        <w:ind w:left="720" w:hanging="720"/>
      </w:pPr>
      <w:r>
        <w:t>*</w:t>
      </w:r>
      <w:r>
        <w:tab/>
      </w:r>
      <w:r w:rsidRPr="00BB384A">
        <w:t>All states and territories reported Indigenous status for more than 50% of notifications between 2010 and 2015. The Australian Capital Territory and Tasmania were excluded due to low numbers of notifications.</w:t>
      </w:r>
    </w:p>
    <w:p w14:paraId="6762E30F" w14:textId="31F1E435" w:rsidR="00BE61A2" w:rsidRPr="00AE2F1B" w:rsidRDefault="00BE61A2" w:rsidP="00AE2F1B">
      <w:r w:rsidRPr="00AE2F1B">
        <w:t>An outbreak of infectious syphilis affecting largely young heterosexual Indigenous people in remote areas of Australia</w:t>
      </w:r>
      <w:r w:rsidRPr="00AE2F1B">
        <w:rPr>
          <w:vertAlign w:val="superscript"/>
        </w:rPr>
        <w:t>5,12</w:t>
      </w:r>
      <w:r w:rsidRPr="00AE2F1B">
        <w:t xml:space="preserve"> was first reported in January 2011 in northern Queensland, followed by the Northern Territory in July 2013</w:t>
      </w:r>
      <w:r w:rsidRPr="00AE2F1B">
        <w:rPr>
          <w:vertAlign w:val="superscript"/>
        </w:rPr>
        <w:t>13,14</w:t>
      </w:r>
      <w:r w:rsidRPr="00AE2F1B">
        <w:t xml:space="preserve"> , and the Kimberley region of Western Australia in June 2014. Increased transmission along with targeted and opportunistic syphilis screening in each of these jurisdictions is likely to have contributed to an increase in Indigenous age-standardised rates for Queensland, the Northern Territory, and Western Australia between 2011–2015.</w:t>
      </w:r>
      <w:r w:rsidRPr="00AE2F1B">
        <w:rPr>
          <w:vertAlign w:val="superscript"/>
        </w:rPr>
        <w:t>60</w:t>
      </w:r>
      <w:r w:rsidRPr="00AE2F1B">
        <w:t xml:space="preserve"> Further information about the outbreak of infectious syphilis is available at: </w:t>
      </w:r>
      <w:hyperlink r:id="rId63" w:tooltip="http://www.health.gov.au/internet/main/publishing.nsf/Content/ohp-infectious-syphilis-outbreak.htm" w:history="1">
        <w:r w:rsidR="001047AB" w:rsidRPr="009928CF">
          <w:rPr>
            <w:rStyle w:val="Hyperlink"/>
          </w:rPr>
          <w:t>http://www.health.gov.au/internet/main/publishing.nsf/Content/ohp-infectious-syphilis-outbreak.htm</w:t>
        </w:r>
      </w:hyperlink>
      <w:r w:rsidRPr="00AE2F1B">
        <w:t xml:space="preserve"> </w:t>
      </w:r>
    </w:p>
    <w:p w14:paraId="57ADAEEF" w14:textId="77777777" w:rsidR="00BE61A2" w:rsidRPr="004E056D" w:rsidRDefault="00BE61A2" w:rsidP="004E056D">
      <w:pPr>
        <w:pStyle w:val="Heading2"/>
      </w:pPr>
      <w:bookmarkStart w:id="115" w:name="_Toc1747269"/>
      <w:r w:rsidRPr="004E056D">
        <w:rPr>
          <w:bCs w:val="0"/>
          <w:sz w:val="27"/>
          <w:szCs w:val="27"/>
        </w:rPr>
        <w:t>Syphilis of more than 2 years or unspecified duration</w:t>
      </w:r>
      <w:bookmarkEnd w:id="115"/>
    </w:p>
    <w:p w14:paraId="3D1CE3A9" w14:textId="77777777" w:rsidR="00BE61A2" w:rsidRPr="00EA42AB" w:rsidRDefault="00BE61A2" w:rsidP="00D762CF">
      <w:pPr>
        <w:pStyle w:val="ListParagraph"/>
        <w:numPr>
          <w:ilvl w:val="0"/>
          <w:numId w:val="2"/>
        </w:numPr>
        <w:rPr>
          <w:rFonts w:eastAsia="Times New Roman"/>
        </w:rPr>
      </w:pPr>
      <w:r w:rsidRPr="00EA42AB">
        <w:rPr>
          <w:rFonts w:eastAsia="Times New Roman"/>
        </w:rPr>
        <w:t xml:space="preserve">There were 1,939 cases of syphilis of more than 2 years or unknown duration notified in 2015. </w:t>
      </w:r>
    </w:p>
    <w:p w14:paraId="1856A642" w14:textId="77777777" w:rsidR="00EA42AB" w:rsidRPr="00EA42AB" w:rsidRDefault="00BE61A2" w:rsidP="00D762CF">
      <w:pPr>
        <w:pStyle w:val="ListParagraph"/>
        <w:numPr>
          <w:ilvl w:val="0"/>
          <w:numId w:val="2"/>
        </w:numPr>
        <w:rPr>
          <w:rFonts w:eastAsia="Times New Roman"/>
        </w:rPr>
      </w:pPr>
      <w:r w:rsidRPr="00EA42AB">
        <w:rPr>
          <w:rFonts w:eastAsia="Times New Roman"/>
        </w:rPr>
        <w:t xml:space="preserve">In 2015, males aged 20 years and older accounted for 72% of all notifications, indicating transmission through male-to-male sex. </w:t>
      </w:r>
    </w:p>
    <w:p w14:paraId="4F34FFFA" w14:textId="77777777" w:rsidR="00BE61A2" w:rsidRPr="00AE2F1B" w:rsidRDefault="00BE61A2" w:rsidP="001B0432">
      <w:pPr>
        <w:pStyle w:val="Heading3"/>
        <w:rPr>
          <w:rFonts w:eastAsia="Times New Roman"/>
        </w:rPr>
      </w:pPr>
      <w:bookmarkStart w:id="116" w:name="_Toc1747270"/>
      <w:r w:rsidRPr="00AE2F1B">
        <w:rPr>
          <w:rFonts w:eastAsia="Times New Roman"/>
        </w:rPr>
        <w:t>Epidemiological situation in 2015</w:t>
      </w:r>
      <w:bookmarkEnd w:id="116"/>
      <w:r w:rsidRPr="00AE2F1B">
        <w:rPr>
          <w:rFonts w:eastAsia="Times New Roman"/>
        </w:rPr>
        <w:t xml:space="preserve"> </w:t>
      </w:r>
    </w:p>
    <w:p w14:paraId="3F4CF708" w14:textId="77777777" w:rsidR="00BE61A2" w:rsidRPr="00AE2F1B" w:rsidRDefault="00BE61A2" w:rsidP="00AE2F1B">
      <w:r w:rsidRPr="00AE2F1B">
        <w:t>In 2015, 1,939 cases of syphilis of more than 2 years or unknown duration were reported to the NNDSS. Notification rates increased by 22% between 2010 (6.7 per 100,000) and 2015 (8.2 per 100,000</w:t>
      </w:r>
      <w:proofErr w:type="gramStart"/>
      <w:r w:rsidRPr="00AE2F1B">
        <w:t>), and</w:t>
      </w:r>
      <w:proofErr w:type="gramEnd"/>
      <w:r w:rsidRPr="00AE2F1B">
        <w:t xml:space="preserve"> increased by 2% between 2014 (8.0 per 100,000) and 2015 (Table 5). It is unknown whether this increase is due to increased testing in people or populations with no previous testing history or an actual increase in the number of people with non-infectious</w:t>
      </w:r>
      <w:r w:rsidR="006B24A9">
        <w:t> </w:t>
      </w:r>
      <w:r w:rsidRPr="00AE2F1B">
        <w:t xml:space="preserve">syphilis. </w:t>
      </w:r>
    </w:p>
    <w:p w14:paraId="06ADC640" w14:textId="77777777" w:rsidR="00DE364F" w:rsidRDefault="00DE364F">
      <w:pPr>
        <w:rPr>
          <w:rFonts w:asciiTheme="majorHAnsi" w:eastAsiaTheme="majorEastAsia" w:hAnsiTheme="majorHAnsi" w:cstheme="majorBidi"/>
          <w:b/>
        </w:rPr>
      </w:pPr>
      <w:bookmarkStart w:id="117" w:name="_Toc1747271"/>
      <w:r>
        <w:rPr>
          <w:bCs/>
        </w:rPr>
        <w:br w:type="page"/>
      </w:r>
    </w:p>
    <w:p w14:paraId="539B3EA5" w14:textId="77777777" w:rsidR="00BE61A2" w:rsidRPr="00AE2F1B" w:rsidRDefault="00BE61A2" w:rsidP="00924A50">
      <w:pPr>
        <w:pStyle w:val="Heading3"/>
      </w:pPr>
      <w:r w:rsidRPr="00924A50">
        <w:rPr>
          <w:bCs w:val="0"/>
        </w:rPr>
        <w:lastRenderedPageBreak/>
        <w:t>Geographical distribution</w:t>
      </w:r>
      <w:bookmarkEnd w:id="117"/>
    </w:p>
    <w:p w14:paraId="05BF1F07" w14:textId="77777777" w:rsidR="00BE61A2" w:rsidRPr="00AE2F1B" w:rsidRDefault="00BE61A2" w:rsidP="00AE2F1B">
      <w:r w:rsidRPr="00AE2F1B">
        <w:t>In 2015, notification rates for syphilis of more than 2 years or unknown duration were highest in the Northern Territory (31.1 per 100,000), followed by Victoria (12.3 per 100,000) (Table 5). Similar to infectious syphilis, this geographical distribution likely reflects the large proportions of at-risk individuals living in these jurisdictions (Indigenous people in the Northern Territory and MSM in Victoria).</w:t>
      </w:r>
      <w:r w:rsidRPr="00AE2F1B">
        <w:rPr>
          <w:vertAlign w:val="superscript"/>
        </w:rPr>
        <w:t>58, 59</w:t>
      </w:r>
      <w:r w:rsidRPr="00AE2F1B">
        <w:t xml:space="preserve"> </w:t>
      </w:r>
    </w:p>
    <w:p w14:paraId="10161647" w14:textId="77777777" w:rsidR="00BE61A2" w:rsidRPr="00AE2F1B" w:rsidRDefault="00BE61A2" w:rsidP="00924A50">
      <w:pPr>
        <w:pStyle w:val="Heading3"/>
      </w:pPr>
      <w:bookmarkStart w:id="118" w:name="_Toc1747272"/>
      <w:r w:rsidRPr="00924A50">
        <w:rPr>
          <w:bCs w:val="0"/>
        </w:rPr>
        <w:t>Age and sex distribution</w:t>
      </w:r>
      <w:bookmarkEnd w:id="118"/>
    </w:p>
    <w:p w14:paraId="3A616741" w14:textId="77777777" w:rsidR="007C1E23" w:rsidRPr="00DE364F" w:rsidRDefault="00BE61A2">
      <w:r w:rsidRPr="00AE2F1B">
        <w:t>Nationally, the notification rate for syphilis of more than 2 years or unknown duration was 11.9 per 100,000 in males and 4.4 per 100,000 in females in 2015, a male to female rate ratio of 2.7:1. Between 2014 and 2015, the notification rate in males decreased by 2% (12.2 to 11.9 per 100,000) but increased by 3% (4.2 to 4.4 per 100,000) in females. In 2015, approximately 72% (1,389/1,932) of all notifications for which sex was reported, occurred in males aged 20 years or over (Figure 47).</w:t>
      </w:r>
    </w:p>
    <w:p w14:paraId="45C2EAB3" w14:textId="77777777" w:rsidR="00B46BF3" w:rsidRDefault="00B46BF3" w:rsidP="00B46BF3">
      <w:pPr>
        <w:pStyle w:val="CDIFigures"/>
      </w:pPr>
      <w:r w:rsidRPr="00B46BF3">
        <w:t>Figure 47: Notification rate for syphilis of more than 2 years or unknown duration,</w:t>
      </w:r>
      <w:r w:rsidRPr="004D3DA3">
        <w:rPr>
          <w:rStyle w:val="A9"/>
          <w:rFonts w:asciiTheme="minorHAnsi" w:hAnsiTheme="minorHAnsi" w:cstheme="minorBidi"/>
          <w:b/>
          <w:bCs w:val="0"/>
          <w:color w:val="auto"/>
          <w:sz w:val="22"/>
          <w:szCs w:val="22"/>
          <w:vertAlign w:val="superscript"/>
        </w:rPr>
        <w:t>*</w:t>
      </w:r>
      <w:r w:rsidRPr="00B46BF3">
        <w:rPr>
          <w:rStyle w:val="A9"/>
          <w:rFonts w:asciiTheme="minorHAnsi" w:hAnsiTheme="minorHAnsi" w:cstheme="minorBidi"/>
          <w:b/>
          <w:bCs w:val="0"/>
          <w:color w:val="auto"/>
          <w:sz w:val="22"/>
          <w:szCs w:val="22"/>
        </w:rPr>
        <w:t xml:space="preserve"> </w:t>
      </w:r>
      <w:r w:rsidRPr="00B46BF3">
        <w:t>Australia, 2015, by age group and sex</w:t>
      </w:r>
    </w:p>
    <w:p w14:paraId="61B2B6CF" w14:textId="77777777" w:rsidR="007C1E23" w:rsidRDefault="0021477A" w:rsidP="00B46BF3">
      <w:pPr>
        <w:pStyle w:val="CDIFigures"/>
      </w:pPr>
      <w:r>
        <w:pict w14:anchorId="01C52B7C">
          <v:shape id="_x0000_i1069" type="#_x0000_t75" alt="This figure shows the notification rates of syphilis of more than two years or unknown duration in Australia in 2015, by age group and sex. Notification rates were higher in males than in females across all age groups. The male to female rate ratio in 2015 was 2.7:1. In males the highest notification rate was in the 35-39 age group and in females it was the 85 year and over age group." style="width:522.6pt;height:321.6pt;mso-position-vertical:absolute">
            <v:imagedata r:id="rId64" o:title="4-Sexual tranmissibale infections chapter_figures 32 to 49_Page_16"/>
          </v:shape>
        </w:pict>
      </w:r>
    </w:p>
    <w:p w14:paraId="201BFE9D" w14:textId="77777777" w:rsidR="005156EB" w:rsidRPr="005156EB" w:rsidRDefault="005156EB" w:rsidP="005156EB">
      <w:pPr>
        <w:pStyle w:val="CDIfootnotes"/>
      </w:pPr>
      <w:r>
        <w:t>*</w:t>
      </w:r>
      <w:r>
        <w:tab/>
      </w:r>
      <w:r w:rsidRPr="005156EB">
        <w:t>Excludes notifications where age and/or sex were not reported and notifications where the case was aged less than 13 years.</w:t>
      </w:r>
    </w:p>
    <w:p w14:paraId="6D039796" w14:textId="77777777" w:rsidR="00BE61A2" w:rsidRDefault="00BE61A2" w:rsidP="00AE2F1B">
      <w:r w:rsidRPr="00AE2F1B">
        <w:t xml:space="preserve">Notification rates in males for all age groups except the 15–19 years age group increased overall from 2010 to 2015 (Figure 48). This increase is particularly prominent from 2012 to 2015 in the 30–39 years age group. Notification rates in females for all age groups except the 15–19 years age group and the 30–39 years age group declined overall from 2010 to 2015 (Figure 48). Notification rates in males in the 15–19 years age group were lower than those of the other age groups and fluctuated across the time period. Notification rates in females in the 15–19 years age group were also lower than those of the other age groups with an increasing trend from 2012 to 2014 (Figure 48). </w:t>
      </w:r>
    </w:p>
    <w:p w14:paraId="3DDB4B6E" w14:textId="77777777" w:rsidR="00804920" w:rsidRDefault="00804920">
      <w:pPr>
        <w:rPr>
          <w:b/>
        </w:rPr>
      </w:pPr>
      <w:r>
        <w:br w:type="page"/>
      </w:r>
    </w:p>
    <w:p w14:paraId="20E99135" w14:textId="77777777" w:rsidR="00241FE7" w:rsidRDefault="00241FE7" w:rsidP="00241FE7">
      <w:pPr>
        <w:pStyle w:val="CDIFigures"/>
        <w:rPr>
          <w:rStyle w:val="A9"/>
          <w:rFonts w:asciiTheme="minorHAnsi" w:hAnsiTheme="minorHAnsi" w:cstheme="minorBidi"/>
          <w:b/>
          <w:bCs w:val="0"/>
          <w:color w:val="auto"/>
          <w:sz w:val="22"/>
          <w:szCs w:val="22"/>
          <w:vertAlign w:val="superscript"/>
        </w:rPr>
      </w:pPr>
      <w:r w:rsidRPr="00241FE7">
        <w:lastRenderedPageBreak/>
        <w:t>Figure 48: Notification rate for syphilis of more than 2 years or unknown duration, Australia,</w:t>
      </w:r>
      <w:r w:rsidRPr="00FD3421">
        <w:rPr>
          <w:rStyle w:val="A9"/>
          <w:rFonts w:asciiTheme="minorHAnsi" w:hAnsiTheme="minorHAnsi" w:cstheme="minorBidi"/>
          <w:b/>
          <w:bCs w:val="0"/>
          <w:color w:val="auto"/>
          <w:sz w:val="22"/>
          <w:szCs w:val="22"/>
          <w:vertAlign w:val="superscript"/>
        </w:rPr>
        <w:t>*</w:t>
      </w:r>
      <w:r w:rsidRPr="00241FE7">
        <w:rPr>
          <w:rStyle w:val="A9"/>
          <w:rFonts w:asciiTheme="minorHAnsi" w:hAnsiTheme="minorHAnsi" w:cstheme="minorBidi"/>
          <w:b/>
          <w:bCs w:val="0"/>
          <w:color w:val="auto"/>
          <w:sz w:val="22"/>
          <w:szCs w:val="22"/>
        </w:rPr>
        <w:t xml:space="preserve"> </w:t>
      </w:r>
      <w:r w:rsidRPr="00241FE7">
        <w:t xml:space="preserve">2010 to 2015, by year, </w:t>
      </w:r>
      <w:proofErr w:type="gramStart"/>
      <w:r w:rsidRPr="00241FE7">
        <w:t>sex</w:t>
      </w:r>
      <w:proofErr w:type="gramEnd"/>
      <w:r w:rsidRPr="00241FE7">
        <w:t xml:space="preserve"> and selected age groups</w:t>
      </w:r>
      <w:r w:rsidRPr="00FD3421">
        <w:rPr>
          <w:rStyle w:val="A9"/>
          <w:rFonts w:asciiTheme="minorHAnsi" w:hAnsiTheme="minorHAnsi" w:cstheme="minorBidi"/>
          <w:b/>
          <w:bCs w:val="0"/>
          <w:color w:val="auto"/>
          <w:sz w:val="22"/>
          <w:szCs w:val="22"/>
          <w:vertAlign w:val="superscript"/>
        </w:rPr>
        <w:t>†</w:t>
      </w:r>
    </w:p>
    <w:p w14:paraId="3B74545A" w14:textId="77777777" w:rsidR="00FD3421" w:rsidRDefault="0021477A" w:rsidP="00241FE7">
      <w:pPr>
        <w:pStyle w:val="CDIFigures"/>
        <w:rPr>
          <w:rStyle w:val="A9"/>
          <w:rFonts w:asciiTheme="minorHAnsi" w:hAnsiTheme="minorHAnsi" w:cstheme="minorBidi"/>
          <w:b/>
          <w:bCs w:val="0"/>
          <w:color w:val="auto"/>
          <w:sz w:val="22"/>
          <w:szCs w:val="22"/>
        </w:rPr>
      </w:pPr>
      <w:r>
        <w:rPr>
          <w:rStyle w:val="A9"/>
          <w:rFonts w:asciiTheme="minorHAnsi" w:hAnsiTheme="minorHAnsi" w:cstheme="minorBidi"/>
          <w:b/>
          <w:bCs w:val="0"/>
          <w:color w:val="auto"/>
          <w:sz w:val="22"/>
          <w:szCs w:val="22"/>
        </w:rPr>
        <w:pict w14:anchorId="0421D518">
          <v:shape id="_x0000_i1070" type="#_x0000_t75" alt="This figure shows the notification rates of syphilis of more than two years or unknown duration in persons 15 years and over from 2010 to 2015, by age group and sex and year." style="width:522.6pt;height:310.8pt;mso-position-vertical:absolute">
            <v:imagedata r:id="rId65" o:title="4-Sexual tranmissibale infections chapter_figures 32 to 49_Page_17"/>
          </v:shape>
        </w:pict>
      </w:r>
    </w:p>
    <w:p w14:paraId="78D4E013" w14:textId="77777777" w:rsidR="00241FE7" w:rsidRPr="00241FE7" w:rsidRDefault="00241FE7" w:rsidP="00241FE7">
      <w:pPr>
        <w:pStyle w:val="CDIfootnotes"/>
      </w:pPr>
      <w:r w:rsidRPr="00241FE7">
        <w:t>*</w:t>
      </w:r>
      <w:r>
        <w:tab/>
      </w:r>
      <w:r w:rsidRPr="00241FE7">
        <w:t xml:space="preserve">Data from all states and territories except South Australia in 2010–2011. </w:t>
      </w:r>
      <w:r>
        <w:br/>
        <w:t>†</w:t>
      </w:r>
      <w:r>
        <w:tab/>
      </w:r>
      <w:r w:rsidRPr="00241FE7">
        <w:t>Excludes notifications where age and/or sex were not reported and those aged less than 15 years (51 notifications).</w:t>
      </w:r>
    </w:p>
    <w:p w14:paraId="19A541E0" w14:textId="77777777" w:rsidR="00BE61A2" w:rsidRPr="004E056D" w:rsidRDefault="00BE61A2" w:rsidP="004E056D">
      <w:pPr>
        <w:pStyle w:val="Heading2"/>
      </w:pPr>
      <w:bookmarkStart w:id="119" w:name="_Toc1747273"/>
      <w:r w:rsidRPr="004E056D">
        <w:rPr>
          <w:bCs w:val="0"/>
          <w:sz w:val="27"/>
          <w:szCs w:val="27"/>
        </w:rPr>
        <w:t>Congenital syphilis</w:t>
      </w:r>
      <w:bookmarkEnd w:id="119"/>
    </w:p>
    <w:p w14:paraId="73DCE359" w14:textId="77777777" w:rsidR="00BE61A2" w:rsidRPr="00F53D11" w:rsidRDefault="00BE61A2" w:rsidP="00D762CF">
      <w:pPr>
        <w:pStyle w:val="ListParagraph"/>
        <w:numPr>
          <w:ilvl w:val="0"/>
          <w:numId w:val="2"/>
        </w:numPr>
        <w:rPr>
          <w:rFonts w:eastAsia="Times New Roman"/>
        </w:rPr>
      </w:pPr>
      <w:r w:rsidRPr="00F53D11">
        <w:rPr>
          <w:rFonts w:eastAsia="Times New Roman"/>
        </w:rPr>
        <w:t xml:space="preserve">In 2015, 3 cases of congenital syphilis were notified to the NNDSS. </w:t>
      </w:r>
    </w:p>
    <w:p w14:paraId="7C0AB747" w14:textId="77777777" w:rsidR="00F53D11" w:rsidRPr="00F53D11" w:rsidRDefault="00BE61A2" w:rsidP="00D762CF">
      <w:pPr>
        <w:pStyle w:val="ListParagraph"/>
        <w:numPr>
          <w:ilvl w:val="0"/>
          <w:numId w:val="2"/>
        </w:numPr>
        <w:rPr>
          <w:rFonts w:eastAsia="Times New Roman"/>
        </w:rPr>
      </w:pPr>
      <w:r w:rsidRPr="00F53D11">
        <w:rPr>
          <w:rFonts w:eastAsia="Times New Roman"/>
        </w:rPr>
        <w:t xml:space="preserve">Congenital syphilis remains rare in Australia. Congenital syphilis is caused by </w:t>
      </w:r>
      <w:proofErr w:type="spellStart"/>
      <w:r w:rsidRPr="00F53D11">
        <w:rPr>
          <w:rFonts w:eastAsia="Times New Roman"/>
        </w:rPr>
        <w:t>fetal</w:t>
      </w:r>
      <w:proofErr w:type="spellEnd"/>
      <w:r w:rsidRPr="00F53D11">
        <w:rPr>
          <w:rFonts w:eastAsia="Times New Roman"/>
        </w:rPr>
        <w:t xml:space="preserve"> infection with the bacterium </w:t>
      </w:r>
      <w:r w:rsidRPr="00F53D11">
        <w:rPr>
          <w:rStyle w:val="Emphasis"/>
          <w:rFonts w:eastAsia="Times New Roman"/>
          <w:b w:val="0"/>
        </w:rPr>
        <w:t>T. pallidum</w:t>
      </w:r>
      <w:r w:rsidR="00F53D11" w:rsidRPr="00F53D11">
        <w:rPr>
          <w:rFonts w:eastAsia="Times New Roman"/>
        </w:rPr>
        <w:t>.</w:t>
      </w:r>
    </w:p>
    <w:p w14:paraId="42261900" w14:textId="77777777" w:rsidR="00BE61A2" w:rsidRPr="00AE2F1B" w:rsidRDefault="00BE61A2" w:rsidP="00AE2F1B">
      <w:pPr>
        <w:rPr>
          <w:rFonts w:eastAsia="Times New Roman"/>
        </w:rPr>
      </w:pPr>
      <w:r w:rsidRPr="00AE2F1B">
        <w:rPr>
          <w:rFonts w:eastAsia="Times New Roman"/>
        </w:rPr>
        <w:t>Syphilis is acquired by infants either in utero or at birth from women with untreated early infection. Infection commonly results in abortion or stillbirth and may cause the death of a new-born infant. Congenital syphilis can be asymptomatic, especially in the first weeks of life.</w:t>
      </w:r>
      <w:r w:rsidRPr="00AE2F1B">
        <w:rPr>
          <w:rFonts w:eastAsia="Times New Roman"/>
          <w:vertAlign w:val="superscript"/>
        </w:rPr>
        <w:t>21</w:t>
      </w:r>
      <w:r w:rsidRPr="00AE2F1B">
        <w:rPr>
          <w:rFonts w:eastAsia="Times New Roman"/>
        </w:rPr>
        <w:t xml:space="preserve"> </w:t>
      </w:r>
    </w:p>
    <w:p w14:paraId="4A99F8BB" w14:textId="77777777" w:rsidR="00BE61A2" w:rsidRPr="00AE2F1B" w:rsidRDefault="00BE61A2" w:rsidP="00924A50">
      <w:pPr>
        <w:pStyle w:val="Heading3"/>
        <w:rPr>
          <w:rFonts w:eastAsiaTheme="minorEastAsia"/>
        </w:rPr>
      </w:pPr>
      <w:bookmarkStart w:id="120" w:name="_Toc1747274"/>
      <w:r w:rsidRPr="00924A50">
        <w:rPr>
          <w:bCs w:val="0"/>
        </w:rPr>
        <w:t>Epidemiological situation in 2015</w:t>
      </w:r>
      <w:bookmarkEnd w:id="120"/>
    </w:p>
    <w:p w14:paraId="0FE7EEB6" w14:textId="77777777" w:rsidR="00BE61A2" w:rsidRDefault="00BE61A2" w:rsidP="00AE2F1B">
      <w:r w:rsidRPr="00AE2F1B">
        <w:t xml:space="preserve">Three notifications of congenital syphilis were reported in 2015: 2 cases were reported in Indigenous people and were associated with the infectious syphilis outbreak in northern Australia, </w:t>
      </w:r>
      <w:proofErr w:type="gramStart"/>
      <w:r w:rsidRPr="00AE2F1B">
        <w:t>and;</w:t>
      </w:r>
      <w:proofErr w:type="gramEnd"/>
      <w:r w:rsidRPr="00AE2F1B">
        <w:t xml:space="preserve"> 1 case was reported in a non-Indigenous person. Eight of the 20 congenital syphilis cases reported since 1 January 2011 were associated with the infectious syphilis outbreak in northern Australia. This reflects the increased risk to neonates and mothers that outbreak situations pose.</w:t>
      </w:r>
      <w:r w:rsidRPr="00AE2F1B">
        <w:rPr>
          <w:vertAlign w:val="superscript"/>
        </w:rPr>
        <w:t>15,16</w:t>
      </w:r>
      <w:r w:rsidRPr="00AE2F1B">
        <w:t xml:space="preserve"> Despite recent increases, the overall case numbers remain low (Figure 49). Routine antenatal screening for syphilis with follow-up and adequate treatment is considered to be a contributor to historical declines and sustained low case numbers.</w:t>
      </w:r>
      <w:r w:rsidRPr="00AE2F1B">
        <w:rPr>
          <w:vertAlign w:val="superscript"/>
        </w:rPr>
        <w:t>61</w:t>
      </w:r>
      <w:r w:rsidR="00056420" w:rsidRPr="00AE2F1B">
        <w:rPr>
          <w:vertAlign w:val="superscript"/>
        </w:rPr>
        <w:t> </w:t>
      </w:r>
      <w:r w:rsidR="00056420" w:rsidRPr="00AE2F1B">
        <w:t>Congenital</w:t>
      </w:r>
      <w:r w:rsidRPr="00AE2F1B">
        <w:t xml:space="preserve"> syphilis, particularly in Indigenous people, is targeted for elimination. This target is stated in the 4th National Aboriginal and Torres Strait Islander Blood-borne Viruses and Sexually Transmissible Infections Strategy and the third National Sexually Transmissible Infections Strategy, both for 2014–2017.</w:t>
      </w:r>
      <w:r w:rsidRPr="00AE2F1B">
        <w:rPr>
          <w:vertAlign w:val="superscript"/>
        </w:rPr>
        <w:t>62,63</w:t>
      </w:r>
    </w:p>
    <w:p w14:paraId="4FBD6840" w14:textId="77777777" w:rsidR="00C85742" w:rsidRDefault="00C85742" w:rsidP="00C85742">
      <w:pPr>
        <w:pStyle w:val="CDIFigures"/>
      </w:pPr>
      <w:r w:rsidRPr="00C85742">
        <w:lastRenderedPageBreak/>
        <w:t>Figure 49: Notifications of congenital syphilis, Australia, 2005 to 2015</w:t>
      </w:r>
    </w:p>
    <w:p w14:paraId="30553891" w14:textId="77777777" w:rsidR="00364734" w:rsidRPr="00C85742" w:rsidRDefault="0021477A" w:rsidP="00C85742">
      <w:pPr>
        <w:pStyle w:val="CDIFigures"/>
      </w:pPr>
      <w:r>
        <w:pict w14:anchorId="20F8B12C">
          <v:shape id="_x0000_i1071" type="#_x0000_t75" alt="This figure shows the declining trend in the number of notifications of congenital syphilis in Australia from 2005 to 2015. There were three notifications of congenital syphilis in 2015 compared to 16 notifications in 2005." style="width:522.6pt;height:330.6pt">
            <v:imagedata r:id="rId66" o:title="4-Sexual tranmissibale infections chapter_figures 32 to 49_Page_18"/>
          </v:shape>
        </w:pict>
      </w:r>
    </w:p>
    <w:p w14:paraId="5067D9EF" w14:textId="77777777" w:rsidR="00BE61A2" w:rsidRPr="00095AA3" w:rsidRDefault="00BE61A2" w:rsidP="00095AA3">
      <w:pPr>
        <w:pStyle w:val="Heading1"/>
      </w:pPr>
      <w:bookmarkStart w:id="121" w:name="_Toc1747275"/>
      <w:r w:rsidRPr="00095AA3">
        <w:rPr>
          <w:rStyle w:val="Heading1Char"/>
          <w:b/>
          <w:bCs/>
        </w:rPr>
        <w:t>Vaccine Preventable Diseases</w:t>
      </w:r>
      <w:bookmarkEnd w:id="121"/>
    </w:p>
    <w:p w14:paraId="3B2075B3" w14:textId="77777777" w:rsidR="00BE61A2" w:rsidRPr="00AE2F1B" w:rsidRDefault="00BE61A2" w:rsidP="00AE2F1B">
      <w:r w:rsidRPr="00AE2F1B">
        <w:t xml:space="preserve">This section summarises the national surveillance data for notifiable diseases targeted by the National Immunisation Program (NIP) in 2015. These include diphtheria, invasive </w:t>
      </w:r>
      <w:r w:rsidRPr="00DF12AB">
        <w:rPr>
          <w:rStyle w:val="Emphasis"/>
          <w:b w:val="0"/>
        </w:rPr>
        <w:t>Haemophilus influenzae</w:t>
      </w:r>
      <w:r w:rsidRPr="00AE2F1B">
        <w:t xml:space="preserve"> type b infection, laboratory confirmed influenza, measles, mumps, pertussis, invasive pneumococcal disease, poliomyelitis, rubella, congenital rubella, </w:t>
      </w:r>
      <w:proofErr w:type="gramStart"/>
      <w:r w:rsidRPr="00AE2F1B">
        <w:t>tetanus</w:t>
      </w:r>
      <w:proofErr w:type="gramEnd"/>
      <w:r w:rsidRPr="00AE2F1B">
        <w:t xml:space="preserve"> and varicella zoster infections (unspecified, chickenpox and shingles). Data on hepatitis B and invasive meningococcal disease, which are also targeted by the NIP, can be found in this report under ‘Bloodborne diseases’ and ‘Other bacterial infections’ respectively. Other vaccine preventable diseases (VPDs) presented in this report include hepatitis A and Q fever, which can be found in the ‘Gastrointestinal’ and ‘Zoonoses’ sections respectively. For more detailed reports on historical data including notifications, hospitalisations and deaths, readers are referred to the journal supplements ‘Vaccine Preventable Diseases in Australia’ and the ‘Australian Vaccine Preventable Diseases Epidemiological Review Series’ for additional analysis of individual diseases, which are published in CDI.</w:t>
      </w:r>
    </w:p>
    <w:p w14:paraId="67501FA1" w14:textId="77777777" w:rsidR="00BE61A2" w:rsidRPr="00AE2F1B" w:rsidRDefault="00BE61A2" w:rsidP="00AE2F1B">
      <w:r w:rsidRPr="00AE2F1B">
        <w:t xml:space="preserve">In 2015, there were 147,569 VPD notifications reported to the NNDSS, representing 46% of all disease notifications and a 46% increase compared with 2014 (n=101,337). Influenza was the most commonly notified VPD, with 100,583 cases (68%) of total VPD notifications, followed by pertussis (15%, n=22,546). The number of notifications and notification rates for VPDs in Australia are shown in Table 4, Table </w:t>
      </w:r>
      <w:proofErr w:type="gramStart"/>
      <w:r w:rsidRPr="00AE2F1B">
        <w:t>5</w:t>
      </w:r>
      <w:proofErr w:type="gramEnd"/>
      <w:r w:rsidRPr="00AE2F1B">
        <w:t xml:space="preserve"> and Table 6. </w:t>
      </w:r>
    </w:p>
    <w:p w14:paraId="07DA47E5" w14:textId="77777777" w:rsidR="00BE61A2" w:rsidRPr="00AE2F1B" w:rsidRDefault="00BE61A2" w:rsidP="00AE2F1B">
      <w:r w:rsidRPr="00AE2F1B">
        <w:t xml:space="preserve">Immunisation coverage is an important factor influencing the incidence of VPDs. Since the commencement of the Australian Childhood Immunisation Register in 1996, immunisation coverage of children has been high by international standards, although geographical pockets of lower coverage in which there is an increased potential for </w:t>
      </w:r>
      <w:r w:rsidRPr="00AE2F1B">
        <w:lastRenderedPageBreak/>
        <w:t>VPD cases still remain. As no vaccine is 100% effective, infections with these diseases sometimes do occur in fully vaccinated people. However, evidence shows vaccines do provide a substantially lower chance of developing infection or can reduce the severity of disease.</w:t>
      </w:r>
      <w:r w:rsidRPr="00AE2F1B">
        <w:rPr>
          <w:vertAlign w:val="superscript"/>
        </w:rPr>
        <w:t>64,65,66,67,</w:t>
      </w:r>
      <w:proofErr w:type="gramStart"/>
      <w:r w:rsidRPr="00AE2F1B">
        <w:rPr>
          <w:vertAlign w:val="superscript"/>
        </w:rPr>
        <w:t>68</w:t>
      </w:r>
      <w:proofErr w:type="gramEnd"/>
      <w:r w:rsidRPr="00AE2F1B">
        <w:t xml:space="preserve"> </w:t>
      </w:r>
    </w:p>
    <w:p w14:paraId="5C04DEF3" w14:textId="77777777" w:rsidR="00BE61A2" w:rsidRPr="00AE2F1B" w:rsidRDefault="00BE61A2" w:rsidP="00AE2F1B">
      <w:r w:rsidRPr="00AE2F1B">
        <w:t xml:space="preserve">Information on a case’s immunisation history was previously recorded in the NNDSS using the ‘immunisation status’ field (fully or partially vaccinated for age, or unvaccinated), plus fields capturing the number of doses, the last immunisation date and how the immunisation information was validated. In January 2008, new more detailed fields were incorporated for recording ‘vaccine type’ and ‘immunisation date’ for each dose of vaccine given. The new fields were intended to replace the old fields, with a transition period allowing either field to be utilised. In this report the immunisation status of a case is interpreted according to the data provided by the states and territories from 2 different formats. A case is described as fully vaccinated if the person has received all doses of the relevant vaccine according to the most recent edition of </w:t>
      </w:r>
      <w:r w:rsidRPr="00DF12AB">
        <w:rPr>
          <w:rStyle w:val="Emphasis"/>
          <w:b w:val="0"/>
        </w:rPr>
        <w:t>The Australian Immunisation Handbook</w:t>
      </w:r>
      <w:r w:rsidRPr="00AE2F1B">
        <w:t xml:space="preserve"> and at least 14 days prior to disease </w:t>
      </w:r>
      <w:r w:rsidR="006577BD" w:rsidRPr="00AE2F1B">
        <w:t xml:space="preserve">onset. </w:t>
      </w:r>
    </w:p>
    <w:p w14:paraId="41EA0A69" w14:textId="77777777" w:rsidR="00BE61A2" w:rsidRPr="004E056D" w:rsidRDefault="00BE61A2" w:rsidP="004E056D">
      <w:pPr>
        <w:pStyle w:val="Heading2"/>
      </w:pPr>
      <w:bookmarkStart w:id="122" w:name="_Toc1747276"/>
      <w:r w:rsidRPr="004E056D">
        <w:rPr>
          <w:bCs w:val="0"/>
          <w:sz w:val="27"/>
          <w:szCs w:val="27"/>
        </w:rPr>
        <w:t>Diphtheria</w:t>
      </w:r>
      <w:bookmarkEnd w:id="122"/>
      <w:r w:rsidRPr="004E056D">
        <w:rPr>
          <w:bCs w:val="0"/>
          <w:sz w:val="27"/>
          <w:szCs w:val="27"/>
        </w:rPr>
        <w:t xml:space="preserve"> </w:t>
      </w:r>
    </w:p>
    <w:p w14:paraId="4A9E3AD5" w14:textId="77777777" w:rsidR="00BE61A2" w:rsidRPr="00056420" w:rsidRDefault="00BE61A2" w:rsidP="00D762CF">
      <w:pPr>
        <w:pStyle w:val="ListParagraph"/>
        <w:numPr>
          <w:ilvl w:val="0"/>
          <w:numId w:val="2"/>
        </w:numPr>
        <w:rPr>
          <w:rFonts w:eastAsia="Times New Roman"/>
        </w:rPr>
      </w:pPr>
      <w:r w:rsidRPr="00056420">
        <w:rPr>
          <w:rFonts w:eastAsia="Times New Roman"/>
        </w:rPr>
        <w:t xml:space="preserve">There were 2 cases of diphtheria notified in 2015, of which 1 was acquired in Australia and the other in the Solomon Islands. </w:t>
      </w:r>
    </w:p>
    <w:p w14:paraId="3343CB4E" w14:textId="77777777" w:rsidR="00BE61A2" w:rsidRPr="00056420" w:rsidRDefault="00BE61A2" w:rsidP="00D762CF">
      <w:pPr>
        <w:pStyle w:val="ListParagraph"/>
        <w:numPr>
          <w:ilvl w:val="0"/>
          <w:numId w:val="2"/>
        </w:numPr>
        <w:rPr>
          <w:rFonts w:eastAsia="Times New Roman"/>
        </w:rPr>
      </w:pPr>
      <w:r w:rsidRPr="00056420">
        <w:rPr>
          <w:rFonts w:eastAsia="Times New Roman"/>
        </w:rPr>
        <w:t xml:space="preserve">Diphtheria is rare in Australia. </w:t>
      </w:r>
    </w:p>
    <w:p w14:paraId="4ADB4594" w14:textId="77777777" w:rsidR="00BE61A2" w:rsidRPr="00056420" w:rsidRDefault="00BE61A2" w:rsidP="00D762CF">
      <w:pPr>
        <w:pStyle w:val="ListParagraph"/>
        <w:numPr>
          <w:ilvl w:val="0"/>
          <w:numId w:val="2"/>
        </w:numPr>
        <w:rPr>
          <w:rFonts w:eastAsia="Times New Roman"/>
        </w:rPr>
      </w:pPr>
      <w:r w:rsidRPr="00056420">
        <w:rPr>
          <w:rFonts w:eastAsia="Times New Roman"/>
        </w:rPr>
        <w:t xml:space="preserve">Immunisation against diphtheria provides prolonged but not lifelong protection against infection. </w:t>
      </w:r>
    </w:p>
    <w:p w14:paraId="59091B3A" w14:textId="77777777" w:rsidR="00BE61A2" w:rsidRPr="00AE2F1B" w:rsidRDefault="00BE61A2" w:rsidP="00AE2F1B">
      <w:r w:rsidRPr="00AE2F1B">
        <w:t xml:space="preserve">Diphtheria is an acute pharyngeal or cutaneous infection caused mainly by toxigenic strains of </w:t>
      </w:r>
      <w:r w:rsidRPr="00DF12AB">
        <w:rPr>
          <w:rStyle w:val="Emphasis"/>
          <w:b w:val="0"/>
        </w:rPr>
        <w:t xml:space="preserve">Corynebacterium </w:t>
      </w:r>
      <w:r w:rsidR="0089197D" w:rsidRPr="00DF12AB">
        <w:rPr>
          <w:rStyle w:val="Emphasis"/>
          <w:b w:val="0"/>
        </w:rPr>
        <w:t>diphtheriae</w:t>
      </w:r>
      <w:r w:rsidR="0089197D" w:rsidRPr="00AE2F1B">
        <w:t xml:space="preserve">. </w:t>
      </w:r>
      <w:r w:rsidRPr="00AE2F1B">
        <w:t xml:space="preserve">The exotoxin acts locally on the mucous membranes of the respiratory tract, and on damaged skin, although this is not as common. Disease is mainly due to local membranous inflammation, which for pharyngeal diphtheria can cause airway obstruction. Occasionally systemic infections occur and cause damage to the myocardium, nervous </w:t>
      </w:r>
      <w:proofErr w:type="gramStart"/>
      <w:r w:rsidRPr="00AE2F1B">
        <w:t>system</w:t>
      </w:r>
      <w:proofErr w:type="gramEnd"/>
      <w:r w:rsidRPr="00AE2F1B">
        <w:t xml:space="preserve"> and kidneys. Diphtheria is spread by respiratory droplets or direct contact with nasopharyngeal secretions or skin lesions. While there are non-toxigenic strains of </w:t>
      </w:r>
      <w:r w:rsidRPr="00DF12AB">
        <w:rPr>
          <w:rStyle w:val="Emphasis"/>
          <w:b w:val="0"/>
        </w:rPr>
        <w:t>C.</w:t>
      </w:r>
      <w:r w:rsidRPr="00AE2F1B">
        <w:t xml:space="preserve"> </w:t>
      </w:r>
      <w:r w:rsidR="0089197D" w:rsidRPr="00DF12AB">
        <w:rPr>
          <w:rStyle w:val="Emphasis"/>
          <w:b w:val="0"/>
        </w:rPr>
        <w:t>diphtheriae</w:t>
      </w:r>
      <w:r w:rsidR="0089197D" w:rsidRPr="00AE2F1B">
        <w:t>,</w:t>
      </w:r>
      <w:r w:rsidRPr="00AE2F1B">
        <w:t xml:space="preserve"> they usually only cause mild throat or skin infection and are not nationally notifiable.</w:t>
      </w:r>
      <w:r w:rsidRPr="00AE2F1B">
        <w:rPr>
          <w:vertAlign w:val="superscript"/>
        </w:rPr>
        <w:t>21</w:t>
      </w:r>
      <w:r w:rsidRPr="00AE2F1B">
        <w:t xml:space="preserve"> </w:t>
      </w:r>
    </w:p>
    <w:p w14:paraId="4D665F74" w14:textId="77777777" w:rsidR="00BE61A2" w:rsidRPr="00AE2F1B" w:rsidRDefault="00BE61A2" w:rsidP="00924A50">
      <w:pPr>
        <w:pStyle w:val="Heading3"/>
      </w:pPr>
      <w:bookmarkStart w:id="123" w:name="_Toc1747277"/>
      <w:r w:rsidRPr="00924A50">
        <w:rPr>
          <w:bCs w:val="0"/>
        </w:rPr>
        <w:t>Epidemiological situation in 2015</w:t>
      </w:r>
      <w:bookmarkEnd w:id="123"/>
    </w:p>
    <w:p w14:paraId="6B68C7BE" w14:textId="77777777" w:rsidR="00BE61A2" w:rsidRPr="00AE2F1B" w:rsidRDefault="00BE61A2" w:rsidP="00AE2F1B">
      <w:r w:rsidRPr="00AE2F1B">
        <w:t xml:space="preserve">In 2015, there were 2 notifications of diphtheria reported. Both cases were reported in Queensland 1 case was a cutaneous infection from </w:t>
      </w:r>
      <w:r w:rsidRPr="00DF12AB">
        <w:rPr>
          <w:rStyle w:val="Emphasis"/>
          <w:b w:val="0"/>
        </w:rPr>
        <w:t xml:space="preserve">C. </w:t>
      </w:r>
      <w:r w:rsidR="0089197D" w:rsidRPr="00DF12AB">
        <w:rPr>
          <w:rStyle w:val="Emphasis"/>
          <w:b w:val="0"/>
        </w:rPr>
        <w:t>diphtheria</w:t>
      </w:r>
      <w:r w:rsidR="0089197D" w:rsidRPr="00AE2F1B">
        <w:t>,</w:t>
      </w:r>
      <w:r w:rsidRPr="00AE2F1B">
        <w:t xml:space="preserve"> partially vaccinated and imported from the Solomon Islands; and the other was a pharyngeal infection from </w:t>
      </w:r>
      <w:r w:rsidRPr="00DF12AB">
        <w:rPr>
          <w:rStyle w:val="Emphasis"/>
          <w:b w:val="0"/>
        </w:rPr>
        <w:t xml:space="preserve">C. </w:t>
      </w:r>
      <w:proofErr w:type="spellStart"/>
      <w:r w:rsidR="0089197D" w:rsidRPr="00DF12AB">
        <w:rPr>
          <w:rStyle w:val="Emphasis"/>
          <w:b w:val="0"/>
        </w:rPr>
        <w:t>ulcerans</w:t>
      </w:r>
      <w:proofErr w:type="spellEnd"/>
      <w:r w:rsidR="0089197D" w:rsidRPr="00AE2F1B">
        <w:t>,</w:t>
      </w:r>
      <w:r w:rsidRPr="00AE2F1B">
        <w:t xml:space="preserve"> of unknown immunisation status and locally acquired in Australia.</w:t>
      </w:r>
    </w:p>
    <w:p w14:paraId="2DC3C5BA" w14:textId="77777777" w:rsidR="00BE61A2" w:rsidRDefault="00BE61A2" w:rsidP="00AE2F1B">
      <w:r w:rsidRPr="00AE2F1B">
        <w:t>Diphtheria is rare in Australia, with most cases associated with sporadic importations from countries in which the disease remains endemic. From 2001 to 2014, there were 10 cases of diphtheria reported to the NNDSS, including one case in 2001, a cluster of 3 cases and a sporadic case in 2011, 3 cases in 2013 and 2 cases in 2014. Of these, 7 were imported, 2 were linked to an imported case and the place of a</w:t>
      </w:r>
      <w:r w:rsidR="008158EC">
        <w:t>cquisition for one was unknown.</w:t>
      </w:r>
    </w:p>
    <w:p w14:paraId="4A85343B" w14:textId="77777777" w:rsidR="008158EC" w:rsidRPr="008158EC" w:rsidRDefault="006577BD" w:rsidP="008158EC">
      <w:pPr>
        <w:pStyle w:val="CDIfootnotes"/>
      </w:pPr>
      <w:r>
        <w:t>ii</w:t>
      </w:r>
      <w:r w:rsidR="008158EC">
        <w:tab/>
      </w:r>
      <w:r w:rsidR="008158EC" w:rsidRPr="008158EC">
        <w:t>This number may underrepresent the number of diphtheria cases in Australia due to a change in the national case definition for this disease. In mid-2013, the national case definition for diphtheria was revised, requiring clinical and laboratory evidence for confirmed cases. This change may have inadvertently excluded the notification of some cases of cutaneous toxigenic diphtheria, as cutaneous presentations were not listed as clinical evidence in the revised definition.</w:t>
      </w:r>
    </w:p>
    <w:p w14:paraId="73319618" w14:textId="77777777" w:rsidR="00BE61A2" w:rsidRPr="004E056D" w:rsidRDefault="00BE61A2" w:rsidP="004E056D">
      <w:pPr>
        <w:pStyle w:val="Heading2"/>
      </w:pPr>
      <w:bookmarkStart w:id="124" w:name="_Toc1747278"/>
      <w:r w:rsidRPr="004E056D">
        <w:rPr>
          <w:bCs w:val="0"/>
          <w:sz w:val="27"/>
          <w:szCs w:val="27"/>
        </w:rPr>
        <w:t>Haemophilus influenzae type b (invasive)</w:t>
      </w:r>
      <w:bookmarkEnd w:id="124"/>
    </w:p>
    <w:p w14:paraId="50580EAE" w14:textId="77777777" w:rsidR="00BE61A2" w:rsidRPr="0089197D" w:rsidRDefault="00BE61A2" w:rsidP="00D762CF">
      <w:pPr>
        <w:pStyle w:val="ListParagraph"/>
        <w:numPr>
          <w:ilvl w:val="0"/>
          <w:numId w:val="2"/>
        </w:numPr>
        <w:rPr>
          <w:rFonts w:eastAsia="Times New Roman"/>
        </w:rPr>
      </w:pPr>
      <w:r w:rsidRPr="0089197D">
        <w:rPr>
          <w:rFonts w:eastAsia="Times New Roman"/>
        </w:rPr>
        <w:t xml:space="preserve">There were 16 cases of invasive </w:t>
      </w:r>
      <w:r w:rsidRPr="0089197D">
        <w:rPr>
          <w:rStyle w:val="Emphasis"/>
          <w:rFonts w:eastAsia="Times New Roman"/>
          <w:b w:val="0"/>
        </w:rPr>
        <w:t>Haemophilus influenzae</w:t>
      </w:r>
      <w:r w:rsidRPr="0089197D">
        <w:rPr>
          <w:rFonts w:eastAsia="Times New Roman"/>
        </w:rPr>
        <w:t xml:space="preserve"> type b (Hib) reported in 2015. </w:t>
      </w:r>
    </w:p>
    <w:p w14:paraId="5D37FBB5" w14:textId="77777777" w:rsidR="0089197D" w:rsidRPr="0089197D" w:rsidRDefault="00BE61A2" w:rsidP="00D762CF">
      <w:pPr>
        <w:pStyle w:val="ListParagraph"/>
        <w:numPr>
          <w:ilvl w:val="0"/>
          <w:numId w:val="2"/>
        </w:numPr>
        <w:rPr>
          <w:rFonts w:eastAsia="Times New Roman"/>
        </w:rPr>
      </w:pPr>
      <w:r w:rsidRPr="0089197D">
        <w:rPr>
          <w:rFonts w:eastAsia="Times New Roman"/>
        </w:rPr>
        <w:t>Of the cases reported, 63% were male and 8 were under the age of 15 years (50%).</w:t>
      </w:r>
    </w:p>
    <w:p w14:paraId="47C02811" w14:textId="77777777" w:rsidR="00BE61A2" w:rsidRPr="00AE2F1B" w:rsidRDefault="00BE61A2" w:rsidP="00AE2F1B">
      <w:pPr>
        <w:rPr>
          <w:rFonts w:eastAsia="Times New Roman"/>
        </w:rPr>
      </w:pPr>
      <w:r w:rsidRPr="00AE2F1B">
        <w:rPr>
          <w:rFonts w:eastAsia="Times New Roman"/>
        </w:rPr>
        <w:t xml:space="preserve"> </w:t>
      </w:r>
      <w:r w:rsidRPr="00DF12AB">
        <w:rPr>
          <w:rStyle w:val="Emphasis"/>
          <w:rFonts w:eastAsia="Times New Roman"/>
          <w:b w:val="0"/>
        </w:rPr>
        <w:t>Haemophilus influenza</w:t>
      </w:r>
      <w:r w:rsidRPr="00AE2F1B">
        <w:rPr>
          <w:rFonts w:eastAsia="Times New Roman"/>
        </w:rPr>
        <w:t xml:space="preserve"> type b (Hib) is a gram negative bacterium that causes disease, with symptoms dependent on which part of the body is affected. Clinical categories of invasive disease caused by Hib include septicaemia </w:t>
      </w:r>
      <w:r w:rsidRPr="00AE2F1B">
        <w:rPr>
          <w:rFonts w:eastAsia="Times New Roman"/>
        </w:rPr>
        <w:lastRenderedPageBreak/>
        <w:t>(infection of the blood stream), meningitis (infection of the membranes around the brain and spinal cord), epiglottitis (severe swelling of the epiglottis at the back of the throat) and a range of other infections. Hib is mostly carried as a commensal organism (present without causing symptoms) in the nasopharynx of healthy individuals and is spread by respiratory secretions, including aerosol transmission or contact with articles soiled with discharges from the nose or throat.</w:t>
      </w:r>
      <w:r w:rsidRPr="00AE2F1B">
        <w:rPr>
          <w:rFonts w:eastAsia="Times New Roman"/>
          <w:vertAlign w:val="superscript"/>
        </w:rPr>
        <w:t>69</w:t>
      </w:r>
      <w:r w:rsidRPr="00AE2F1B">
        <w:rPr>
          <w:rFonts w:eastAsia="Times New Roman"/>
        </w:rPr>
        <w:t xml:space="preserve"> The case fatality rate of Hib meningitis is at least 3% in developed countries, even with treatment. Approximately 15% to 30% of survivors have permanent neurological sequelae.</w:t>
      </w:r>
      <w:r w:rsidRPr="00AE2F1B">
        <w:rPr>
          <w:rFonts w:eastAsia="Times New Roman"/>
          <w:vertAlign w:val="superscript"/>
        </w:rPr>
        <w:t>70</w:t>
      </w:r>
      <w:r w:rsidRPr="00AE2F1B">
        <w:rPr>
          <w:rFonts w:eastAsia="Times New Roman"/>
        </w:rPr>
        <w:t xml:space="preserve"> </w:t>
      </w:r>
    </w:p>
    <w:p w14:paraId="31CE01CC" w14:textId="77777777" w:rsidR="00BE61A2" w:rsidRPr="00AE2F1B" w:rsidRDefault="00BE61A2" w:rsidP="00924A50">
      <w:pPr>
        <w:pStyle w:val="Heading3"/>
        <w:rPr>
          <w:rFonts w:eastAsiaTheme="minorEastAsia"/>
        </w:rPr>
      </w:pPr>
      <w:bookmarkStart w:id="125" w:name="_Toc1747279"/>
      <w:r w:rsidRPr="00924A50">
        <w:rPr>
          <w:bCs w:val="0"/>
        </w:rPr>
        <w:t>Epidemiological situation in 2015</w:t>
      </w:r>
      <w:bookmarkEnd w:id="125"/>
    </w:p>
    <w:p w14:paraId="4727BEFC" w14:textId="77777777" w:rsidR="00BE61A2" w:rsidRDefault="00BE61A2" w:rsidP="00AE2F1B">
      <w:r w:rsidRPr="00AE2F1B">
        <w:t>In 2015, there were 16 notifications of invasive Hib infection in Australia. This was a 23% decrease in the number of cases notified compared with 2014 (n=21</w:t>
      </w:r>
      <w:proofErr w:type="gramStart"/>
      <w:r w:rsidRPr="00AE2F1B">
        <w:t>), and</w:t>
      </w:r>
      <w:proofErr w:type="gramEnd"/>
      <w:r w:rsidRPr="00AE2F1B">
        <w:t xml:space="preserve"> represented a ratio of 0.9 compared with the mean of the previous 5 years. The notification rate in 2015 was 0.1 per 100,000, consistent with the very low rates seen since the introduction of the vaccine on the NIP in July 1993 (Figure 50). Cases occurred in 5 states or territories, with 5 cases each reported in Queensland and New South Wales, and 2 cases each in Victoria, the Northern Territory and Western Australia. Notification rates between states and territories ranged from 0.03 per 100,000 in Victoria to 0.8 per 100,000 in the Northern Territory. There were no Hib asso</w:t>
      </w:r>
      <w:r w:rsidR="00F211EA">
        <w:t>ciated deaths reported in 2015.</w:t>
      </w:r>
    </w:p>
    <w:p w14:paraId="5AD69526" w14:textId="77777777" w:rsidR="00F211EA" w:rsidRDefault="00F211EA" w:rsidP="00F211EA">
      <w:pPr>
        <w:pStyle w:val="CDIFigures"/>
      </w:pPr>
      <w:r w:rsidRPr="00F211EA">
        <w:t>Figure 50: Notifications and notification rate for invasive Haemophilus influenzae type b, Australia, 1994 to 2015, by year</w:t>
      </w:r>
    </w:p>
    <w:p w14:paraId="7524B735" w14:textId="77777777" w:rsidR="006748D4" w:rsidRPr="00F211EA" w:rsidRDefault="0021477A" w:rsidP="00F211EA">
      <w:pPr>
        <w:pStyle w:val="CDIFigures"/>
      </w:pPr>
      <w:r>
        <w:pict w14:anchorId="7FB198F9">
          <v:shape id="_x0000_i1072" type="#_x0000_t75" alt="This figure shows the notifications and notification rate of invasive Haemophilus influenza type b infection in Australia by year from 1994 to 2015. This figure demonstrates the significant reduction in the rates of infection in Australia from 1994 to 2015, following the introduction of the fully funded vaccine in 1993." style="width:522.6pt;height:323.4pt">
            <v:imagedata r:id="rId67" o:title="5-VPD chapter Figures_50 to 85 for CDI _Page_01"/>
          </v:shape>
        </w:pict>
      </w:r>
    </w:p>
    <w:p w14:paraId="1C955561" w14:textId="77777777" w:rsidR="00BE61A2" w:rsidRPr="00AE2F1B" w:rsidRDefault="00BE61A2" w:rsidP="00924A50">
      <w:pPr>
        <w:pStyle w:val="Heading3"/>
      </w:pPr>
      <w:bookmarkStart w:id="126" w:name="_Toc1747280"/>
      <w:r w:rsidRPr="00924A50">
        <w:rPr>
          <w:bCs w:val="0"/>
        </w:rPr>
        <w:t>Age and sex distribution</w:t>
      </w:r>
      <w:bookmarkEnd w:id="126"/>
    </w:p>
    <w:p w14:paraId="27F93E16" w14:textId="77777777" w:rsidR="00BE61A2" w:rsidRDefault="00BE61A2" w:rsidP="00AE2F1B">
      <w:r w:rsidRPr="00AE2F1B">
        <w:t>Over half of notified invasive Hib cases in 2015 were male (63%, n=10). Fifty per cent of cases (n=8) were in children aged less than 15 years, of which 63% (n=5) were among infants less than 1 year of age (Figure 51). Consistent with previous years, the 0–4 years age group had the highest notification rate at 0.5 per 100,000.</w:t>
      </w:r>
    </w:p>
    <w:p w14:paraId="1FCF8F49" w14:textId="77777777" w:rsidR="003926CC" w:rsidRDefault="003926CC" w:rsidP="003926CC">
      <w:pPr>
        <w:pStyle w:val="CDIFigures"/>
      </w:pPr>
      <w:r>
        <w:lastRenderedPageBreak/>
        <w:t xml:space="preserve">Figure 51: Notifications for invasive </w:t>
      </w:r>
      <w:r w:rsidRPr="00DE364F">
        <w:rPr>
          <w:rFonts w:cstheme="minorHAnsi"/>
          <w:i/>
          <w:iCs/>
        </w:rPr>
        <w:t>Haemophilus influenzae</w:t>
      </w:r>
      <w:r>
        <w:rPr>
          <w:rFonts w:ascii="Minion Pro SmBd" w:hAnsi="Minion Pro SmBd" w:cs="Minion Pro SmBd"/>
          <w:i/>
          <w:iCs/>
        </w:rPr>
        <w:t xml:space="preserve"> </w:t>
      </w:r>
      <w:r>
        <w:t>type b infection, Australia, 2015, by age group and</w:t>
      </w:r>
      <w:r w:rsidR="001D0850">
        <w:t> </w:t>
      </w:r>
      <w:r>
        <w:t>sex</w:t>
      </w:r>
    </w:p>
    <w:p w14:paraId="78B8AD52" w14:textId="77777777" w:rsidR="00C96173" w:rsidRPr="00AE2F1B" w:rsidRDefault="0021477A" w:rsidP="003926CC">
      <w:pPr>
        <w:pStyle w:val="CDIFigures"/>
      </w:pPr>
      <w:r>
        <w:pict w14:anchorId="5B467BA8">
          <v:shape id="_x0000_i1073" type="#_x0000_t75" alt="This figure shows the number of notifications for invasive Haemophilus influenza type b infection in Australia in 2015 by age group. This figure shows that half of all cases occurred in children less than 14 years of age." style="width:522.6pt;height:330.6pt">
            <v:imagedata r:id="rId68" o:title="5-VPD chapter Figures_50 to 85 for CDI _Page_02"/>
          </v:shape>
        </w:pict>
      </w:r>
    </w:p>
    <w:p w14:paraId="5FDE1FC5" w14:textId="77777777" w:rsidR="00BE61A2" w:rsidRPr="0039362D" w:rsidRDefault="00BE61A2" w:rsidP="00EE19C2">
      <w:pPr>
        <w:pStyle w:val="Heading3"/>
      </w:pPr>
      <w:bookmarkStart w:id="127" w:name="_Toc1747281"/>
      <w:r w:rsidRPr="0039362D">
        <w:t>Indigenous Status</w:t>
      </w:r>
      <w:bookmarkEnd w:id="127"/>
    </w:p>
    <w:p w14:paraId="6775A181" w14:textId="77777777" w:rsidR="00BE61A2" w:rsidRPr="00AE2F1B" w:rsidRDefault="00BE61A2" w:rsidP="00AE2F1B">
      <w:r w:rsidRPr="00AE2F1B">
        <w:t>Indigenous status was reported for all notified invasive Hib cases in 2015. Three cases were reported as Indigenous Australians, representing a notification rate of 0.5 per 100,000. This rate is lower than in 2014 (0.8 per 100,000) but the same as in 2013 and 2012 (0.5 per 100,000).</w:t>
      </w:r>
    </w:p>
    <w:p w14:paraId="26C1C302" w14:textId="77777777" w:rsidR="00BE61A2" w:rsidRPr="0039362D" w:rsidRDefault="00BE61A2" w:rsidP="00EE19C2">
      <w:pPr>
        <w:pStyle w:val="Heading3"/>
      </w:pPr>
      <w:bookmarkStart w:id="128" w:name="_Toc1747282"/>
      <w:r w:rsidRPr="0039362D">
        <w:t>Immunisation status</w:t>
      </w:r>
      <w:bookmarkEnd w:id="128"/>
    </w:p>
    <w:p w14:paraId="7262E1D7" w14:textId="77777777" w:rsidR="00BE61A2" w:rsidRPr="00AE2F1B" w:rsidRDefault="00BE61A2" w:rsidP="00AE2F1B">
      <w:r w:rsidRPr="00AE2F1B">
        <w:t xml:space="preserve">In 2015, people less than 23 years of age were eligible for Hib immunisation under the NIP during their infancy. Of the 16 Hib cases reported in 2015, eight were eligible for immunisation. Three of these cases were 12 months of age or older, and therefore eligible for the full primary vaccine course and the booster. Of these, one case received the full primary course and 2 were reported as unvaccinated. The remaining 5 cases eligible for immunisation were less than 12 months of age, of whom 4 were reported as fully vaccinated for age and 1 was partially vaccinated for age. </w:t>
      </w:r>
    </w:p>
    <w:p w14:paraId="567EE532" w14:textId="77777777" w:rsidR="00BE61A2" w:rsidRPr="004E056D" w:rsidRDefault="00BE61A2" w:rsidP="004E056D">
      <w:pPr>
        <w:pStyle w:val="Heading2"/>
      </w:pPr>
      <w:bookmarkStart w:id="129" w:name="_Toc1747283"/>
      <w:r w:rsidRPr="004E056D">
        <w:rPr>
          <w:bCs w:val="0"/>
          <w:sz w:val="27"/>
          <w:szCs w:val="27"/>
        </w:rPr>
        <w:t>Influenza (laboratory confirmed)</w:t>
      </w:r>
      <w:bookmarkEnd w:id="129"/>
    </w:p>
    <w:p w14:paraId="5D2BA52D" w14:textId="77777777" w:rsidR="00BE61A2" w:rsidRPr="00AE2F1B" w:rsidRDefault="00BE61A2" w:rsidP="00AE2F1B">
      <w:r w:rsidRPr="00AE2F1B">
        <w:t>Influenza is a common, highly infectious acute respiratory disease caused by infection with influenza viruses. The virus is transmitted from person to person by airborne droplets of exhaled respiratory secretions, especially by coughing or sneezing.</w:t>
      </w:r>
      <w:r w:rsidRPr="00AE2F1B">
        <w:rPr>
          <w:vertAlign w:val="superscript"/>
        </w:rPr>
        <w:t>71</w:t>
      </w:r>
      <w:r w:rsidRPr="00AE2F1B">
        <w:t xml:space="preserve"> The disease ranges from asymptomatic</w:t>
      </w:r>
      <w:r w:rsidRPr="00AE2F1B">
        <w:rPr>
          <w:vertAlign w:val="superscript"/>
        </w:rPr>
        <w:t>72</w:t>
      </w:r>
      <w:r w:rsidRPr="00AE2F1B">
        <w:t xml:space="preserve"> through to mild upper respiratory tract illness, to severe complications including pneumonia. The severity of disease is determined by features intrinsic to the virus including its similarity to previous circulating and vaccine strains and by host factors including the age, level of immunity and presence of chronic medical conditions.</w:t>
      </w:r>
      <w:r w:rsidRPr="00AE2F1B">
        <w:rPr>
          <w:vertAlign w:val="superscript"/>
        </w:rPr>
        <w:t>73,</w:t>
      </w:r>
      <w:proofErr w:type="gramStart"/>
      <w:r w:rsidRPr="00AE2F1B">
        <w:rPr>
          <w:vertAlign w:val="superscript"/>
        </w:rPr>
        <w:t>74</w:t>
      </w:r>
      <w:proofErr w:type="gramEnd"/>
      <w:r w:rsidRPr="00AE2F1B">
        <w:t xml:space="preserve"> </w:t>
      </w:r>
    </w:p>
    <w:p w14:paraId="6E6C8C68" w14:textId="77777777" w:rsidR="00BE61A2" w:rsidRPr="00AE2F1B" w:rsidRDefault="00BE61A2" w:rsidP="00AE2F1B">
      <w:r w:rsidRPr="00AE2F1B">
        <w:t xml:space="preserve">Annual influenza immunisation is the primary means of preventing or attenuating influenza and its complications and is included in the NIP for individuals who are at increased risk of complications from influenza infection. In 2015, </w:t>
      </w:r>
      <w:r w:rsidRPr="00AE2F1B">
        <w:lastRenderedPageBreak/>
        <w:t>the NIP funded influenza immunisation for people aged 6 months and over with medical conditions placing them at risk of serious complications due to influenza, Aboriginal and Torres Strait Islander people aged 6 months to 5 years and 15 years and over, pregnant women, and people aged 65 years and over.</w:t>
      </w:r>
      <w:r w:rsidRPr="00AE2F1B">
        <w:rPr>
          <w:vertAlign w:val="superscript"/>
        </w:rPr>
        <w:t>29</w:t>
      </w:r>
      <w:r w:rsidRPr="00AE2F1B">
        <w:t xml:space="preserve"> </w:t>
      </w:r>
    </w:p>
    <w:p w14:paraId="5553628C" w14:textId="77777777" w:rsidR="00BE61A2" w:rsidRPr="00551538" w:rsidRDefault="00BE61A2" w:rsidP="00551538">
      <w:pPr>
        <w:pStyle w:val="Heading3"/>
      </w:pPr>
      <w:bookmarkStart w:id="130" w:name="_Toc1747284"/>
      <w:r w:rsidRPr="00551538">
        <w:t>Epidemiological situation in 2015</w:t>
      </w:r>
      <w:bookmarkEnd w:id="130"/>
    </w:p>
    <w:p w14:paraId="7AF87CEE" w14:textId="77777777" w:rsidR="00BE61A2" w:rsidRDefault="00BE61A2" w:rsidP="00AE2F1B">
      <w:r w:rsidRPr="00AE2F1B">
        <w:t>In 2015, there were 100,583 notifications of laboratory confirmed influenza, almost 1.5 times the number of notified cases reported in 2014 (n=67,699) (Figure 52). The number of notifications recorded in 2015 is the highest on record and is 70% higher than in 2009 (n=59,023), the year of the last influenza pandemic.</w:t>
      </w:r>
    </w:p>
    <w:p w14:paraId="29DDC221" w14:textId="77777777" w:rsidR="005C5A16" w:rsidRDefault="005C5A16" w:rsidP="005C5A16">
      <w:pPr>
        <w:pStyle w:val="CDIFigures"/>
      </w:pPr>
      <w:r w:rsidRPr="005C5A16">
        <w:t>Figure 52: Notifications of laboratory confirmed influenza, Australia, 1 January 2010 to 31 December 2015, by</w:t>
      </w:r>
      <w:r w:rsidR="00725092">
        <w:t> </w:t>
      </w:r>
      <w:r w:rsidRPr="005C5A16">
        <w:t>week.</w:t>
      </w:r>
    </w:p>
    <w:p w14:paraId="3B6D35A5" w14:textId="77777777" w:rsidR="00565853" w:rsidRPr="005C5A16" w:rsidRDefault="0021477A" w:rsidP="005C5A16">
      <w:pPr>
        <w:pStyle w:val="CDIFigures"/>
      </w:pPr>
      <w:r>
        <w:pict w14:anchorId="3A02D38B">
          <v:shape id="_x0000_i1074" type="#_x0000_t75" alt="This figure shows the number of cases of laboratory confirmed influenza notified each week from 1 January 2010 to 31 December 2015. This figure demonstrates the seasonal pattern of influenza in Australia, with activity peaking in the winter months. Notifications of laboratory confirmed influenza were higher in the interseasonal period than in previous year. Notifications reached a higher peak than recent years." style="width:522.6pt;height:343.8pt">
            <v:imagedata r:id="rId69" o:title="5-VPD chapter Figures_50 to 85 for CDI _Page_03"/>
          </v:shape>
        </w:pict>
      </w:r>
    </w:p>
    <w:p w14:paraId="67AFC39F" w14:textId="77777777" w:rsidR="00BE61A2" w:rsidRPr="00AE2F1B" w:rsidRDefault="00BE61A2" w:rsidP="00551538">
      <w:pPr>
        <w:pStyle w:val="Heading3"/>
      </w:pPr>
      <w:bookmarkStart w:id="131" w:name="_Toc1747285"/>
      <w:r w:rsidRPr="00AE2F1B">
        <w:t>Geographical distribution</w:t>
      </w:r>
      <w:bookmarkEnd w:id="131"/>
    </w:p>
    <w:p w14:paraId="5CF08BF1" w14:textId="77777777" w:rsidR="00BE61A2" w:rsidRPr="00AE2F1B" w:rsidRDefault="00BE61A2" w:rsidP="00AE2F1B">
      <w:r w:rsidRPr="00AE2F1B">
        <w:t xml:space="preserve">Notification rates were highest in South Australia (921 per 100,000), and Queensland (587 per 100,000). Notifications rates in all other jurisdictions were lower than the national notification rate of 423 per 100,000. Jurisdictional-specific notification rates increased from 2014 to 2015, notably in Tasmania (112% increase), Victoria (72% increase) and New South Wales (43%). </w:t>
      </w:r>
    </w:p>
    <w:p w14:paraId="13358CF2" w14:textId="77777777" w:rsidR="00BE61A2" w:rsidRDefault="00BE61A2" w:rsidP="00AE2F1B">
      <w:r w:rsidRPr="00AE2F1B">
        <w:t>New South Wales reported the highest number of influenza cases of any jurisdiction (n=30,303), comprising 30% of notifications nationally (Figure 53). The number of influenza cases in Queensland (n=28,056) accounted for almost 28% of notifications nationally.</w:t>
      </w:r>
    </w:p>
    <w:p w14:paraId="086CE514" w14:textId="77777777" w:rsidR="007344EF" w:rsidRDefault="007344EF">
      <w:pPr>
        <w:rPr>
          <w:b/>
        </w:rPr>
      </w:pPr>
      <w:r>
        <w:br w:type="page"/>
      </w:r>
    </w:p>
    <w:p w14:paraId="549CD67A" w14:textId="77777777" w:rsidR="005E53BC" w:rsidRDefault="005E53BC" w:rsidP="005E53BC">
      <w:pPr>
        <w:pStyle w:val="CDIFigures"/>
      </w:pPr>
      <w:r w:rsidRPr="005E53BC">
        <w:lastRenderedPageBreak/>
        <w:t xml:space="preserve">Figure 53: Notifications of laboratory confirmed influenza, Australia, 2015, by week and state or </w:t>
      </w:r>
      <w:proofErr w:type="gramStart"/>
      <w:r w:rsidRPr="005E53BC">
        <w:t>territory</w:t>
      </w:r>
      <w:proofErr w:type="gramEnd"/>
    </w:p>
    <w:p w14:paraId="1FDCF897" w14:textId="77777777" w:rsidR="007344EF" w:rsidRPr="005E53BC" w:rsidRDefault="0021477A" w:rsidP="005E53BC">
      <w:pPr>
        <w:pStyle w:val="CDIFigures"/>
      </w:pPr>
      <w:r>
        <w:pict w14:anchorId="197A4A79">
          <v:shape id="_x0000_i1075" type="#_x0000_t75" alt="This figure shows the number of cases of laboratory confirmed influenza notified each week of 2015, split by state and territory. The seasonal increase of influenza notifications in 2015 started in June, rose sharply and peaked in August. New South Wales contributed the largest number of notifications this year." style="width:520.8pt;height:334.8pt">
            <v:imagedata r:id="rId70" o:title="5-VPD chapter Figures_50 to 85 for CDI _Page_04"/>
          </v:shape>
        </w:pict>
      </w:r>
    </w:p>
    <w:p w14:paraId="7B396C67" w14:textId="77777777" w:rsidR="00BE61A2" w:rsidRPr="00AE2F1B" w:rsidRDefault="00BE61A2" w:rsidP="00902F77">
      <w:pPr>
        <w:pStyle w:val="Heading3"/>
      </w:pPr>
      <w:bookmarkStart w:id="132" w:name="_Toc1747286"/>
      <w:r w:rsidRPr="00AE2F1B">
        <w:t>Age and sex distribution</w:t>
      </w:r>
      <w:bookmarkEnd w:id="132"/>
    </w:p>
    <w:p w14:paraId="6500AA6B" w14:textId="77777777" w:rsidR="00BE61A2" w:rsidRDefault="00BE61A2" w:rsidP="00AE2F1B">
      <w:r w:rsidRPr="00AE2F1B">
        <w:t>The highest number of influenza notifications occurred in the 0–4 years and 5–9 years age groups (n=10,987 and n=13,770, respectively), which together accounted for 25% of all notifications with ages attributed (Figure 54). This differed from 2014 notifications, in that fewer notifications were reported in the 5–9 years age group (n=4,291) than in the 0–4 years age group (n=5,715) during that year.</w:t>
      </w:r>
    </w:p>
    <w:p w14:paraId="6596C693" w14:textId="77777777" w:rsidR="002467AF" w:rsidRDefault="002467AF">
      <w:pPr>
        <w:rPr>
          <w:b/>
        </w:rPr>
      </w:pPr>
      <w:r>
        <w:br w:type="page"/>
      </w:r>
    </w:p>
    <w:p w14:paraId="644CF155" w14:textId="77777777" w:rsidR="00902D75" w:rsidRDefault="005E53BC" w:rsidP="005E53BC">
      <w:pPr>
        <w:pStyle w:val="CDIFigures"/>
      </w:pPr>
      <w:r w:rsidRPr="005E53BC">
        <w:lastRenderedPageBreak/>
        <w:t>Figure 54: Notifications and notification rate for laboratory confirmed influenza, Australia, 2015, by age group and</w:t>
      </w:r>
      <w:r w:rsidR="00A641DA">
        <w:t> </w:t>
      </w:r>
      <w:proofErr w:type="gramStart"/>
      <w:r w:rsidRPr="005E53BC">
        <w:t>sex</w:t>
      </w:r>
      <w:proofErr w:type="gramEnd"/>
    </w:p>
    <w:p w14:paraId="76D33459" w14:textId="77777777" w:rsidR="002467AF" w:rsidRPr="005E53BC" w:rsidRDefault="0021477A" w:rsidP="005E53BC">
      <w:pPr>
        <w:pStyle w:val="CDIFigures"/>
      </w:pPr>
      <w:r>
        <w:pict w14:anchorId="0387C8AC">
          <v:shape id="_x0000_i1076" type="#_x0000_t75" alt="This figure shows the age and sex distribution of laboratory confirmed influenza in 2015. Notification rates were highest in the 5-9 years and over 85 years age groups (909 and 755 notifications per 100,000), followed by the 0-4 years age group (713 notifications per 100,000)." style="width:522.6pt;height:301.8pt;mso-position-vertical:absolute">
            <v:imagedata r:id="rId71" o:title="5-VPD chapter Figures_50 to 85 for CDI _Page_05"/>
          </v:shape>
        </w:pict>
      </w:r>
    </w:p>
    <w:p w14:paraId="1F8C3ECF" w14:textId="77777777" w:rsidR="00BE61A2" w:rsidRPr="00AE2F1B" w:rsidRDefault="00BE61A2" w:rsidP="00AE2F1B">
      <w:r w:rsidRPr="00AE2F1B">
        <w:t>Notification rates were highest in the 5–9 years and over 85 years age groups (909 and 755 notifications per 100,000, respectively (Figure 54), followed by the 0–4 years age group (713 notifications per 100,000).</w:t>
      </w:r>
    </w:p>
    <w:p w14:paraId="62524411" w14:textId="77777777" w:rsidR="00BE61A2" w:rsidRPr="00AE2F1B" w:rsidRDefault="00BE61A2" w:rsidP="00AE2F1B">
      <w:r w:rsidRPr="00AE2F1B">
        <w:t>In 2015, females accounted for 54% (n=53,778) of the influenza notifications for which sex was reported. The age-group-specific rate of influenza in males exceeded that in females in age groups less than 15 years and 80 years and over, while the rates in females in all other age groups exceeded those in males.</w:t>
      </w:r>
    </w:p>
    <w:p w14:paraId="090A3B36" w14:textId="77777777" w:rsidR="00BE61A2" w:rsidRDefault="00BE61A2" w:rsidP="00AE2F1B">
      <w:r w:rsidRPr="00AE2F1B">
        <w:t>Influenza types and subtypes affect different age profiles, with the predominant virus in circulation influencing the age distribution of influenza notification rates. For example, in seasons dominated by the influenza A(H1N1)pdm09 virus, such as 2010 and 2011, the age distribution of influenza notification rates showed a downward trend with increasing age (Figure 55). For comparison, in 2012, which was dominated by influenza A(H3N2), the age distribution of influenza notifications was bimodal, with peaks in those aged under 10 years and in those aged 70 years and over. In 2015, the influenza season was bimodal in distribution, with peaks in the 5–9 years and 85 years and over age</w:t>
      </w:r>
      <w:r w:rsidR="00E028FA">
        <w:t> </w:t>
      </w:r>
      <w:r w:rsidRPr="00AE2F1B">
        <w:t>groups.</w:t>
      </w:r>
    </w:p>
    <w:p w14:paraId="688E43D5" w14:textId="77777777" w:rsidR="00762705" w:rsidRDefault="00762705">
      <w:pPr>
        <w:rPr>
          <w:b/>
        </w:rPr>
      </w:pPr>
      <w:r>
        <w:br w:type="page"/>
      </w:r>
    </w:p>
    <w:p w14:paraId="34CD2B94" w14:textId="77777777" w:rsidR="0030637B" w:rsidRDefault="0030637B" w:rsidP="0030637B">
      <w:pPr>
        <w:pStyle w:val="CDIFigures"/>
      </w:pPr>
      <w:r w:rsidRPr="0030637B">
        <w:lastRenderedPageBreak/>
        <w:t xml:space="preserve">Figure 55: Notification rate for laboratory confirmed influenza, Australia, 2010 to 2015, by </w:t>
      </w:r>
      <w:proofErr w:type="gramStart"/>
      <w:r w:rsidRPr="0030637B">
        <w:t>age</w:t>
      </w:r>
      <w:proofErr w:type="gramEnd"/>
    </w:p>
    <w:p w14:paraId="3E0DA781" w14:textId="77777777" w:rsidR="00762705" w:rsidRPr="0030637B" w:rsidRDefault="0021477A" w:rsidP="0030637B">
      <w:pPr>
        <w:pStyle w:val="CDIFigures"/>
      </w:pPr>
      <w:r>
        <w:pict w14:anchorId="0B2A1141">
          <v:shape id="_x0000_i1077" type="#_x0000_t75" alt="This figure shows the age distribution of laboratory confirmed influenza from 2010 to 2015. It shows that in seasons dominated by the influenza A(H1N1)pdm09 virus, such as 2010 and 2011, the age distribution of influenza notification rates showed a downward trend with increasing age. For comparison, in 2012, which was dominated by influenza A(H3N2), the age distribution of influenza notifications was bimodal with peaks in those aged under 10 years and in those aged 70 years and over. In 2015, the influenza season was bimodal in distribution, with peaks in the 5-9 years and 85 years and over age groups." style="width:522.6pt;height:313.2pt">
            <v:imagedata r:id="rId72" o:title="5-VPD chapter Figures_50 to 85 for CDI _Page_06"/>
          </v:shape>
        </w:pict>
      </w:r>
    </w:p>
    <w:p w14:paraId="2CDFD86E" w14:textId="77777777" w:rsidR="00BE61A2" w:rsidRPr="00AE2F1B" w:rsidRDefault="00BE61A2" w:rsidP="00902F77">
      <w:pPr>
        <w:pStyle w:val="Heading3"/>
      </w:pPr>
      <w:bookmarkStart w:id="133" w:name="_Toc1747287"/>
      <w:r w:rsidRPr="00AE2F1B">
        <w:t>Seasonality</w:t>
      </w:r>
      <w:bookmarkEnd w:id="133"/>
    </w:p>
    <w:p w14:paraId="227EC243" w14:textId="77777777" w:rsidR="00BE61A2" w:rsidRPr="00AE2F1B" w:rsidRDefault="00BE61A2" w:rsidP="00AE2F1B">
      <w:r w:rsidRPr="00AE2F1B">
        <w:t xml:space="preserve">Influenza notifications during the 2014–15 inter-seasonal period (December to March) </w:t>
      </w:r>
      <w:proofErr w:type="gramStart"/>
      <w:r w:rsidRPr="00AE2F1B">
        <w:t>were</w:t>
      </w:r>
      <w:proofErr w:type="gramEnd"/>
      <w:r w:rsidRPr="00AE2F1B">
        <w:t xml:space="preserve"> the highest on record, with an average of 1,423 notifications per month, slightly higher than in the same period in 2013–14 (n=1,333). Queensland reported the largest number of inter-seasonal influenza notifications (n=1,777), followed by New South Wales (n=1,326). It is unclear whether this </w:t>
      </w:r>
      <w:proofErr w:type="gramStart"/>
      <w:r w:rsidRPr="00AE2F1B">
        <w:t>is a reflection of</w:t>
      </w:r>
      <w:proofErr w:type="gramEnd"/>
      <w:r w:rsidRPr="00AE2F1B">
        <w:t xml:space="preserve"> a higher prevalence of influenza circulating in the community at this time, an increased rate of testing or another factor.</w:t>
      </w:r>
    </w:p>
    <w:p w14:paraId="73EF570F" w14:textId="77777777" w:rsidR="00BE61A2" w:rsidRDefault="00BE61A2" w:rsidP="00AE2F1B">
      <w:r w:rsidRPr="00AE2F1B">
        <w:t xml:space="preserve">The seasonal increase of influenza notifications in 2015 started in June, rose </w:t>
      </w:r>
      <w:proofErr w:type="gramStart"/>
      <w:r w:rsidRPr="00AE2F1B">
        <w:t>sharply</w:t>
      </w:r>
      <w:proofErr w:type="gramEnd"/>
      <w:r w:rsidRPr="00AE2F1B">
        <w:t xml:space="preserve"> and peaked in August, similar in pattern to the 2014 influenza season (Figure 56). The 2015 peak was higher than in previous years. The majority of activity in the jurisdictions peaked around late August, followed by a steady decline back to </w:t>
      </w:r>
      <w:proofErr w:type="spellStart"/>
      <w:r w:rsidRPr="00AE2F1B">
        <w:t>interseasonal</w:t>
      </w:r>
      <w:proofErr w:type="spellEnd"/>
      <w:r w:rsidRPr="00AE2F1B">
        <w:t xml:space="preserve"> levels by November. The exceptions were the Northern Territory and Western Australia, with heightened activity continuing a month later than the other jurisdictions.</w:t>
      </w:r>
    </w:p>
    <w:p w14:paraId="3FEBC8AB" w14:textId="77777777" w:rsidR="00257AB9" w:rsidRDefault="00257AB9">
      <w:pPr>
        <w:rPr>
          <w:b/>
        </w:rPr>
      </w:pPr>
      <w:r>
        <w:br w:type="page"/>
      </w:r>
    </w:p>
    <w:p w14:paraId="537E2974" w14:textId="77777777" w:rsidR="00F62E8B" w:rsidRDefault="00F62E8B" w:rsidP="00F62E8B">
      <w:pPr>
        <w:pStyle w:val="CDIFigures"/>
      </w:pPr>
      <w:r w:rsidRPr="00F62E8B">
        <w:lastRenderedPageBreak/>
        <w:t xml:space="preserve">Figure 56: Notifications of laboratory confirmed influenza, Australia, 2010 to 2015, by month and </w:t>
      </w:r>
      <w:proofErr w:type="gramStart"/>
      <w:r w:rsidRPr="00F62E8B">
        <w:t>year</w:t>
      </w:r>
      <w:proofErr w:type="gramEnd"/>
    </w:p>
    <w:p w14:paraId="2A091F1C" w14:textId="77777777" w:rsidR="00762705" w:rsidRPr="00F62E8B" w:rsidRDefault="0021477A" w:rsidP="00F62E8B">
      <w:pPr>
        <w:pStyle w:val="CDIFigures"/>
      </w:pPr>
      <w:r>
        <w:pict w14:anchorId="67E4A8E0">
          <v:shape id="_x0000_i1078" type="#_x0000_t75" alt="This figure shows the number of monthly influenza notifications in Australia from 2010 to 2015 against a 5 year monthly mean. This figure demonstrates that, notifications in the interseasonal period were high in comparison with previous seasons and reached a higher peak during the season." style="width:522.6pt;height:351.6pt">
            <v:imagedata r:id="rId73" o:title="5-VPD chapter Figures_50 to 85 for CDI _Page_07"/>
          </v:shape>
        </w:pict>
      </w:r>
    </w:p>
    <w:p w14:paraId="3AFB3217" w14:textId="77777777" w:rsidR="00BE61A2" w:rsidRPr="00AE2F1B" w:rsidRDefault="00BE61A2" w:rsidP="00902F77">
      <w:pPr>
        <w:pStyle w:val="Heading3"/>
      </w:pPr>
      <w:bookmarkStart w:id="134" w:name="_Toc1747288"/>
      <w:r w:rsidRPr="00AE2F1B">
        <w:t>Indigenous status</w:t>
      </w:r>
      <w:bookmarkEnd w:id="134"/>
    </w:p>
    <w:p w14:paraId="51BD69AE" w14:textId="77777777" w:rsidR="00BE61A2" w:rsidRPr="00AE2F1B" w:rsidRDefault="00BE61A2" w:rsidP="00AE2F1B">
      <w:r w:rsidRPr="00AE2F1B">
        <w:t xml:space="preserve">Nationally in 2015, Indigenous status was reported in 36% (n=35,941) of laboratory confirmed notifications of influenza. Indigenous status completeness was greater than 50% in 4 jurisdictions: the Northern Territory (98%), Western Australia (94%), South Australia (83%) and the Australian Capital Territory (71%). The combined notification rates for influenza in these jurisdictions were 428 per 100,000 and 480 per 100,000 for non-Indigenous </w:t>
      </w:r>
      <w:proofErr w:type="gramStart"/>
      <w:r w:rsidRPr="00AE2F1B">
        <w:t>Australians, and</w:t>
      </w:r>
      <w:proofErr w:type="gramEnd"/>
      <w:r w:rsidRPr="00AE2F1B">
        <w:t xml:space="preserve"> representing a notification rate ratio of 0.9.</w:t>
      </w:r>
    </w:p>
    <w:p w14:paraId="6A8C236E" w14:textId="77777777" w:rsidR="00BE61A2" w:rsidRPr="0039362D" w:rsidRDefault="00BE61A2" w:rsidP="00902F77">
      <w:pPr>
        <w:pStyle w:val="Heading3"/>
      </w:pPr>
      <w:bookmarkStart w:id="135" w:name="_Toc1747289"/>
      <w:r w:rsidRPr="0039362D">
        <w:t>Mortality</w:t>
      </w:r>
      <w:bookmarkEnd w:id="135"/>
    </w:p>
    <w:p w14:paraId="1D383065" w14:textId="77777777" w:rsidR="00BE61A2" w:rsidRPr="00AE2F1B" w:rsidRDefault="00BE61A2" w:rsidP="00AE2F1B">
      <w:r w:rsidRPr="00AE2F1B">
        <w:t>Nationally, there were 137 influenza-associated deaths notified to the NNDSS, with a median age of 84 years (range: 1 to 102 years). The majority of deaths were associated with influenza A infections (n=102, 74%). Of these, 73 were associated with A (</w:t>
      </w:r>
      <w:proofErr w:type="spellStart"/>
      <w:r w:rsidRPr="00AE2F1B">
        <w:t>unsubtyped</w:t>
      </w:r>
      <w:proofErr w:type="spellEnd"/>
      <w:r w:rsidRPr="00AE2F1B">
        <w:t xml:space="preserve">) infections, 1 was associated with A(H1N1)pdm09 and 28 were associated with A(H3N2). Indigenous status was reported for 85% (n=117) of the influenza-associated deaths; and Indigenous Australians accounted for &lt;1% (n=1) of these deaths. The number of influenza-associated deaths reported to the NNDSS is reliant on the follow-up of cases to determine the outcome of their infection and most likely underestimates the true mortality associated with this disease. Of the 100,752 notifications to the NNDSS, only 41% (n=41,266) were provided with data relating to the association of influenza with individual deaths. </w:t>
      </w:r>
    </w:p>
    <w:p w14:paraId="0FA548B8" w14:textId="77777777" w:rsidR="00BE61A2" w:rsidRPr="0039362D" w:rsidRDefault="00BE61A2" w:rsidP="00902F77">
      <w:pPr>
        <w:pStyle w:val="Heading3"/>
      </w:pPr>
      <w:bookmarkStart w:id="136" w:name="_Toc1747290"/>
      <w:r w:rsidRPr="0039362D">
        <w:t>Microbiological trends</w:t>
      </w:r>
      <w:bookmarkEnd w:id="136"/>
    </w:p>
    <w:p w14:paraId="52E36CE5" w14:textId="77777777" w:rsidR="00BE61A2" w:rsidRPr="00902F77" w:rsidRDefault="00BE61A2" w:rsidP="0010296C">
      <w:pPr>
        <w:pStyle w:val="Heading3"/>
      </w:pPr>
      <w:bookmarkStart w:id="137" w:name="_Toc1747291"/>
      <w:r w:rsidRPr="00902F77">
        <w:t>NNDSS</w:t>
      </w:r>
      <w:bookmarkEnd w:id="137"/>
    </w:p>
    <w:p w14:paraId="79D573EA" w14:textId="77777777" w:rsidR="00BE61A2" w:rsidRDefault="00BE61A2" w:rsidP="00AE2F1B">
      <w:r w:rsidRPr="00AE2F1B">
        <w:t xml:space="preserve">In 2015, typing data were reported for all but one laboratory confirmed influenza notification. The season was characterised by the predominant circulation of influenza B viruses (Figure 57). Influenza B viruses accounted for </w:t>
      </w:r>
      <w:r w:rsidRPr="00AE2F1B">
        <w:lastRenderedPageBreak/>
        <w:t xml:space="preserve">60% (n=60,865) of all notifications reported in 2015, and influenza A viruses accounted for 39% (n=39,510) of all notifications. While the majority of notifications of influenza A were reported as </w:t>
      </w:r>
      <w:proofErr w:type="spellStart"/>
      <w:r w:rsidRPr="00AE2F1B">
        <w:t>unsubtyped</w:t>
      </w:r>
      <w:proofErr w:type="spellEnd"/>
      <w:r w:rsidRPr="00AE2F1B">
        <w:t xml:space="preserve"> (30%, n=30,671), influenza A(H3N2) was detected at higher levels than influenza A(H1N1)pdm09 (6%, n=6,505; and 2%, n=2,334 respectively). Mixed influenza type A and B infections accounted for &lt;1% of notifications (n=206). There was 1 notification of influenza type C.</w:t>
      </w:r>
    </w:p>
    <w:p w14:paraId="0CCCD956" w14:textId="77777777" w:rsidR="00D41304" w:rsidRDefault="00D41304" w:rsidP="00D41304">
      <w:pPr>
        <w:pStyle w:val="CDIFigures"/>
      </w:pPr>
      <w:r w:rsidRPr="00D41304">
        <w:t xml:space="preserve">Figure 57: Notifications of laboratory confirmed influenza, Australia, 2015, by week and </w:t>
      </w:r>
      <w:proofErr w:type="gramStart"/>
      <w:r w:rsidRPr="00D41304">
        <w:t>subtype</w:t>
      </w:r>
      <w:proofErr w:type="gramEnd"/>
    </w:p>
    <w:p w14:paraId="29BA7F80" w14:textId="77777777" w:rsidR="00257AB9" w:rsidRPr="00D41304" w:rsidRDefault="0021477A" w:rsidP="00D41304">
      <w:pPr>
        <w:pStyle w:val="CDIFigures"/>
      </w:pPr>
      <w:r>
        <w:pict w14:anchorId="4A2F9767">
          <v:shape id="_x0000_i1079" type="#_x0000_t75" alt="This figure shows the weekly notifications of laboratory confirmed influenza in Australia in 2015 by influenza subtype. This figure demonstrates that the season was characterised by the predominant circulation of influenza B viruses." style="width:522.6pt;height:327pt;mso-position-vertical:absolute">
            <v:imagedata r:id="rId74" o:title="5-VPD chapter Figures_50 to 85 for CDI _Page_08"/>
          </v:shape>
        </w:pict>
      </w:r>
    </w:p>
    <w:p w14:paraId="72BA215F" w14:textId="77777777" w:rsidR="00BE61A2" w:rsidRDefault="00BE61A2" w:rsidP="00AE2F1B">
      <w:r w:rsidRPr="00AE2F1B">
        <w:t>The predominance of influenza B in the 2015 season was in contrast to recent years, where influenza A viruses have historically dominated the season (Figure 58). The ratio of reported influenza A(H1N1)pdm09 viruses to influenza A(H3N2) viruses was 1:2.8 in 2015, as opposed to 4 of the 5 past years, when influenza A(H1N1)pdm09 was the predominant influenza A subtype notified. The notable exception was in 2012, when, for every notification of influenza A(H1N1)pdm09, 28 notifications of influenza A(H3N2) were reported to the NNDSS.</w:t>
      </w:r>
    </w:p>
    <w:p w14:paraId="699F2B7A" w14:textId="77777777" w:rsidR="00696903" w:rsidRDefault="00696903">
      <w:pPr>
        <w:rPr>
          <w:b/>
        </w:rPr>
      </w:pPr>
      <w:r>
        <w:br w:type="page"/>
      </w:r>
    </w:p>
    <w:p w14:paraId="1A53CBCD" w14:textId="77777777" w:rsidR="00BC1D6D" w:rsidRDefault="00BC1D6D" w:rsidP="00BC1D6D">
      <w:pPr>
        <w:pStyle w:val="CDIFigures"/>
      </w:pPr>
      <w:r w:rsidRPr="00BC1D6D">
        <w:lastRenderedPageBreak/>
        <w:t>Figure 58: Percentage of annual notifications of laboratory confirmed influen</w:t>
      </w:r>
      <w:r w:rsidR="00917CED">
        <w:t>za, Australia, 2010 to 2015, by </w:t>
      </w:r>
      <w:proofErr w:type="gramStart"/>
      <w:r w:rsidRPr="00BC1D6D">
        <w:t>subtype</w:t>
      </w:r>
      <w:proofErr w:type="gramEnd"/>
    </w:p>
    <w:p w14:paraId="1BBE4134" w14:textId="77777777" w:rsidR="008655A9" w:rsidRPr="00BC1D6D" w:rsidRDefault="0021477A" w:rsidP="00BC1D6D">
      <w:pPr>
        <w:pStyle w:val="CDIFigures"/>
      </w:pPr>
      <w:r>
        <w:pict w14:anchorId="1ED03831">
          <v:shape id="_x0000_i1080" type="#_x0000_t75" alt="This figure shows the proportion of notifications of laboratory confirmed influenza in Australia annually from 2010 to 2015 by influenza subtype. This figure demonstrates that influenza A has historically dominated the season, however in 2015 influenza B was the dominant circulating virus." style="width:522.6pt;height:219.6pt;mso-position-vertical:absolute">
            <v:imagedata r:id="rId75" o:title="5-VPD chapter Figures_50 to 85 for CDI _Page_09"/>
          </v:shape>
        </w:pict>
      </w:r>
    </w:p>
    <w:p w14:paraId="6CD83789" w14:textId="77777777" w:rsidR="00BE61A2" w:rsidRPr="00AE2F1B" w:rsidRDefault="00BE61A2" w:rsidP="00AE2F1B">
      <w:r w:rsidRPr="00AE2F1B">
        <w:t xml:space="preserve">The predominance of influenza B viruses was consistent across jurisdictions and ranged from 45% of notifications in Tasmania, up to 65% in Queensland. Influenza A(H3N2) was the predominant influenza A virus notified in each jurisdiction, where subtype information was available. The ratio of reported influenza A(H1N1)pdm09 viruses influenza A(H3N2) viruses varied, ranging from 1:1.2 in the Australian Capital Territory to 1:11.9 in Tasmania. </w:t>
      </w:r>
    </w:p>
    <w:p w14:paraId="3DD78632" w14:textId="77777777" w:rsidR="00BE61A2" w:rsidRPr="00902F77" w:rsidRDefault="00BE61A2" w:rsidP="0010296C">
      <w:pPr>
        <w:pStyle w:val="Heading3"/>
      </w:pPr>
      <w:bookmarkStart w:id="138" w:name="_Toc1747292"/>
      <w:r w:rsidRPr="00902F77">
        <w:t>WHO Collaborating Centre for Reference and Research on Influenza</w:t>
      </w:r>
      <w:bookmarkEnd w:id="138"/>
      <w:r w:rsidRPr="00902F77">
        <w:t xml:space="preserve"> </w:t>
      </w:r>
    </w:p>
    <w:p w14:paraId="1043F6B9" w14:textId="77777777" w:rsidR="00BE61A2" w:rsidRPr="00AE2F1B" w:rsidRDefault="00BE61A2" w:rsidP="00AE2F1B">
      <w:r w:rsidRPr="00AE2F1B">
        <w:t>For 2015, the WHO Collaborating Centre for Reference and Research on Influenza (WHOCC) analysed 2,005 specimens from influenza cases identified in Australia. Specimens are submitted to the WHOCC from laboratories according to guidelines that aim for successful isolation of viruses and likelihood of obtaining a vaccine candidate. WHOCC specimens therefore do not constitute a representative sample of influenza infections, which most likely accounts for differences in virus subtype distribution between NNDSS and WHOCC.</w:t>
      </w:r>
    </w:p>
    <w:p w14:paraId="1A5CC06C" w14:textId="77777777" w:rsidR="00BE61A2" w:rsidRDefault="00BE61A2" w:rsidP="00AE2F1B">
      <w:r w:rsidRPr="00AE2F1B">
        <w:t>The number of specimens analysed by the WHOCC represents approximately 2% of the 100,583 laboratory confirmed cases reported to the NNDSS, compared with 2,072 specimens in 2014 representing 3% of notifications. The majority of specimens were influenza B (67%, n=1,355) with 36% identified as influenza B Victoria lineage (n=724) and 31% identified as influenza B Yamagata lineage (n=631) (Figure 59</w:t>
      </w:r>
      <w:r w:rsidR="006F08F7" w:rsidRPr="00AE2F1B">
        <w:t xml:space="preserve">). </w:t>
      </w:r>
      <w:r w:rsidRPr="00AE2F1B">
        <w:t>The proportion of WHOCC specimens typed as influenza B was similar to that reported in laboratory confirmed notifications. The remainder of specimens were identified as influenza A(H1N1)pdm09 (n=221) and influenza A(H3N2) (n=429), accounting for 11% and 21% of samples respectively. Changes in the dominance of the two B lineages were seen over the season. During the 2015 pre-season period (January–April) and the early part of the influenza season (May–June), B/Yamagata lineage viruses predominated. However, from July to November, B/Victoria lineage viruses increased rapidly and were dominant from August.</w:t>
      </w:r>
      <w:r w:rsidRPr="00AE2F1B">
        <w:rPr>
          <w:vertAlign w:val="superscript"/>
        </w:rPr>
        <w:t>75</w:t>
      </w:r>
      <w:r w:rsidRPr="00AE2F1B">
        <w:t xml:space="preserve"> </w:t>
      </w:r>
    </w:p>
    <w:p w14:paraId="734E9EF6" w14:textId="77777777" w:rsidR="009C5A97" w:rsidRDefault="009C5A97">
      <w:pPr>
        <w:rPr>
          <w:b/>
        </w:rPr>
      </w:pPr>
      <w:r>
        <w:br w:type="page"/>
      </w:r>
    </w:p>
    <w:p w14:paraId="2A353842" w14:textId="77777777" w:rsidR="008C6316" w:rsidRDefault="008C6316" w:rsidP="008C6316">
      <w:pPr>
        <w:pStyle w:val="CDIFigures"/>
      </w:pPr>
      <w:r w:rsidRPr="008C6316">
        <w:lastRenderedPageBreak/>
        <w:t>Figure 59: Subtyped influenza virus samples, WHOCC versus NNDSS, Australia, 2015</w:t>
      </w:r>
    </w:p>
    <w:p w14:paraId="56BBFD3D" w14:textId="77777777" w:rsidR="009C5A97" w:rsidRDefault="00377064" w:rsidP="008C6316">
      <w:pPr>
        <w:pStyle w:val="CDIFigures"/>
      </w:pPr>
      <w:r>
        <w:rPr>
          <w:noProof/>
        </w:rPr>
        <w:drawing>
          <wp:inline distT="0" distB="0" distL="0" distR="0" wp14:anchorId="35086740" wp14:editId="3A921F4E">
            <wp:extent cx="6111943" cy="3733611"/>
            <wp:effectExtent l="0" t="0" r="3175" b="635"/>
            <wp:docPr id="3" name="Picture 3" descr="This figure compares the distribution of virus samples subtyped by WHOCC in 2015 with laboratory confirmed influenza notifications to the NNDSS by subtype. The figure demonstrates that the proportion of influenza B specimens submitted to WHOCC (67%) were roughly similar to the proportion of laboratory confirmed notifications in the NNDSS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VPD chapter Figures_50 to 85 for CDI _Page_10.jpg"/>
                    <pic:cNvPicPr/>
                  </pic:nvPicPr>
                  <pic:blipFill rotWithShape="1">
                    <a:blip r:embed="rId76" cstate="print">
                      <a:extLst>
                        <a:ext uri="{28A0092B-C50C-407E-A947-70E740481C1C}">
                          <a14:useLocalDpi xmlns:a14="http://schemas.microsoft.com/office/drawing/2010/main"/>
                        </a:ext>
                      </a:extLst>
                    </a:blip>
                    <a:srcRect r="-11"/>
                    <a:stretch/>
                  </pic:blipFill>
                  <pic:spPr bwMode="auto">
                    <a:xfrm>
                      <a:off x="0" y="0"/>
                      <a:ext cx="6135071" cy="3747739"/>
                    </a:xfrm>
                    <a:prstGeom prst="rect">
                      <a:avLst/>
                    </a:prstGeom>
                    <a:ln>
                      <a:noFill/>
                    </a:ln>
                    <a:extLst>
                      <a:ext uri="{53640926-AAD7-44D8-BBD7-CCE9431645EC}">
                        <a14:shadowObscured xmlns:a14="http://schemas.microsoft.com/office/drawing/2010/main"/>
                      </a:ext>
                    </a:extLst>
                  </pic:spPr>
                </pic:pic>
              </a:graphicData>
            </a:graphic>
          </wp:inline>
        </w:drawing>
      </w:r>
    </w:p>
    <w:p w14:paraId="04EEEF05" w14:textId="77777777" w:rsidR="00AC0D40" w:rsidRPr="008C6316" w:rsidRDefault="00687214" w:rsidP="008C6316">
      <w:pPr>
        <w:pStyle w:val="CDIFigures"/>
      </w:pPr>
      <w:r>
        <w:rPr>
          <w:noProof/>
        </w:rPr>
        <w:drawing>
          <wp:inline distT="0" distB="0" distL="0" distR="0" wp14:anchorId="1E6DC59D" wp14:editId="12254343">
            <wp:extent cx="6172580" cy="4274356"/>
            <wp:effectExtent l="0" t="0" r="0" b="0"/>
            <wp:docPr id="4" name="Picture 4" descr="This figure compares the distribution of virus samples subtyped by WHOCC in 2015 with laboratory confirmed influenza notifications to the NNDSS by subtype. The figure demonstrates that the proportion of influenza B specimens submitted to WHOCC (67%) were roughly similar to the proportion of laboratory confirmed notifications in the NNDSS (6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5-VPD chapter Figures_50 to 85 for CDI _Page_11.jpg"/>
                    <pic:cNvPicPr/>
                  </pic:nvPicPr>
                  <pic:blipFill rotWithShape="1">
                    <a:blip r:embed="rId77" cstate="print">
                      <a:extLst>
                        <a:ext uri="{28A0092B-C50C-407E-A947-70E740481C1C}">
                          <a14:useLocalDpi xmlns:a14="http://schemas.microsoft.com/office/drawing/2010/main"/>
                        </a:ext>
                      </a:extLst>
                    </a:blip>
                    <a:srcRect/>
                    <a:stretch/>
                  </pic:blipFill>
                  <pic:spPr bwMode="auto">
                    <a:xfrm>
                      <a:off x="0" y="0"/>
                      <a:ext cx="6186221" cy="4283802"/>
                    </a:xfrm>
                    <a:prstGeom prst="rect">
                      <a:avLst/>
                    </a:prstGeom>
                    <a:ln>
                      <a:noFill/>
                    </a:ln>
                    <a:extLst>
                      <a:ext uri="{53640926-AAD7-44D8-BBD7-CCE9431645EC}">
                        <a14:shadowObscured xmlns:a14="http://schemas.microsoft.com/office/drawing/2010/main"/>
                      </a:ext>
                    </a:extLst>
                  </pic:spPr>
                </pic:pic>
              </a:graphicData>
            </a:graphic>
          </wp:inline>
        </w:drawing>
      </w:r>
    </w:p>
    <w:p w14:paraId="5D544ED5" w14:textId="77777777" w:rsidR="00687214" w:rsidRDefault="00687214">
      <w:r>
        <w:br w:type="page"/>
      </w:r>
    </w:p>
    <w:p w14:paraId="06612E2E" w14:textId="77777777" w:rsidR="00BE61A2" w:rsidRPr="00AE2F1B" w:rsidRDefault="00BE61A2" w:rsidP="00AE2F1B">
      <w:r w:rsidRPr="00AE2F1B">
        <w:lastRenderedPageBreak/>
        <w:t xml:space="preserve">The WHOCC assessed the antigenic similarity of circulating influenza virus isolates to reference strains included in seasonal influenza vaccines using the haemagglutination inhibition assay. The 2015 seasonal trivalent influenza vaccines (TIVs) contained 2 changes from 2014 and included an A/California/7/2009 (H1N1)pdm09-like virus, an A/Switzerland/9715293/2013 (H3N2)-like virus and a B/Phuket/3073/2013-like virus (B/Yamagata lineage). The 2015 seasonal quadrivalent influenza vaccines (QIVs) contained a B/Brisbane/60/2008-like virus (B/Victoria lineage) in addition to the viruses contained within TIVs. TIVs were available through the NIP in 2015. As opposed to analyses in 2014, which found high proportions of low reactors to the B component of the TIV, analyses in 2015 found that a very small proportion of B/Yamagata lineage (2/631) viruses were low reactors to the influenza B component of the 2015 TIV. This demonstrates that the TIVs were an appropriate match to the circulating B lineages. Similarly, a small proportion of B/Victoria linage viruses (3/724) were low reactors to the additional influenza B component of the 2015 QIV. </w:t>
      </w:r>
    </w:p>
    <w:p w14:paraId="5935444C" w14:textId="77777777" w:rsidR="00BE61A2" w:rsidRPr="00AE2F1B" w:rsidRDefault="00BE61A2" w:rsidP="00AE2F1B">
      <w:r w:rsidRPr="00AE2F1B">
        <w:t xml:space="preserve">The majority of the A(H1N1)pdm09 isolates (218 of 221) were antigenically similar to the A(H1N1) component of the influenza vaccine (A/California/7/2009-like) which has been used each year since 2010. The remaining 3 (1.4%) isolates were characterised as ‘low </w:t>
      </w:r>
      <w:proofErr w:type="gramStart"/>
      <w:r w:rsidRPr="00AE2F1B">
        <w:t>reactors’</w:t>
      </w:r>
      <w:proofErr w:type="gramEnd"/>
      <w:r w:rsidRPr="00AE2F1B">
        <w:t xml:space="preserve">. This suggests that the A(H1N1) viruses which have been circulating since the 2009 pandemic continue to be genetically and antigenically stable. Similarly, approximately 1.9% (8/429) of A(H3N2) isolates with sufficient titre for haemagglutination inhibition assay were antigenically drifted from the A/Switzerland/9715293/2013-like vaccine strain and characterised as ‘low </w:t>
      </w:r>
      <w:proofErr w:type="gramStart"/>
      <w:r w:rsidRPr="00AE2F1B">
        <w:t>reactors’</w:t>
      </w:r>
      <w:proofErr w:type="gramEnd"/>
      <w:r w:rsidRPr="00AE2F1B">
        <w:t xml:space="preserve">. </w:t>
      </w:r>
    </w:p>
    <w:p w14:paraId="6B89EA2E" w14:textId="77777777" w:rsidR="00BE61A2" w:rsidRPr="00AE2F1B" w:rsidRDefault="00BE61A2" w:rsidP="00AE2F1B">
      <w:r w:rsidRPr="00AE2F1B">
        <w:t>Viruses submitted to the WHOCC in 2015 were also tested for sensitivity to the neuraminidase inhibitor class of antiviral drugs. Neuraminidase inhibition (NAI) assays were performed on 2,428 virus isolates, consisting of 1,269 influenza B, 210 influenza A(H1N1)pdm09 and 949 influenza A(H3N2) viruses. Reduced inhibition by oseltamivir was detected in a single A(H1N1)pdm09 isolate.</w:t>
      </w:r>
    </w:p>
    <w:p w14:paraId="24E9C6FF" w14:textId="77777777" w:rsidR="00BE61A2" w:rsidRPr="00AE2F1B" w:rsidRDefault="00BE61A2" w:rsidP="00AE2F1B">
      <w:r w:rsidRPr="00AE2F1B">
        <w:t>The WHO recommended changes to the influenza A(H3N2) and influenza B strains in TIVs for use in the 2016 influenza season. This included incorporating an A/Hong Kong/4801/2014 (H3N2)-like virus and B/Brisbane/60/2008-like virus (B/Victoria lineage) to the existing A/California/7/2009 (H1N1)pdm09-like virus. The WHO also recommended that 2016 QIVs include a B/Phuket/3073/2013-like virus (B/Yamagata lineage) in addition to the viruses contained with TIVs.</w:t>
      </w:r>
    </w:p>
    <w:p w14:paraId="3783E7D9" w14:textId="77777777" w:rsidR="00BE61A2" w:rsidRPr="0039362D" w:rsidRDefault="00BE61A2" w:rsidP="0010296C">
      <w:pPr>
        <w:pStyle w:val="Heading3"/>
      </w:pPr>
      <w:bookmarkStart w:id="139" w:name="_Toc1747293"/>
      <w:r w:rsidRPr="0039362D">
        <w:t>Enhanced surveillance data sets</w:t>
      </w:r>
      <w:bookmarkEnd w:id="139"/>
    </w:p>
    <w:p w14:paraId="5A62470C" w14:textId="77777777" w:rsidR="00BE61A2" w:rsidRPr="00AE2F1B" w:rsidRDefault="00BE61A2" w:rsidP="00AE2F1B">
      <w:r w:rsidRPr="00AE2F1B">
        <w:t xml:space="preserve">In addition to NNDSS data, a series of targeted influenza surveillance systems operated during 2015. Together these systems collected data which were used to describe the season with respect to epidemiology, morbidity, </w:t>
      </w:r>
      <w:proofErr w:type="gramStart"/>
      <w:r w:rsidRPr="00AE2F1B">
        <w:t>mortality</w:t>
      </w:r>
      <w:proofErr w:type="gramEnd"/>
      <w:r w:rsidRPr="00AE2F1B">
        <w:t xml:space="preserve"> and virology and supported the conclusions drawn from analyses of NNDSS notification data. Enhanced influenza surveillance was based on the following additional sources of data:</w:t>
      </w:r>
    </w:p>
    <w:p w14:paraId="074C81B0" w14:textId="77777777" w:rsidR="00BE61A2" w:rsidRPr="00902F77" w:rsidRDefault="00BE61A2" w:rsidP="00D762CF">
      <w:pPr>
        <w:pStyle w:val="ListParagraph"/>
        <w:numPr>
          <w:ilvl w:val="0"/>
          <w:numId w:val="2"/>
        </w:numPr>
        <w:rPr>
          <w:rFonts w:eastAsia="Times New Roman"/>
        </w:rPr>
      </w:pPr>
      <w:r w:rsidRPr="00902F77">
        <w:rPr>
          <w:rFonts w:eastAsia="Times New Roman"/>
        </w:rPr>
        <w:t>the number and proportion of calls to a national health call centre network for influenza or influenza-like illness (ILI</w:t>
      </w:r>
      <w:proofErr w:type="gramStart"/>
      <w:r w:rsidRPr="00902F77">
        <w:rPr>
          <w:rFonts w:eastAsia="Times New Roman"/>
        </w:rPr>
        <w:t>);</w:t>
      </w:r>
      <w:proofErr w:type="gramEnd"/>
      <w:r w:rsidRPr="00902F77">
        <w:rPr>
          <w:rFonts w:eastAsia="Times New Roman"/>
        </w:rPr>
        <w:t xml:space="preserve"> </w:t>
      </w:r>
    </w:p>
    <w:p w14:paraId="1D17E6C0" w14:textId="77777777" w:rsidR="00BE61A2" w:rsidRPr="00902F77" w:rsidRDefault="00BE61A2" w:rsidP="00D762CF">
      <w:pPr>
        <w:pStyle w:val="ListParagraph"/>
        <w:numPr>
          <w:ilvl w:val="0"/>
          <w:numId w:val="2"/>
        </w:numPr>
        <w:rPr>
          <w:rFonts w:eastAsia="Times New Roman"/>
        </w:rPr>
      </w:pPr>
      <w:r w:rsidRPr="00902F77">
        <w:rPr>
          <w:rFonts w:eastAsia="Times New Roman"/>
        </w:rPr>
        <w:t xml:space="preserve">rates of ILI from a community </w:t>
      </w:r>
      <w:proofErr w:type="gramStart"/>
      <w:r w:rsidRPr="00902F77">
        <w:rPr>
          <w:rFonts w:eastAsia="Times New Roman"/>
        </w:rPr>
        <w:t>survey;</w:t>
      </w:r>
      <w:proofErr w:type="gramEnd"/>
      <w:r w:rsidRPr="00902F77">
        <w:rPr>
          <w:rFonts w:eastAsia="Times New Roman"/>
        </w:rPr>
        <w:t xml:space="preserve"> </w:t>
      </w:r>
    </w:p>
    <w:p w14:paraId="38FC14DD" w14:textId="77777777" w:rsidR="00BE61A2" w:rsidRPr="00902F77" w:rsidRDefault="00BE61A2" w:rsidP="00D762CF">
      <w:pPr>
        <w:pStyle w:val="ListParagraph"/>
        <w:numPr>
          <w:ilvl w:val="0"/>
          <w:numId w:val="2"/>
        </w:numPr>
        <w:rPr>
          <w:rFonts w:eastAsia="Times New Roman"/>
        </w:rPr>
      </w:pPr>
      <w:r w:rsidRPr="00902F77">
        <w:rPr>
          <w:rFonts w:eastAsia="Times New Roman"/>
        </w:rPr>
        <w:t xml:space="preserve">consultation rates for ILI identified by sentinel general </w:t>
      </w:r>
      <w:proofErr w:type="gramStart"/>
      <w:r w:rsidRPr="00902F77">
        <w:rPr>
          <w:rFonts w:eastAsia="Times New Roman"/>
        </w:rPr>
        <w:t>practitioners;</w:t>
      </w:r>
      <w:proofErr w:type="gramEnd"/>
      <w:r w:rsidRPr="00902F77">
        <w:rPr>
          <w:rFonts w:eastAsia="Times New Roman"/>
        </w:rPr>
        <w:t xml:space="preserve"> </w:t>
      </w:r>
    </w:p>
    <w:p w14:paraId="39B93635" w14:textId="77777777" w:rsidR="00BE61A2" w:rsidRPr="00902F77" w:rsidRDefault="00BE61A2" w:rsidP="00D762CF">
      <w:pPr>
        <w:pStyle w:val="ListParagraph"/>
        <w:numPr>
          <w:ilvl w:val="0"/>
          <w:numId w:val="2"/>
        </w:numPr>
        <w:rPr>
          <w:rFonts w:eastAsia="Times New Roman"/>
        </w:rPr>
      </w:pPr>
      <w:r w:rsidRPr="00902F77">
        <w:rPr>
          <w:rFonts w:eastAsia="Times New Roman"/>
        </w:rPr>
        <w:t xml:space="preserve">consultation rates for ILI identified by hospital emergency departments in Western Australia, New South Wales and the Northern </w:t>
      </w:r>
      <w:proofErr w:type="gramStart"/>
      <w:r w:rsidRPr="00902F77">
        <w:rPr>
          <w:rFonts w:eastAsia="Times New Roman"/>
        </w:rPr>
        <w:t>Territory;</w:t>
      </w:r>
      <w:proofErr w:type="gramEnd"/>
      <w:r w:rsidRPr="00902F77">
        <w:rPr>
          <w:rFonts w:eastAsia="Times New Roman"/>
        </w:rPr>
        <w:t xml:space="preserve"> </w:t>
      </w:r>
    </w:p>
    <w:p w14:paraId="11615384" w14:textId="77777777" w:rsidR="00BE61A2" w:rsidRPr="00902F77" w:rsidRDefault="00BE61A2" w:rsidP="00D762CF">
      <w:pPr>
        <w:pStyle w:val="ListParagraph"/>
        <w:numPr>
          <w:ilvl w:val="0"/>
          <w:numId w:val="2"/>
        </w:numPr>
        <w:rPr>
          <w:rFonts w:eastAsia="Times New Roman"/>
        </w:rPr>
      </w:pPr>
      <w:r w:rsidRPr="00902F77">
        <w:rPr>
          <w:rFonts w:eastAsia="Times New Roman"/>
        </w:rPr>
        <w:t xml:space="preserve">hospitalised cases of influenza from 17 sentinel hospitals (adult and paediatric) across </w:t>
      </w:r>
      <w:proofErr w:type="gramStart"/>
      <w:r w:rsidRPr="00902F77">
        <w:rPr>
          <w:rFonts w:eastAsia="Times New Roman"/>
        </w:rPr>
        <w:t>Australia;</w:t>
      </w:r>
      <w:proofErr w:type="gramEnd"/>
      <w:r w:rsidRPr="00902F77">
        <w:rPr>
          <w:rFonts w:eastAsia="Times New Roman"/>
        </w:rPr>
        <w:t xml:space="preserve"> </w:t>
      </w:r>
    </w:p>
    <w:p w14:paraId="5DCDB4A3" w14:textId="77777777" w:rsidR="00BE61A2" w:rsidRPr="00902F77" w:rsidRDefault="00BE61A2" w:rsidP="00D762CF">
      <w:pPr>
        <w:pStyle w:val="ListParagraph"/>
        <w:numPr>
          <w:ilvl w:val="0"/>
          <w:numId w:val="2"/>
        </w:numPr>
        <w:rPr>
          <w:rFonts w:eastAsia="Times New Roman"/>
        </w:rPr>
      </w:pPr>
      <w:r w:rsidRPr="00902F77">
        <w:rPr>
          <w:rFonts w:eastAsia="Times New Roman"/>
        </w:rPr>
        <w:t xml:space="preserve">mortality data from the New South Wales Registry of Births, </w:t>
      </w:r>
      <w:proofErr w:type="gramStart"/>
      <w:r w:rsidRPr="00902F77">
        <w:rPr>
          <w:rFonts w:eastAsia="Times New Roman"/>
        </w:rPr>
        <w:t>Deaths</w:t>
      </w:r>
      <w:proofErr w:type="gramEnd"/>
      <w:r w:rsidRPr="00902F77">
        <w:rPr>
          <w:rFonts w:eastAsia="Times New Roman"/>
        </w:rPr>
        <w:t xml:space="preserve"> and Marriages; and </w:t>
      </w:r>
    </w:p>
    <w:p w14:paraId="3797A835" w14:textId="77777777" w:rsidR="00BE61A2" w:rsidRPr="00902F77" w:rsidRDefault="00BE61A2" w:rsidP="00D762CF">
      <w:pPr>
        <w:pStyle w:val="ListParagraph"/>
        <w:numPr>
          <w:ilvl w:val="0"/>
          <w:numId w:val="2"/>
        </w:numPr>
        <w:rPr>
          <w:rFonts w:eastAsia="Times New Roman"/>
        </w:rPr>
      </w:pPr>
      <w:r w:rsidRPr="00902F77">
        <w:rPr>
          <w:rFonts w:eastAsia="Times New Roman"/>
        </w:rPr>
        <w:t xml:space="preserve">typing and subtyping for influenza from sentinel laboratories in New South Wales, Victoria, Western </w:t>
      </w:r>
      <w:proofErr w:type="gramStart"/>
      <w:r w:rsidRPr="00902F77">
        <w:rPr>
          <w:rFonts w:eastAsia="Times New Roman"/>
        </w:rPr>
        <w:t>Australia</w:t>
      </w:r>
      <w:proofErr w:type="gramEnd"/>
      <w:r w:rsidRPr="00902F77">
        <w:rPr>
          <w:rFonts w:eastAsia="Times New Roman"/>
        </w:rPr>
        <w:t xml:space="preserve"> and Tasmania. </w:t>
      </w:r>
    </w:p>
    <w:p w14:paraId="501CCEAC" w14:textId="77777777" w:rsidR="00BE61A2" w:rsidRPr="00AE2F1B" w:rsidRDefault="00BE61A2" w:rsidP="00AE2F1B">
      <w:r w:rsidRPr="00AE2F1B">
        <w:lastRenderedPageBreak/>
        <w:t xml:space="preserve">These data sources were used to inform the overall picture of influenza activity in Australia. Comprehensive analysis of these data was provided in the fortnightly Australian Influenza Surveillance Report, which was published during the season, and in the annual National Influenza Surveillance Scheme report published in CDI. </w:t>
      </w:r>
    </w:p>
    <w:p w14:paraId="7C317904" w14:textId="77777777" w:rsidR="00BE61A2" w:rsidRPr="00AE2F1B" w:rsidRDefault="00BE61A2" w:rsidP="00924A50">
      <w:pPr>
        <w:pStyle w:val="Heading3"/>
      </w:pPr>
      <w:bookmarkStart w:id="140" w:name="_Toc1747294"/>
      <w:r w:rsidRPr="00924A50">
        <w:rPr>
          <w:bCs w:val="0"/>
        </w:rPr>
        <w:t>Discussion</w:t>
      </w:r>
      <w:bookmarkEnd w:id="140"/>
    </w:p>
    <w:p w14:paraId="10FC9B2C" w14:textId="77777777" w:rsidR="00BE61A2" w:rsidRPr="00AE2F1B" w:rsidRDefault="00BE61A2" w:rsidP="00AE2F1B">
      <w:r w:rsidRPr="00AE2F1B">
        <w:t>The 2015 influenza season in Australia was characterised by the predominant circulation of influenza B viruses throughout the season, accounting for 60% of notified cases of laboratory confirmed influenza. Rates of influenza were highest among children aged less than 10 years and the elderly (aged 85 years and older), resulting in a bimodal age distribution.</w:t>
      </w:r>
    </w:p>
    <w:p w14:paraId="45D99F41" w14:textId="77777777" w:rsidR="00BE61A2" w:rsidRPr="00AE2F1B" w:rsidRDefault="00BE61A2" w:rsidP="00AE2F1B">
      <w:r w:rsidRPr="00AE2F1B">
        <w:t>The seasonal increase in notifications of laboratory confirmed influenza began in early June and reached a peak in mid-August. Notifications reported in the peak week, as well as total notifications reported in 2015, exceeded all previous years. Record numbers of notifications were also reported in the 2014–15 inter-seasonal period, suggesting a change in testing practices. This is further supported by data from the national sentinel general practice surveillance system, which shows that rates of ILI among people visiting general practitioners were similar to recent</w:t>
      </w:r>
      <w:r w:rsidR="00122963">
        <w:t> </w:t>
      </w:r>
      <w:r w:rsidRPr="00AE2F1B">
        <w:t>years.</w:t>
      </w:r>
      <w:r w:rsidRPr="00AE2F1B">
        <w:rPr>
          <w:vertAlign w:val="superscript"/>
        </w:rPr>
        <w:t>76</w:t>
      </w:r>
      <w:r w:rsidRPr="00AE2F1B">
        <w:t xml:space="preserve"> </w:t>
      </w:r>
    </w:p>
    <w:p w14:paraId="48BF6A43" w14:textId="77777777" w:rsidR="00BE61A2" w:rsidRPr="00AE2F1B" w:rsidRDefault="00BE61A2" w:rsidP="00AE2F1B">
      <w:proofErr w:type="gramStart"/>
      <w:r w:rsidRPr="00AE2F1B">
        <w:t>Taking into account</w:t>
      </w:r>
      <w:proofErr w:type="gramEnd"/>
      <w:r w:rsidRPr="00AE2F1B">
        <w:t xml:space="preserve"> additional data from other targeted influenza surveillance systems monitored throughout the season, the severity of the 2015 influenza season was moderate across most jurisdictions. While there was a marked increase in the rates of notifications, presentations to emergency departments remained within the range experienced in recent years; however, some jurisdictions reported elevated presentations either widespread or regionally at the peak of the season. There were similar numbers of admissions to sentinel hospitals reported as in 2014; however, the overall proportion of patients admitted directly to intensive care units (ICUs) was less. Admissions to ICUs due to influenza A and influenza B were reported at similar proportions, suggesting that, at a </w:t>
      </w:r>
      <w:proofErr w:type="gramStart"/>
      <w:r w:rsidRPr="00AE2F1B">
        <w:t>type</w:t>
      </w:r>
      <w:proofErr w:type="gramEnd"/>
      <w:r w:rsidRPr="00AE2F1B">
        <w:t xml:space="preserve"> level, clinical severity was similar. Influenza-associated deaths remained fairly static, and were mostly attributable to association with influenza A. This may suggest the predilection for influenza A, particularly influenza A (H3N2), to affect people in older, more vulnerable age groups, leading to heightened mortality associated with influenza A in comparison to influenza B. </w:t>
      </w:r>
    </w:p>
    <w:p w14:paraId="725C6A86" w14:textId="77777777" w:rsidR="00BE61A2" w:rsidRPr="004E056D" w:rsidRDefault="00BE61A2" w:rsidP="004E056D">
      <w:pPr>
        <w:pStyle w:val="Heading2"/>
      </w:pPr>
      <w:bookmarkStart w:id="141" w:name="_Toc1747295"/>
      <w:r w:rsidRPr="004E056D">
        <w:rPr>
          <w:bCs w:val="0"/>
          <w:sz w:val="27"/>
          <w:szCs w:val="27"/>
        </w:rPr>
        <w:t>Measles</w:t>
      </w:r>
      <w:bookmarkEnd w:id="141"/>
      <w:r w:rsidRPr="004E056D">
        <w:rPr>
          <w:bCs w:val="0"/>
          <w:sz w:val="27"/>
          <w:szCs w:val="27"/>
        </w:rPr>
        <w:t xml:space="preserve"> </w:t>
      </w:r>
    </w:p>
    <w:p w14:paraId="5E6F7CE1" w14:textId="77777777" w:rsidR="00BE61A2" w:rsidRPr="00902F77" w:rsidRDefault="00BE61A2" w:rsidP="00D762CF">
      <w:pPr>
        <w:pStyle w:val="ListParagraph"/>
        <w:numPr>
          <w:ilvl w:val="0"/>
          <w:numId w:val="2"/>
        </w:numPr>
        <w:rPr>
          <w:rFonts w:eastAsia="Times New Roman"/>
        </w:rPr>
      </w:pPr>
      <w:r w:rsidRPr="00902F77">
        <w:rPr>
          <w:rFonts w:eastAsia="Times New Roman"/>
        </w:rPr>
        <w:t xml:space="preserve">Australia was certified by the World Health Organization (WHO) as achieving endemic measles elimination in 2014. </w:t>
      </w:r>
    </w:p>
    <w:p w14:paraId="7616BAA6" w14:textId="77777777" w:rsidR="00BE61A2" w:rsidRPr="00902F77" w:rsidRDefault="00BE61A2" w:rsidP="00D762CF">
      <w:pPr>
        <w:pStyle w:val="ListParagraph"/>
        <w:numPr>
          <w:ilvl w:val="0"/>
          <w:numId w:val="2"/>
        </w:numPr>
        <w:rPr>
          <w:rFonts w:eastAsia="Times New Roman"/>
        </w:rPr>
      </w:pPr>
      <w:r w:rsidRPr="00902F77">
        <w:rPr>
          <w:rFonts w:eastAsia="Times New Roman"/>
        </w:rPr>
        <w:t xml:space="preserve">There were 74 cases of measles notified in 2015, representing a national notification rate of 0.3 per 100,000 population. </w:t>
      </w:r>
    </w:p>
    <w:p w14:paraId="61035642" w14:textId="77777777" w:rsidR="00BE61A2" w:rsidRPr="00902F77" w:rsidRDefault="00BE61A2" w:rsidP="00D762CF">
      <w:pPr>
        <w:pStyle w:val="ListParagraph"/>
        <w:numPr>
          <w:ilvl w:val="0"/>
          <w:numId w:val="2"/>
        </w:numPr>
        <w:rPr>
          <w:rFonts w:eastAsia="Times New Roman"/>
        </w:rPr>
      </w:pPr>
      <w:r w:rsidRPr="00902F77">
        <w:rPr>
          <w:rFonts w:eastAsia="Times New Roman"/>
        </w:rPr>
        <w:t xml:space="preserve">Eighty-four per cent of cases were either imported or import related. </w:t>
      </w:r>
    </w:p>
    <w:p w14:paraId="581107CE" w14:textId="77777777" w:rsidR="00BE61A2" w:rsidRPr="00902F77" w:rsidRDefault="00BE61A2" w:rsidP="00D762CF">
      <w:pPr>
        <w:pStyle w:val="ListParagraph"/>
        <w:numPr>
          <w:ilvl w:val="0"/>
          <w:numId w:val="2"/>
        </w:numPr>
        <w:rPr>
          <w:rFonts w:eastAsia="Times New Roman"/>
        </w:rPr>
      </w:pPr>
      <w:r w:rsidRPr="00902F77">
        <w:rPr>
          <w:rFonts w:eastAsia="Times New Roman"/>
        </w:rPr>
        <w:t xml:space="preserve">There were 11 outbreaks of measles in Australia in 2015. The median duration of these outbreaks was 23 days, and the median number of cases was 4 (range 2: to 11 cases). </w:t>
      </w:r>
    </w:p>
    <w:p w14:paraId="20653DE8" w14:textId="77777777" w:rsidR="00BE61A2" w:rsidRPr="00902F77" w:rsidRDefault="00BE61A2" w:rsidP="00D762CF">
      <w:pPr>
        <w:pStyle w:val="ListParagraph"/>
        <w:numPr>
          <w:ilvl w:val="0"/>
          <w:numId w:val="2"/>
        </w:numPr>
        <w:rPr>
          <w:rFonts w:eastAsia="Times New Roman"/>
        </w:rPr>
      </w:pPr>
      <w:r w:rsidRPr="00902F77">
        <w:rPr>
          <w:rFonts w:eastAsia="Times New Roman"/>
        </w:rPr>
        <w:t xml:space="preserve">The largest outbreak of measles in 2015 consisted of 11 cases and lasted 60 days. </w:t>
      </w:r>
    </w:p>
    <w:p w14:paraId="6704BF7A" w14:textId="77777777" w:rsidR="00BE61A2" w:rsidRPr="00AE2F1B" w:rsidRDefault="00BE61A2" w:rsidP="00AE2F1B">
      <w:r w:rsidRPr="00AE2F1B">
        <w:t>Measles is a highly infectious acute viral illness, caused by the measles virus, that is spread by respiratory secretions, including aerosol transmission.</w:t>
      </w:r>
      <w:r w:rsidRPr="00AE2F1B">
        <w:rPr>
          <w:vertAlign w:val="superscript"/>
        </w:rPr>
        <w:t>77</w:t>
      </w:r>
      <w:r w:rsidRPr="00AE2F1B">
        <w:t xml:space="preserve"> Initial symptoms last 2 to 4 days and are characterised by fever and malaise, followed by a cough, coryza and conjunctivitis. It is usually followed by a red blotchy rash, which typically begins on the face, and then becomes generalised. Measles is often a severe disease with complications more common in the chronically ill, including otitis media, pneumonia, </w:t>
      </w:r>
      <w:proofErr w:type="gramStart"/>
      <w:r w:rsidRPr="00AE2F1B">
        <w:t>diarrhoea</w:t>
      </w:r>
      <w:proofErr w:type="gramEnd"/>
      <w:r w:rsidRPr="00AE2F1B">
        <w:t xml:space="preserve"> and acute encephalitis.</w:t>
      </w:r>
      <w:r w:rsidRPr="00AE2F1B">
        <w:rPr>
          <w:vertAlign w:val="superscript"/>
        </w:rPr>
        <w:t>78</w:t>
      </w:r>
      <w:r w:rsidRPr="00AE2F1B">
        <w:t xml:space="preserve"> Subacute sclerosing panencephalitis is a late and rare (approximately 1 in 100,000 cases) complication of measles caused by persistent infection and is always fatal.</w:t>
      </w:r>
      <w:r w:rsidRPr="00AE2F1B">
        <w:rPr>
          <w:vertAlign w:val="superscript"/>
        </w:rPr>
        <w:t>29</w:t>
      </w:r>
      <w:r w:rsidRPr="00AE2F1B">
        <w:t xml:space="preserve"> Complications are more common in children under 5 years of age and in adults over 20 years of age.</w:t>
      </w:r>
      <w:r w:rsidRPr="00AE2F1B">
        <w:rPr>
          <w:vertAlign w:val="superscript"/>
        </w:rPr>
        <w:t>79</w:t>
      </w:r>
      <w:r w:rsidRPr="00AE2F1B">
        <w:t xml:space="preserve"> </w:t>
      </w:r>
    </w:p>
    <w:p w14:paraId="3C328F20" w14:textId="77777777" w:rsidR="00BE61A2" w:rsidRPr="00AE2F1B" w:rsidRDefault="00BE61A2" w:rsidP="00924A50">
      <w:pPr>
        <w:pStyle w:val="Heading3"/>
      </w:pPr>
      <w:bookmarkStart w:id="142" w:name="_Toc1747296"/>
      <w:r w:rsidRPr="00924A50">
        <w:rPr>
          <w:bCs w:val="0"/>
        </w:rPr>
        <w:lastRenderedPageBreak/>
        <w:t>Epidemiological situation in 2015</w:t>
      </w:r>
      <w:bookmarkEnd w:id="142"/>
    </w:p>
    <w:p w14:paraId="7AA9965D" w14:textId="77777777" w:rsidR="00BE61A2" w:rsidRDefault="00BE61A2" w:rsidP="00AE2F1B">
      <w:r w:rsidRPr="00AE2F1B">
        <w:t>In 2015, there were 74 notifications of measles, representing a notification rate of 0.3 per 100,000, the lowest rate since 2010. Compared with 2014 (n=339), measles notifications decreased by 78% (n=74) in 2015 (Figure 60) and were below the 5-year mean of 192 cases. Measles cases occurred in all states and territories in 2015, except for the Northern Territory and Tasmania, with 41% of cases occurring in Victoria (n=30) (Figure 60).</w:t>
      </w:r>
    </w:p>
    <w:p w14:paraId="56FA6286" w14:textId="77777777" w:rsidR="00F44F92" w:rsidRDefault="00F44F92" w:rsidP="00F44F92">
      <w:pPr>
        <w:pStyle w:val="CDIFigures"/>
      </w:pPr>
      <w:r w:rsidRPr="00F44F92">
        <w:t>Figure 60: Notifications and notification rate for measles, Australia, 1998 to 2015, by year</w:t>
      </w:r>
    </w:p>
    <w:p w14:paraId="5EA28884" w14:textId="77777777" w:rsidR="009F1781" w:rsidRPr="00F44F92" w:rsidRDefault="0021477A" w:rsidP="00F44F92">
      <w:pPr>
        <w:pStyle w:val="CDIFigures"/>
      </w:pPr>
      <w:r>
        <w:pict w14:anchorId="7442D6D2">
          <v:shape id="_x0000_i1081" type="#_x0000_t75" alt="This figure shows the notifications and notification rate for measles in Australia between 1998 and 2015. It demonstrates a downward trend between 1998 and 2010 in the notification rate of measles since the implementation of the Measles Control Campaign in 1998. Measles notifications increased from 2011 to 2014, coinciding with multiple outbreaks of measles, most of which were associated with imported cases from countries were measles remains endemic. The number of measles cases in 2015 decreased, falling to the same number of notifications seen in 2010.&#10;" style="width:520.8pt;height:307.2pt">
            <v:imagedata r:id="rId78" o:title="5-VPD chapter Figures_50 to 85 for CDI _Page_12"/>
          </v:shape>
        </w:pict>
      </w:r>
    </w:p>
    <w:p w14:paraId="1C5C27FE" w14:textId="77777777" w:rsidR="00BE61A2" w:rsidRDefault="00BE61A2" w:rsidP="00AE2F1B">
      <w:r w:rsidRPr="00AE2F1B">
        <w:t>In temperate climates and where measles transmission remains endemic, the majority of cases usually occur in late winter to early spring.</w:t>
      </w:r>
      <w:r w:rsidRPr="00AE2F1B">
        <w:rPr>
          <w:vertAlign w:val="superscript"/>
        </w:rPr>
        <w:t>80</w:t>
      </w:r>
      <w:r w:rsidRPr="00AE2F1B">
        <w:t xml:space="preserve"> In Australia, this seasonal pattern is no longer evident (Figure 61).</w:t>
      </w:r>
    </w:p>
    <w:p w14:paraId="1676EE4D" w14:textId="77777777" w:rsidR="00D65E3B" w:rsidRDefault="00D65E3B">
      <w:pPr>
        <w:rPr>
          <w:b/>
        </w:rPr>
      </w:pPr>
      <w:r>
        <w:br w:type="page"/>
      </w:r>
    </w:p>
    <w:p w14:paraId="6BA0CE32" w14:textId="77777777" w:rsidR="00F44F92" w:rsidRDefault="00F44F92" w:rsidP="00F44F92">
      <w:pPr>
        <w:pStyle w:val="CDIFigures"/>
      </w:pPr>
      <w:r w:rsidRPr="00F44F92">
        <w:lastRenderedPageBreak/>
        <w:t>Figure 61: Notifications of measles, Australia, 2010 to 2015, by month, year and state or territory</w:t>
      </w:r>
    </w:p>
    <w:p w14:paraId="13134648" w14:textId="77777777" w:rsidR="00D65E3B" w:rsidRPr="00F44F92" w:rsidRDefault="0021477A" w:rsidP="00F44F92">
      <w:pPr>
        <w:pStyle w:val="CDIFigures"/>
      </w:pPr>
      <w:r>
        <w:pict w14:anchorId="43383EBC">
          <v:shape id="_x0000_i1082" type="#_x0000_t75" alt="This figure shows the notifications of measles in Australia between 2010 and 2015 stratified by month and state or territory. This figure demonstrates the absence of a seasonal peak for measles in Australia. &#10;" style="width:522.6pt;height:327pt">
            <v:imagedata r:id="rId79" o:title="5-VPD chapter Figures_50 to 85 for CDI _Page_13"/>
          </v:shape>
        </w:pict>
      </w:r>
    </w:p>
    <w:p w14:paraId="657C0435" w14:textId="77777777" w:rsidR="00BE61A2" w:rsidRPr="00AE2F1B" w:rsidRDefault="00BE61A2" w:rsidP="00902F77">
      <w:pPr>
        <w:pStyle w:val="Heading3"/>
      </w:pPr>
      <w:bookmarkStart w:id="143" w:name="_Toc1747297"/>
      <w:r w:rsidRPr="00AE2F1B">
        <w:t>Age and sex distribution</w:t>
      </w:r>
      <w:bookmarkEnd w:id="143"/>
    </w:p>
    <w:p w14:paraId="61BA4D1A" w14:textId="77777777" w:rsidR="00BE61A2" w:rsidRDefault="00BE61A2" w:rsidP="00AE2F1B">
      <w:r w:rsidRPr="00AE2F1B">
        <w:t>In the 2015, the majority of measles cases were male (55%, n=41). There was a wide variation in the male to female rate ratio across the age groups (Figure 62).</w:t>
      </w:r>
    </w:p>
    <w:p w14:paraId="432CD535" w14:textId="77777777" w:rsidR="00897B1E" w:rsidRDefault="00897B1E">
      <w:pPr>
        <w:rPr>
          <w:b/>
        </w:rPr>
      </w:pPr>
      <w:r>
        <w:br w:type="page"/>
      </w:r>
    </w:p>
    <w:p w14:paraId="29FC2846" w14:textId="77777777" w:rsidR="003F0763" w:rsidRDefault="003F0763" w:rsidP="003F0763">
      <w:pPr>
        <w:pStyle w:val="CDIFigures"/>
      </w:pPr>
      <w:r w:rsidRPr="003F0763">
        <w:lastRenderedPageBreak/>
        <w:t>Figure 62: Notification rate for measles, Australia, 2015 by age group and sex</w:t>
      </w:r>
    </w:p>
    <w:p w14:paraId="49A1CCFC" w14:textId="77777777" w:rsidR="00897B1E" w:rsidRPr="003F0763" w:rsidRDefault="0021477A" w:rsidP="003F0763">
      <w:pPr>
        <w:pStyle w:val="CDIFigures"/>
      </w:pPr>
      <w:r>
        <w:pict w14:anchorId="5FCB834B">
          <v:shape id="_x0000_i1083" type="#_x0000_t75" alt="This figure shows the notification rate of measles in 2015 in Australia by age group and sex. The figure shows the highest notification rates for both males and females occurred in the 0 to 4 years age group." style="width:522.6pt;height:351.6pt">
            <v:imagedata r:id="rId80" o:title="5-VPD chapter Figures_50 to 85 for CDI _Page_14"/>
          </v:shape>
        </w:pict>
      </w:r>
    </w:p>
    <w:p w14:paraId="5F41CB4B" w14:textId="77777777" w:rsidR="00BE61A2" w:rsidRDefault="00BE61A2" w:rsidP="00AE2F1B">
      <w:r w:rsidRPr="00AE2F1B">
        <w:t>In 2015, age at diagnosis ranged from 0 to 54 years, with a median of 21 years. Compared with 2014, notifications decreased in all age groups. Consistent with recent years, infants less than 1 year of age had the highest age-specific rate (3.0 per 100,000, n=9) in 2015. Overall, rates have remained below 2.5 per 100,000 in all age groups from 2010 to 2015, with the exception of the less than 1 year age group from 2011 to 2015 and the 10–19 years age group in 2014 (Figure 63).</w:t>
      </w:r>
    </w:p>
    <w:p w14:paraId="7A20DDB9" w14:textId="77777777" w:rsidR="009B65BB" w:rsidRDefault="009B65BB">
      <w:pPr>
        <w:rPr>
          <w:b/>
        </w:rPr>
      </w:pPr>
      <w:r>
        <w:br w:type="page"/>
      </w:r>
    </w:p>
    <w:p w14:paraId="59E70E79" w14:textId="77777777" w:rsidR="00B20B39" w:rsidRDefault="00B20B39" w:rsidP="00B20B39">
      <w:pPr>
        <w:pStyle w:val="CDIFigures"/>
      </w:pPr>
      <w:r w:rsidRPr="00B20B39">
        <w:lastRenderedPageBreak/>
        <w:t>Figure 63: Notification rate for measles, Australia, 2010 to 2015, by year and selected age groups</w:t>
      </w:r>
    </w:p>
    <w:p w14:paraId="10231300" w14:textId="77777777" w:rsidR="009B65BB" w:rsidRPr="00B20B39" w:rsidRDefault="0021477A" w:rsidP="00B20B39">
      <w:pPr>
        <w:pStyle w:val="CDIFigures"/>
      </w:pPr>
      <w:r>
        <w:pict w14:anchorId="1D78BBA6">
          <v:shape id="_x0000_i1084" type="#_x0000_t75" alt="This figure shows the notification rate for measles in Australia between 2010 and 2015 by selected age groups. This figure shows infants less than 1 year of age have had the highest rates since 2010." style="width:522.6pt;height:313.2pt">
            <v:imagedata r:id="rId81" o:title="5-VPD chapter Figures_50 to 85 for CDI _Page_15"/>
          </v:shape>
        </w:pict>
      </w:r>
    </w:p>
    <w:p w14:paraId="2C9C8EB7" w14:textId="77777777" w:rsidR="00BE61A2" w:rsidRPr="00AE2F1B" w:rsidRDefault="00BE61A2" w:rsidP="00AE2F1B">
      <w:r w:rsidRPr="00AE2F1B">
        <w:t>Sixteen per cent of cases (n=12) occurred in those born between 1974 and 1980 (35 to 41 years old in 2015), a cohort previously identified as susceptible to measles infection.</w:t>
      </w:r>
      <w:r w:rsidRPr="00AE2F1B">
        <w:rPr>
          <w:vertAlign w:val="superscript"/>
        </w:rPr>
        <w:t>81</w:t>
      </w:r>
      <w:r w:rsidRPr="00AE2F1B">
        <w:t xml:space="preserve"> In 2015, there was only one case that was born before 1966, a cohort that is considered to have high levels of natural immunity.</w:t>
      </w:r>
      <w:r w:rsidRPr="00AE2F1B">
        <w:rPr>
          <w:vertAlign w:val="superscript"/>
        </w:rPr>
        <w:t>82</w:t>
      </w:r>
      <w:r w:rsidRPr="00AE2F1B">
        <w:t xml:space="preserve"> </w:t>
      </w:r>
    </w:p>
    <w:p w14:paraId="0D1BC04D" w14:textId="77777777" w:rsidR="00BE61A2" w:rsidRPr="00AE2F1B" w:rsidRDefault="00BE61A2" w:rsidP="00902F77">
      <w:pPr>
        <w:pStyle w:val="Heading3"/>
      </w:pPr>
      <w:bookmarkStart w:id="144" w:name="_Toc1747298"/>
      <w:r w:rsidRPr="00AE2F1B">
        <w:t>Immunisation status</w:t>
      </w:r>
      <w:bookmarkEnd w:id="144"/>
    </w:p>
    <w:p w14:paraId="7CACF7D3" w14:textId="77777777" w:rsidR="00BE61A2" w:rsidRPr="00AE2F1B" w:rsidRDefault="00BE61A2" w:rsidP="00AE2F1B">
      <w:r w:rsidRPr="00AE2F1B">
        <w:t xml:space="preserve">In 2015, the measles vaccine was provided in the combined measles-mumps-rubella (MMR) or measles-mumps-rubella-varicella (MMRV) vaccines. The MMR and MMRV vaccine </w:t>
      </w:r>
      <w:proofErr w:type="gramStart"/>
      <w:r w:rsidRPr="00AE2F1B">
        <w:t>induces</w:t>
      </w:r>
      <w:proofErr w:type="gramEnd"/>
      <w:r w:rsidRPr="00AE2F1B">
        <w:t xml:space="preserve"> long term measles immunity in 95% of recipients after a single dose and 99% of recipients after the second dose.</w:t>
      </w:r>
      <w:r w:rsidRPr="00AE2F1B">
        <w:rPr>
          <w:vertAlign w:val="superscript"/>
        </w:rPr>
        <w:t>29</w:t>
      </w:r>
      <w:r w:rsidRPr="00AE2F1B">
        <w:t xml:space="preserve"> Two doses of measles-containing vaccine are recommended for all people born during or after 1966.</w:t>
      </w:r>
      <w:r w:rsidRPr="00AE2F1B">
        <w:rPr>
          <w:vertAlign w:val="superscript"/>
        </w:rPr>
        <w:t>83</w:t>
      </w:r>
      <w:r w:rsidRPr="00AE2F1B">
        <w:t xml:space="preserve"> </w:t>
      </w:r>
    </w:p>
    <w:p w14:paraId="12AC6027" w14:textId="77777777" w:rsidR="00BE61A2" w:rsidRDefault="00BE61A2" w:rsidP="00AE2F1B">
      <w:r w:rsidRPr="00AE2F1B">
        <w:t>Of the 74 cases notified in 2015, 86% (n=64) were born after 1965 or were 12 months of age or older, and therefore were eligible for at least 1 funded dose of a measles containing vaccine. Seventy-three per cent (n=47) of eligible cases were reported as either unvaccinated (39%, 25/64) or of unknown immunisation status (34%, 22/64). The remaining 27% (n=17) were reported as vaccinated, of whom 4 were fully vaccinated with 2 doses of a measles-containing vaccine and 13 were partially vaccinated with 1 dose (Figure 64). In 2015, all cases aged less than 15 years (n=26) were reported with an immunisation status. In contrast, 47% (22/47) of cases aged 15 years and older were reported with an unknown immunisation status (Figure 64).</w:t>
      </w:r>
    </w:p>
    <w:p w14:paraId="79F16D70" w14:textId="77777777" w:rsidR="008F6B81" w:rsidRDefault="008F6B81">
      <w:pPr>
        <w:rPr>
          <w:b/>
        </w:rPr>
      </w:pPr>
      <w:r>
        <w:br w:type="page"/>
      </w:r>
    </w:p>
    <w:p w14:paraId="3E006783" w14:textId="77777777" w:rsidR="006C4700" w:rsidRDefault="006C4700" w:rsidP="006C4700">
      <w:pPr>
        <w:pStyle w:val="CDIFigures"/>
      </w:pPr>
      <w:r w:rsidRPr="006C4700">
        <w:lastRenderedPageBreak/>
        <w:t>Figure 64: Notifications of measles, Australia, 2015, by immunisation status and age groups</w:t>
      </w:r>
    </w:p>
    <w:p w14:paraId="308FCFF4" w14:textId="77777777" w:rsidR="008F6B81" w:rsidRPr="006C4700" w:rsidRDefault="0021477A" w:rsidP="006C4700">
      <w:pPr>
        <w:pStyle w:val="CDIFigures"/>
      </w:pPr>
      <w:r>
        <w:pict w14:anchorId="3BC39C42">
          <v:shape id="_x0000_i1085" type="#_x0000_t75" alt="This figure shows the number of measles notifications in 2015 by vaccination status (not vaccinated, ineligible, unknown, partially or fully vaccinated) by age group. It demonstrates that most cases are either not vaccinated or of unknown vaccination status." style="width:520.8pt;height:320.4pt">
            <v:imagedata r:id="rId82" o:title="5-VPD chapter Figures_50 to 85 for CDI _Page_16"/>
          </v:shape>
        </w:pict>
      </w:r>
    </w:p>
    <w:p w14:paraId="1829826F" w14:textId="77777777" w:rsidR="00BE61A2" w:rsidRPr="00AE2F1B" w:rsidRDefault="00BE61A2" w:rsidP="00902F77">
      <w:pPr>
        <w:pStyle w:val="Heading3"/>
      </w:pPr>
      <w:bookmarkStart w:id="145" w:name="_Toc1747299"/>
      <w:r w:rsidRPr="00AE2F1B">
        <w:t>Indigenous status</w:t>
      </w:r>
      <w:bookmarkEnd w:id="145"/>
    </w:p>
    <w:p w14:paraId="0B7D980C" w14:textId="77777777" w:rsidR="00BE61A2" w:rsidRPr="00AE2F1B" w:rsidRDefault="00BE61A2" w:rsidP="00AE2F1B">
      <w:r w:rsidRPr="00AE2F1B">
        <w:t>In 2015, Indigenous status was completed for all measles cases, an increase in completeness compared with 96% of cases in 2014 (228/339). Of the cases reported in 2015, 3% (n=2) were reported as Indigenous, representing a notification rate of 0.3 per 100,000.</w:t>
      </w:r>
    </w:p>
    <w:p w14:paraId="6C3EAEEB" w14:textId="77777777" w:rsidR="00BE61A2" w:rsidRPr="00902F77" w:rsidRDefault="00BE61A2" w:rsidP="00902F77">
      <w:pPr>
        <w:pStyle w:val="Heading3"/>
      </w:pPr>
      <w:bookmarkStart w:id="146" w:name="_Toc1747300"/>
      <w:r w:rsidRPr="00902F77">
        <w:t>Sources of infection and outbreaks</w:t>
      </w:r>
      <w:bookmarkEnd w:id="146"/>
    </w:p>
    <w:p w14:paraId="3BC94DCE" w14:textId="77777777" w:rsidR="00BE61A2" w:rsidRDefault="00BE61A2" w:rsidP="00AE2F1B">
      <w:r w:rsidRPr="00AE2F1B">
        <w:t xml:space="preserve">Eighty-four per cent of cases in 2015 were either imported (n=32) or import related (n=30), with the remaining 16% (n=12) of unknown source (Figure 65). Of the imported cases, 28% (9/32) were from the WHO Western Pacific Region (WPR), with 2 cases imported from Malaysia and one case imported from each of the following: China, Hong Kong, Papua New Guinea, Philippines, Singapore, </w:t>
      </w:r>
      <w:proofErr w:type="gramStart"/>
      <w:r w:rsidRPr="00AE2F1B">
        <w:t>Vanuatu</w:t>
      </w:r>
      <w:proofErr w:type="gramEnd"/>
      <w:r w:rsidRPr="00AE2F1B">
        <w:t xml:space="preserve"> and Vietnam. Of the remaining imported cases, 17 were imported from the WHO </w:t>
      </w:r>
      <w:proofErr w:type="gramStart"/>
      <w:r w:rsidRPr="00AE2F1B">
        <w:t>South East</w:t>
      </w:r>
      <w:proofErr w:type="gramEnd"/>
      <w:r w:rsidRPr="00AE2F1B">
        <w:t xml:space="preserve"> Asia Region (57%), 4 from the WHO European Region (13%), 1 from the WHO African Region (3%) and one from the WHO Eastern Mediterranean Region (3%).</w:t>
      </w:r>
    </w:p>
    <w:p w14:paraId="34BAA8FC" w14:textId="77777777" w:rsidR="000649D8" w:rsidRDefault="000649D8">
      <w:pPr>
        <w:rPr>
          <w:b/>
        </w:rPr>
      </w:pPr>
      <w:r>
        <w:br w:type="page"/>
      </w:r>
    </w:p>
    <w:p w14:paraId="77F19A85" w14:textId="77777777" w:rsidR="006C4700" w:rsidRDefault="006C4700" w:rsidP="006C4700">
      <w:pPr>
        <w:pStyle w:val="CDIFigures"/>
      </w:pPr>
      <w:r w:rsidRPr="006C4700">
        <w:lastRenderedPageBreak/>
        <w:t>Figure 65: Notifications of measles, Australia, 2015, by source of infection and diagnosis week ending</w:t>
      </w:r>
    </w:p>
    <w:p w14:paraId="0AC1CB64" w14:textId="77777777" w:rsidR="008F6B81" w:rsidRPr="006C4700" w:rsidRDefault="0021477A" w:rsidP="006C4700">
      <w:pPr>
        <w:pStyle w:val="CDIFigures"/>
      </w:pPr>
      <w:r>
        <w:pict w14:anchorId="5A4E585B">
          <v:shape id="_x0000_i1086" type="#_x0000_t75" alt="This figure shows the numbers of notifications in 2015 by their source of infection (imported, import-related or unknown) by the week of diagnosis. Eighty four percent of measles cases reported in 2015 were either imported or import related." style="width:522.6pt;height:321.6pt">
            <v:imagedata r:id="rId83" o:title="5-VPD chapter Figures_50 to 85 for CDI _Page_17"/>
          </v:shape>
        </w:pict>
      </w:r>
    </w:p>
    <w:p w14:paraId="47A48488" w14:textId="77777777" w:rsidR="00BE61A2" w:rsidRPr="00AE2F1B" w:rsidRDefault="00BE61A2" w:rsidP="00AE2F1B">
      <w:r w:rsidRPr="00AE2F1B">
        <w:t>There were 11 outbreaks of 2 or more epidemiologically linked cases in 2015, accounting for 64% (n=47) of all cases. The remaining cases comprised sporadic imported cases (n=24) and sporadic cases acquired in Australia from an unknown source (n=3). Seventy-three per cent of the outbreaks were related to imported cases (8/11). There were 3 outbreaks of locally acquired cases from an unknown source in 2015, and 2 of these outbreaks occurred in Victoria. The first was an outbreak of 5 cases, which included 1 case who resided in Queensland and was associated with an outbreak of 11 cases reported in 2014, and the second was an outbreak of 2 cases. The third outbreak was reported in Queensland and consisted of 2 cases.</w:t>
      </w:r>
    </w:p>
    <w:p w14:paraId="0D7D4102" w14:textId="77777777" w:rsidR="00BE61A2" w:rsidRPr="00AE2F1B" w:rsidRDefault="00BE61A2" w:rsidP="00AE2F1B">
      <w:r w:rsidRPr="00AE2F1B">
        <w:t>Transmission was interrupted quickly in all outbreaks in 2015. The median outbreak duration was 23 days (range: 7 to 60 days) between the onset of symptoms in the index case and the last case. The median generations of transmission</w:t>
      </w:r>
      <w:r w:rsidRPr="00AE2F1B">
        <w:rPr>
          <w:vertAlign w:val="superscript"/>
        </w:rPr>
        <w:t>84</w:t>
      </w:r>
      <w:r w:rsidRPr="00AE2F1B">
        <w:t xml:space="preserve"> </w:t>
      </w:r>
      <w:proofErr w:type="gramStart"/>
      <w:r w:rsidRPr="00AE2F1B">
        <w:t>was</w:t>
      </w:r>
      <w:proofErr w:type="gramEnd"/>
      <w:r w:rsidRPr="00AE2F1B">
        <w:t xml:space="preserve"> 3 (range: 1 to 6). Ten of the 11 clusters had fewer than 10 cases, with a median of 4 cases (range: 2 to 9). There was only 1 outbreak in 2015 that comprised 10 or more cases. This outbreak commenced in mid-July and lasted 60 days. It included 6 generations of transmission and was genotyped as D8. The source of infection for this outbreak was identified as a case who acquired their infection from Indonesia.</w:t>
      </w:r>
    </w:p>
    <w:p w14:paraId="193396E9" w14:textId="77777777" w:rsidR="00BE61A2" w:rsidRPr="00AE2F1B" w:rsidRDefault="00BE61A2" w:rsidP="00902F77">
      <w:pPr>
        <w:pStyle w:val="Heading3"/>
      </w:pPr>
      <w:bookmarkStart w:id="147" w:name="_Toc1747301"/>
      <w:r w:rsidRPr="00AE2F1B">
        <w:t>Microbiological trends</w:t>
      </w:r>
      <w:bookmarkEnd w:id="147"/>
    </w:p>
    <w:p w14:paraId="6B31306C" w14:textId="77777777" w:rsidR="00BE61A2" w:rsidRPr="00AE2F1B" w:rsidRDefault="00BE61A2" w:rsidP="00AE2F1B">
      <w:r w:rsidRPr="00AE2F1B">
        <w:t>Genotyping data were available for 11 clusters, with 2 or more linked cases in 2015 (n=47) and 21 sporadic cases. Genotype D8 was the most common, being linked to 8 separate clusters (n=38) and 12 sporadic cases, followed by H1 with 2 clusters (n=7) and 6 sporadic cases; B3 with 1 cluster (n=2) and 6 sporadic cases; and D4 with 1 sporadic</w:t>
      </w:r>
      <w:r w:rsidR="00563F17">
        <w:t> </w:t>
      </w:r>
      <w:r w:rsidRPr="00AE2F1B">
        <w:t>case.</w:t>
      </w:r>
    </w:p>
    <w:p w14:paraId="591B9FE3" w14:textId="77777777" w:rsidR="00BE61A2" w:rsidRPr="00AE2F1B" w:rsidRDefault="00BE61A2" w:rsidP="00AE2F1B">
      <w:r w:rsidRPr="00AE2F1B">
        <w:t xml:space="preserve">Imported genotypes varied by WHO region. In 2015, there was one B3 importation from the Eastern Mediterranean Region, and there were three D8 and two B3 importations from the Western Pacific Region. Multiple genotypes were imported from the </w:t>
      </w:r>
      <w:proofErr w:type="gramStart"/>
      <w:r w:rsidRPr="00AE2F1B">
        <w:t>South East</w:t>
      </w:r>
      <w:proofErr w:type="gramEnd"/>
      <w:r w:rsidRPr="00AE2F1B">
        <w:t xml:space="preserve"> Asia Region (B3, D8 and D4) and the European Region (B3, D8 and H1).</w:t>
      </w:r>
    </w:p>
    <w:p w14:paraId="13D19CA9" w14:textId="77777777" w:rsidR="00BE61A2" w:rsidRPr="00AE2F1B" w:rsidRDefault="00BE61A2" w:rsidP="00924A50">
      <w:pPr>
        <w:pStyle w:val="Heading3"/>
      </w:pPr>
      <w:bookmarkStart w:id="148" w:name="_Toc1747302"/>
      <w:r w:rsidRPr="00924A50">
        <w:rPr>
          <w:bCs w:val="0"/>
        </w:rPr>
        <w:lastRenderedPageBreak/>
        <w:t>Discussion</w:t>
      </w:r>
      <w:bookmarkEnd w:id="148"/>
    </w:p>
    <w:p w14:paraId="6B73C706" w14:textId="77777777" w:rsidR="00BE61A2" w:rsidRPr="00AE2F1B" w:rsidRDefault="00BE61A2" w:rsidP="00AE2F1B">
      <w:r w:rsidRPr="00AE2F1B">
        <w:t>Evidence suggests endemic measles has been eliminated in Australia since at least 2005,</w:t>
      </w:r>
      <w:r w:rsidRPr="00AE2F1B">
        <w:rPr>
          <w:vertAlign w:val="superscript"/>
        </w:rPr>
        <w:t>80</w:t>
      </w:r>
      <w:r w:rsidRPr="00AE2F1B">
        <w:t xml:space="preserve"> with this being verified by the WHO in 2014.</w:t>
      </w:r>
      <w:r w:rsidRPr="00AE2F1B">
        <w:rPr>
          <w:vertAlign w:val="superscript"/>
        </w:rPr>
        <w:t>85,86</w:t>
      </w:r>
      <w:r w:rsidRPr="00AE2F1B">
        <w:t xml:space="preserve"> However, the increasing prevalence of measles in some parts of the world, and the continued circulation of the virus in countries of close geographical proximity to Australia, provide a continual source of imported virus in Australia. This was evident in 2015, with 84% of all measles linked to 32 separate importations.</w:t>
      </w:r>
    </w:p>
    <w:p w14:paraId="53A723E5" w14:textId="77777777" w:rsidR="00BE61A2" w:rsidRPr="00AE2F1B" w:rsidRDefault="00BE61A2" w:rsidP="00AE2F1B">
      <w:r w:rsidRPr="00AE2F1B">
        <w:t xml:space="preserve">Compared to 2014, the number of reported measles cases decreased substantially in 2015 (from 339 cases to 74 cases) and more cases were linked to an imported virus. None of the 11 outbreaks persisted for more than 12 months (the longest was 3 weeks) and there was no evidence of the continuous circulation of a single genotype. Over 50% of cases reported with an immunisation status in 2015 were either unvaccinated (39%) or not eligible for immunisation (12%). Due to the highly infectious nature of measles, importation with local transmission and clusters will continue to occur in Australia, mostly among contacts who have either not been vaccinated or only received 1 dose of measles-containing vaccine. </w:t>
      </w:r>
    </w:p>
    <w:p w14:paraId="4E18E5A0" w14:textId="77777777" w:rsidR="00BE61A2" w:rsidRPr="004E056D" w:rsidRDefault="00BE61A2" w:rsidP="004E056D">
      <w:pPr>
        <w:pStyle w:val="Heading2"/>
      </w:pPr>
      <w:bookmarkStart w:id="149" w:name="_Toc1747303"/>
      <w:r w:rsidRPr="004E056D">
        <w:rPr>
          <w:bCs w:val="0"/>
          <w:sz w:val="27"/>
          <w:szCs w:val="27"/>
        </w:rPr>
        <w:t>Mumps</w:t>
      </w:r>
      <w:bookmarkEnd w:id="149"/>
    </w:p>
    <w:p w14:paraId="2C2E185F" w14:textId="77777777" w:rsidR="00BE61A2" w:rsidRPr="00902F77" w:rsidRDefault="00BE61A2" w:rsidP="00D762CF">
      <w:pPr>
        <w:pStyle w:val="ListParagraph"/>
        <w:numPr>
          <w:ilvl w:val="0"/>
          <w:numId w:val="6"/>
        </w:numPr>
        <w:rPr>
          <w:rFonts w:eastAsia="Times New Roman"/>
        </w:rPr>
      </w:pPr>
      <w:r w:rsidRPr="00902F77">
        <w:rPr>
          <w:rFonts w:eastAsia="Times New Roman"/>
        </w:rPr>
        <w:t xml:space="preserve">There were 644 cases of mumps notified in 2015, a rate of 2.7 per 100,000 and the highest rate since 2007. </w:t>
      </w:r>
    </w:p>
    <w:p w14:paraId="7F69C7E7" w14:textId="77777777" w:rsidR="00BE61A2" w:rsidRPr="00902F77" w:rsidRDefault="00BE61A2" w:rsidP="00D762CF">
      <w:pPr>
        <w:pStyle w:val="ListParagraph"/>
        <w:numPr>
          <w:ilvl w:val="0"/>
          <w:numId w:val="6"/>
        </w:numPr>
        <w:rPr>
          <w:rFonts w:eastAsia="Times New Roman"/>
        </w:rPr>
      </w:pPr>
      <w:r w:rsidRPr="00902F77">
        <w:rPr>
          <w:rFonts w:eastAsia="Times New Roman"/>
        </w:rPr>
        <w:t xml:space="preserve">Seventy-one per cent of these (456/644) were notified from Western Australia. </w:t>
      </w:r>
    </w:p>
    <w:p w14:paraId="1826EF7E" w14:textId="77777777" w:rsidR="00BE61A2" w:rsidRPr="00902F77" w:rsidRDefault="00BE61A2" w:rsidP="00D762CF">
      <w:pPr>
        <w:pStyle w:val="ListParagraph"/>
        <w:numPr>
          <w:ilvl w:val="0"/>
          <w:numId w:val="6"/>
        </w:numPr>
        <w:rPr>
          <w:rFonts w:eastAsia="Times New Roman"/>
        </w:rPr>
      </w:pPr>
      <w:r w:rsidRPr="00902F77">
        <w:rPr>
          <w:rFonts w:eastAsia="Times New Roman"/>
        </w:rPr>
        <w:t xml:space="preserve">In 2015, 404 cases were Indigenous Australians, with the majority (n=391) notified from Western Australia. </w:t>
      </w:r>
    </w:p>
    <w:p w14:paraId="28BE70F1" w14:textId="77777777" w:rsidR="00BE61A2" w:rsidRPr="00AE2F1B" w:rsidRDefault="00BE61A2" w:rsidP="00AE2F1B">
      <w:r w:rsidRPr="00AE2F1B">
        <w:t>Mumps is an acute viral illness caused by the mumps virus. Transmission is usually by respiratory secretions, including aerosol transmission, or by direct contact with saliva. Asymptomatic infections occur in one-third of cases. Symptomatic disease ranges from mild upper respiratory tract infections to systemic involvement. The characteristic bilateral, or occasionally unilateral, parotid swelling occurs in 60% to 70% of clinical cases; however, a high proportion have non-specific symptoms including fever, headache, malaise, myalgia and anorexia.</w:t>
      </w:r>
      <w:r w:rsidRPr="00AE2F1B">
        <w:rPr>
          <w:vertAlign w:val="superscript"/>
        </w:rPr>
        <w:t>87</w:t>
      </w:r>
      <w:r w:rsidRPr="00AE2F1B">
        <w:t xml:space="preserve"> Mumps encephalitis has been estimated to occur in 1 to 2 per 10,000 cases, with a case fatality rate of around 1%</w:t>
      </w:r>
      <w:proofErr w:type="gramStart"/>
      <w:r w:rsidRPr="00AE2F1B">
        <w:t>.</w:t>
      </w:r>
      <w:r w:rsidRPr="00AE2F1B">
        <w:rPr>
          <w:vertAlign w:val="superscript"/>
        </w:rPr>
        <w:t>21</w:t>
      </w:r>
      <w:proofErr w:type="gramEnd"/>
      <w:r w:rsidRPr="00AE2F1B">
        <w:t xml:space="preserve"> </w:t>
      </w:r>
    </w:p>
    <w:p w14:paraId="2CFFA1EC" w14:textId="77777777" w:rsidR="00BE61A2" w:rsidRPr="00AE2F1B" w:rsidRDefault="00BE61A2" w:rsidP="00924A50">
      <w:pPr>
        <w:pStyle w:val="Heading3"/>
      </w:pPr>
      <w:bookmarkStart w:id="150" w:name="_Toc1747304"/>
      <w:r w:rsidRPr="00924A50">
        <w:rPr>
          <w:bCs w:val="0"/>
        </w:rPr>
        <w:t>Epidemiological situation in 2015</w:t>
      </w:r>
      <w:bookmarkEnd w:id="150"/>
    </w:p>
    <w:p w14:paraId="65F3A270" w14:textId="77777777" w:rsidR="00BE61A2" w:rsidRDefault="00BE61A2" w:rsidP="00AE2F1B">
      <w:r w:rsidRPr="00AE2F1B">
        <w:t>In 2015, there were 644 notifications of mumps, a 246% increase compared with the 186 cases reported in 2014 and a ratio of 3.8 compared to the 5-year mean (n=171) (Figure 66). Since 2010, the national notification rate of mumps has remained below 1.0 per 100,000, ranging from 0.4 per 100,000 in 2010 to 0.9 per 100,000 in 2012 and 2013, and 0.8 per 100,000 in 2014. In 2015, the national notification rate of mumps was 2.7 per 100,000.</w:t>
      </w:r>
    </w:p>
    <w:p w14:paraId="4EAB9C5F" w14:textId="77777777" w:rsidR="00D97351" w:rsidRDefault="00D97351" w:rsidP="00D963E4">
      <w:pPr>
        <w:pStyle w:val="CDIFigures"/>
        <w:sectPr w:rsidR="00D97351" w:rsidSect="00C31805">
          <w:footnotePr>
            <w:numFmt w:val="lowerRoman"/>
          </w:footnotePr>
          <w:type w:val="continuous"/>
          <w:pgSz w:w="11906" w:h="16838"/>
          <w:pgMar w:top="720" w:right="720" w:bottom="1134" w:left="720" w:header="709" w:footer="284" w:gutter="0"/>
          <w:cols w:space="708"/>
          <w:titlePg/>
          <w:docGrid w:linePitch="360"/>
        </w:sectPr>
      </w:pPr>
    </w:p>
    <w:p w14:paraId="289AC1C1" w14:textId="77777777" w:rsidR="00D963E4" w:rsidRDefault="00D963E4" w:rsidP="00D963E4">
      <w:pPr>
        <w:pStyle w:val="CDIFigures"/>
      </w:pPr>
      <w:r>
        <w:lastRenderedPageBreak/>
        <w:t>Figure 66: Notifications of mumps, Australia, 2010 to 2015, by month, and year and state or territory</w:t>
      </w:r>
    </w:p>
    <w:p w14:paraId="5407C967" w14:textId="77777777" w:rsidR="00D97351" w:rsidRDefault="0021477A" w:rsidP="00D963E4">
      <w:pPr>
        <w:pStyle w:val="CDIFigures"/>
      </w:pPr>
      <w:r>
        <w:pict w14:anchorId="0AA086BC">
          <v:shape id="_x0000_i1087" type="#_x0000_t75" alt="This figure shows notifications of mumps in Australia from 2010 to 2015, by month of diagnosis and state or territory. This figure demonstrates a 246% increase in the number of cases in 2015 compared with 2014. This sharp rise in mumps notifications was due to a large outbreak of mumps in Western Australia." style="width:711.6pt;height:476.4pt">
            <v:imagedata r:id="rId84" o:title="5-VPD chapter Figures_50 to 85 for CDI _Page_18"/>
          </v:shape>
        </w:pict>
      </w:r>
    </w:p>
    <w:p w14:paraId="49C6486A" w14:textId="77777777" w:rsidR="00D97351" w:rsidRDefault="00D97351" w:rsidP="00D963E4">
      <w:pPr>
        <w:pStyle w:val="CDIFigures"/>
        <w:sectPr w:rsidR="00D97351" w:rsidSect="00D97351">
          <w:footnotePr>
            <w:numFmt w:val="lowerRoman"/>
          </w:footnotePr>
          <w:pgSz w:w="16838" w:h="11906" w:orient="landscape"/>
          <w:pgMar w:top="720" w:right="720" w:bottom="720" w:left="1134" w:header="709" w:footer="284" w:gutter="0"/>
          <w:cols w:space="708"/>
          <w:titlePg/>
          <w:docGrid w:linePitch="360"/>
        </w:sectPr>
      </w:pPr>
    </w:p>
    <w:p w14:paraId="56D4D5BC" w14:textId="77777777" w:rsidR="00BE61A2" w:rsidRPr="00AE2F1B" w:rsidRDefault="00BE61A2" w:rsidP="00924A50">
      <w:pPr>
        <w:pStyle w:val="Heading3"/>
      </w:pPr>
      <w:bookmarkStart w:id="151" w:name="_Toc1747305"/>
      <w:r w:rsidRPr="00924A50">
        <w:rPr>
          <w:bCs w:val="0"/>
        </w:rPr>
        <w:lastRenderedPageBreak/>
        <w:t>Geographical distribution</w:t>
      </w:r>
      <w:bookmarkEnd w:id="151"/>
    </w:p>
    <w:p w14:paraId="3E187539" w14:textId="77777777" w:rsidR="00BE61A2" w:rsidRPr="00AE2F1B" w:rsidRDefault="00BE61A2" w:rsidP="00AE2F1B">
      <w:r w:rsidRPr="00AE2F1B">
        <w:t>Cases of mumps were reported from all states and territories in 2015, with the highest rates occurring in Western Australia (17.6 per 100,000) and the Northern Territory (6.1 per 100,000).</w:t>
      </w:r>
    </w:p>
    <w:p w14:paraId="4B55E313" w14:textId="77777777" w:rsidR="00BE61A2" w:rsidRPr="00AE2F1B" w:rsidRDefault="00BE61A2" w:rsidP="00AE2F1B">
      <w:r w:rsidRPr="00AE2F1B">
        <w:t xml:space="preserve">Place of acquisition was complete for 91% (n=583) of cases in 2015, of which 3% (18/583) were imported from overseas. Of these, 4 cases acquired infection from India, 3 from Thailand, 2 each from Vietnam, Ireland, Papua New </w:t>
      </w:r>
      <w:proofErr w:type="gramStart"/>
      <w:r w:rsidRPr="00AE2F1B">
        <w:t>Guinea</w:t>
      </w:r>
      <w:proofErr w:type="gramEnd"/>
      <w:r w:rsidRPr="00AE2F1B">
        <w:t xml:space="preserve"> and New Zealand, and 1 each from Ghana, South Africa and Vanuatu. The remaining 565 cases were reported as locally acquired in Australia.</w:t>
      </w:r>
    </w:p>
    <w:p w14:paraId="38F521CD" w14:textId="77777777" w:rsidR="00BE61A2" w:rsidRPr="00AE2F1B" w:rsidRDefault="00BE61A2" w:rsidP="00A52F61">
      <w:pPr>
        <w:pStyle w:val="Heading3"/>
      </w:pPr>
      <w:bookmarkStart w:id="152" w:name="_Toc1747306"/>
      <w:r w:rsidRPr="00AE2F1B">
        <w:t>Age and sex distribution</w:t>
      </w:r>
      <w:bookmarkEnd w:id="152"/>
    </w:p>
    <w:p w14:paraId="2F1E7D68" w14:textId="77777777" w:rsidR="00BE61A2" w:rsidRDefault="00BE61A2" w:rsidP="00A52F61">
      <w:r w:rsidRPr="00AE2F1B">
        <w:t>In 2015, over half of all notified mumps cases were reported in males (57%, n=369), and 82% (n=528) were in people under the age of 40 years (Figure 67). The highest number of cases for males occurred in the 15–19 years age group (n=70), and for females in the 20–24 years age group (n=37</w:t>
      </w:r>
      <w:proofErr w:type="gramStart"/>
      <w:r w:rsidRPr="00AE2F1B">
        <w:t>), and</w:t>
      </w:r>
      <w:proofErr w:type="gramEnd"/>
      <w:r w:rsidRPr="00AE2F1B">
        <w:t xml:space="preserve"> followed closely by the 15–19 years age group (n=36). In contrast to previous years, where adults aged 30–39 years had the highest rates (3.3 per 100,000 in 2014), in 2015, adolescents aged 10–19 years age had the highest rates (6.5 per 100,000), followed by adults aged 20–29 years (4.7 per 100,000) (Figure 68). Since 2010, there has been a steady increase in age-specific rates across all age groups; this was particularly evident in 2015.</w:t>
      </w:r>
    </w:p>
    <w:p w14:paraId="3FBDC0A5" w14:textId="77777777" w:rsidR="00D8325F" w:rsidRDefault="00D8325F" w:rsidP="00D8325F">
      <w:pPr>
        <w:pStyle w:val="CDIFigures"/>
      </w:pPr>
      <w:r>
        <w:t>Figure 67: Notifications of mumps, Australia, 2015, by age group and sex</w:t>
      </w:r>
    </w:p>
    <w:p w14:paraId="6D9446D1" w14:textId="77777777" w:rsidR="002810E3" w:rsidRDefault="0021477A" w:rsidP="00D8325F">
      <w:pPr>
        <w:pStyle w:val="CDIFigures"/>
      </w:pPr>
      <w:r>
        <w:pict w14:anchorId="4B5D8E72">
          <v:shape id="_x0000_i1088" type="#_x0000_t75" alt="This figure shows notifications of mumps in Australia from 2010 to 2015, by month of diagnosis and state or territory. This figure demonstrates a 246% increase in the number of cases in 2015 compared with 2014. This sharp rise in mumps notifications was due to a large outbreak of mumps in Western Australia." style="width:522.6pt;height:351.6pt">
            <v:imagedata r:id="rId85" o:title="5-VPD chapter Figures_50 to 85 for CDI _Page_19"/>
          </v:shape>
        </w:pict>
      </w:r>
    </w:p>
    <w:p w14:paraId="6C6DA7B3" w14:textId="77777777" w:rsidR="002810E3" w:rsidRDefault="002810E3">
      <w:pPr>
        <w:rPr>
          <w:b/>
        </w:rPr>
      </w:pPr>
      <w:r>
        <w:br w:type="page"/>
      </w:r>
    </w:p>
    <w:p w14:paraId="45C76DE5" w14:textId="77777777" w:rsidR="005566FC" w:rsidRDefault="005566FC" w:rsidP="005566FC">
      <w:pPr>
        <w:pStyle w:val="CDIFigures"/>
      </w:pPr>
      <w:r w:rsidRPr="005566FC">
        <w:lastRenderedPageBreak/>
        <w:t>Figure 68: Notifications of mumps, Australia, 2010 to 2015, by year and selected age groups</w:t>
      </w:r>
    </w:p>
    <w:p w14:paraId="0ECFCB60" w14:textId="77777777" w:rsidR="002810E3" w:rsidRPr="005566FC" w:rsidRDefault="0021477A" w:rsidP="005566FC">
      <w:pPr>
        <w:pStyle w:val="CDIFigures"/>
      </w:pPr>
      <w:r>
        <w:pict w14:anchorId="5F2E9570">
          <v:shape id="_x0000_i1089" type="#_x0000_t75" alt="This figure shows the rates for mumps in Australia from 2010 to 2015, by age group. Rates were highest in the 10 -19 years age group in 2015." style="width:522.6pt;height:328.2pt">
            <v:imagedata r:id="rId86" o:title="5-VPD chapter Figures_50 to 85 for CDI _Page_20"/>
          </v:shape>
        </w:pict>
      </w:r>
    </w:p>
    <w:p w14:paraId="54B9EBE7" w14:textId="77777777" w:rsidR="00BE61A2" w:rsidRPr="00AE2F1B" w:rsidRDefault="00BE61A2" w:rsidP="00A52F61">
      <w:pPr>
        <w:pStyle w:val="Heading3"/>
      </w:pPr>
      <w:bookmarkStart w:id="153" w:name="_Toc1747307"/>
      <w:r w:rsidRPr="00AE2F1B">
        <w:t>Immunisation status</w:t>
      </w:r>
      <w:bookmarkEnd w:id="153"/>
    </w:p>
    <w:p w14:paraId="7B9BE870" w14:textId="77777777" w:rsidR="00BE61A2" w:rsidRPr="00AE2F1B" w:rsidRDefault="00BE61A2" w:rsidP="00A52F61">
      <w:r w:rsidRPr="00AE2F1B">
        <w:t xml:space="preserve">In 2015, the mumps vaccine was provided in the combined MMR or MMRV vaccines. The mumps vaccine was first funded on the NIP schedule in 1982 for infants at 12 months of age, with people born after 1980 eligible for at least one dose of a mumps-containing vaccine. Of the 644 cases notified in 2015, 75% (n=483) were eligible for at least 1 dose of a </w:t>
      </w:r>
      <w:proofErr w:type="spellStart"/>
      <w:r w:rsidRPr="00AE2F1B">
        <w:t>publically</w:t>
      </w:r>
      <w:proofErr w:type="spellEnd"/>
      <w:r w:rsidRPr="00AE2F1B">
        <w:t xml:space="preserve"> funded mumps-containing vaccine. Of these, 60% (291/483) were fully vaccinated, having received 2 doses of a mumps-containing vaccine; 12% (56/483) were partially vaccinated, having received 1 dose; 6% (31/483) were unvaccinated; and 20% (99/483) were of unknown immunisation status.</w:t>
      </w:r>
    </w:p>
    <w:p w14:paraId="273103A1" w14:textId="77777777" w:rsidR="00BE61A2" w:rsidRPr="00902F77" w:rsidRDefault="00BE61A2" w:rsidP="00A52F61">
      <w:pPr>
        <w:pStyle w:val="Heading3"/>
      </w:pPr>
      <w:bookmarkStart w:id="154" w:name="_Toc1747308"/>
      <w:r w:rsidRPr="00902F77">
        <w:t>Indigenous status</w:t>
      </w:r>
      <w:bookmarkEnd w:id="154"/>
    </w:p>
    <w:p w14:paraId="1E65038B" w14:textId="77777777" w:rsidR="00BE61A2" w:rsidRPr="00AE2F1B" w:rsidRDefault="00BE61A2" w:rsidP="00A52F61">
      <w:r w:rsidRPr="00AE2F1B">
        <w:t>Indigenous status was reported for 95% (n=609) of notified mumps cases in 2015. This is higher than the mean completeness of the previous 5-year period (69%; range: 51% to 88%). Of the cases with a known Indigenous status in 2015, 66% (404/609) were reported as Indigenous, with the majority of these cases linked to a large outbreak that occurred in Western Australia (see outbreak section for more information).</w:t>
      </w:r>
    </w:p>
    <w:p w14:paraId="2445ACFC" w14:textId="77777777" w:rsidR="00BE61A2" w:rsidRPr="00902F77" w:rsidRDefault="00BE61A2" w:rsidP="00A52F61">
      <w:pPr>
        <w:pStyle w:val="Heading3"/>
      </w:pPr>
      <w:bookmarkStart w:id="155" w:name="_Toc1747309"/>
      <w:r w:rsidRPr="00902F77">
        <w:t>Outbreaks</w:t>
      </w:r>
      <w:bookmarkEnd w:id="155"/>
    </w:p>
    <w:p w14:paraId="200A0FF2" w14:textId="77777777" w:rsidR="00BE61A2" w:rsidRPr="00AE2F1B" w:rsidRDefault="00BE61A2" w:rsidP="00A52F61">
      <w:r w:rsidRPr="00AE2F1B">
        <w:t>The outbreak reference field was completed for 69% (n=447) of cases in 2015. There were 4 outbreaks of 2 or more epidemiologically linked cases reported, accounting for 69% of all cases. One outbreak was reported in South Australia, which was linked to an imported case from Vietnam. This outbreak consisted of 11 cases with a median age of 22 years (range: 18 to 64 years) and lasted 3 weeks.</w:t>
      </w:r>
    </w:p>
    <w:p w14:paraId="3D128CEF" w14:textId="77777777" w:rsidR="00BE61A2" w:rsidRPr="00AE2F1B" w:rsidRDefault="00BE61A2" w:rsidP="00A52F61">
      <w:r w:rsidRPr="00AE2F1B">
        <w:t xml:space="preserve">The remaining 3 outbreaks were reported in Western Australia, of which all were locally acquired and genotyped to mumps virus G. Two of these outbreaks were small, consisting of 2 cases each; both had a short duration (less than 3 weeks) and had cases aged between 15 and 36 years. </w:t>
      </w:r>
    </w:p>
    <w:p w14:paraId="0BB57462" w14:textId="77777777" w:rsidR="00BE61A2" w:rsidRPr="00AE2F1B" w:rsidRDefault="00BE61A2" w:rsidP="00A52F61">
      <w:r w:rsidRPr="00AE2F1B">
        <w:lastRenderedPageBreak/>
        <w:t>The third outbreak reported in Western Australia was the largest outbreak to occur in 2015. This outbreak consisted of 432 cases and accounted for 94% of mumps cases reported in Western Australia. The outbreak commenced in the Kimberley region in mid‐March, with subsequent spread to the Pilbara, Goldfields and Midwest region and limited spread to the Perth metro area.</w:t>
      </w:r>
      <w:r w:rsidRPr="00AE2F1B">
        <w:rPr>
          <w:vertAlign w:val="superscript"/>
        </w:rPr>
        <w:t>88</w:t>
      </w:r>
      <w:r w:rsidRPr="00AE2F1B">
        <w:t xml:space="preserve"> The majority of cases reported in this outbreak were Indigenous Australians (90%, n=389) and the median age of cases was 20 years (range: 0 to 64 years). Seventy-five per cent (n=323) of cases were vaccinated, with 83% (267/323) of these reporting that they had received 2 or more doses of a mumps-containing vaccine, and 17% (56/323) reporting 1 dose. Of the remaining 25% of cases, 4% (17/323) were unvaccinated and 21% (92/323) were of unknown immunisation status.</w:t>
      </w:r>
    </w:p>
    <w:p w14:paraId="4B3E98FC" w14:textId="77777777" w:rsidR="00BE61A2" w:rsidRPr="00AE2F1B" w:rsidRDefault="00BE61A2" w:rsidP="00924A50">
      <w:pPr>
        <w:pStyle w:val="Heading3"/>
      </w:pPr>
      <w:bookmarkStart w:id="156" w:name="_Toc1747310"/>
      <w:r w:rsidRPr="00924A50">
        <w:rPr>
          <w:bCs w:val="0"/>
        </w:rPr>
        <w:t>Discussion</w:t>
      </w:r>
      <w:bookmarkEnd w:id="156"/>
    </w:p>
    <w:p w14:paraId="3B7FDD07" w14:textId="77777777" w:rsidR="00BE61A2" w:rsidRPr="00AE2F1B" w:rsidRDefault="00BE61A2" w:rsidP="00AE2F1B">
      <w:r w:rsidRPr="00AE2F1B">
        <w:t>The large rise in mumps notifications seen in 2015 was associated with an ongoing large outbreak identified in Western Australia. Of the 644 cases of mumps reported nationally in 2015, 67% were linked to this outbreak. This is the second largest outbreak of mumps reported in Western Australia, with a localised outbreak occurring in the Kimberly region in 2007–08 that was genotyped as mumps virus J, which consisted of 183 cases.</w:t>
      </w:r>
      <w:r w:rsidRPr="00AE2F1B">
        <w:rPr>
          <w:vertAlign w:val="superscript"/>
        </w:rPr>
        <w:t>89</w:t>
      </w:r>
      <w:r w:rsidRPr="00AE2F1B">
        <w:t xml:space="preserve"> At the end of 2015, this outbreak was still progressing, and it was anticipated that the number of mumps notifications would continue to be high in 2016. It is unclear why this outbreak disproportionately affected Indigenous Australians in Western Australia. Factors that may have contributed to widespread transmission of the virus within this population include differences in household density and mobility patterns, waning vaccine immunity, and potential immune escape due to the mismatch between the wild type and the vaccine virus genotypes.</w:t>
      </w:r>
      <w:r w:rsidRPr="00AE2F1B">
        <w:rPr>
          <w:vertAlign w:val="superscript"/>
        </w:rPr>
        <w:t>90</w:t>
      </w:r>
      <w:r w:rsidRPr="00AE2F1B">
        <w:t xml:space="preserve"> </w:t>
      </w:r>
    </w:p>
    <w:p w14:paraId="334F3B72" w14:textId="77777777" w:rsidR="00BE61A2" w:rsidRPr="00AE2F1B" w:rsidRDefault="00BE61A2" w:rsidP="00AE2F1B">
      <w:r w:rsidRPr="00AE2F1B">
        <w:t>The mumps component of the MMR vaccine is considered to be the least effective of the 3 components with the reported 1 dose vaccine effectiveness varying between 60% and 90%.</w:t>
      </w:r>
      <w:r w:rsidRPr="00AE2F1B">
        <w:rPr>
          <w:vertAlign w:val="superscript"/>
        </w:rPr>
        <w:t>91,92,93</w:t>
      </w:r>
      <w:r w:rsidRPr="00AE2F1B">
        <w:t xml:space="preserve"> While protection is greater in 2-dose vaccine recipients, recent outbreaks have been reported in 2-dose recipients, particularly young adults who received their vaccines more than 10 years previously.</w:t>
      </w:r>
      <w:r w:rsidRPr="00AE2F1B">
        <w:rPr>
          <w:vertAlign w:val="superscript"/>
        </w:rPr>
        <w:t>94,95</w:t>
      </w:r>
      <w:r w:rsidRPr="00AE2F1B">
        <w:t xml:space="preserve"> Reduced effectiveness of the mumps vaccine over time may partially account for the proportion of vaccinated cases notified and also contribute to mumps outbreaks in older vaccinated populations.</w:t>
      </w:r>
      <w:r w:rsidRPr="00AE2F1B">
        <w:rPr>
          <w:vertAlign w:val="superscript"/>
        </w:rPr>
        <w:t>96</w:t>
      </w:r>
      <w:r w:rsidRPr="00AE2F1B">
        <w:t xml:space="preserve"> </w:t>
      </w:r>
    </w:p>
    <w:p w14:paraId="01A85F75" w14:textId="77777777" w:rsidR="00BE61A2" w:rsidRPr="004E056D" w:rsidRDefault="00BE61A2" w:rsidP="004E056D">
      <w:pPr>
        <w:pStyle w:val="Heading2"/>
      </w:pPr>
      <w:bookmarkStart w:id="157" w:name="_Toc1747311"/>
      <w:r w:rsidRPr="004E056D">
        <w:rPr>
          <w:bCs w:val="0"/>
          <w:sz w:val="27"/>
          <w:szCs w:val="27"/>
        </w:rPr>
        <w:t>Pertussis</w:t>
      </w:r>
      <w:bookmarkEnd w:id="157"/>
    </w:p>
    <w:p w14:paraId="3362B338" w14:textId="77777777" w:rsidR="00BE61A2" w:rsidRPr="00902F77" w:rsidRDefault="00BE61A2" w:rsidP="00D762CF">
      <w:pPr>
        <w:pStyle w:val="ListParagraph"/>
        <w:numPr>
          <w:ilvl w:val="0"/>
          <w:numId w:val="7"/>
        </w:numPr>
        <w:rPr>
          <w:rFonts w:eastAsia="Times New Roman"/>
        </w:rPr>
      </w:pPr>
      <w:r w:rsidRPr="00902F77">
        <w:rPr>
          <w:rFonts w:eastAsia="Times New Roman"/>
        </w:rPr>
        <w:t xml:space="preserve">Pertussis remains highly prevalent in Australia. </w:t>
      </w:r>
    </w:p>
    <w:p w14:paraId="6C822929" w14:textId="77777777" w:rsidR="00BE61A2" w:rsidRPr="00902F77" w:rsidRDefault="00BE61A2" w:rsidP="00D762CF">
      <w:pPr>
        <w:pStyle w:val="ListParagraph"/>
        <w:numPr>
          <w:ilvl w:val="0"/>
          <w:numId w:val="7"/>
        </w:numPr>
        <w:rPr>
          <w:rFonts w:eastAsia="Times New Roman"/>
        </w:rPr>
      </w:pPr>
      <w:r w:rsidRPr="00902F77">
        <w:rPr>
          <w:rFonts w:eastAsia="Times New Roman"/>
        </w:rPr>
        <w:t xml:space="preserve">An increasing trend in notifications of pertussis continued into 2015, with a total of 22,546 cases reported. </w:t>
      </w:r>
    </w:p>
    <w:p w14:paraId="5871E99D" w14:textId="77777777" w:rsidR="00BE61A2" w:rsidRPr="00902F77" w:rsidRDefault="00BE61A2" w:rsidP="00D762CF">
      <w:pPr>
        <w:pStyle w:val="ListParagraph"/>
        <w:numPr>
          <w:ilvl w:val="0"/>
          <w:numId w:val="7"/>
        </w:numPr>
        <w:rPr>
          <w:rFonts w:eastAsia="Times New Roman"/>
        </w:rPr>
      </w:pPr>
      <w:r w:rsidRPr="00902F77">
        <w:rPr>
          <w:rFonts w:eastAsia="Times New Roman"/>
        </w:rPr>
        <w:t xml:space="preserve">In 2015, children under 15 years of age had a notification rate 4.6 times higher than those 15 years or older. </w:t>
      </w:r>
    </w:p>
    <w:p w14:paraId="251C1ADB" w14:textId="77777777" w:rsidR="00BE61A2" w:rsidRPr="00AE2F1B" w:rsidRDefault="00BE61A2" w:rsidP="00AE2F1B">
      <w:r w:rsidRPr="00AE2F1B">
        <w:t xml:space="preserve">Pertussis, commonly known as whooping cough, is a highly infectious acute respiratory disease caused by the bacterium </w:t>
      </w:r>
      <w:r w:rsidRPr="00DF12AB">
        <w:rPr>
          <w:rStyle w:val="Emphasis"/>
          <w:b w:val="0"/>
        </w:rPr>
        <w:t xml:space="preserve">Bordetella </w:t>
      </w:r>
      <w:r w:rsidR="00902F77" w:rsidRPr="00DF12AB">
        <w:rPr>
          <w:rStyle w:val="Emphasis"/>
          <w:b w:val="0"/>
        </w:rPr>
        <w:t>pertussis</w:t>
      </w:r>
      <w:r w:rsidR="00902F77" w:rsidRPr="00AE2F1B">
        <w:t xml:space="preserve">. </w:t>
      </w:r>
      <w:r w:rsidRPr="00AE2F1B">
        <w:t>Spread by respiratory droplets, infection is often characterised by paroxysmal cough with inspiratory whoop, which is frequently seen among unvaccinated children but uncommon in individuals who have acquired some immunity through immunisation or infection.</w:t>
      </w:r>
      <w:r w:rsidRPr="00AE2F1B">
        <w:rPr>
          <w:vertAlign w:val="superscript"/>
        </w:rPr>
        <w:t>97</w:t>
      </w:r>
      <w:r w:rsidRPr="00AE2F1B">
        <w:t xml:space="preserve"> The highest risk of infection and severe morbidity from pertussis occurs in infants who are too young to have received at least 2 doses of a pertussis-containing vaccine.</w:t>
      </w:r>
      <w:r w:rsidRPr="00AE2F1B">
        <w:rPr>
          <w:vertAlign w:val="superscript"/>
        </w:rPr>
        <w:t>29</w:t>
      </w:r>
      <w:r w:rsidRPr="00AE2F1B">
        <w:t xml:space="preserve"> Complications include pneumonia, atelectasis, seizures, encephalopathy, and hernias, with pneumonia as the most common cause of death.</w:t>
      </w:r>
      <w:r w:rsidRPr="00AE2F1B">
        <w:rPr>
          <w:vertAlign w:val="superscript"/>
        </w:rPr>
        <w:t>21</w:t>
      </w:r>
      <w:r w:rsidRPr="00AE2F1B">
        <w:t xml:space="preserve"> </w:t>
      </w:r>
    </w:p>
    <w:p w14:paraId="423F0FD6" w14:textId="77777777" w:rsidR="00BE61A2" w:rsidRPr="00AE2F1B" w:rsidRDefault="00BE61A2" w:rsidP="00924A50">
      <w:pPr>
        <w:pStyle w:val="Heading3"/>
      </w:pPr>
      <w:bookmarkStart w:id="158" w:name="_Toc1747312"/>
      <w:r w:rsidRPr="00924A50">
        <w:rPr>
          <w:bCs w:val="0"/>
        </w:rPr>
        <w:t>Epidemiological situation in 2015</w:t>
      </w:r>
      <w:bookmarkEnd w:id="158"/>
    </w:p>
    <w:p w14:paraId="084F5B23" w14:textId="77777777" w:rsidR="00C45A81" w:rsidRDefault="00BE61A2" w:rsidP="00AE2F1B">
      <w:pPr>
        <w:sectPr w:rsidR="00C45A81" w:rsidSect="00D97351">
          <w:footnotePr>
            <w:numFmt w:val="lowerRoman"/>
          </w:footnotePr>
          <w:pgSz w:w="11906" w:h="16838"/>
          <w:pgMar w:top="720" w:right="720" w:bottom="1134" w:left="720" w:header="709" w:footer="284" w:gutter="0"/>
          <w:cols w:space="708"/>
          <w:titlePg/>
          <w:docGrid w:linePitch="360"/>
        </w:sectPr>
      </w:pPr>
      <w:r w:rsidRPr="00AE2F1B">
        <w:t>In 2015, there were 22,546 notifications of pertussis. This was an increase of 90% compared with 2014 (n=11,867) and 82% with 2013 (n=12,362), but 42% lower than 2011 (n=38,752) at the peak of the last epidemic period (2008–2012) (Figure 69). There was one pertussis-related death reported in 2015. The death was in an infant less than 6 weeks of age and therefore</w:t>
      </w:r>
      <w:r w:rsidR="00FA7E7D">
        <w:t xml:space="preserve"> not eligible for immunisation.</w:t>
      </w:r>
    </w:p>
    <w:p w14:paraId="676811BF" w14:textId="77777777" w:rsidR="00FA7E7D" w:rsidRDefault="00FA7E7D" w:rsidP="00FA7E7D">
      <w:pPr>
        <w:pStyle w:val="CDIFigures"/>
      </w:pPr>
      <w:r w:rsidRPr="00FA7E7D">
        <w:lastRenderedPageBreak/>
        <w:t>Figure 69: Notifications of pertussis, Australia, 2010 to 2015, by month, year and state or territory</w:t>
      </w:r>
    </w:p>
    <w:p w14:paraId="1E7DC9E5" w14:textId="77777777" w:rsidR="00C45A81" w:rsidRDefault="0021477A" w:rsidP="00C45A81">
      <w:pPr>
        <w:rPr>
          <w:rFonts w:asciiTheme="majorHAnsi" w:eastAsiaTheme="majorEastAsia" w:hAnsiTheme="majorHAnsi" w:cstheme="majorBidi"/>
          <w:b/>
        </w:rPr>
      </w:pPr>
      <w:r>
        <w:rPr>
          <w:rFonts w:asciiTheme="majorHAnsi" w:eastAsiaTheme="majorEastAsia" w:hAnsiTheme="majorHAnsi" w:cstheme="majorBidi"/>
          <w:b/>
        </w:rPr>
        <w:pict w14:anchorId="1927C45A">
          <v:shape id="_x0000_i1090" type="#_x0000_t75" alt="This figure shows notifications of pertussis in Australia from 2010 to 2015, by month of diagnosis and state and territory. This figure demonstrates that nationally notifications declined form 2011 to mid-2014, before showing a rise in numbers and peaking in October of 2015. " style="width:746.4pt;height:466.8pt">
            <v:imagedata r:id="rId87" o:title="5-VPD chapter Figures_50 to 85 for CDI _Page_21"/>
          </v:shape>
        </w:pict>
      </w:r>
    </w:p>
    <w:p w14:paraId="5AB7132F" w14:textId="77777777" w:rsidR="00C45A81" w:rsidRPr="00C45A81" w:rsidRDefault="00C45A81" w:rsidP="00C45A81">
      <w:pPr>
        <w:sectPr w:rsidR="00C45A81" w:rsidRPr="00C45A81" w:rsidSect="00C45A81">
          <w:footnotePr>
            <w:numFmt w:val="lowerRoman"/>
          </w:footnotePr>
          <w:pgSz w:w="16838" w:h="11906" w:orient="landscape"/>
          <w:pgMar w:top="720" w:right="720" w:bottom="720" w:left="1134" w:header="709" w:footer="284" w:gutter="0"/>
          <w:cols w:space="708"/>
          <w:titlePg/>
          <w:docGrid w:linePitch="360"/>
        </w:sectPr>
      </w:pPr>
    </w:p>
    <w:p w14:paraId="3C67C65E" w14:textId="77777777" w:rsidR="00BE61A2" w:rsidRPr="00AE2F1B" w:rsidRDefault="00BE61A2" w:rsidP="00924A50">
      <w:pPr>
        <w:pStyle w:val="Heading3"/>
      </w:pPr>
      <w:bookmarkStart w:id="159" w:name="_Toc1747313"/>
      <w:r w:rsidRPr="00924A50">
        <w:rPr>
          <w:bCs w:val="0"/>
        </w:rPr>
        <w:lastRenderedPageBreak/>
        <w:t>Geographical distribution</w:t>
      </w:r>
      <w:bookmarkEnd w:id="159"/>
    </w:p>
    <w:p w14:paraId="7431EB3F" w14:textId="77777777" w:rsidR="00BE61A2" w:rsidRDefault="00BE61A2" w:rsidP="00AE2F1B">
      <w:r w:rsidRPr="00AE2F1B">
        <w:t xml:space="preserve">Compared with 2014, notification rates increased in all jurisdictions except the Northern Territory, </w:t>
      </w:r>
      <w:proofErr w:type="gramStart"/>
      <w:r w:rsidRPr="00AE2F1B">
        <w:t>Tasmania</w:t>
      </w:r>
      <w:proofErr w:type="gramEnd"/>
      <w:r w:rsidRPr="00AE2F1B">
        <w:t xml:space="preserve"> and Victoria (Figure 70). The largest increases in rates were in New South Wales from 42 per 100,000 in 2014 to 161 per 100,000 in 2015, South Australia from 30 per 100,000 in 2014 to 78 per 100,000 in 2015 and in the Australian Capital Territory from 60 per 100,000 in 2014 to 124 per 100,000 in 2015. The national notification rate of pertussis in 2015 increased by 87% (95 per 100,000) compared with 2014 (51 per 100,000).</w:t>
      </w:r>
    </w:p>
    <w:p w14:paraId="3A1ACDB1" w14:textId="77777777" w:rsidR="00B66447" w:rsidRDefault="00B66447" w:rsidP="00B66447">
      <w:pPr>
        <w:pStyle w:val="CDIFigures"/>
      </w:pPr>
      <w:r>
        <w:t>Figure 70: Notification rates for pertussis, Australia, 2010 to 2015, by year and state or territory</w:t>
      </w:r>
    </w:p>
    <w:p w14:paraId="3151D83E" w14:textId="77777777" w:rsidR="00203E2D" w:rsidRPr="00AE2F1B" w:rsidRDefault="0021477A" w:rsidP="00B66447">
      <w:pPr>
        <w:pStyle w:val="CDIFigures"/>
      </w:pPr>
      <w:r>
        <w:pict w14:anchorId="25A4824B">
          <v:shape id="_x0000_i1091" type="#_x0000_t75" alt="This figure shows rates for pertussis in Australia from 2010 to 2015, by state and territory. This figure demonstrates rates across all jurisdictions expect the Australian Capital Territory, New South Wales and South Australia, remained similar or decreased in in 2015 compared with 2014." style="width:520.8pt;height:318pt">
            <v:imagedata r:id="rId88" o:title="5-VPD chapter Figures_50 to 85 for CDI _Page_22"/>
          </v:shape>
        </w:pict>
      </w:r>
    </w:p>
    <w:p w14:paraId="2BE18D4E" w14:textId="77777777" w:rsidR="00BE61A2" w:rsidRPr="00AE2F1B" w:rsidRDefault="00BE61A2" w:rsidP="00924A50">
      <w:pPr>
        <w:pStyle w:val="Heading3"/>
      </w:pPr>
      <w:bookmarkStart w:id="160" w:name="_Toc1747314"/>
      <w:r w:rsidRPr="00924A50">
        <w:rPr>
          <w:bCs w:val="0"/>
        </w:rPr>
        <w:t>Age and sex distribution</w:t>
      </w:r>
      <w:bookmarkEnd w:id="160"/>
    </w:p>
    <w:p w14:paraId="06F6A775" w14:textId="77777777" w:rsidR="00BE61A2" w:rsidRDefault="00BE61A2" w:rsidP="00AE2F1B">
      <w:r w:rsidRPr="00AE2F1B">
        <w:t>Females accounted for 55% (n=12,297) of cases in 2015 and had higher rates across all age groups except 85 years or older (Figure 71). The highest age-specific notification rates for both males and females occurred in the 10–14 years age group at 296 and 309 per 100,000 respectively.</w:t>
      </w:r>
    </w:p>
    <w:p w14:paraId="3F82D6DF" w14:textId="77777777" w:rsidR="00B830D1" w:rsidRDefault="00B830D1">
      <w:pPr>
        <w:rPr>
          <w:b/>
        </w:rPr>
      </w:pPr>
      <w:r>
        <w:br w:type="page"/>
      </w:r>
    </w:p>
    <w:p w14:paraId="1979F8AA" w14:textId="77777777" w:rsidR="00037EA5" w:rsidRDefault="00037EA5" w:rsidP="00037EA5">
      <w:pPr>
        <w:pStyle w:val="CDIFigures"/>
      </w:pPr>
      <w:r>
        <w:lastRenderedPageBreak/>
        <w:t>Figure 71: Notification rate for pertussis, Australia, by age group and sex</w:t>
      </w:r>
    </w:p>
    <w:p w14:paraId="77454874" w14:textId="77777777" w:rsidR="00B830D1" w:rsidRDefault="0021477A" w:rsidP="00037EA5">
      <w:pPr>
        <w:pStyle w:val="CDIFigures"/>
      </w:pPr>
      <w:r>
        <w:pict w14:anchorId="332749AB">
          <v:shape id="_x0000_i1092" type="#_x0000_t75" alt="This figure shows the rate for pertussis in Australia in 2015 by age group and sex. This figure demonstrates rates are highest in children less than 15 years of age, and in males." style="width:522.6pt;height:330.6pt">
            <v:imagedata r:id="rId89" o:title="5-VPD chapter Figures_50 to 85 for CDI _Page_23"/>
          </v:shape>
        </w:pict>
      </w:r>
    </w:p>
    <w:p w14:paraId="37F97AE9" w14:textId="77777777" w:rsidR="0007681F" w:rsidRPr="0007681F" w:rsidRDefault="0007681F" w:rsidP="0007681F">
      <w:pPr>
        <w:pStyle w:val="CDIfootnotes"/>
      </w:pPr>
      <w:r>
        <w:rPr>
          <w:rStyle w:val="A13"/>
          <w:rFonts w:cstheme="minorBidi"/>
          <w:color w:val="auto"/>
          <w:sz w:val="18"/>
          <w:szCs w:val="22"/>
        </w:rPr>
        <w:t>*</w:t>
      </w:r>
      <w:r>
        <w:rPr>
          <w:rStyle w:val="A13"/>
          <w:rFonts w:cstheme="minorBidi"/>
          <w:color w:val="auto"/>
          <w:sz w:val="18"/>
          <w:szCs w:val="22"/>
        </w:rPr>
        <w:tab/>
      </w:r>
      <w:r w:rsidRPr="0007681F">
        <w:t>Seven cases were reported without ag</w:t>
      </w:r>
      <w:r>
        <w:t>e</w:t>
      </w:r>
      <w:r>
        <w:br/>
      </w:r>
      <w:r w:rsidRPr="0007681F">
        <w:rPr>
          <w:rStyle w:val="A13"/>
          <w:rFonts w:cstheme="minorBidi"/>
          <w:color w:val="auto"/>
          <w:sz w:val="18"/>
          <w:szCs w:val="22"/>
        </w:rPr>
        <w:t>#</w:t>
      </w:r>
      <w:r>
        <w:rPr>
          <w:rStyle w:val="A13"/>
          <w:rFonts w:cstheme="minorBidi"/>
          <w:color w:val="auto"/>
          <w:sz w:val="18"/>
          <w:szCs w:val="22"/>
        </w:rPr>
        <w:tab/>
      </w:r>
      <w:r w:rsidRPr="0007681F">
        <w:t>18 cases were reported without sex</w:t>
      </w:r>
    </w:p>
    <w:p w14:paraId="78ECFE5A" w14:textId="77777777" w:rsidR="00BE61A2" w:rsidRDefault="00BE61A2" w:rsidP="00AE2F1B">
      <w:r w:rsidRPr="00AE2F1B">
        <w:t>After reaching a peak in 2011, rates in children less than 15 years of age declined steeply, with the ratio of cases under 15 years compared with those over 15 years falling from 3.7 in 2011 to 2.7 in 2014. In 2015, this ratio increased, with rates for children less than 15 years (260 per 100,000) 4.6 times higher compared with those aged 15 years and older (56 per 100,000). This is almost double the ratio seen in 2014. The highest age-specific rates in 2015 occurred in the 10–14 years age group (305 per 100,000), which was higher than the rates reported in 2013 (111 per 100,000) and 2014 (112 per 100,000) (Figure 72).</w:t>
      </w:r>
    </w:p>
    <w:p w14:paraId="36E6CE5D" w14:textId="77777777" w:rsidR="00945D58" w:rsidRDefault="00945D58">
      <w:pPr>
        <w:rPr>
          <w:b/>
        </w:rPr>
      </w:pPr>
      <w:r>
        <w:br w:type="page"/>
      </w:r>
    </w:p>
    <w:p w14:paraId="4F878F70" w14:textId="77777777" w:rsidR="003F45B7" w:rsidRDefault="003F45B7" w:rsidP="003F45B7">
      <w:pPr>
        <w:pStyle w:val="CDIFigures"/>
        <w:rPr>
          <w:rStyle w:val="A9"/>
          <w:rFonts w:asciiTheme="minorHAnsi" w:hAnsiTheme="minorHAnsi" w:cstheme="minorBidi"/>
          <w:b/>
          <w:bCs w:val="0"/>
          <w:color w:val="auto"/>
          <w:sz w:val="22"/>
          <w:szCs w:val="22"/>
          <w:vertAlign w:val="superscript"/>
        </w:rPr>
      </w:pPr>
      <w:r w:rsidRPr="003F45B7">
        <w:lastRenderedPageBreak/>
        <w:t>Figure 72: Notification rates for pertussis, Australia, 2010 to 2015, by selected age groups</w:t>
      </w:r>
      <w:r w:rsidRPr="00573B73">
        <w:rPr>
          <w:rStyle w:val="A9"/>
          <w:rFonts w:asciiTheme="minorHAnsi" w:hAnsiTheme="minorHAnsi" w:cstheme="minorBidi"/>
          <w:b/>
          <w:bCs w:val="0"/>
          <w:color w:val="auto"/>
          <w:sz w:val="22"/>
          <w:szCs w:val="22"/>
          <w:vertAlign w:val="superscript"/>
        </w:rPr>
        <w:t>*</w:t>
      </w:r>
    </w:p>
    <w:p w14:paraId="1E96AABC" w14:textId="77777777" w:rsidR="00573B73" w:rsidRPr="00573B73" w:rsidRDefault="0021477A" w:rsidP="003F45B7">
      <w:pPr>
        <w:pStyle w:val="CDIFigures"/>
      </w:pPr>
      <w:r>
        <w:pict w14:anchorId="0541F779">
          <v:shape id="_x0000_i1093" type="#_x0000_t75" alt="This figure shows the rate for pertussis in Australia between 2010 and 2015, by age group. This figure demonstrates decreases in rates between 2011 and 2014 across all age groups. In 2015, rates increased across all age groups, with the 5-9 and 10 14 years age groups displaying the larges rise compared to 2014 rates." style="width:507.6pt;height:318.6pt">
            <v:imagedata r:id="rId90" o:title="5-VPD chapter Figures_50 to 85 for CDI _Page_24"/>
          </v:shape>
        </w:pict>
      </w:r>
    </w:p>
    <w:p w14:paraId="1520A91E" w14:textId="77777777" w:rsidR="00BE61A2" w:rsidRPr="00902F77" w:rsidRDefault="00BE61A2" w:rsidP="00A52F61">
      <w:pPr>
        <w:pStyle w:val="Heading3"/>
      </w:pPr>
      <w:bookmarkStart w:id="161" w:name="_Toc1747315"/>
      <w:r w:rsidRPr="00902F77">
        <w:t>Immunisation status</w:t>
      </w:r>
      <w:bookmarkEnd w:id="161"/>
    </w:p>
    <w:p w14:paraId="2104ADEE" w14:textId="77777777" w:rsidR="00BE61A2" w:rsidRPr="00AE2F1B" w:rsidRDefault="00BE61A2" w:rsidP="00A52F61">
      <w:r w:rsidRPr="00AE2F1B">
        <w:t>The NIP schedule in 2015 included a primary course of 3 doses of vaccine at 2, 4, and 6 months of age, with additional booster doses provided at 4 years of age and between 10 and 15 years of age.</w:t>
      </w:r>
      <w:r w:rsidRPr="00AE2F1B">
        <w:rPr>
          <w:vertAlign w:val="superscript"/>
        </w:rPr>
        <w:t>29</w:t>
      </w:r>
      <w:r w:rsidRPr="00AE2F1B">
        <w:t xml:space="preserve"> </w:t>
      </w:r>
    </w:p>
    <w:p w14:paraId="4B91489F" w14:textId="77777777" w:rsidR="00BE61A2" w:rsidRPr="00AE2F1B" w:rsidRDefault="00BE61A2" w:rsidP="00A52F61">
      <w:r w:rsidRPr="00AE2F1B">
        <w:t>In order to determine the immunisation status of cases, public health follow up is required. As per the pertussis national guidelines for public health units,</w:t>
      </w:r>
      <w:r w:rsidRPr="00AE2F1B">
        <w:rPr>
          <w:vertAlign w:val="superscript"/>
        </w:rPr>
        <w:t>98</w:t>
      </w:r>
      <w:r w:rsidRPr="00AE2F1B">
        <w:t xml:space="preserve"> jurisdictions prioritise case follow up to those less than 5 years of age. During 2015, those aged less than 5 years accounted for 13% (n=2,896) of all notified cases, Information about immunisation status was available for 94% of these (2,717/2,896).</w:t>
      </w:r>
    </w:p>
    <w:p w14:paraId="1F9BC857" w14:textId="77777777" w:rsidR="00BE61A2" w:rsidRPr="00AE2F1B" w:rsidRDefault="00BE61A2" w:rsidP="00A52F61">
      <w:r w:rsidRPr="00AE2F1B">
        <w:t>Of the children eligible to receive pertussis-containing vaccines in 2015, 81% (1,729/2,145) of cases aged 6 months to 4 years received the full primary course of 3 doses, and 61% (273/449) of cases aged 4 to 5 years had received the full scheduled course of 4 doses (Table 18). Seventy-seven per cent (2,278/2,896) of eligible cases less than 5 years of age had received at least 2 doses of a pertussis-containing vaccine in 2015.</w:t>
      </w:r>
    </w:p>
    <w:p w14:paraId="36617D82" w14:textId="77777777" w:rsidR="00E91894" w:rsidRDefault="00E91894">
      <w:pPr>
        <w:rPr>
          <w:b/>
        </w:rPr>
      </w:pPr>
      <w:r>
        <w:br w:type="page"/>
      </w:r>
    </w:p>
    <w:p w14:paraId="5518BE24" w14:textId="77777777" w:rsidR="00BE61A2" w:rsidRPr="00AE2F1B" w:rsidRDefault="00BE61A2" w:rsidP="00A52F61">
      <w:pPr>
        <w:pStyle w:val="CDIFigures"/>
      </w:pPr>
      <w:r w:rsidRPr="00AE2F1B">
        <w:lastRenderedPageBreak/>
        <w:t xml:space="preserve">Table 18: Notifications of pertussis in children aged 0 to 5 years, Australia, 2015, by age </w:t>
      </w:r>
      <w:proofErr w:type="gramStart"/>
      <w:r w:rsidRPr="00AE2F1B">
        <w:t>group</w:t>
      </w:r>
      <w:proofErr w:type="gramEnd"/>
      <w:r w:rsidRPr="00AE2F1B">
        <w:t xml:space="preserve"> </w:t>
      </w:r>
    </w:p>
    <w:tbl>
      <w:tblPr>
        <w:tblStyle w:val="CDI-StandardTable"/>
        <w:tblW w:w="0" w:type="auto"/>
        <w:tblLayout w:type="fixed"/>
        <w:tblCellMar>
          <w:top w:w="142" w:type="dxa"/>
          <w:left w:w="142" w:type="dxa"/>
          <w:bottom w:w="142" w:type="dxa"/>
        </w:tblCellMar>
        <w:tblLook w:val="04A0" w:firstRow="1" w:lastRow="0" w:firstColumn="1" w:lastColumn="0" w:noHBand="0" w:noVBand="1"/>
        <w:tblDescription w:val="This table shows the number of pertussis containing vaccine doses reported with notified pertussis cases by age group for children 5 years of age or less. Of the 2,896 cases reported in 2015, 142 cases received 1 dose of a pertussis containing vaccine, 146 cases received two doses, 1,812 cases received three doses and 320 cases received four doses. The remaining 476 cases were either less than 6 weeks of age and not eligible for vaccination (notification number of 48), not vaccinated (notification number of 258), or of unknown vaccination status (notification number of 170).&#10;"/>
      </w:tblPr>
      <w:tblGrid>
        <w:gridCol w:w="4651"/>
        <w:gridCol w:w="827"/>
        <w:gridCol w:w="827"/>
        <w:gridCol w:w="827"/>
        <w:gridCol w:w="827"/>
        <w:gridCol w:w="827"/>
        <w:gridCol w:w="827"/>
        <w:gridCol w:w="827"/>
      </w:tblGrid>
      <w:tr w:rsidR="000C6EFE" w:rsidRPr="00374CC9" w14:paraId="4B758A22" w14:textId="77777777" w:rsidTr="00CF5FAB">
        <w:trPr>
          <w:cnfStyle w:val="100000000000" w:firstRow="1" w:lastRow="0" w:firstColumn="0" w:lastColumn="0" w:oddVBand="0" w:evenVBand="0" w:oddHBand="0" w:evenHBand="0" w:firstRowFirstColumn="0" w:firstRowLastColumn="0" w:lastRowFirstColumn="0" w:lastRowLastColumn="0"/>
          <w:tblHeader/>
        </w:trPr>
        <w:tc>
          <w:tcPr>
            <w:tcW w:w="4651" w:type="dxa"/>
            <w:hideMark/>
          </w:tcPr>
          <w:p w14:paraId="314343B8" w14:textId="77777777" w:rsidR="000C6EFE" w:rsidRPr="007C3AD0" w:rsidRDefault="000C6EFE" w:rsidP="00A52F61">
            <w:pPr>
              <w:rPr>
                <w:color w:val="FFFFFF" w:themeColor="background1"/>
                <w:sz w:val="18"/>
                <w:szCs w:val="18"/>
              </w:rPr>
            </w:pPr>
          </w:p>
        </w:tc>
        <w:tc>
          <w:tcPr>
            <w:tcW w:w="5789" w:type="dxa"/>
            <w:gridSpan w:val="7"/>
            <w:hideMark/>
          </w:tcPr>
          <w:p w14:paraId="7C89BF1C" w14:textId="77777777" w:rsidR="000C6EFE" w:rsidRPr="007C3AD0" w:rsidRDefault="000C6EFE" w:rsidP="00A52F61">
            <w:pPr>
              <w:rPr>
                <w:rFonts w:eastAsia="Times New Roman"/>
                <w:color w:val="FFFFFF" w:themeColor="background1"/>
                <w:sz w:val="18"/>
                <w:szCs w:val="18"/>
              </w:rPr>
            </w:pPr>
            <w:r w:rsidRPr="007C3AD0">
              <w:rPr>
                <w:rFonts w:eastAsia="Times New Roman"/>
                <w:color w:val="FFFFFF" w:themeColor="background1"/>
                <w:sz w:val="18"/>
                <w:szCs w:val="18"/>
              </w:rPr>
              <w:t>Number of vaccine doses</w:t>
            </w:r>
          </w:p>
        </w:tc>
      </w:tr>
      <w:tr w:rsidR="00BE61A2" w:rsidRPr="00374CC9" w14:paraId="3FEC5B0A" w14:textId="77777777" w:rsidTr="000C6EFE">
        <w:tblPrEx>
          <w:tblCellMar>
            <w:right w:w="108" w:type="dxa"/>
          </w:tblCellMar>
        </w:tblPrEx>
        <w:tc>
          <w:tcPr>
            <w:tcW w:w="4651" w:type="dxa"/>
            <w:hideMark/>
          </w:tcPr>
          <w:p w14:paraId="77412905"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Age group</w:t>
            </w:r>
          </w:p>
        </w:tc>
        <w:tc>
          <w:tcPr>
            <w:tcW w:w="827" w:type="dxa"/>
            <w:hideMark/>
          </w:tcPr>
          <w:p w14:paraId="19CF8986"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827" w:type="dxa"/>
            <w:hideMark/>
          </w:tcPr>
          <w:p w14:paraId="49DB91F3"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827" w:type="dxa"/>
            <w:hideMark/>
          </w:tcPr>
          <w:p w14:paraId="077B00EE"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827" w:type="dxa"/>
            <w:hideMark/>
          </w:tcPr>
          <w:p w14:paraId="14DF6249"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827" w:type="dxa"/>
            <w:hideMark/>
          </w:tcPr>
          <w:p w14:paraId="58CA4A5B"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4</w:t>
            </w:r>
          </w:p>
        </w:tc>
        <w:tc>
          <w:tcPr>
            <w:tcW w:w="827" w:type="dxa"/>
            <w:hideMark/>
          </w:tcPr>
          <w:p w14:paraId="63937BF8"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Unknown</w:t>
            </w:r>
          </w:p>
        </w:tc>
        <w:tc>
          <w:tcPr>
            <w:tcW w:w="827" w:type="dxa"/>
            <w:hideMark/>
          </w:tcPr>
          <w:p w14:paraId="2C07BD0D"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Total</w:t>
            </w:r>
          </w:p>
        </w:tc>
      </w:tr>
      <w:tr w:rsidR="00BE61A2" w:rsidRPr="00374CC9" w14:paraId="7DA07BB1" w14:textId="77777777" w:rsidTr="000C6E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4651" w:type="dxa"/>
            <w:hideMark/>
          </w:tcPr>
          <w:p w14:paraId="696D54C3"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Less than 6 weeks of age (not eligible for immunisation)</w:t>
            </w:r>
          </w:p>
        </w:tc>
        <w:tc>
          <w:tcPr>
            <w:tcW w:w="827" w:type="dxa"/>
            <w:hideMark/>
          </w:tcPr>
          <w:p w14:paraId="2259BDA5"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35</w:t>
            </w:r>
          </w:p>
        </w:tc>
        <w:tc>
          <w:tcPr>
            <w:tcW w:w="827" w:type="dxa"/>
            <w:hideMark/>
          </w:tcPr>
          <w:p w14:paraId="67CD1FA2"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4</w:t>
            </w:r>
          </w:p>
        </w:tc>
        <w:tc>
          <w:tcPr>
            <w:tcW w:w="827" w:type="dxa"/>
            <w:hideMark/>
          </w:tcPr>
          <w:p w14:paraId="434368A3"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827" w:type="dxa"/>
            <w:hideMark/>
          </w:tcPr>
          <w:p w14:paraId="0C120671"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827" w:type="dxa"/>
            <w:hideMark/>
          </w:tcPr>
          <w:p w14:paraId="2A8DCCA2"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827" w:type="dxa"/>
            <w:hideMark/>
          </w:tcPr>
          <w:p w14:paraId="1CF02371"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9</w:t>
            </w:r>
          </w:p>
        </w:tc>
        <w:tc>
          <w:tcPr>
            <w:tcW w:w="827" w:type="dxa"/>
            <w:hideMark/>
          </w:tcPr>
          <w:p w14:paraId="438C6F8E"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48</w:t>
            </w:r>
          </w:p>
        </w:tc>
      </w:tr>
      <w:tr w:rsidR="00BE61A2" w:rsidRPr="00374CC9" w14:paraId="49FFE474" w14:textId="77777777" w:rsidTr="000C6EFE">
        <w:tblPrEx>
          <w:tblCellMar>
            <w:right w:w="108" w:type="dxa"/>
          </w:tblCellMar>
        </w:tblPrEx>
        <w:tc>
          <w:tcPr>
            <w:tcW w:w="4651" w:type="dxa"/>
            <w:hideMark/>
          </w:tcPr>
          <w:p w14:paraId="10B61EBA"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6 weeks to &lt;4 months</w:t>
            </w:r>
            <w:r w:rsidRPr="00374CC9">
              <w:rPr>
                <w:rFonts w:asciiTheme="minorHAnsi" w:eastAsia="Times New Roman" w:hAnsiTheme="minorHAnsi"/>
                <w:sz w:val="18"/>
                <w:szCs w:val="18"/>
              </w:rPr>
              <w:br/>
              <w:t>(eligible for 1 dose of vaccine)</w:t>
            </w:r>
          </w:p>
        </w:tc>
        <w:tc>
          <w:tcPr>
            <w:tcW w:w="827" w:type="dxa"/>
            <w:hideMark/>
          </w:tcPr>
          <w:p w14:paraId="35C58EED"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22</w:t>
            </w:r>
          </w:p>
        </w:tc>
        <w:tc>
          <w:tcPr>
            <w:tcW w:w="827" w:type="dxa"/>
            <w:hideMark/>
          </w:tcPr>
          <w:p w14:paraId="7708ED44"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112</w:t>
            </w:r>
          </w:p>
        </w:tc>
        <w:tc>
          <w:tcPr>
            <w:tcW w:w="827" w:type="dxa"/>
            <w:hideMark/>
          </w:tcPr>
          <w:p w14:paraId="2C833B5F"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827" w:type="dxa"/>
            <w:hideMark/>
          </w:tcPr>
          <w:p w14:paraId="4189741E"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827" w:type="dxa"/>
            <w:hideMark/>
          </w:tcPr>
          <w:p w14:paraId="51387D1D"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827" w:type="dxa"/>
            <w:hideMark/>
          </w:tcPr>
          <w:p w14:paraId="7F248FAF"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6</w:t>
            </w:r>
          </w:p>
        </w:tc>
        <w:tc>
          <w:tcPr>
            <w:tcW w:w="827" w:type="dxa"/>
            <w:hideMark/>
          </w:tcPr>
          <w:p w14:paraId="38A917B9"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143</w:t>
            </w:r>
          </w:p>
        </w:tc>
      </w:tr>
      <w:tr w:rsidR="00BE61A2" w:rsidRPr="00374CC9" w14:paraId="421F33D6" w14:textId="77777777" w:rsidTr="000C6E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4651" w:type="dxa"/>
            <w:hideMark/>
          </w:tcPr>
          <w:p w14:paraId="78EC2495"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4 to &lt;6 months</w:t>
            </w:r>
            <w:r w:rsidRPr="00374CC9">
              <w:rPr>
                <w:rFonts w:asciiTheme="minorHAnsi" w:eastAsia="Times New Roman" w:hAnsiTheme="minorHAnsi"/>
                <w:sz w:val="18"/>
                <w:szCs w:val="18"/>
              </w:rPr>
              <w:br/>
              <w:t>(eligible for two doses of vaccine)</w:t>
            </w:r>
          </w:p>
        </w:tc>
        <w:tc>
          <w:tcPr>
            <w:tcW w:w="827" w:type="dxa"/>
            <w:hideMark/>
          </w:tcPr>
          <w:p w14:paraId="16445E4B"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15</w:t>
            </w:r>
          </w:p>
        </w:tc>
        <w:tc>
          <w:tcPr>
            <w:tcW w:w="827" w:type="dxa"/>
            <w:hideMark/>
          </w:tcPr>
          <w:p w14:paraId="57E227F4"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12</w:t>
            </w:r>
          </w:p>
        </w:tc>
        <w:tc>
          <w:tcPr>
            <w:tcW w:w="827" w:type="dxa"/>
            <w:hideMark/>
          </w:tcPr>
          <w:p w14:paraId="1A23AB23"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74</w:t>
            </w:r>
          </w:p>
        </w:tc>
        <w:tc>
          <w:tcPr>
            <w:tcW w:w="827" w:type="dxa"/>
            <w:hideMark/>
          </w:tcPr>
          <w:p w14:paraId="65691BFA"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827" w:type="dxa"/>
            <w:hideMark/>
          </w:tcPr>
          <w:p w14:paraId="0C6343DA"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827" w:type="dxa"/>
            <w:hideMark/>
          </w:tcPr>
          <w:p w14:paraId="572EC99A"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10</w:t>
            </w:r>
          </w:p>
        </w:tc>
        <w:tc>
          <w:tcPr>
            <w:tcW w:w="827" w:type="dxa"/>
            <w:hideMark/>
          </w:tcPr>
          <w:p w14:paraId="38F8F6C2"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111</w:t>
            </w:r>
          </w:p>
        </w:tc>
      </w:tr>
      <w:tr w:rsidR="00BE61A2" w:rsidRPr="00374CC9" w14:paraId="03CB77C1" w14:textId="77777777" w:rsidTr="000C6EFE">
        <w:tblPrEx>
          <w:tblCellMar>
            <w:right w:w="108" w:type="dxa"/>
          </w:tblCellMar>
        </w:tblPrEx>
        <w:tc>
          <w:tcPr>
            <w:tcW w:w="4651" w:type="dxa"/>
            <w:hideMark/>
          </w:tcPr>
          <w:p w14:paraId="42147DE5"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6 months to &lt;4 years</w:t>
            </w:r>
            <w:r w:rsidRPr="00374CC9">
              <w:rPr>
                <w:rFonts w:asciiTheme="minorHAnsi" w:eastAsia="Times New Roman" w:hAnsiTheme="minorHAnsi"/>
                <w:sz w:val="18"/>
                <w:szCs w:val="18"/>
              </w:rPr>
              <w:br/>
              <w:t>(eligible for 3 doses of vaccine)</w:t>
            </w:r>
          </w:p>
        </w:tc>
        <w:tc>
          <w:tcPr>
            <w:tcW w:w="827" w:type="dxa"/>
            <w:hideMark/>
          </w:tcPr>
          <w:p w14:paraId="272E9C46"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177</w:t>
            </w:r>
          </w:p>
        </w:tc>
        <w:tc>
          <w:tcPr>
            <w:tcW w:w="827" w:type="dxa"/>
            <w:hideMark/>
          </w:tcPr>
          <w:p w14:paraId="422DFA5A"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17</w:t>
            </w:r>
          </w:p>
        </w:tc>
        <w:tc>
          <w:tcPr>
            <w:tcW w:w="827" w:type="dxa"/>
            <w:hideMark/>
          </w:tcPr>
          <w:p w14:paraId="78EA2F20"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64</w:t>
            </w:r>
          </w:p>
        </w:tc>
        <w:tc>
          <w:tcPr>
            <w:tcW w:w="827" w:type="dxa"/>
            <w:hideMark/>
          </w:tcPr>
          <w:p w14:paraId="4B1ED60F"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1,729</w:t>
            </w:r>
          </w:p>
        </w:tc>
        <w:tc>
          <w:tcPr>
            <w:tcW w:w="827" w:type="dxa"/>
            <w:hideMark/>
          </w:tcPr>
          <w:p w14:paraId="7906EBF7"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47</w:t>
            </w:r>
          </w:p>
        </w:tc>
        <w:tc>
          <w:tcPr>
            <w:tcW w:w="827" w:type="dxa"/>
            <w:hideMark/>
          </w:tcPr>
          <w:p w14:paraId="19975FDD"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111</w:t>
            </w:r>
          </w:p>
        </w:tc>
        <w:tc>
          <w:tcPr>
            <w:tcW w:w="827" w:type="dxa"/>
            <w:hideMark/>
          </w:tcPr>
          <w:p w14:paraId="5F4561F2"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2,145</w:t>
            </w:r>
          </w:p>
        </w:tc>
      </w:tr>
      <w:tr w:rsidR="00BE61A2" w:rsidRPr="00374CC9" w14:paraId="6B9D58E5" w14:textId="77777777" w:rsidTr="000C6E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4651" w:type="dxa"/>
            <w:hideMark/>
          </w:tcPr>
          <w:p w14:paraId="2FBDDDBD"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4 to 5 years</w:t>
            </w:r>
            <w:r w:rsidRPr="00374CC9">
              <w:rPr>
                <w:rFonts w:asciiTheme="minorHAnsi" w:eastAsia="Times New Roman" w:hAnsiTheme="minorHAnsi"/>
                <w:sz w:val="18"/>
                <w:szCs w:val="18"/>
              </w:rPr>
              <w:br/>
              <w:t>(eligible for 4 doses of vaccine)</w:t>
            </w:r>
          </w:p>
        </w:tc>
        <w:tc>
          <w:tcPr>
            <w:tcW w:w="827" w:type="dxa"/>
            <w:hideMark/>
          </w:tcPr>
          <w:p w14:paraId="21F05F19"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44</w:t>
            </w:r>
          </w:p>
        </w:tc>
        <w:tc>
          <w:tcPr>
            <w:tcW w:w="827" w:type="dxa"/>
            <w:hideMark/>
          </w:tcPr>
          <w:p w14:paraId="1D7D07D8"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827" w:type="dxa"/>
            <w:hideMark/>
          </w:tcPr>
          <w:p w14:paraId="60A2A110"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5</w:t>
            </w:r>
          </w:p>
        </w:tc>
        <w:tc>
          <w:tcPr>
            <w:tcW w:w="827" w:type="dxa"/>
            <w:hideMark/>
          </w:tcPr>
          <w:p w14:paraId="5A09DA79"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83</w:t>
            </w:r>
          </w:p>
        </w:tc>
        <w:tc>
          <w:tcPr>
            <w:tcW w:w="827" w:type="dxa"/>
            <w:hideMark/>
          </w:tcPr>
          <w:p w14:paraId="470F30DE"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273</w:t>
            </w:r>
          </w:p>
        </w:tc>
        <w:tc>
          <w:tcPr>
            <w:tcW w:w="827" w:type="dxa"/>
            <w:hideMark/>
          </w:tcPr>
          <w:p w14:paraId="2CD2977B"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43</w:t>
            </w:r>
          </w:p>
        </w:tc>
        <w:tc>
          <w:tcPr>
            <w:tcW w:w="827" w:type="dxa"/>
            <w:hideMark/>
          </w:tcPr>
          <w:p w14:paraId="260A1391" w14:textId="77777777" w:rsidR="00BE61A2" w:rsidRPr="00374CC9" w:rsidRDefault="00BE61A2" w:rsidP="00A52F61">
            <w:pPr>
              <w:rPr>
                <w:rFonts w:asciiTheme="minorHAnsi" w:eastAsia="Times New Roman" w:hAnsiTheme="minorHAnsi"/>
                <w:sz w:val="18"/>
                <w:szCs w:val="18"/>
              </w:rPr>
            </w:pPr>
            <w:r w:rsidRPr="00374CC9">
              <w:rPr>
                <w:rFonts w:asciiTheme="minorHAnsi" w:eastAsia="Times New Roman" w:hAnsiTheme="minorHAnsi"/>
                <w:sz w:val="18"/>
                <w:szCs w:val="18"/>
              </w:rPr>
              <w:t>449</w:t>
            </w:r>
          </w:p>
        </w:tc>
      </w:tr>
      <w:tr w:rsidR="00BE61A2" w:rsidRPr="000C6EFE" w14:paraId="4071E8D5" w14:textId="77777777" w:rsidTr="000C6EFE">
        <w:tblPrEx>
          <w:tblCellMar>
            <w:right w:w="108" w:type="dxa"/>
          </w:tblCellMar>
        </w:tblPrEx>
        <w:tc>
          <w:tcPr>
            <w:tcW w:w="4651" w:type="dxa"/>
            <w:shd w:val="clear" w:color="auto" w:fill="FDE9D9" w:themeFill="accent6" w:themeFillTint="33"/>
            <w:hideMark/>
          </w:tcPr>
          <w:p w14:paraId="0E684460" w14:textId="77777777" w:rsidR="00BE61A2" w:rsidRPr="000C6EFE" w:rsidRDefault="00BE61A2" w:rsidP="00A52F61">
            <w:pPr>
              <w:rPr>
                <w:rFonts w:asciiTheme="minorHAnsi" w:eastAsia="Times New Roman" w:hAnsiTheme="minorHAnsi"/>
                <w:b/>
                <w:sz w:val="18"/>
                <w:szCs w:val="18"/>
              </w:rPr>
            </w:pPr>
            <w:r w:rsidRPr="000C6EFE">
              <w:rPr>
                <w:rFonts w:asciiTheme="minorHAnsi" w:eastAsia="Times New Roman" w:hAnsiTheme="minorHAnsi"/>
                <w:b/>
                <w:sz w:val="18"/>
                <w:szCs w:val="18"/>
              </w:rPr>
              <w:t>Total</w:t>
            </w:r>
          </w:p>
        </w:tc>
        <w:tc>
          <w:tcPr>
            <w:tcW w:w="827" w:type="dxa"/>
            <w:shd w:val="clear" w:color="auto" w:fill="FDE9D9" w:themeFill="accent6" w:themeFillTint="33"/>
            <w:hideMark/>
          </w:tcPr>
          <w:p w14:paraId="5113E207" w14:textId="77777777" w:rsidR="00BE61A2" w:rsidRPr="000C6EFE" w:rsidRDefault="00BE61A2" w:rsidP="00A52F61">
            <w:pPr>
              <w:rPr>
                <w:rFonts w:asciiTheme="minorHAnsi" w:eastAsia="Times New Roman" w:hAnsiTheme="minorHAnsi"/>
                <w:b/>
                <w:sz w:val="18"/>
                <w:szCs w:val="18"/>
              </w:rPr>
            </w:pPr>
            <w:r w:rsidRPr="000C6EFE">
              <w:rPr>
                <w:rFonts w:asciiTheme="minorHAnsi" w:eastAsia="Times New Roman" w:hAnsiTheme="minorHAnsi"/>
                <w:b/>
                <w:sz w:val="18"/>
                <w:szCs w:val="18"/>
              </w:rPr>
              <w:t>293</w:t>
            </w:r>
          </w:p>
        </w:tc>
        <w:tc>
          <w:tcPr>
            <w:tcW w:w="827" w:type="dxa"/>
            <w:shd w:val="clear" w:color="auto" w:fill="FDE9D9" w:themeFill="accent6" w:themeFillTint="33"/>
            <w:hideMark/>
          </w:tcPr>
          <w:p w14:paraId="02D30781" w14:textId="77777777" w:rsidR="00BE61A2" w:rsidRPr="000C6EFE" w:rsidRDefault="00BE61A2" w:rsidP="00A52F61">
            <w:pPr>
              <w:rPr>
                <w:rFonts w:asciiTheme="minorHAnsi" w:eastAsia="Times New Roman" w:hAnsiTheme="minorHAnsi"/>
                <w:b/>
                <w:sz w:val="18"/>
                <w:szCs w:val="18"/>
              </w:rPr>
            </w:pPr>
            <w:r w:rsidRPr="000C6EFE">
              <w:rPr>
                <w:rFonts w:asciiTheme="minorHAnsi" w:eastAsia="Times New Roman" w:hAnsiTheme="minorHAnsi"/>
                <w:b/>
                <w:sz w:val="18"/>
                <w:szCs w:val="18"/>
              </w:rPr>
              <w:t>146</w:t>
            </w:r>
          </w:p>
        </w:tc>
        <w:tc>
          <w:tcPr>
            <w:tcW w:w="827" w:type="dxa"/>
            <w:shd w:val="clear" w:color="auto" w:fill="FDE9D9" w:themeFill="accent6" w:themeFillTint="33"/>
            <w:hideMark/>
          </w:tcPr>
          <w:p w14:paraId="74D394FC" w14:textId="77777777" w:rsidR="00BE61A2" w:rsidRPr="000C6EFE" w:rsidRDefault="00BE61A2" w:rsidP="00A52F61">
            <w:pPr>
              <w:rPr>
                <w:rFonts w:asciiTheme="minorHAnsi" w:eastAsia="Times New Roman" w:hAnsiTheme="minorHAnsi"/>
                <w:b/>
                <w:sz w:val="18"/>
                <w:szCs w:val="18"/>
              </w:rPr>
            </w:pPr>
            <w:r w:rsidRPr="000C6EFE">
              <w:rPr>
                <w:rFonts w:asciiTheme="minorHAnsi" w:eastAsia="Times New Roman" w:hAnsiTheme="minorHAnsi"/>
                <w:b/>
                <w:sz w:val="18"/>
                <w:szCs w:val="18"/>
              </w:rPr>
              <w:t>146</w:t>
            </w:r>
          </w:p>
        </w:tc>
        <w:tc>
          <w:tcPr>
            <w:tcW w:w="827" w:type="dxa"/>
            <w:shd w:val="clear" w:color="auto" w:fill="FDE9D9" w:themeFill="accent6" w:themeFillTint="33"/>
            <w:hideMark/>
          </w:tcPr>
          <w:p w14:paraId="74077F6E" w14:textId="77777777" w:rsidR="00BE61A2" w:rsidRPr="000C6EFE" w:rsidRDefault="00BE61A2" w:rsidP="00A52F61">
            <w:pPr>
              <w:rPr>
                <w:rFonts w:asciiTheme="minorHAnsi" w:eastAsia="Times New Roman" w:hAnsiTheme="minorHAnsi"/>
                <w:b/>
                <w:sz w:val="18"/>
                <w:szCs w:val="18"/>
              </w:rPr>
            </w:pPr>
            <w:r w:rsidRPr="000C6EFE">
              <w:rPr>
                <w:rFonts w:asciiTheme="minorHAnsi" w:eastAsia="Times New Roman" w:hAnsiTheme="minorHAnsi"/>
                <w:b/>
                <w:sz w:val="18"/>
                <w:szCs w:val="18"/>
              </w:rPr>
              <w:t>1,812</w:t>
            </w:r>
          </w:p>
        </w:tc>
        <w:tc>
          <w:tcPr>
            <w:tcW w:w="827" w:type="dxa"/>
            <w:shd w:val="clear" w:color="auto" w:fill="FDE9D9" w:themeFill="accent6" w:themeFillTint="33"/>
            <w:hideMark/>
          </w:tcPr>
          <w:p w14:paraId="5EB0A7DA" w14:textId="77777777" w:rsidR="00BE61A2" w:rsidRPr="000C6EFE" w:rsidRDefault="00BE61A2" w:rsidP="00A52F61">
            <w:pPr>
              <w:rPr>
                <w:rFonts w:asciiTheme="minorHAnsi" w:eastAsia="Times New Roman" w:hAnsiTheme="minorHAnsi"/>
                <w:b/>
                <w:sz w:val="18"/>
                <w:szCs w:val="18"/>
              </w:rPr>
            </w:pPr>
            <w:r w:rsidRPr="000C6EFE">
              <w:rPr>
                <w:rFonts w:asciiTheme="minorHAnsi" w:eastAsia="Times New Roman" w:hAnsiTheme="minorHAnsi"/>
                <w:b/>
                <w:sz w:val="18"/>
                <w:szCs w:val="18"/>
              </w:rPr>
              <w:t>320</w:t>
            </w:r>
          </w:p>
        </w:tc>
        <w:tc>
          <w:tcPr>
            <w:tcW w:w="827" w:type="dxa"/>
            <w:shd w:val="clear" w:color="auto" w:fill="FDE9D9" w:themeFill="accent6" w:themeFillTint="33"/>
            <w:hideMark/>
          </w:tcPr>
          <w:p w14:paraId="3A245101" w14:textId="77777777" w:rsidR="00BE61A2" w:rsidRPr="000C6EFE" w:rsidRDefault="00BE61A2" w:rsidP="00A52F61">
            <w:pPr>
              <w:rPr>
                <w:rFonts w:asciiTheme="minorHAnsi" w:eastAsia="Times New Roman" w:hAnsiTheme="minorHAnsi"/>
                <w:b/>
                <w:sz w:val="18"/>
                <w:szCs w:val="18"/>
              </w:rPr>
            </w:pPr>
            <w:r w:rsidRPr="000C6EFE">
              <w:rPr>
                <w:rFonts w:asciiTheme="minorHAnsi" w:eastAsia="Times New Roman" w:hAnsiTheme="minorHAnsi"/>
                <w:b/>
                <w:sz w:val="18"/>
                <w:szCs w:val="18"/>
              </w:rPr>
              <w:t>179</w:t>
            </w:r>
          </w:p>
        </w:tc>
        <w:tc>
          <w:tcPr>
            <w:tcW w:w="827" w:type="dxa"/>
            <w:shd w:val="clear" w:color="auto" w:fill="FDE9D9" w:themeFill="accent6" w:themeFillTint="33"/>
            <w:hideMark/>
          </w:tcPr>
          <w:p w14:paraId="1E44620A" w14:textId="77777777" w:rsidR="00BE61A2" w:rsidRPr="000C6EFE" w:rsidRDefault="00BE61A2" w:rsidP="00A52F61">
            <w:pPr>
              <w:rPr>
                <w:rFonts w:asciiTheme="minorHAnsi" w:eastAsia="Times New Roman" w:hAnsiTheme="minorHAnsi"/>
                <w:b/>
                <w:sz w:val="18"/>
                <w:szCs w:val="18"/>
              </w:rPr>
            </w:pPr>
            <w:r w:rsidRPr="000C6EFE">
              <w:rPr>
                <w:rFonts w:asciiTheme="minorHAnsi" w:eastAsia="Times New Roman" w:hAnsiTheme="minorHAnsi"/>
                <w:b/>
                <w:sz w:val="18"/>
                <w:szCs w:val="18"/>
              </w:rPr>
              <w:t>2,896</w:t>
            </w:r>
          </w:p>
        </w:tc>
      </w:tr>
    </w:tbl>
    <w:p w14:paraId="6CFE0CFE" w14:textId="77777777" w:rsidR="00BE61A2" w:rsidRPr="00AE2F1B" w:rsidRDefault="00BE61A2" w:rsidP="00A52F61">
      <w:pPr>
        <w:pStyle w:val="CDIfootnotes"/>
      </w:pPr>
      <w:r w:rsidRPr="00AE2F1B">
        <w:t>Pertussis vaccine effectiveness among Australian children has been estimated to range from 82% to 89%, with the lower figure representing the cohort of children who would not have been eligible for the 18-month booster dose, which was removed from the NIP in 2003.</w:t>
      </w:r>
      <w:r w:rsidRPr="00AE2F1B">
        <w:rPr>
          <w:vertAlign w:val="superscript"/>
        </w:rPr>
        <w:t>99</w:t>
      </w:r>
      <w:r w:rsidRPr="00AE2F1B">
        <w:t xml:space="preserve"> Immunity to disease decreases over time post-immunisation, with estimates that protection remains for 4 to 12 years.</w:t>
      </w:r>
      <w:r w:rsidRPr="00AE2F1B">
        <w:rPr>
          <w:vertAlign w:val="superscript"/>
        </w:rPr>
        <w:t>100,101,102</w:t>
      </w:r>
      <w:r w:rsidRPr="00AE2F1B">
        <w:t xml:space="preserve"> While pertussis can affect people of any age, infants are at highest risk of more severe disease, as adequate immunity is not achieved through infant immunisation until at least the second vaccine dose at 4 months of age.</w:t>
      </w:r>
      <w:r w:rsidRPr="00AE2F1B">
        <w:rPr>
          <w:vertAlign w:val="superscript"/>
        </w:rPr>
        <w:t>103</w:t>
      </w:r>
      <w:r w:rsidRPr="00AE2F1B">
        <w:t xml:space="preserve"> </w:t>
      </w:r>
    </w:p>
    <w:p w14:paraId="69454F67" w14:textId="77777777" w:rsidR="00BE61A2" w:rsidRPr="00AE2F1B" w:rsidRDefault="00BE61A2" w:rsidP="00902F77">
      <w:pPr>
        <w:pStyle w:val="Heading3"/>
      </w:pPr>
      <w:bookmarkStart w:id="162" w:name="_Toc1747316"/>
      <w:r w:rsidRPr="00AE2F1B">
        <w:t>Discussion</w:t>
      </w:r>
      <w:bookmarkEnd w:id="162"/>
    </w:p>
    <w:p w14:paraId="2304083F" w14:textId="77777777" w:rsidR="00BE61A2" w:rsidRPr="00AE2F1B" w:rsidRDefault="00BE61A2" w:rsidP="00AE2F1B">
      <w:r w:rsidRPr="00AE2F1B">
        <w:t xml:space="preserve">Epidemics of pertussis have historically occurred at regular intervals of approximately 4 years on a background of endemic circulation in Australia, with the most recent epidemic peaking in 2011. In 2015, the national rate of pertussis increased, with jurisdictions reporting varying pertussis activity. The Northern Territory, Tasmania and Victoria displayed activity that is consistent at pre-epidemic levels, while the remaining jurisdictions exhibited increased activity compared with previous years, particularly New South Wales. </w:t>
      </w:r>
    </w:p>
    <w:p w14:paraId="6CBD2CF4" w14:textId="77777777" w:rsidR="00BE61A2" w:rsidRPr="00AE2F1B" w:rsidRDefault="00BE61A2" w:rsidP="00AE2F1B">
      <w:r w:rsidRPr="00AE2F1B">
        <w:t>Increases in pertussis activity in New South Wales were evident from mid-</w:t>
      </w:r>
      <w:proofErr w:type="gramStart"/>
      <w:r w:rsidRPr="00AE2F1B">
        <w:t>2014, and</w:t>
      </w:r>
      <w:proofErr w:type="gramEnd"/>
      <w:r w:rsidRPr="00AE2F1B">
        <w:t xml:space="preserve"> were driven by an outbreak of pertussis which continued into 2015 and peaked in November. Pertussis activity in New South Wales displayed a decline in December 2015, but was still higher compared with activity in 2013 and e </w:t>
      </w:r>
      <w:proofErr w:type="spellStart"/>
      <w:r w:rsidRPr="00AE2F1B">
        <w:t>arly</w:t>
      </w:r>
      <w:proofErr w:type="spellEnd"/>
      <w:r w:rsidRPr="00AE2F1B">
        <w:t xml:space="preserve"> 2014. </w:t>
      </w:r>
    </w:p>
    <w:p w14:paraId="30728534" w14:textId="77777777" w:rsidR="00BE61A2" w:rsidRPr="00AE2F1B" w:rsidRDefault="00BE61A2" w:rsidP="00AE2F1B">
      <w:r w:rsidRPr="00AE2F1B">
        <w:t>All jurisdictions in 2015 introduced funded immunisation programs offering free pertussis immunisation to pregnant women in their third trimester (from 28 weeks gestation). In 2012, all jurisdictions, except for the Northern Territory, ceased their respective cocooning programs, which included various combinations of providing free booster immunisations to carers of infants. In 2015, Victoria funded a cocooning program as part of the maternal immunisation program. This program offers pertussis immunisations to parents and guardians of infants up to 6 months of age and born on or after 1 June 2015, and partners of women who are at least 28 weeks pregnant, if they have not received a pertussis booster in the last 10 years.</w:t>
      </w:r>
      <w:r w:rsidRPr="00AE2F1B">
        <w:rPr>
          <w:vertAlign w:val="superscript"/>
        </w:rPr>
        <w:t>104</w:t>
      </w:r>
      <w:r w:rsidRPr="00AE2F1B">
        <w:t xml:space="preserve"> </w:t>
      </w:r>
    </w:p>
    <w:p w14:paraId="346CD968" w14:textId="77777777" w:rsidR="00BE61A2" w:rsidRPr="00902F77" w:rsidRDefault="00BE61A2" w:rsidP="00902F77">
      <w:pPr>
        <w:pStyle w:val="Heading2"/>
      </w:pPr>
      <w:bookmarkStart w:id="163" w:name="_Toc1747317"/>
      <w:r w:rsidRPr="00902F77">
        <w:t>Pneumococcal disease (invasive)</w:t>
      </w:r>
      <w:bookmarkEnd w:id="163"/>
      <w:r w:rsidRPr="00902F77">
        <w:t xml:space="preserve"> </w:t>
      </w:r>
    </w:p>
    <w:p w14:paraId="4EDD497D" w14:textId="77777777" w:rsidR="00BE61A2" w:rsidRPr="004E056D" w:rsidRDefault="00BE61A2" w:rsidP="00D762CF">
      <w:pPr>
        <w:pStyle w:val="ListParagraph"/>
        <w:numPr>
          <w:ilvl w:val="0"/>
          <w:numId w:val="8"/>
        </w:numPr>
      </w:pPr>
      <w:r w:rsidRPr="004E056D">
        <w:t>There were 1,499 cases of invasive pneumococcal disease notified in 2015, a small decrease on the total compared with 2014 (n=1,563).</w:t>
      </w:r>
    </w:p>
    <w:p w14:paraId="1A593108" w14:textId="77777777" w:rsidR="00BE61A2" w:rsidRPr="00AE2F1B" w:rsidRDefault="00BE61A2" w:rsidP="00AE2F1B">
      <w:r w:rsidRPr="00AE2F1B">
        <w:lastRenderedPageBreak/>
        <w:t xml:space="preserve">Invasive pneumococcal disease (IPD) is a condition where </w:t>
      </w:r>
      <w:r w:rsidRPr="00DF12AB">
        <w:rPr>
          <w:rStyle w:val="Emphasis"/>
          <w:b w:val="0"/>
        </w:rPr>
        <w:t>Streptococcus pneumoniae</w:t>
      </w:r>
      <w:r w:rsidRPr="00AE2F1B">
        <w:t xml:space="preserve"> is isolated from a normally sterile site such as blood, cerebrospinal fluid, or pleural fluid. Transmission of the bacterium from person to person is usually via the inhalation of respiratory droplets from an infected person. Many of the signs and symptoms of IPD are non-specific including fever, chills, headache, neck stiffness and general malaise. Severe symptoms can include seizures and occasionally coma.</w:t>
      </w:r>
    </w:p>
    <w:p w14:paraId="6ABAB39B" w14:textId="77777777" w:rsidR="00BE61A2" w:rsidRPr="00AE2F1B" w:rsidRDefault="00BE61A2" w:rsidP="00924A50">
      <w:pPr>
        <w:pStyle w:val="Heading3"/>
      </w:pPr>
      <w:bookmarkStart w:id="164" w:name="_Toc1747318"/>
      <w:r w:rsidRPr="00924A50">
        <w:rPr>
          <w:bCs w:val="0"/>
        </w:rPr>
        <w:t>Epidemiological situation in 2015</w:t>
      </w:r>
      <w:bookmarkEnd w:id="164"/>
    </w:p>
    <w:p w14:paraId="178927E3" w14:textId="77777777" w:rsidR="00BE61A2" w:rsidRPr="00AE2F1B" w:rsidRDefault="00BE61A2" w:rsidP="00AE2F1B">
      <w:r w:rsidRPr="00AE2F1B">
        <w:t>In 2015, there were 1,499 notifications of IPD, representing a notification rate of 6.3 per 100,000. Compared to 2011 (8.4 per 100,000), there has been a 25% reduction in the overall notification rate of IPD. This reduction was associated with the July 2011 replacement of the 7-valent pneumococcal conjugate vaccine (7vPCV) in the childhood immunisation program with the 13-valent pneumococcal conjugate vaccine (13vPCV), where the declines were greatest among children aged less than 2 years targeted by the new vaccine and for those IPD cases caused by the 6 additional vaccine serotypes.</w:t>
      </w:r>
      <w:r w:rsidRPr="00AE2F1B">
        <w:rPr>
          <w:vertAlign w:val="superscript"/>
        </w:rPr>
        <w:t>29</w:t>
      </w:r>
      <w:r w:rsidRPr="00AE2F1B">
        <w:t xml:space="preserve"> </w:t>
      </w:r>
    </w:p>
    <w:p w14:paraId="03CBFC7F" w14:textId="77777777" w:rsidR="00BE61A2" w:rsidRPr="00AE2F1B" w:rsidRDefault="00BE61A2" w:rsidP="00924A50">
      <w:pPr>
        <w:pStyle w:val="Heading3"/>
      </w:pPr>
      <w:bookmarkStart w:id="165" w:name="_Toc1747319"/>
      <w:r w:rsidRPr="00924A50">
        <w:rPr>
          <w:bCs w:val="0"/>
        </w:rPr>
        <w:t>Geographic distribution</w:t>
      </w:r>
      <w:bookmarkEnd w:id="165"/>
    </w:p>
    <w:p w14:paraId="43A23D1F" w14:textId="77777777" w:rsidR="00BE61A2" w:rsidRPr="00AE2F1B" w:rsidRDefault="00BE61A2" w:rsidP="00AE2F1B">
      <w:r w:rsidRPr="00AE2F1B">
        <w:t xml:space="preserve">Nationally in 2015, notification rates varied by jurisdiction, and ranged from 4.3 per 100,000 in the Australian Capital Territory to 24.9 per 100,000 in the Northern Territory. The Australian Capital Territory, the Northern Territory, </w:t>
      </w:r>
      <w:proofErr w:type="gramStart"/>
      <w:r w:rsidRPr="00AE2F1B">
        <w:t>Queensland</w:t>
      </w:r>
      <w:proofErr w:type="gramEnd"/>
      <w:r w:rsidRPr="00AE2F1B">
        <w:t xml:space="preserve"> and Tasmania all reported an increase in their rates of IPD notification compared to 2014. The Northern Territory reported the greatest increase on the previous year (41%, 17.7 to 24.9 per 100,000), noting that this increase had followed a decline from a previous peak in 2011 (55.8 per 100,000). In comparison, the other 3 jurisdictions reported only small increases (range: 4 to 12%). New South Wales, South Australia, </w:t>
      </w:r>
      <w:proofErr w:type="gramStart"/>
      <w:r w:rsidRPr="00AE2F1B">
        <w:t>Victoria</w:t>
      </w:r>
      <w:proofErr w:type="gramEnd"/>
      <w:r w:rsidRPr="00AE2F1B">
        <w:t xml:space="preserve"> and Western Australia all reported a decline in their notifications rates compared to 2014, with Western Australia reporting the greatest decrease (21%, 8.1 to 6.4 per 100,000).</w:t>
      </w:r>
    </w:p>
    <w:p w14:paraId="420FB5D0" w14:textId="77777777" w:rsidR="00BE61A2" w:rsidRPr="00AE2F1B" w:rsidRDefault="00BE61A2" w:rsidP="00924A50">
      <w:pPr>
        <w:pStyle w:val="Heading3"/>
      </w:pPr>
      <w:bookmarkStart w:id="166" w:name="_Toc1747320"/>
      <w:r w:rsidRPr="00924A50">
        <w:rPr>
          <w:bCs w:val="0"/>
        </w:rPr>
        <w:t>Age and sex distribution</w:t>
      </w:r>
      <w:bookmarkEnd w:id="166"/>
    </w:p>
    <w:p w14:paraId="6FBEC773" w14:textId="77777777" w:rsidR="00BE61A2" w:rsidRDefault="00BE61A2" w:rsidP="00AE2F1B">
      <w:r w:rsidRPr="00AE2F1B">
        <w:t>In 2015, males (55%, n=827) continued to account for a higher proportion of cases compared to females (45%, n=672). The rates of disease in males exceeded those in females across almost all age groups, especially among those aged 0–4 years and 75 years and over (Figure 73</w:t>
      </w:r>
      <w:r w:rsidR="009B7DFF" w:rsidRPr="00AE2F1B">
        <w:t xml:space="preserve">). </w:t>
      </w:r>
      <w:r w:rsidRPr="00AE2F1B">
        <w:t xml:space="preserve">Overall, the notification rate was highest in older Australians and young children, with an age distribution of cases similar to that observed in 2014. In adult Australians, the highest notification rate was among those aged 85 years and over (25.2 per 100,000), while in children it was among those aged less than 5 years (12.9 per 100,000). The notification rate among those aged less than 2 years was 17.9 per 100,000. </w:t>
      </w:r>
    </w:p>
    <w:p w14:paraId="04F66D48" w14:textId="77777777" w:rsidR="00E91894" w:rsidRDefault="00E91894">
      <w:pPr>
        <w:rPr>
          <w:b/>
        </w:rPr>
      </w:pPr>
      <w:r>
        <w:br w:type="page"/>
      </w:r>
    </w:p>
    <w:p w14:paraId="7CCB2936" w14:textId="77777777" w:rsidR="003246B5" w:rsidRDefault="003246B5" w:rsidP="003246B5">
      <w:pPr>
        <w:pStyle w:val="CDIFigures"/>
      </w:pPr>
      <w:r w:rsidRPr="003246B5">
        <w:lastRenderedPageBreak/>
        <w:t>Figure 73: Notification rate for invasive pneumococcal disease, Australia, 2015, by age group and sex</w:t>
      </w:r>
    </w:p>
    <w:p w14:paraId="18F8F674" w14:textId="77777777" w:rsidR="00E91894" w:rsidRDefault="0021477A" w:rsidP="003246B5">
      <w:pPr>
        <w:pStyle w:val="CDIFigures"/>
      </w:pPr>
      <w:r>
        <w:pict w14:anchorId="4EBF81F9">
          <v:shape id="_x0000_i1094" type="#_x0000_t75" alt="This figure shows the age and sex distribution of notifications of invasive pneumococcal disease in 2015. In adult Australians, the highest notification rate was among those aged 85 years and over (25.2 per 100,000), while in children it was amongst those aged less than 5 years (12.9 per 100,000). The notification rate among those aged less than 2 years was 17.9 per 100,000." style="width:522.6pt;height:339pt">
            <v:imagedata r:id="rId91" o:title="5-VPD chapter Figures_50 to 85 for CDI _Page_25"/>
          </v:shape>
        </w:pict>
      </w:r>
    </w:p>
    <w:p w14:paraId="2213811B" w14:textId="77777777" w:rsidR="006A02D6" w:rsidRDefault="006A02D6">
      <w:pPr>
        <w:rPr>
          <w:b/>
        </w:rPr>
      </w:pPr>
      <w:r>
        <w:br w:type="page"/>
      </w:r>
    </w:p>
    <w:p w14:paraId="614CAECA" w14:textId="77777777" w:rsidR="00CF5FAB" w:rsidRDefault="00CF5FAB" w:rsidP="00CF5FAB">
      <w:pPr>
        <w:pStyle w:val="CDIFigures"/>
        <w:rPr>
          <w:rStyle w:val="A9"/>
          <w:rFonts w:asciiTheme="minorHAnsi" w:hAnsiTheme="minorHAnsi" w:cstheme="minorBidi"/>
          <w:b/>
          <w:bCs w:val="0"/>
          <w:color w:val="auto"/>
          <w:sz w:val="22"/>
          <w:szCs w:val="22"/>
        </w:rPr>
      </w:pPr>
      <w:r w:rsidRPr="00CF5FAB">
        <w:lastRenderedPageBreak/>
        <w:t>Figure 74: Age-standardised notification rates for invasive pneumococcal disease, Australia, 2006 to 2015, by Indigenous status</w:t>
      </w:r>
      <w:r w:rsidRPr="00E91894">
        <w:rPr>
          <w:rStyle w:val="A9"/>
          <w:rFonts w:asciiTheme="minorHAnsi" w:hAnsiTheme="minorHAnsi" w:cstheme="minorBidi"/>
          <w:b/>
          <w:bCs w:val="0"/>
          <w:color w:val="auto"/>
          <w:sz w:val="22"/>
          <w:szCs w:val="22"/>
          <w:vertAlign w:val="superscript"/>
        </w:rPr>
        <w:t>*</w:t>
      </w:r>
    </w:p>
    <w:p w14:paraId="55DA6E3F" w14:textId="77777777" w:rsidR="00E91894" w:rsidRDefault="0021477A" w:rsidP="00E86209">
      <w:pPr>
        <w:pStyle w:val="CDIfootnotes"/>
      </w:pPr>
      <w:r>
        <w:pict w14:anchorId="23E9FCF5">
          <v:shape id="_x0000_i1095" type="#_x0000_t75" alt="This figure shows notifications and rates of IPD in Australia between 2006 and 2015 by Indigenous status. In 2015, the age-standardised notification rate in the Indigenous population was approximately eight times that of the non-Indigenous population. Since 2006, the Indigenous age-standardised notification rate increased from 34.0 in 2006 to a peak of 58.6 in 2011 and then decreased to 42.2 in 2015 per 100,000 standard population. In comparison, the non-Indigenous age-standardised notification rate increased from 6.3 in 2006 to 6.9 in 2011 followed by a decrease to 5.2 in 2015 per 100,000 standard population." style="width:522.6pt;height:317.4pt;mso-position-vertical:absolute">
            <v:imagedata r:id="rId92" o:title="5-VPD chapter Figures_50 to 85 for CDI _Page_26"/>
          </v:shape>
        </w:pict>
      </w:r>
    </w:p>
    <w:p w14:paraId="37C4522F" w14:textId="77777777" w:rsidR="00E86209" w:rsidRPr="00E86209" w:rsidRDefault="00E86209" w:rsidP="00361F19">
      <w:pPr>
        <w:pStyle w:val="CDIfootnotes"/>
        <w:ind w:left="720" w:hanging="720"/>
      </w:pPr>
      <w:r w:rsidRPr="00E86209">
        <w:t>*</w:t>
      </w:r>
      <w:r w:rsidRPr="00E86209">
        <w:tab/>
        <w:t>Where the Indigenous status of a notification was not completed, these notifications were counted as non-Indigenous in this</w:t>
      </w:r>
      <w:r w:rsidR="006A02D6">
        <w:t> </w:t>
      </w:r>
      <w:r w:rsidRPr="00E86209">
        <w:t>analysis.</w:t>
      </w:r>
    </w:p>
    <w:p w14:paraId="0191B31D" w14:textId="77777777" w:rsidR="00BE61A2" w:rsidRPr="0039362D" w:rsidRDefault="00BE61A2" w:rsidP="00445A79">
      <w:pPr>
        <w:pStyle w:val="Heading3"/>
      </w:pPr>
      <w:bookmarkStart w:id="167" w:name="_Toc1747321"/>
      <w:r w:rsidRPr="0039362D">
        <w:t>Seasonality</w:t>
      </w:r>
      <w:bookmarkEnd w:id="167"/>
    </w:p>
    <w:p w14:paraId="4D911170" w14:textId="77777777" w:rsidR="00BE61A2" w:rsidRPr="00AE2F1B" w:rsidRDefault="00BE61A2" w:rsidP="00AE2F1B">
      <w:r w:rsidRPr="00AE2F1B">
        <w:t xml:space="preserve">Many respiratory transmitted diseases, including IPD, are known to show a distinct seasonal trend, with incidence generally peaking during the winter months. In 2015, notifications of IPD peaked over the months of July and August (n=204 and 229 respectively), which was consistent with the seasonal peak observed in previous years. </w:t>
      </w:r>
    </w:p>
    <w:p w14:paraId="5156CE7A" w14:textId="77777777" w:rsidR="00BE61A2" w:rsidRPr="0039362D" w:rsidRDefault="00BE61A2" w:rsidP="00445A79">
      <w:pPr>
        <w:pStyle w:val="Heading3"/>
      </w:pPr>
      <w:bookmarkStart w:id="168" w:name="_Toc1747322"/>
      <w:r w:rsidRPr="0039362D">
        <w:t>Indigenous status</w:t>
      </w:r>
      <w:bookmarkEnd w:id="168"/>
    </w:p>
    <w:p w14:paraId="0A3C0CFE" w14:textId="77777777" w:rsidR="00BE61A2" w:rsidRPr="00AE2F1B" w:rsidRDefault="00BE61A2" w:rsidP="00AE2F1B">
      <w:r w:rsidRPr="00AE2F1B">
        <w:t xml:space="preserve">In 2015, 89% (1,340/1,499) of IPD cases were reported with a known Indigenous status. Of those with a known Indigenous status, 16% (208/1,340) were Indigenous. The age-specific notification rates for the Indigenous population were higher than for the non-Indigenous population in each age group. As Indigenous and non-Indigenous populations differ in age structure, age-standardised notification rates are reported to provide a more appropriate comparison of these 2 populations to a standard population, the Australian population </w:t>
      </w:r>
      <w:proofErr w:type="gramStart"/>
      <w:r w:rsidRPr="00AE2F1B">
        <w:t>in</w:t>
      </w:r>
      <w:proofErr w:type="gramEnd"/>
      <w:r w:rsidRPr="00AE2F1B">
        <w:t xml:space="preserve"> 30 June 2001. In 2015, the age-standardised notification rate in the Indigenous population was approximately 8 times that of the non-Indigenous population. The Indigenous age-standardised notification rate increased from 34.0 in 2006 to a peak of 58.6 in 2011 and then decreased to 42.2 per 100,000 population in 2015. In comparison, the non-Indigenous age-standardised notification rate increased from 6.3 in 2006 to 6.9 in 2011, followed by a decrease to 5.2 per 100,000 population in 2015 (Figure 25). The declines observed since 2011 are probably due to the replacement in mid-2011 of 7vPCV with 13vPCV as the pneumococcal vaccine offered to infants through the NIP. </w:t>
      </w:r>
    </w:p>
    <w:p w14:paraId="3CCB2A9D" w14:textId="77777777" w:rsidR="00CA2CBF" w:rsidRDefault="00CA2CBF">
      <w:pPr>
        <w:rPr>
          <w:rFonts w:asciiTheme="majorHAnsi" w:eastAsiaTheme="majorEastAsia" w:hAnsiTheme="majorHAnsi" w:cstheme="majorBidi"/>
          <w:b/>
          <w:bCs/>
        </w:rPr>
      </w:pPr>
      <w:r>
        <w:br w:type="page"/>
      </w:r>
    </w:p>
    <w:p w14:paraId="592EA7AB" w14:textId="77777777" w:rsidR="00BE61A2" w:rsidRPr="0039362D" w:rsidRDefault="00BE61A2" w:rsidP="00445A79">
      <w:pPr>
        <w:pStyle w:val="Heading3"/>
      </w:pPr>
      <w:bookmarkStart w:id="169" w:name="_Toc1747323"/>
      <w:r w:rsidRPr="0039362D">
        <w:lastRenderedPageBreak/>
        <w:t>Immunisation status</w:t>
      </w:r>
      <w:bookmarkEnd w:id="169"/>
    </w:p>
    <w:p w14:paraId="6DE334C4" w14:textId="77777777" w:rsidR="00BE61A2" w:rsidRPr="00AE2F1B" w:rsidRDefault="00BE61A2" w:rsidP="00AE2F1B">
      <w:r w:rsidRPr="00AE2F1B">
        <w:t xml:space="preserve">In 2015, </w:t>
      </w:r>
      <w:proofErr w:type="spellStart"/>
      <w:r w:rsidRPr="00AE2F1B">
        <w:t>publically</w:t>
      </w:r>
      <w:proofErr w:type="spellEnd"/>
      <w:r w:rsidRPr="00AE2F1B">
        <w:t xml:space="preserve"> funded pneumococcal immunisation was available for infants (at 2, 4 and 6 months of age), Aboriginal and Torres Strait Islander peoples aged 50 years and over, other Australians aged 65 years and over, and individuals with certain at-risk conditions. More information on the scheduling of the pneumococcal immunisation can be found in </w:t>
      </w:r>
      <w:r w:rsidRPr="00DF12AB">
        <w:rPr>
          <w:rStyle w:val="Emphasis"/>
          <w:b w:val="0"/>
        </w:rPr>
        <w:t>The Australian Immunisation Handbook,</w:t>
      </w:r>
      <w:r w:rsidRPr="00AE2F1B">
        <w:t xml:space="preserve"> 10th edition.</w:t>
      </w:r>
      <w:r w:rsidRPr="00AE2F1B">
        <w:rPr>
          <w:vertAlign w:val="superscript"/>
        </w:rPr>
        <w:t>105</w:t>
      </w:r>
      <w:r w:rsidRPr="00AE2F1B">
        <w:t xml:space="preserve"> </w:t>
      </w:r>
    </w:p>
    <w:p w14:paraId="406C47C0" w14:textId="77777777" w:rsidR="00BE61A2" w:rsidRPr="00AE2F1B" w:rsidRDefault="00BE61A2" w:rsidP="00AE2F1B">
      <w:r w:rsidRPr="00AE2F1B">
        <w:t xml:space="preserve">Based on the reported IPD serotype and relevant vaccine serotype coverage, there were 29 cases reported in fully vaccinated children aged less than 5 years who were considered to be 13vPCV failures and 3 cases who were considered 7vPCV failures, based on their vaccine type eligibility. Serotypes responsible for these vaccine failures were 19A (38%), 19F (38%) and 3 (25%). ‘Fully vaccinated’ describes cases that have completed the primary course of the relevant vaccine(s) required for their age according to the most recent edition of </w:t>
      </w:r>
      <w:r w:rsidRPr="00DF12AB">
        <w:rPr>
          <w:rStyle w:val="Emphasis"/>
          <w:b w:val="0"/>
        </w:rPr>
        <w:t>The Australian Immunisation Handbook,</w:t>
      </w:r>
      <w:r w:rsidRPr="00AE2F1B">
        <w:rPr>
          <w:vertAlign w:val="superscript"/>
        </w:rPr>
        <w:t>105</w:t>
      </w:r>
      <w:r w:rsidRPr="00AE2F1B">
        <w:t xml:space="preserve"> at least 2 weeks prior to disease onset with at least 28 days between doses of vaccine. </w:t>
      </w:r>
    </w:p>
    <w:p w14:paraId="15097708" w14:textId="77777777" w:rsidR="00BE61A2" w:rsidRPr="0039362D" w:rsidRDefault="00BE61A2" w:rsidP="00445A79">
      <w:pPr>
        <w:pStyle w:val="Heading3"/>
      </w:pPr>
      <w:bookmarkStart w:id="170" w:name="_Toc1747324"/>
      <w:r w:rsidRPr="0039362D">
        <w:t>Microbiological trends</w:t>
      </w:r>
      <w:bookmarkEnd w:id="170"/>
    </w:p>
    <w:p w14:paraId="27281F10" w14:textId="77777777" w:rsidR="00BE61A2" w:rsidRDefault="00BE61A2" w:rsidP="00AE2F1B">
      <w:r w:rsidRPr="00AE2F1B">
        <w:t xml:space="preserve">Although there are more than 90 </w:t>
      </w:r>
      <w:r w:rsidRPr="00DF12AB">
        <w:rPr>
          <w:rStyle w:val="Emphasis"/>
          <w:b w:val="0"/>
        </w:rPr>
        <w:t>S. pneumoniae</w:t>
      </w:r>
      <w:r w:rsidRPr="00AE2F1B">
        <w:t xml:space="preserve"> serotypes, a relatively limited number cause the majority of IPD. However, the predominant serotypes vary by age group and geographic area. Monitoring the profile of </w:t>
      </w:r>
      <w:r w:rsidRPr="00DF12AB">
        <w:rPr>
          <w:rStyle w:val="Emphasis"/>
          <w:b w:val="0"/>
        </w:rPr>
        <w:t>S. pneumoniae</w:t>
      </w:r>
      <w:r w:rsidRPr="00AE2F1B">
        <w:t xml:space="preserve"> serotypes causing disease in the community is critical for evaluating the impact of the NIP funded vaccines as well as for the early detection of emerging serotypes and serotype-specific outbreaks. The serotypes causing IPD were reported in 94% (n=1,406) of notified cases in 2015 (Figure 75).</w:t>
      </w:r>
    </w:p>
    <w:p w14:paraId="493C6248" w14:textId="77777777" w:rsidR="00EC55BD" w:rsidRDefault="00EC55BD" w:rsidP="00EC55BD">
      <w:pPr>
        <w:pStyle w:val="CDIFigures"/>
      </w:pPr>
      <w:r>
        <w:t>Figure 75: Notifications and rates of invasive pneumococcal disease, Australia, 2006 to 2015, by vaccine serotype group and year</w:t>
      </w:r>
    </w:p>
    <w:p w14:paraId="2C934A36" w14:textId="77777777" w:rsidR="00CA2CBF" w:rsidRPr="00AE2F1B" w:rsidRDefault="0021477A" w:rsidP="00EC55BD">
      <w:pPr>
        <w:pStyle w:val="CDIFigures"/>
      </w:pPr>
      <w:r>
        <w:pict w14:anchorId="629A1220">
          <v:shape id="_x0000_i1096" type="#_x0000_t75" alt="This figure shows all notified cases of IPD in Australia between 2006 and 2015 by year, and the vaccine serotype group causing disease based on pneumococcal vaccine serotype coverage. The figure demonstrates that notified cases associated with a pneumococcal vaccine serotypes have declined following the introductions of the 7vPCV in 2005 and the 13vPCV in 2011. Relative to other serotypes, disease caused by 7vPCV is occurring rarely in recent years. Disease caused by the six additional serotypes targeted by the 13vPCV have declined since 13vPCV replaced the 7vPCV in the universal childhood immunisation program. Since 2011 the number of cases due to the eleven serotypes additionally covered by the 23-valent pneumococcal polysaccharide vaccine (23vPPV) and also those serotypes not covered by any available vaccine has been increasing steadily." style="width:522.6pt;height:327pt">
            <v:imagedata r:id="rId93" o:title="5-VPD chapter Figures_50 to 85 for CDI _Page_27"/>
          </v:shape>
        </w:pict>
      </w:r>
    </w:p>
    <w:p w14:paraId="2992BC3B" w14:textId="77777777" w:rsidR="00BE61A2" w:rsidRPr="00AE2F1B" w:rsidRDefault="00BE61A2" w:rsidP="00AE2F1B">
      <w:r w:rsidRPr="00AE2F1B">
        <w:t xml:space="preserve">In 2015, 65% (n=917) of all notifications with a known serotype were caused by a serotype included in 23-valent pneumococcal polysaccharide vaccine (23vPPV) and 34% (n=484) were those included in 13vPCV. </w:t>
      </w:r>
      <w:proofErr w:type="gramStart"/>
      <w:r w:rsidRPr="00AE2F1B">
        <w:t>Overall</w:t>
      </w:r>
      <w:proofErr w:type="gramEnd"/>
      <w:r w:rsidRPr="00AE2F1B">
        <w:t xml:space="preserve"> after </w:t>
      </w:r>
      <w:r w:rsidRPr="00AE2F1B">
        <w:lastRenderedPageBreak/>
        <w:t>13vPCV replaced 7vPCV in the childhood immunisation program in mid-2011, the proportion of IPD cases due to 13vPCV non-7vPCV disease declined from 51% in 2011 to 25% in 2015. Across all ages, the most frequently reported serotypes were 19A (10%, n=137), 3 (9%, n=132), 22F (8%, n=108), 19F (6%, n=78), 9N (5%, n=75) and 7F (5%, n=73). These 6 serotypes accounted for 43% (n=603) of all notifications with serotype information. All of these serotypes, except 9N and 22F, are included both in 13vPCV and 23vPPV. Serotypes 9N and 22F are only included in 23vPPV. Of the serotypes that are not covered by 13vPCV and 23vPPV (35%; n=489), these were distributed across 36 other serotypes, with serotypes 23B (5%; n=72), 23A (4%; n=60), 15A (4%; n=53) and 6C (3%; n=48) were the most</w:t>
      </w:r>
      <w:r w:rsidR="00131230">
        <w:t> </w:t>
      </w:r>
      <w:r w:rsidRPr="00AE2F1B">
        <w:t xml:space="preserve">common. </w:t>
      </w:r>
    </w:p>
    <w:p w14:paraId="7D4BE943" w14:textId="77777777" w:rsidR="00BE61A2" w:rsidRPr="00AE2F1B" w:rsidRDefault="00BE61A2" w:rsidP="00AE2F1B">
      <w:r w:rsidRPr="00AE2F1B">
        <w:t xml:space="preserve">In 2015, 198 notifications of IPD were reported in children aged less than 5 years, with IPD serotype information reported in 85% (n=168) of these notifications. Just over 40% (n=70) of notifications in children aged under 5 years with a known serotype were a result of a serotype included in the 13vPCV. Since the 13vPCV replaced the 7vPCV in the childhood immunisation program in mid-2011, the proportion of cases due to 13vPCV non-7vPCV disease in this age group has declined from 69% in 2011 to 30% in 2015. </w:t>
      </w:r>
    </w:p>
    <w:p w14:paraId="6440BAA1" w14:textId="77777777" w:rsidR="00BE61A2" w:rsidRPr="00AE2F1B" w:rsidRDefault="00BE61A2" w:rsidP="00AE2F1B">
      <w:r w:rsidRPr="00AE2F1B">
        <w:t>There were 37 notifications of IPD in Indigenous children aged less than 5 years in 2015, with a known serotype result reported for 31 (85%) of these cases. Seven notifications were associated with serotypes included in 13vPCV. Serotypes 19A (10%; n=3), 12F (10%; n=3), 23B (10%; n=3) were the most frequent serotypes reported. Of those, only serotype 19A is included in 13vPCV. In non-Indigenous children aged under 5 years there were 161 notifications, with a known serotype result reported for 137 (85%) of these cases. Serotypes 19A (23%, n=31) and 19F (12%, n=17) were the most frequently reported serotypes. Of those serotypes, only 19A is included in 13vPCV.</w:t>
      </w:r>
    </w:p>
    <w:p w14:paraId="2244A61B" w14:textId="77777777" w:rsidR="00BE61A2" w:rsidRPr="00AE2F1B" w:rsidRDefault="00BE61A2" w:rsidP="00AE2F1B">
      <w:r w:rsidRPr="00AE2F1B">
        <w:t>In Indigenous Australian adults aged 50 years and over, there were 72 notifications, with a known serotype result reported for 94% (n=68) of these cases. The most common serotypes among this population group were serotypes 8 (12%, n=8) and 22F (10%, n=7), both of which are included in 23vPPV.</w:t>
      </w:r>
    </w:p>
    <w:p w14:paraId="3EA517B3" w14:textId="77777777" w:rsidR="00BE61A2" w:rsidRPr="00AE2F1B" w:rsidRDefault="00BE61A2" w:rsidP="00AE2F1B">
      <w:r w:rsidRPr="00AE2F1B">
        <w:t>Among non-Indigenous adults aged 65 years or over, there were 525 notifications, with a known serotype reported for 97% (n=508) of these cases. The most common serotypes among this population group were serotypes 19A (9%, n=46), 3 (9%, n=44) and 22F (9%, n=43), which are all included in 23vPPV.</w:t>
      </w:r>
    </w:p>
    <w:p w14:paraId="5E8B0937" w14:textId="77777777" w:rsidR="00BE61A2" w:rsidRPr="00AE2F1B" w:rsidRDefault="00BE61A2" w:rsidP="00AE2F1B">
      <w:r w:rsidRPr="00AE2F1B">
        <w:t>In 2015, 62% (n=42) of notifications with a reported serotype in Indigenous Australians aged 50 years or over and 56% (n=285) of notifications in non-Indigenous Australians aged 65 years or over, were a result of a serotype included in 23vPPV. While the overall number of IPD notifications in these 2 population groups has remained relatively stable, the proportion attributable to 23vPPV serotypes has continued to have a downward trend. A lot of this downward trend has been associated with the serotypes included in the 13vPCV, of which 12 are also included in the 23vPPV, and likely to be a result of the herd immunity effect on these 2 population groups afforded by the immunisation of infants with 13vPCV.</w:t>
      </w:r>
    </w:p>
    <w:p w14:paraId="16ED5EFF" w14:textId="77777777" w:rsidR="00BE61A2" w:rsidRPr="0039362D" w:rsidRDefault="00BE61A2" w:rsidP="00445A79">
      <w:pPr>
        <w:pStyle w:val="Heading3"/>
      </w:pPr>
      <w:bookmarkStart w:id="171" w:name="_Toc1747325"/>
      <w:r w:rsidRPr="0039362D">
        <w:t>Enhanced surveillance</w:t>
      </w:r>
      <w:bookmarkEnd w:id="171"/>
    </w:p>
    <w:p w14:paraId="2B621236" w14:textId="09291D09" w:rsidR="00BE61A2" w:rsidRPr="00AE2F1B" w:rsidRDefault="00BE61A2" w:rsidP="00AE2F1B">
      <w:r w:rsidRPr="00AE2F1B">
        <w:t xml:space="preserve">Enhanced data are available for IPD notifications. Further analyses, including risk factors and antibiotic susceptibilities, can be found in annual and quarterly IPD surveillance report series published regularly in CDI. In addition, a subset of IPD notification data, including serotype, age, sex, Indigenous status, clinical categories and immunisation history are </w:t>
      </w:r>
      <w:proofErr w:type="spellStart"/>
      <w:r w:rsidRPr="00AE2F1B">
        <w:t>publically</w:t>
      </w:r>
      <w:proofErr w:type="spellEnd"/>
      <w:r w:rsidRPr="00AE2F1B">
        <w:t xml:space="preserve"> available in the NNDSS IPD Public Dataset (</w:t>
      </w:r>
      <w:hyperlink r:id="rId94" w:tooltip="http://www.health.gov.au/internet/main/publishing.nsf/Content/cds-surveillance-ipd-reports.htm" w:history="1">
        <w:r w:rsidR="001047AB" w:rsidRPr="009928CF">
          <w:rPr>
            <w:rStyle w:val="Hyperlink"/>
          </w:rPr>
          <w:t>http://www.health.gov.au/internet/main/publishing.nsf/Content/cds-surveillance-ipd-reports.htm</w:t>
        </w:r>
      </w:hyperlink>
      <w:r w:rsidRPr="00AE2F1B">
        <w:t xml:space="preserve">) </w:t>
      </w:r>
    </w:p>
    <w:p w14:paraId="6C617695" w14:textId="77777777" w:rsidR="00BE61A2" w:rsidRPr="00445A79" w:rsidRDefault="00BE61A2" w:rsidP="00445A79">
      <w:pPr>
        <w:pStyle w:val="Heading2"/>
      </w:pPr>
      <w:bookmarkStart w:id="172" w:name="_Toc1747326"/>
      <w:r w:rsidRPr="00445A79">
        <w:t>Poliomyelitis</w:t>
      </w:r>
      <w:bookmarkEnd w:id="172"/>
    </w:p>
    <w:p w14:paraId="720F3194" w14:textId="77777777" w:rsidR="00BE61A2" w:rsidRPr="00445A79" w:rsidRDefault="00BE61A2" w:rsidP="00D762CF">
      <w:pPr>
        <w:pStyle w:val="ListParagraph"/>
        <w:numPr>
          <w:ilvl w:val="0"/>
          <w:numId w:val="8"/>
        </w:numPr>
        <w:rPr>
          <w:rFonts w:eastAsia="Times New Roman"/>
        </w:rPr>
      </w:pPr>
      <w:r w:rsidRPr="00445A79">
        <w:rPr>
          <w:rFonts w:eastAsia="Times New Roman"/>
        </w:rPr>
        <w:t xml:space="preserve">There were no notifications of poliomyelitis in Australia in 2015. </w:t>
      </w:r>
    </w:p>
    <w:p w14:paraId="4BEDF9EB" w14:textId="77777777" w:rsidR="007D2DDC" w:rsidRPr="00445A79" w:rsidRDefault="00BE61A2" w:rsidP="00D762CF">
      <w:pPr>
        <w:pStyle w:val="ListParagraph"/>
        <w:numPr>
          <w:ilvl w:val="0"/>
          <w:numId w:val="8"/>
        </w:numPr>
        <w:rPr>
          <w:rFonts w:eastAsia="Times New Roman"/>
        </w:rPr>
      </w:pPr>
      <w:r w:rsidRPr="00445A79">
        <w:rPr>
          <w:rFonts w:eastAsia="Times New Roman"/>
        </w:rPr>
        <w:t>Australia, along with the Western Pacific Regi</w:t>
      </w:r>
      <w:r w:rsidR="007D2DDC" w:rsidRPr="00445A79">
        <w:rPr>
          <w:rFonts w:eastAsia="Times New Roman"/>
        </w:rPr>
        <w:t>on, remains poliomyelitis free.</w:t>
      </w:r>
    </w:p>
    <w:p w14:paraId="03998FA8" w14:textId="77777777" w:rsidR="00BE61A2" w:rsidRPr="00AE2F1B" w:rsidRDefault="00BE61A2" w:rsidP="00AE2F1B">
      <w:pPr>
        <w:rPr>
          <w:rFonts w:eastAsia="Times New Roman"/>
        </w:rPr>
      </w:pPr>
      <w:r w:rsidRPr="00AE2F1B">
        <w:rPr>
          <w:rFonts w:eastAsia="Times New Roman"/>
        </w:rPr>
        <w:lastRenderedPageBreak/>
        <w:t xml:space="preserve">Poliomyelitis is an acute illness following gastrointestinal infection by one of the 3 types of </w:t>
      </w:r>
      <w:proofErr w:type="gramStart"/>
      <w:r w:rsidRPr="00AE2F1B">
        <w:rPr>
          <w:rFonts w:eastAsia="Times New Roman"/>
        </w:rPr>
        <w:t>poliovirus</w:t>
      </w:r>
      <w:proofErr w:type="gramEnd"/>
      <w:r w:rsidRPr="00AE2F1B">
        <w:rPr>
          <w:rFonts w:eastAsia="Times New Roman"/>
        </w:rPr>
        <w:t>. Transmission occurs primarily person to person via the faecal–oral route. In most cases poliovirus infection is not symptomatic; however, in less than 1% of cases the virus may invade the nervous system and cause acute flaccid paralysis (AFP).</w:t>
      </w:r>
      <w:r w:rsidRPr="00AE2F1B">
        <w:rPr>
          <w:rFonts w:eastAsia="Times New Roman"/>
          <w:vertAlign w:val="superscript"/>
        </w:rPr>
        <w:t>21</w:t>
      </w:r>
      <w:r w:rsidRPr="00AE2F1B">
        <w:rPr>
          <w:rFonts w:eastAsia="Times New Roman"/>
        </w:rPr>
        <w:t xml:space="preserve"> </w:t>
      </w:r>
    </w:p>
    <w:p w14:paraId="3528C6FF" w14:textId="77777777" w:rsidR="00BE61A2" w:rsidRPr="00AE2F1B" w:rsidRDefault="00BE61A2" w:rsidP="00924A50">
      <w:pPr>
        <w:pStyle w:val="Heading3"/>
        <w:rPr>
          <w:rFonts w:eastAsiaTheme="minorEastAsia"/>
        </w:rPr>
      </w:pPr>
      <w:bookmarkStart w:id="173" w:name="_Toc1747327"/>
      <w:r w:rsidRPr="00924A50">
        <w:rPr>
          <w:bCs w:val="0"/>
        </w:rPr>
        <w:t>Epidemiological situation in 2015</w:t>
      </w:r>
      <w:bookmarkEnd w:id="173"/>
    </w:p>
    <w:p w14:paraId="7866E97E" w14:textId="77777777" w:rsidR="00BE61A2" w:rsidRPr="00AE2F1B" w:rsidRDefault="00BE61A2" w:rsidP="00AE2F1B">
      <w:r w:rsidRPr="00AE2F1B">
        <w:t xml:space="preserve">In 2015, there were no cases of poliomyelitis reported in Australia. Australia, along with the Western Pacific Region, remains poliomyelitis free. </w:t>
      </w:r>
    </w:p>
    <w:p w14:paraId="1F188435" w14:textId="77777777" w:rsidR="00BE61A2" w:rsidRPr="00AE2F1B" w:rsidRDefault="00BE61A2" w:rsidP="00AE2F1B">
      <w:r w:rsidRPr="00AE2F1B">
        <w:t>Poliovirus infection, both paralytic (poliomyelitis) and non-paralytic, is a notifiable disease in Australia. Clinical and laboratory investigation is conducted for cases involving patients of any age with a clinical suspicion of poliomyelitis, following the WHO protocol which focuses on investigating cases of AFP in children under 15 years of age. The WHO target for AFP surveillance in a polio-free country is 1 case of AFP per 100,000 children less than 15 years of age.</w:t>
      </w:r>
      <w:r w:rsidRPr="00AE2F1B">
        <w:rPr>
          <w:vertAlign w:val="superscript"/>
        </w:rPr>
        <w:t>106</w:t>
      </w:r>
      <w:r w:rsidRPr="00AE2F1B">
        <w:t xml:space="preserve"> Australia has achieved this surveillance target since 2008. However, the virological surveillance indicator of adequate stool specimen collection in 80% of AFP cases has never been met. More details can be found in the annual report series published in the CDI by the Australian Enterovirus Reference Laboratory, which coordinates poliovirus surveillance activities in Australia.</w:t>
      </w:r>
      <w:r w:rsidRPr="00AE2F1B">
        <w:rPr>
          <w:vertAlign w:val="superscript"/>
        </w:rPr>
        <w:t>107</w:t>
      </w:r>
      <w:r w:rsidRPr="00AE2F1B">
        <w:t xml:space="preserve"> </w:t>
      </w:r>
    </w:p>
    <w:p w14:paraId="0A949B6E" w14:textId="77777777" w:rsidR="00BE61A2" w:rsidRPr="00AE2F1B" w:rsidRDefault="00BE61A2" w:rsidP="00AE2F1B">
      <w:r w:rsidRPr="00AE2F1B">
        <w:t>Globally, strong progress continues to be made towards objectives of the Polio Eradication and Endgame Strategic Plan 2013–2018. In 2015, transmission of wild poliovirus was at the lowest levels in history, with the fewest ever reported cases. In 2015, there were only 35 cases of wild poliovirus reported from 3 countries: Afghanistan (19), Nigeria (4) and Pakistan (12). All were wild poliovirus type 1. On 20 September 2015, the Global Commission for the Certification of Poliomyelitis Eradication declared that wild poliovirus type 2 has been eradicated.</w:t>
      </w:r>
      <w:r w:rsidRPr="00AE2F1B">
        <w:rPr>
          <w:vertAlign w:val="superscript"/>
        </w:rPr>
        <w:t>108</w:t>
      </w:r>
      <w:r w:rsidRPr="00AE2F1B">
        <w:t xml:space="preserve"> In October 2015, the Strategic Advisory Group of Experts on Immunization recommended that all countries still using trivalent oral polio vaccine (OPV) switch to a bivalent OPV. This committee encouraged countries to undertake the switch during the global synchronised withdrawal of the type 2 component of OPV, scheduled to occur between 17 April and 1 May 2016.</w:t>
      </w:r>
      <w:r w:rsidRPr="00AE2F1B">
        <w:rPr>
          <w:vertAlign w:val="superscript"/>
        </w:rPr>
        <w:t>109</w:t>
      </w:r>
      <w:r w:rsidRPr="00AE2F1B">
        <w:t xml:space="preserve"> </w:t>
      </w:r>
    </w:p>
    <w:p w14:paraId="021B8AF4" w14:textId="77777777" w:rsidR="00BE61A2" w:rsidRDefault="00BE61A2">
      <w:pPr>
        <w:pStyle w:val="Heading3"/>
        <w:rPr>
          <w:rFonts w:eastAsia="Times New Roman"/>
        </w:rPr>
      </w:pPr>
      <w:bookmarkStart w:id="174" w:name="_Toc1747328"/>
      <w:r>
        <w:rPr>
          <w:rFonts w:eastAsia="Times New Roman"/>
        </w:rPr>
        <w:t>Rubella and congenital rubella</w:t>
      </w:r>
      <w:bookmarkEnd w:id="174"/>
    </w:p>
    <w:p w14:paraId="75AE6AC2" w14:textId="77777777" w:rsidR="00BE61A2" w:rsidRPr="00445A79" w:rsidRDefault="00BE61A2" w:rsidP="00D762CF">
      <w:pPr>
        <w:pStyle w:val="ListParagraph"/>
        <w:numPr>
          <w:ilvl w:val="0"/>
          <w:numId w:val="8"/>
        </w:numPr>
        <w:rPr>
          <w:rFonts w:eastAsia="Times New Roman"/>
        </w:rPr>
      </w:pPr>
      <w:r w:rsidRPr="00445A79">
        <w:rPr>
          <w:rFonts w:eastAsia="Times New Roman"/>
        </w:rPr>
        <w:t xml:space="preserve">Rubella is a rare disease in Australia. </w:t>
      </w:r>
    </w:p>
    <w:p w14:paraId="3F42968E" w14:textId="77777777" w:rsidR="00BE61A2" w:rsidRPr="00445A79" w:rsidRDefault="00BE61A2" w:rsidP="00D762CF">
      <w:pPr>
        <w:pStyle w:val="ListParagraph"/>
        <w:numPr>
          <w:ilvl w:val="0"/>
          <w:numId w:val="8"/>
        </w:numPr>
        <w:rPr>
          <w:rFonts w:eastAsia="Times New Roman"/>
        </w:rPr>
      </w:pPr>
      <w:r w:rsidRPr="00445A79">
        <w:rPr>
          <w:rFonts w:eastAsia="Times New Roman"/>
        </w:rPr>
        <w:t xml:space="preserve">Since 2003, the rubella notification rates have been less than 0.3 per 100,000. </w:t>
      </w:r>
    </w:p>
    <w:p w14:paraId="78969CB9" w14:textId="77777777" w:rsidR="00445A79" w:rsidRPr="00445A79" w:rsidRDefault="00BE61A2" w:rsidP="00D762CF">
      <w:pPr>
        <w:pStyle w:val="ListParagraph"/>
        <w:numPr>
          <w:ilvl w:val="0"/>
          <w:numId w:val="8"/>
        </w:numPr>
        <w:rPr>
          <w:rFonts w:eastAsia="Times New Roman"/>
        </w:rPr>
      </w:pPr>
      <w:r w:rsidRPr="00445A79">
        <w:rPr>
          <w:rFonts w:eastAsia="Times New Roman"/>
        </w:rPr>
        <w:t>There were 17 cases of rubella and one case of congenital rub</w:t>
      </w:r>
      <w:r w:rsidR="00445A79" w:rsidRPr="00445A79">
        <w:rPr>
          <w:rFonts w:eastAsia="Times New Roman"/>
        </w:rPr>
        <w:t>ella syndrome notified in 2015.</w:t>
      </w:r>
    </w:p>
    <w:p w14:paraId="45076EED" w14:textId="77777777" w:rsidR="00BE61A2" w:rsidRPr="00AE2F1B" w:rsidRDefault="00BE61A2" w:rsidP="00AE2F1B">
      <w:pPr>
        <w:rPr>
          <w:rFonts w:eastAsia="Times New Roman"/>
        </w:rPr>
      </w:pPr>
      <w:r w:rsidRPr="00AE2F1B">
        <w:rPr>
          <w:rFonts w:eastAsia="Times New Roman"/>
        </w:rPr>
        <w:t xml:space="preserve">Rubella is generally a mild and self-limiting infectious disease caused by a rubella virus. It is spread from person to person through contact with respiratory secretions, including aerosol transmission. A rash, usually starting on the face before spreading across the body, may appear around 2 weeks after exposure to the virus and usually lasts for 3 days. Children usually show few or no constitutional symptoms of infection, but adults may experience 1 to 5 days of early low-grade symptoms, such as fever, malaise, </w:t>
      </w:r>
      <w:proofErr w:type="gramStart"/>
      <w:r w:rsidRPr="00AE2F1B">
        <w:rPr>
          <w:rFonts w:eastAsia="Times New Roman"/>
        </w:rPr>
        <w:t>headaches</w:t>
      </w:r>
      <w:proofErr w:type="gramEnd"/>
      <w:r w:rsidRPr="00AE2F1B">
        <w:rPr>
          <w:rFonts w:eastAsia="Times New Roman"/>
        </w:rPr>
        <w:t xml:space="preserve"> and mild head colds.</w:t>
      </w:r>
      <w:r w:rsidRPr="00AE2F1B">
        <w:rPr>
          <w:rFonts w:eastAsia="Times New Roman"/>
          <w:vertAlign w:val="superscript"/>
        </w:rPr>
        <w:t>21</w:t>
      </w:r>
      <w:r w:rsidRPr="00AE2F1B">
        <w:rPr>
          <w:rFonts w:eastAsia="Times New Roman"/>
        </w:rPr>
        <w:t xml:space="preserve"> Clinically, rubella can be difficult to distinguish from other diseases which also cause febrile rash, such as measles, and is asymptomatic in up to 50% of cases. </w:t>
      </w:r>
    </w:p>
    <w:p w14:paraId="49374E8B" w14:textId="77777777" w:rsidR="00BE61A2" w:rsidRPr="00AE2F1B" w:rsidRDefault="00BE61A2" w:rsidP="00AE2F1B">
      <w:r w:rsidRPr="00AE2F1B">
        <w:t>Rubella infection in the first trimester of pregnancy can result in miscarriages, foetal deaths/stillbirths, and a collection of birth defects known as congenital rubella syndrome (CRS) in over 90% of cases.</w:t>
      </w:r>
      <w:r w:rsidRPr="00AE2F1B">
        <w:rPr>
          <w:vertAlign w:val="superscript"/>
        </w:rPr>
        <w:t>21,110</w:t>
      </w:r>
      <w:r w:rsidRPr="00AE2F1B">
        <w:t xml:space="preserve"> CRS can result in single or combined defects such as hearing impairment, eye abnormalities (including retinopathy, cataract and microphthalmia) congenital glaucoma, microcephaly, meningoencephalitis, development delay, purpura, jaundice, radiolucent bone disease and congenital heart disease.</w:t>
      </w:r>
    </w:p>
    <w:p w14:paraId="69CCF92B" w14:textId="77777777" w:rsidR="004C3BC2" w:rsidRDefault="004C3BC2">
      <w:pPr>
        <w:rPr>
          <w:rFonts w:asciiTheme="majorHAnsi" w:eastAsiaTheme="majorEastAsia" w:hAnsiTheme="majorHAnsi" w:cstheme="majorBidi"/>
          <w:b/>
        </w:rPr>
      </w:pPr>
      <w:r>
        <w:rPr>
          <w:bCs/>
        </w:rPr>
        <w:br w:type="page"/>
      </w:r>
    </w:p>
    <w:p w14:paraId="777FDC2E" w14:textId="77777777" w:rsidR="00BE61A2" w:rsidRPr="00AE2F1B" w:rsidRDefault="00BE61A2" w:rsidP="00924A50">
      <w:pPr>
        <w:pStyle w:val="Heading3"/>
      </w:pPr>
      <w:bookmarkStart w:id="175" w:name="_Toc1747329"/>
      <w:r w:rsidRPr="00924A50">
        <w:rPr>
          <w:bCs w:val="0"/>
        </w:rPr>
        <w:lastRenderedPageBreak/>
        <w:t>Epidemiological situation in 2015</w:t>
      </w:r>
      <w:bookmarkEnd w:id="175"/>
    </w:p>
    <w:p w14:paraId="7F2ED0AF" w14:textId="77777777" w:rsidR="00BE61A2" w:rsidRDefault="00BE61A2" w:rsidP="00AE2F1B">
      <w:r w:rsidRPr="00AE2F1B">
        <w:t>In 2015, there were 17 cases of rubella reported, representing a rate of 0.1 per 100,000. While this is consistent with the low rates of this disease experienced since 2003, it is a marked decline from the peak rate of more than 7.5 per 100,000 in 1997 (Figure 76).</w:t>
      </w:r>
    </w:p>
    <w:p w14:paraId="4208D311" w14:textId="77777777" w:rsidR="00C932A7" w:rsidRDefault="00C932A7" w:rsidP="00C932A7">
      <w:pPr>
        <w:pStyle w:val="CDIFigures"/>
      </w:pPr>
      <w:r>
        <w:t>Figure 76: Notification rate for rubella, Australia, 1997 to 2015, by year</w:t>
      </w:r>
    </w:p>
    <w:p w14:paraId="67961900" w14:textId="77777777" w:rsidR="00491C29" w:rsidRPr="00AE2F1B" w:rsidRDefault="0021477A" w:rsidP="00C932A7">
      <w:pPr>
        <w:pStyle w:val="CDIFigures"/>
      </w:pPr>
      <w:r>
        <w:pict w14:anchorId="4BB64EA2">
          <v:shape id="_x0000_i1097" type="#_x0000_t75" alt="This figure shows the notification rate for rubella in Australia from 1997 to 2015. This figure demonstrates a significant decline in rubella infection rates to less than 1 per 100,000 population since 2003." style="width:522.6pt;height:329.4pt">
            <v:imagedata r:id="rId95" o:title="5-VPD chapter Figures_50 to 85 for CDI _Page_28"/>
          </v:shape>
        </w:pict>
      </w:r>
    </w:p>
    <w:p w14:paraId="044A0F70" w14:textId="77777777" w:rsidR="00BE61A2" w:rsidRPr="00AE2F1B" w:rsidRDefault="00BE61A2" w:rsidP="00924A50">
      <w:pPr>
        <w:pStyle w:val="Heading3"/>
      </w:pPr>
      <w:bookmarkStart w:id="176" w:name="_Toc1747330"/>
      <w:r w:rsidRPr="00924A50">
        <w:rPr>
          <w:bCs w:val="0"/>
        </w:rPr>
        <w:t>Age and sex distribution</w:t>
      </w:r>
      <w:bookmarkEnd w:id="176"/>
    </w:p>
    <w:p w14:paraId="283EE786" w14:textId="77777777" w:rsidR="00BE61A2" w:rsidRDefault="00BE61A2" w:rsidP="00AE2F1B">
      <w:r w:rsidRPr="00AE2F1B">
        <w:t>Of the 17 cases of rubella reported in 2015, 10 cases were male and 7 were female. Of the 7 female cases, 6 were of child-bearing age (15–44 years) (Figure 77). The median age of cases was 28 years, with a range of 15 to 74 years. Consistent with previous years, the majority of cases (88%, 15/17) occurred among adults aged 20 years and older (Figure 77), and age-specific rates remained below 0.7 per 100,000 across all age groups (Figure 78).</w:t>
      </w:r>
    </w:p>
    <w:p w14:paraId="1044BD20" w14:textId="77777777" w:rsidR="00D82C7F" w:rsidRDefault="00D82C7F">
      <w:pPr>
        <w:rPr>
          <w:b/>
        </w:rPr>
      </w:pPr>
      <w:r>
        <w:br w:type="page"/>
      </w:r>
    </w:p>
    <w:p w14:paraId="38182601" w14:textId="77777777" w:rsidR="00CA6941" w:rsidRDefault="00CA6941" w:rsidP="00CA6941">
      <w:pPr>
        <w:pStyle w:val="CDIFigures"/>
      </w:pPr>
      <w:r>
        <w:lastRenderedPageBreak/>
        <w:t>Figure 77: Notifications of rubella, Australia, 2015, by age group and sex</w:t>
      </w:r>
    </w:p>
    <w:p w14:paraId="1176C2BE" w14:textId="77777777" w:rsidR="00D82C7F" w:rsidRDefault="0021477A" w:rsidP="00CA6941">
      <w:pPr>
        <w:pStyle w:val="CDIFigures"/>
      </w:pPr>
      <w:r>
        <w:pict w14:anchorId="2BF3841B">
          <v:shape id="_x0000_i1098" type="#_x0000_t75" alt="This figure shows the majority of notified rubella cases in 2015 were male. Consistent with previous years, most cases occurred among adults over the age of 20 years." style="width:522.6pt;height:330.6pt">
            <v:imagedata r:id="rId96" o:title="5-VPD chapter Figures_50 to 85 for CDI _Page_29"/>
          </v:shape>
        </w:pict>
      </w:r>
    </w:p>
    <w:p w14:paraId="1419A65A" w14:textId="77777777" w:rsidR="008A6643" w:rsidRDefault="008A6643">
      <w:pPr>
        <w:rPr>
          <w:b/>
        </w:rPr>
      </w:pPr>
      <w:r>
        <w:br w:type="page"/>
      </w:r>
    </w:p>
    <w:p w14:paraId="370F8E6E" w14:textId="77777777" w:rsidR="00857783" w:rsidRDefault="00857783" w:rsidP="00857783">
      <w:pPr>
        <w:pStyle w:val="CDIFigures"/>
      </w:pPr>
      <w:r w:rsidRPr="00857783">
        <w:lastRenderedPageBreak/>
        <w:t>Figure 78: Notification rates for rubella, Australia, 2010 to 2015, by year and selected age groups</w:t>
      </w:r>
    </w:p>
    <w:p w14:paraId="6AD7F397" w14:textId="77777777" w:rsidR="008A6643" w:rsidRPr="00857783" w:rsidRDefault="0021477A" w:rsidP="00857783">
      <w:pPr>
        <w:pStyle w:val="CDIFigures"/>
      </w:pPr>
      <w:r>
        <w:pict w14:anchorId="381FBED3">
          <v:shape id="_x0000_i1099" type="#_x0000_t75" alt="This figure shows the rates for rubella in Australia from 2010 to 2015, by age group. This figure shows low rates across all age groups." style="width:522.6pt;height:317.4pt">
            <v:imagedata r:id="rId97" o:title="5-VPD chapter Figures_50 to 85 for CDI _Page_30"/>
          </v:shape>
        </w:pict>
      </w:r>
    </w:p>
    <w:p w14:paraId="79A8DBB1" w14:textId="77777777" w:rsidR="00BE61A2" w:rsidRPr="00AE2F1B" w:rsidRDefault="00BE61A2" w:rsidP="00AE2F1B">
      <w:r w:rsidRPr="00AE2F1B">
        <w:t>There was one case of CRS reported in 2015. This case was an infant born in Australia to a non-immune mother who acquired her infection While in Indonesia.</w:t>
      </w:r>
    </w:p>
    <w:p w14:paraId="5E010E9C" w14:textId="77777777" w:rsidR="00BE61A2" w:rsidRPr="00AE2F1B" w:rsidRDefault="00BE61A2" w:rsidP="00924A50">
      <w:pPr>
        <w:pStyle w:val="Heading3"/>
      </w:pPr>
      <w:bookmarkStart w:id="177" w:name="_Toc1747331"/>
      <w:r w:rsidRPr="00924A50">
        <w:rPr>
          <w:bCs w:val="0"/>
        </w:rPr>
        <w:t>Immunisation status</w:t>
      </w:r>
      <w:bookmarkEnd w:id="177"/>
    </w:p>
    <w:p w14:paraId="699A5381" w14:textId="77777777" w:rsidR="00BE61A2" w:rsidRPr="00AE2F1B" w:rsidRDefault="00BE61A2" w:rsidP="00AE2F1B">
      <w:r w:rsidRPr="00AE2F1B">
        <w:t>Rubella vaccine is provided in the combined MMR or measles-mumps-rubella-varicella (MMRV) vaccine. In 2015, rubella vaccines were provided under the NIP schedule at 12 months and 18 months of age. A dose at 4 years of age was also recommended for those who did not receive the second dose at 18 months of age.</w:t>
      </w:r>
      <w:r w:rsidRPr="00AE2F1B">
        <w:rPr>
          <w:vertAlign w:val="superscript"/>
        </w:rPr>
        <w:t>29</w:t>
      </w:r>
      <w:r w:rsidRPr="00AE2F1B">
        <w:t xml:space="preserve"> </w:t>
      </w:r>
    </w:p>
    <w:p w14:paraId="60827E16" w14:textId="77777777" w:rsidR="00BE61A2" w:rsidRPr="00AE2F1B" w:rsidRDefault="00BE61A2" w:rsidP="00AE2F1B">
      <w:r w:rsidRPr="00AE2F1B">
        <w:t>Of the 17 cases notified in 2015, 8 were reported as unvaccinated and the remaining 9 were of unknown immunisation status.</w:t>
      </w:r>
    </w:p>
    <w:p w14:paraId="092C065C" w14:textId="77777777" w:rsidR="00BE61A2" w:rsidRPr="00AE2F1B" w:rsidRDefault="00BE61A2" w:rsidP="00AE2F1B">
      <w:r w:rsidRPr="00AE2F1B">
        <w:t>The primary aim of immunisation against rubella is to prevent cases of CRS.</w:t>
      </w:r>
      <w:r w:rsidRPr="00AE2F1B">
        <w:rPr>
          <w:vertAlign w:val="superscript"/>
        </w:rPr>
        <w:t>111</w:t>
      </w:r>
      <w:r w:rsidRPr="00AE2F1B">
        <w:t xml:space="preserve"> Two doses of a rubella–containing vaccine are recommended for all non-immune people born during or since 1966 who are greater than 18 months of</w:t>
      </w:r>
      <w:r w:rsidR="004C3BC2">
        <w:t> </w:t>
      </w:r>
      <w:r w:rsidRPr="00AE2F1B">
        <w:t xml:space="preserve">age. </w:t>
      </w:r>
    </w:p>
    <w:p w14:paraId="78FCAE44" w14:textId="77777777" w:rsidR="00BE61A2" w:rsidRPr="00AE2F1B" w:rsidRDefault="00BE61A2" w:rsidP="00924A50">
      <w:pPr>
        <w:pStyle w:val="Heading3"/>
      </w:pPr>
      <w:bookmarkStart w:id="178" w:name="_Toc1747332"/>
      <w:r w:rsidRPr="00924A50">
        <w:rPr>
          <w:bCs w:val="0"/>
        </w:rPr>
        <w:t>Discussion</w:t>
      </w:r>
      <w:bookmarkEnd w:id="178"/>
    </w:p>
    <w:p w14:paraId="10B66569" w14:textId="77777777" w:rsidR="00BE61A2" w:rsidRPr="00AE2F1B" w:rsidRDefault="00BE61A2" w:rsidP="00AE2F1B">
      <w:r w:rsidRPr="00AE2F1B">
        <w:t>Evidence suggests that endemic rubella is well controlled in Australia. A marked decline in rubella notifications since 2002 has seen rates in Australia remain well below the 1.0 per 100,000 WHO goal indicative of rubella control.</w:t>
      </w:r>
      <w:r w:rsidRPr="00AE2F1B">
        <w:rPr>
          <w:vertAlign w:val="superscript"/>
        </w:rPr>
        <w:t>112</w:t>
      </w:r>
      <w:r w:rsidRPr="00AE2F1B">
        <w:t xml:space="preserve"> The increasing trend in age of cases probably reflects the declining rates of rubella among children since routine MMR immunisation was implemented and the subsequent achievement of high 2-dose coverage. Males, historically </w:t>
      </w:r>
      <w:proofErr w:type="gramStart"/>
      <w:r w:rsidRPr="00AE2F1B">
        <w:t>were</w:t>
      </w:r>
      <w:proofErr w:type="gramEnd"/>
      <w:r w:rsidRPr="00AE2F1B">
        <w:t xml:space="preserve"> more susceptible as universal immunisation was not introduced until 1989, however now they no longer appear to be at greater risk of infection compared with females.</w:t>
      </w:r>
    </w:p>
    <w:p w14:paraId="405D269D" w14:textId="77777777" w:rsidR="00BE61A2" w:rsidRPr="00AE2F1B" w:rsidRDefault="00BE61A2" w:rsidP="00AE2F1B">
      <w:r w:rsidRPr="00AE2F1B">
        <w:t>CRS is rare in Australia and in recent years has mainly occurred among infants of women who were born overseas.</w:t>
      </w:r>
      <w:r w:rsidRPr="00AE2F1B">
        <w:rPr>
          <w:vertAlign w:val="superscript"/>
        </w:rPr>
        <w:t>113</w:t>
      </w:r>
      <w:r w:rsidRPr="00AE2F1B">
        <w:t xml:space="preserve"> </w:t>
      </w:r>
    </w:p>
    <w:p w14:paraId="509F3B16" w14:textId="77777777" w:rsidR="00BE61A2" w:rsidRPr="004E056D" w:rsidRDefault="00BE61A2" w:rsidP="004E056D">
      <w:pPr>
        <w:pStyle w:val="Heading2"/>
      </w:pPr>
      <w:bookmarkStart w:id="179" w:name="_Toc1747333"/>
      <w:r w:rsidRPr="004E056D">
        <w:rPr>
          <w:bCs w:val="0"/>
          <w:sz w:val="27"/>
          <w:szCs w:val="27"/>
        </w:rPr>
        <w:lastRenderedPageBreak/>
        <w:t>Tetanus</w:t>
      </w:r>
      <w:bookmarkEnd w:id="179"/>
    </w:p>
    <w:p w14:paraId="07AAA3F8" w14:textId="77777777" w:rsidR="00BE61A2" w:rsidRPr="00D762CF" w:rsidRDefault="00BE61A2" w:rsidP="00D762CF">
      <w:pPr>
        <w:pStyle w:val="ListParagraph"/>
        <w:numPr>
          <w:ilvl w:val="0"/>
          <w:numId w:val="8"/>
        </w:numPr>
        <w:rPr>
          <w:rFonts w:eastAsia="Times New Roman"/>
        </w:rPr>
      </w:pPr>
      <w:r w:rsidRPr="00D762CF">
        <w:rPr>
          <w:rFonts w:eastAsia="Times New Roman"/>
        </w:rPr>
        <w:t xml:space="preserve">Cases of tetanus are uncommon in Australia. </w:t>
      </w:r>
    </w:p>
    <w:p w14:paraId="386126ED" w14:textId="77777777" w:rsidR="00BE61A2" w:rsidRPr="00D762CF" w:rsidRDefault="00BE61A2" w:rsidP="00D762CF">
      <w:pPr>
        <w:pStyle w:val="ListParagraph"/>
        <w:numPr>
          <w:ilvl w:val="0"/>
          <w:numId w:val="8"/>
        </w:numPr>
        <w:rPr>
          <w:rFonts w:eastAsia="Times New Roman"/>
        </w:rPr>
      </w:pPr>
      <w:r w:rsidRPr="00D762CF">
        <w:rPr>
          <w:rFonts w:eastAsia="Times New Roman"/>
        </w:rPr>
        <w:t xml:space="preserve">Cases generally occur in older, unvaccinated people or in those who have not received a booster immunisation in the last 10 years. </w:t>
      </w:r>
    </w:p>
    <w:p w14:paraId="021F3708" w14:textId="77777777" w:rsidR="00BE61A2" w:rsidRPr="00D762CF" w:rsidRDefault="00BE61A2" w:rsidP="00D762CF">
      <w:pPr>
        <w:pStyle w:val="ListParagraph"/>
        <w:numPr>
          <w:ilvl w:val="0"/>
          <w:numId w:val="8"/>
        </w:numPr>
        <w:rPr>
          <w:rFonts w:eastAsia="Times New Roman"/>
        </w:rPr>
      </w:pPr>
      <w:r w:rsidRPr="00D762CF">
        <w:rPr>
          <w:rFonts w:eastAsia="Times New Roman"/>
        </w:rPr>
        <w:t xml:space="preserve">There were two cases of tetanus notified and no deaths reported in 2015. </w:t>
      </w:r>
    </w:p>
    <w:p w14:paraId="028ED4B9" w14:textId="77777777" w:rsidR="00BE61A2" w:rsidRPr="00AE2F1B" w:rsidRDefault="00BE61A2" w:rsidP="00AE2F1B">
      <w:r w:rsidRPr="00AE2F1B">
        <w:t xml:space="preserve">Tetanus is an acute, often fatal, disease caused by the toxin produced by the bacterium </w:t>
      </w:r>
      <w:r w:rsidRPr="00DF12AB">
        <w:rPr>
          <w:rStyle w:val="Emphasis"/>
          <w:b w:val="0"/>
        </w:rPr>
        <w:t>Clostridium tetani</w:t>
      </w:r>
      <w:r w:rsidRPr="00AE2F1B">
        <w:t xml:space="preserve"> . </w:t>
      </w:r>
      <w:r w:rsidRPr="00DF12AB">
        <w:rPr>
          <w:rStyle w:val="Emphasis"/>
          <w:b w:val="0"/>
        </w:rPr>
        <w:t>C. tetani</w:t>
      </w:r>
      <w:r w:rsidRPr="00AE2F1B">
        <w:t xml:space="preserve"> spores usually enter the body through contamination of a wound with manured soil.</w:t>
      </w:r>
      <w:r w:rsidRPr="00AE2F1B">
        <w:rPr>
          <w:vertAlign w:val="superscript"/>
        </w:rPr>
        <w:t>21</w:t>
      </w:r>
      <w:r w:rsidRPr="00AE2F1B">
        <w:t xml:space="preserve"> The neurotoxin acts on the central nervous system to cause muscle rigidity with painful spasms. Generalised tetanus, the most common form of the disease, is characterised by increased muscle tone and generalised spasms. The disease usually occurs after an incubation period of 3 to 21 days (ranging from 1 day to several months), with a median time of onset at 10 days post injury. In Australia, tetanus is rare, occurring primarily in older adults who have never been vaccinated or have not received a booster dose in the past 10 years. A high level of diagnostic awareness of tetanus is important in the elderly, as most deaths occur in people over 70 years of age, especially females, and may be associated with an apparently minor injury.</w:t>
      </w:r>
      <w:r w:rsidRPr="00AE2F1B">
        <w:rPr>
          <w:vertAlign w:val="superscript"/>
        </w:rPr>
        <w:t>114</w:t>
      </w:r>
      <w:r w:rsidRPr="00AE2F1B">
        <w:t xml:space="preserve"> </w:t>
      </w:r>
    </w:p>
    <w:p w14:paraId="3C837422" w14:textId="77777777" w:rsidR="00BE61A2" w:rsidRPr="00AE2F1B" w:rsidRDefault="00BE61A2" w:rsidP="00924A50">
      <w:pPr>
        <w:pStyle w:val="Heading3"/>
      </w:pPr>
      <w:bookmarkStart w:id="180" w:name="_Toc1747334"/>
      <w:r w:rsidRPr="00924A50">
        <w:rPr>
          <w:bCs w:val="0"/>
        </w:rPr>
        <w:t>Epidemiological situation in 2015</w:t>
      </w:r>
      <w:bookmarkEnd w:id="180"/>
    </w:p>
    <w:p w14:paraId="1A0B0C4C" w14:textId="77777777" w:rsidR="00BE61A2" w:rsidRDefault="00BE61A2" w:rsidP="00AE2F1B">
      <w:r w:rsidRPr="00AE2F1B">
        <w:t>In 2015, there were 2 notifications of tetanus (Figure 79). This is consistent with the low numbers of this disease notified in recent years. Both cases were adult females aged between 75 and 79 years. There were no deaths due to tetanus reported in 2015.</w:t>
      </w:r>
    </w:p>
    <w:p w14:paraId="34E38A8A" w14:textId="77777777" w:rsidR="00D85497" w:rsidRDefault="00D85497" w:rsidP="00D85497">
      <w:pPr>
        <w:pStyle w:val="CDIFigures"/>
      </w:pPr>
      <w:r>
        <w:t>Figure 79: Notifications of tetanus, Australia, 2004 to 2015, by year and state or territory</w:t>
      </w:r>
    </w:p>
    <w:p w14:paraId="18469C30" w14:textId="77777777" w:rsidR="00491C29" w:rsidRPr="00AE2F1B" w:rsidRDefault="0021477A" w:rsidP="00D85497">
      <w:pPr>
        <w:pStyle w:val="CDIFigures"/>
      </w:pPr>
      <w:r>
        <w:pict w14:anchorId="34E87547">
          <v:shape id="_x0000_i1100" type="#_x0000_t75" alt="This figure shows a low number of notifications occurring from 2004 until 2015, varying from 2 to 7 cases. In 2015, cases were only reported in New South Wales and Victoria." style="width:522.6pt;height:351.6pt">
            <v:imagedata r:id="rId98" o:title="5-VPD chapter Figures_50 to 85 for CDI _Page_31"/>
          </v:shape>
        </w:pict>
      </w:r>
    </w:p>
    <w:p w14:paraId="67E29EEC" w14:textId="77777777" w:rsidR="00BE61A2" w:rsidRPr="00AE2F1B" w:rsidRDefault="00BE61A2" w:rsidP="00924A50">
      <w:pPr>
        <w:pStyle w:val="Heading3"/>
      </w:pPr>
      <w:bookmarkStart w:id="181" w:name="_Toc1747335"/>
      <w:r w:rsidRPr="00924A50">
        <w:rPr>
          <w:bCs w:val="0"/>
        </w:rPr>
        <w:lastRenderedPageBreak/>
        <w:t>Immunisation status</w:t>
      </w:r>
      <w:bookmarkEnd w:id="181"/>
    </w:p>
    <w:p w14:paraId="7BF7BA7E" w14:textId="77777777" w:rsidR="00BE61A2" w:rsidRPr="00AE2F1B" w:rsidRDefault="00BE61A2" w:rsidP="00AE2F1B">
      <w:r w:rsidRPr="00AE2F1B">
        <w:t>The NIP schedule in 2015, recommended a primary course of tetanus immunisation including 3 doses provided at 2, 4, and 6 months of age. Two booster doses are provided at 4 years and between 10 and 15 years, delivered through school-based programs. Booster doses are additionally recommended for all adults at the age of 50 years who have not received one in the previous 10 years.</w:t>
      </w:r>
      <w:r w:rsidRPr="00AE2F1B">
        <w:rPr>
          <w:vertAlign w:val="superscript"/>
        </w:rPr>
        <w:t>29</w:t>
      </w:r>
      <w:r w:rsidRPr="00AE2F1B">
        <w:t xml:space="preserve"> </w:t>
      </w:r>
    </w:p>
    <w:p w14:paraId="69BA7027" w14:textId="77777777" w:rsidR="00BE61A2" w:rsidRPr="00AE2F1B" w:rsidRDefault="00BE61A2" w:rsidP="00AE2F1B">
      <w:r w:rsidRPr="00AE2F1B">
        <w:t>Of the 2 cases notified in 2015, both were reported as unvaccinated.</w:t>
      </w:r>
    </w:p>
    <w:p w14:paraId="306D7617" w14:textId="77777777" w:rsidR="00BE61A2" w:rsidRPr="00AE2F1B" w:rsidRDefault="00BE61A2" w:rsidP="00AE2F1B">
      <w:r w:rsidRPr="00AE2F1B">
        <w:t>Complete immunisation induces protection which lasts throughout childhood, but by middle age 50% of vaccine recipients have low or undetectable levels of antibodies. Tetanus is, however, uncommon in people who have received 4 or more doses of a tetanus containing vaccine, and in those who received their last dose within 10 years.</w:t>
      </w:r>
      <w:r w:rsidRPr="00AE2F1B">
        <w:rPr>
          <w:vertAlign w:val="superscript"/>
        </w:rPr>
        <w:t>113</w:t>
      </w:r>
      <w:r w:rsidRPr="00AE2F1B">
        <w:t xml:space="preserve"> </w:t>
      </w:r>
    </w:p>
    <w:p w14:paraId="725815BC" w14:textId="77777777" w:rsidR="00BE61A2" w:rsidRPr="004E056D" w:rsidRDefault="00BE61A2" w:rsidP="004E056D">
      <w:pPr>
        <w:pStyle w:val="Heading2"/>
      </w:pPr>
      <w:bookmarkStart w:id="182" w:name="_Toc1747336"/>
      <w:r w:rsidRPr="004E056D">
        <w:rPr>
          <w:bCs w:val="0"/>
          <w:sz w:val="27"/>
          <w:szCs w:val="27"/>
        </w:rPr>
        <w:t>Varicella zoster virus</w:t>
      </w:r>
      <w:bookmarkEnd w:id="182"/>
    </w:p>
    <w:p w14:paraId="3846D525" w14:textId="77777777" w:rsidR="00BE61A2" w:rsidRPr="00D762CF" w:rsidRDefault="00BE61A2" w:rsidP="00D762CF">
      <w:pPr>
        <w:pStyle w:val="ListParagraph"/>
        <w:numPr>
          <w:ilvl w:val="0"/>
          <w:numId w:val="8"/>
        </w:numPr>
        <w:rPr>
          <w:rFonts w:eastAsia="Times New Roman"/>
        </w:rPr>
      </w:pPr>
      <w:r w:rsidRPr="00D762CF">
        <w:rPr>
          <w:rFonts w:eastAsia="Times New Roman"/>
        </w:rPr>
        <w:t xml:space="preserve">There were 22,185 cases of varicella zoster infection notified in 2015. </w:t>
      </w:r>
    </w:p>
    <w:p w14:paraId="106BAC0F" w14:textId="77777777" w:rsidR="00BE61A2" w:rsidRPr="00D762CF" w:rsidRDefault="00BE61A2" w:rsidP="00D762CF">
      <w:pPr>
        <w:pStyle w:val="ListParagraph"/>
        <w:numPr>
          <w:ilvl w:val="0"/>
          <w:numId w:val="8"/>
        </w:numPr>
        <w:rPr>
          <w:rFonts w:eastAsia="Times New Roman"/>
        </w:rPr>
      </w:pPr>
      <w:r w:rsidRPr="00D762CF">
        <w:rPr>
          <w:rFonts w:eastAsia="Times New Roman"/>
        </w:rPr>
        <w:t xml:space="preserve">Of these, 2,479 (11%) were chickenpox, 6,343 (28%) were shingles and 13,363 (61%) were unspecified varicella zoster virus infection. </w:t>
      </w:r>
    </w:p>
    <w:p w14:paraId="0DB47718" w14:textId="77777777" w:rsidR="00BE61A2" w:rsidRPr="00D762CF" w:rsidRDefault="00BE61A2" w:rsidP="00D762CF">
      <w:pPr>
        <w:pStyle w:val="ListParagraph"/>
        <w:numPr>
          <w:ilvl w:val="0"/>
          <w:numId w:val="8"/>
        </w:numPr>
        <w:rPr>
          <w:rFonts w:eastAsia="Times New Roman"/>
        </w:rPr>
      </w:pPr>
      <w:r w:rsidRPr="00D762CF">
        <w:rPr>
          <w:rFonts w:eastAsia="Times New Roman"/>
        </w:rPr>
        <w:t xml:space="preserve">Data were collected from all jurisdictions except New South Wales. </w:t>
      </w:r>
    </w:p>
    <w:p w14:paraId="5F499DAC" w14:textId="77777777" w:rsidR="00BE61A2" w:rsidRPr="00AE2F1B" w:rsidRDefault="00BE61A2" w:rsidP="00AE2F1B">
      <w:r w:rsidRPr="00AE2F1B">
        <w:t>The varicella zoster virus (VZV) is a highly contagious member of the herpesvirus family and causes 2 distinct illnesses: chickenpox as the primary infection; and shingles (herpes zoster), which occurs following reactivation, often many years later, of latent virus in approximately 20% to 30% of all chickenpox cases. Shingles occurs more frequently among older adults (most commonly after 50 years of age) and in immunocompromised people.</w:t>
      </w:r>
      <w:r w:rsidRPr="00AE2F1B">
        <w:rPr>
          <w:vertAlign w:val="superscript"/>
        </w:rPr>
        <w:t>21</w:t>
      </w:r>
      <w:r w:rsidRPr="00AE2F1B">
        <w:t xml:space="preserve"> </w:t>
      </w:r>
    </w:p>
    <w:p w14:paraId="2632B40A" w14:textId="77777777" w:rsidR="00BE61A2" w:rsidRPr="00AE2F1B" w:rsidRDefault="00BE61A2" w:rsidP="00AE2F1B">
      <w:r w:rsidRPr="00AE2F1B">
        <w:t>In 2006, the CDNA agreed 3 categories of VZV infection were nationally notifiable: ‘chickenpox’, ‘shingles’ and ‘varicella zoster virus unspecified’. By 2009, all jurisdictions were notifying VZV infections to the NNDSS against these 3 categories, except New South Wales, where VZV is not a notifiable disease.</w:t>
      </w:r>
    </w:p>
    <w:p w14:paraId="0231B456" w14:textId="77777777" w:rsidR="00BE61A2" w:rsidRPr="00AE2F1B" w:rsidRDefault="00BE61A2" w:rsidP="00AE2F1B">
      <w:r w:rsidRPr="00AE2F1B">
        <w:t>The ability to categorise a VZV infection as chickenpox or shingles depends on follow-up to determine the clinical presentation of the case. The majority of VZV infections are reported as unspecified, as follow-up does not occur (Table 5). Notification rates for chickenpox, shingles and VZV unspecified, including any comparisons made between jurisdictions and age groups, should be interpreted with caution as they are affected by the varying levels of follow-up undertaken in each jurisdiction.</w:t>
      </w:r>
    </w:p>
    <w:p w14:paraId="47DFEC68" w14:textId="77777777" w:rsidR="00BE61A2" w:rsidRPr="00AE2F1B" w:rsidRDefault="00BE61A2" w:rsidP="00924A50">
      <w:pPr>
        <w:pStyle w:val="Heading3"/>
      </w:pPr>
      <w:bookmarkStart w:id="183" w:name="_Toc1747337"/>
      <w:r w:rsidRPr="00924A50">
        <w:rPr>
          <w:bCs w:val="0"/>
        </w:rPr>
        <w:t>Epidemiological situation in 2015</w:t>
      </w:r>
      <w:bookmarkEnd w:id="183"/>
    </w:p>
    <w:p w14:paraId="747D2F37" w14:textId="77777777" w:rsidR="00BE61A2" w:rsidRDefault="00BE61A2" w:rsidP="00AE2F1B">
      <w:r w:rsidRPr="00AE2F1B">
        <w:t>In 2015, there were 22,185 VZV notifications from the 7 reporting jurisdictions. This was 13% more than the total cases notified in 2014 (n=19,640). Of the total VZV notifications in 2015, 60% (n=13,354) were reported as unspecified VZV infection, 29% (n=6,298) as shingles and 11% (n=2,</w:t>
      </w:r>
      <w:r w:rsidR="00C9540D">
        <w:t>429) as chickenpox (Figure 80).</w:t>
      </w:r>
    </w:p>
    <w:p w14:paraId="0189553C" w14:textId="77777777" w:rsidR="00D254BA" w:rsidRDefault="00D254BA">
      <w:pPr>
        <w:rPr>
          <w:b/>
        </w:rPr>
      </w:pPr>
      <w:r>
        <w:br w:type="page"/>
      </w:r>
    </w:p>
    <w:p w14:paraId="0C9782D7" w14:textId="77777777" w:rsidR="00C9540D" w:rsidRDefault="00C9540D" w:rsidP="00C9540D">
      <w:pPr>
        <w:pStyle w:val="CDIFigures"/>
        <w:rPr>
          <w:rStyle w:val="A9"/>
          <w:rFonts w:asciiTheme="minorHAnsi" w:hAnsiTheme="minorHAnsi" w:cstheme="minorBidi"/>
          <w:b/>
          <w:bCs w:val="0"/>
          <w:color w:val="auto"/>
          <w:sz w:val="22"/>
          <w:szCs w:val="22"/>
        </w:rPr>
      </w:pPr>
      <w:r w:rsidRPr="00C9540D">
        <w:lastRenderedPageBreak/>
        <w:t>Figure 80: Notifications of varicella zoster virus infection, 2015, Australia</w:t>
      </w:r>
      <w:r w:rsidRPr="00D254BA">
        <w:rPr>
          <w:rStyle w:val="A9"/>
          <w:rFonts w:asciiTheme="minorHAnsi" w:hAnsiTheme="minorHAnsi" w:cstheme="minorBidi"/>
          <w:b/>
          <w:bCs w:val="0"/>
          <w:color w:val="auto"/>
          <w:sz w:val="22"/>
          <w:szCs w:val="22"/>
          <w:vertAlign w:val="superscript"/>
        </w:rPr>
        <w:t>*</w:t>
      </w:r>
      <w:r w:rsidRPr="00C9540D">
        <w:t>, by age group</w:t>
      </w:r>
      <w:r w:rsidRPr="00D254BA">
        <w:rPr>
          <w:rStyle w:val="A9"/>
          <w:rFonts w:asciiTheme="minorHAnsi" w:hAnsiTheme="minorHAnsi" w:cstheme="minorBidi"/>
          <w:b/>
          <w:bCs w:val="0"/>
          <w:color w:val="auto"/>
          <w:sz w:val="22"/>
          <w:szCs w:val="22"/>
          <w:vertAlign w:val="superscript"/>
        </w:rPr>
        <w:t>#</w:t>
      </w:r>
    </w:p>
    <w:p w14:paraId="2B8333BF" w14:textId="77777777" w:rsidR="00D254BA" w:rsidRDefault="0021477A" w:rsidP="00C9540D">
      <w:pPr>
        <w:pStyle w:val="CDIFigures"/>
        <w:rPr>
          <w:rStyle w:val="A9"/>
          <w:rFonts w:asciiTheme="minorHAnsi" w:hAnsiTheme="minorHAnsi" w:cstheme="minorBidi"/>
          <w:b/>
          <w:bCs w:val="0"/>
          <w:color w:val="auto"/>
          <w:sz w:val="22"/>
          <w:szCs w:val="22"/>
        </w:rPr>
      </w:pPr>
      <w:r>
        <w:rPr>
          <w:rStyle w:val="A9"/>
          <w:rFonts w:asciiTheme="minorHAnsi" w:hAnsiTheme="minorHAnsi" w:cstheme="minorBidi"/>
          <w:b/>
          <w:bCs w:val="0"/>
          <w:color w:val="auto"/>
          <w:sz w:val="22"/>
          <w:szCs w:val="22"/>
        </w:rPr>
        <w:pict w14:anchorId="54E7E95A">
          <v:shape id="_x0000_i1101" type="#_x0000_t75" alt="This figure shows the notifications of varicella zoster virus unspecified, chickenpox and shingles in 2015 by age group. This figure shows the highest notifications for chickenpox occurred in the 0 to 9 years age groups and for shingles in 50 years of age and over age groups in 2015." style="width:522.6pt;height:317.4pt">
            <v:imagedata r:id="rId99" o:title="5-VPD chapter Figures_50 to 85 for CDI _Page_32"/>
          </v:shape>
        </w:pict>
      </w:r>
    </w:p>
    <w:p w14:paraId="6364E9DC" w14:textId="77777777" w:rsidR="00B278C4" w:rsidRPr="00B278C4" w:rsidRDefault="00B278C4" w:rsidP="00B278C4">
      <w:pPr>
        <w:pStyle w:val="CDIfootnotes"/>
      </w:pPr>
      <w:r>
        <w:t>*</w:t>
      </w:r>
      <w:r>
        <w:tab/>
      </w:r>
      <w:r w:rsidRPr="00B278C4">
        <w:t xml:space="preserve">Excludes New South Wales. </w:t>
      </w:r>
      <w:r>
        <w:br/>
        <w:t>#</w:t>
      </w:r>
      <w:r>
        <w:tab/>
      </w:r>
      <w:r w:rsidRPr="00B278C4">
        <w:t>Age of onset missing for 104 notifications.</w:t>
      </w:r>
    </w:p>
    <w:p w14:paraId="316C7959" w14:textId="77777777" w:rsidR="00BE61A2" w:rsidRPr="004E056D" w:rsidRDefault="00BE61A2" w:rsidP="004E056D">
      <w:pPr>
        <w:pStyle w:val="Heading2"/>
      </w:pPr>
      <w:bookmarkStart w:id="184" w:name="_Toc1747338"/>
      <w:r w:rsidRPr="004E056D">
        <w:rPr>
          <w:bCs w:val="0"/>
          <w:sz w:val="27"/>
          <w:szCs w:val="27"/>
        </w:rPr>
        <w:t>Varicella zoster virus (unspecified)</w:t>
      </w:r>
      <w:bookmarkEnd w:id="184"/>
    </w:p>
    <w:p w14:paraId="29781404" w14:textId="77777777" w:rsidR="00BE61A2" w:rsidRPr="00AE2F1B" w:rsidRDefault="00BE61A2" w:rsidP="00924A50">
      <w:pPr>
        <w:pStyle w:val="Heading3"/>
      </w:pPr>
      <w:bookmarkStart w:id="185" w:name="_Toc1747339"/>
      <w:r w:rsidRPr="00924A50">
        <w:rPr>
          <w:bCs w:val="0"/>
        </w:rPr>
        <w:t>Epidemiological situation in 2015</w:t>
      </w:r>
      <w:bookmarkEnd w:id="185"/>
    </w:p>
    <w:p w14:paraId="7EA49845" w14:textId="77777777" w:rsidR="00BE61A2" w:rsidRPr="00AE2F1B" w:rsidRDefault="00BE61A2" w:rsidP="00AE2F1B">
      <w:r w:rsidRPr="00AE2F1B">
        <w:t>In 2015, there were 13,363 cases of VZV unspecified infections reported, representing a notification rate of 83 per 100,000, and a 10% increase in notifications compared with 2014 (n=12,017). The highest notification rate for VZV unspecified was reported from Queensland (135.6 per 100,000) and the lowest from the Northern Territory (0.8 per 100,000) (Table 5).</w:t>
      </w:r>
    </w:p>
    <w:p w14:paraId="0B727F76" w14:textId="77777777" w:rsidR="00BE61A2" w:rsidRPr="00AE2F1B" w:rsidRDefault="00BE61A2" w:rsidP="00924A50">
      <w:pPr>
        <w:pStyle w:val="Heading3"/>
      </w:pPr>
      <w:bookmarkStart w:id="186" w:name="_Toc1747340"/>
      <w:r w:rsidRPr="00924A50">
        <w:rPr>
          <w:bCs w:val="0"/>
        </w:rPr>
        <w:t>Age and sex distribution</w:t>
      </w:r>
      <w:bookmarkEnd w:id="186"/>
    </w:p>
    <w:p w14:paraId="42909707" w14:textId="77777777" w:rsidR="00BE61A2" w:rsidRDefault="00BE61A2" w:rsidP="00AE2F1B">
      <w:r w:rsidRPr="00AE2F1B">
        <w:t xml:space="preserve">In 2015, the majority of VZV unspecified cases were reported in females (54%, n=7,242). Overall, females have a higher notification rate (82 per 100,000) compared with males (76 per 100,000) which predominated across all ages except young children (under 10 years of age) and adults aged 85 years or over (Figure 81). The highest age-specific rates for females occurred in the 80–84 years age group (173 per 100,000) and for males in the 85 years or over age group (167 per 100,000). </w:t>
      </w:r>
    </w:p>
    <w:p w14:paraId="3FFEB41F" w14:textId="77777777" w:rsidR="00EE7F33" w:rsidRDefault="00EE7F33">
      <w:pPr>
        <w:rPr>
          <w:b/>
        </w:rPr>
      </w:pPr>
      <w:r>
        <w:br w:type="page"/>
      </w:r>
    </w:p>
    <w:p w14:paraId="2950D52A" w14:textId="77777777" w:rsidR="009E4475" w:rsidRDefault="009E4475" w:rsidP="009E4475">
      <w:pPr>
        <w:pStyle w:val="CDIFigures"/>
        <w:rPr>
          <w:rStyle w:val="A9"/>
          <w:rFonts w:asciiTheme="minorHAnsi" w:hAnsiTheme="minorHAnsi" w:cstheme="minorBidi"/>
          <w:b/>
          <w:bCs w:val="0"/>
          <w:color w:val="auto"/>
          <w:sz w:val="22"/>
          <w:szCs w:val="22"/>
          <w:vertAlign w:val="superscript"/>
        </w:rPr>
      </w:pPr>
      <w:r w:rsidRPr="009E4475">
        <w:lastRenderedPageBreak/>
        <w:t>Figure 81: Notification rate for varicella zoster virus unspecified, Australia,</w:t>
      </w:r>
      <w:r w:rsidRPr="00F83A4A">
        <w:rPr>
          <w:rStyle w:val="A9"/>
          <w:rFonts w:asciiTheme="minorHAnsi" w:hAnsiTheme="minorHAnsi" w:cstheme="minorBidi"/>
          <w:b/>
          <w:bCs w:val="0"/>
          <w:color w:val="auto"/>
          <w:sz w:val="22"/>
          <w:szCs w:val="22"/>
          <w:vertAlign w:val="superscript"/>
        </w:rPr>
        <w:t>*</w:t>
      </w:r>
      <w:r w:rsidRPr="009E4475">
        <w:rPr>
          <w:rStyle w:val="A9"/>
          <w:rFonts w:asciiTheme="minorHAnsi" w:hAnsiTheme="minorHAnsi" w:cstheme="minorBidi"/>
          <w:b/>
          <w:bCs w:val="0"/>
          <w:color w:val="auto"/>
          <w:sz w:val="22"/>
          <w:szCs w:val="22"/>
        </w:rPr>
        <w:t xml:space="preserve"> </w:t>
      </w:r>
      <w:r w:rsidRPr="009E4475">
        <w:t>2015, by age group and sex</w:t>
      </w:r>
      <w:r w:rsidRPr="00F83A4A">
        <w:rPr>
          <w:rStyle w:val="A9"/>
          <w:rFonts w:asciiTheme="minorHAnsi" w:hAnsiTheme="minorHAnsi" w:cstheme="minorBidi"/>
          <w:b/>
          <w:bCs w:val="0"/>
          <w:color w:val="auto"/>
          <w:sz w:val="22"/>
          <w:szCs w:val="22"/>
          <w:vertAlign w:val="superscript"/>
        </w:rPr>
        <w:t>#</w:t>
      </w:r>
    </w:p>
    <w:p w14:paraId="1D0E862D" w14:textId="77777777" w:rsidR="00F83A4A" w:rsidRDefault="0021477A" w:rsidP="009E4475">
      <w:pPr>
        <w:pStyle w:val="CDIFigures"/>
        <w:rPr>
          <w:rStyle w:val="A9"/>
          <w:rFonts w:asciiTheme="minorHAnsi" w:hAnsiTheme="minorHAnsi" w:cstheme="minorBidi"/>
          <w:b/>
          <w:bCs w:val="0"/>
          <w:color w:val="auto"/>
          <w:sz w:val="22"/>
          <w:szCs w:val="22"/>
        </w:rPr>
      </w:pPr>
      <w:r>
        <w:rPr>
          <w:rStyle w:val="A9"/>
          <w:rFonts w:asciiTheme="minorHAnsi" w:hAnsiTheme="minorHAnsi" w:cstheme="minorBidi"/>
          <w:b/>
          <w:bCs w:val="0"/>
          <w:color w:val="auto"/>
          <w:sz w:val="22"/>
          <w:szCs w:val="22"/>
        </w:rPr>
        <w:pict w14:anchorId="5FF00340">
          <v:shape id="_x0000_i1102" type="#_x0000_t75" alt="This figure shows the rate for varicella zoster virus infection (unspecified) in Australia in 2015, by age group and sex. This figure demonstrates the highest rates were in the 70 to 74 years and 85 years and over age groups for males and 80 to 84 years and over age group for females." style="width:522.6pt;height:329.4pt">
            <v:imagedata r:id="rId100" o:title="5-VPD chapter Figures_50 to 85 for CDI _Page_33"/>
          </v:shape>
        </w:pict>
      </w:r>
    </w:p>
    <w:p w14:paraId="513E1EA0" w14:textId="77777777" w:rsidR="009E4475" w:rsidRPr="009E4475" w:rsidRDefault="009E4475" w:rsidP="009E4475">
      <w:pPr>
        <w:pStyle w:val="CDIfootnotes"/>
      </w:pPr>
      <w:r>
        <w:t>*</w:t>
      </w:r>
      <w:r>
        <w:tab/>
        <w:t>Excludes New South Wales.</w:t>
      </w:r>
      <w:r w:rsidR="00E82D77">
        <w:br/>
      </w:r>
      <w:r>
        <w:t>#</w:t>
      </w:r>
      <w:r>
        <w:tab/>
        <w:t>Age of onset and sex missing for 9 notifications.</w:t>
      </w:r>
    </w:p>
    <w:p w14:paraId="5729B564" w14:textId="77777777" w:rsidR="00BE61A2" w:rsidRPr="004E056D" w:rsidRDefault="00BE61A2" w:rsidP="004E056D">
      <w:pPr>
        <w:pStyle w:val="Heading2"/>
      </w:pPr>
      <w:bookmarkStart w:id="187" w:name="_Toc1747341"/>
      <w:r w:rsidRPr="004E056D">
        <w:rPr>
          <w:bCs w:val="0"/>
          <w:sz w:val="27"/>
          <w:szCs w:val="27"/>
        </w:rPr>
        <w:t>Chickenpox</w:t>
      </w:r>
      <w:bookmarkEnd w:id="187"/>
    </w:p>
    <w:p w14:paraId="7620B24A" w14:textId="77777777" w:rsidR="00BE61A2" w:rsidRPr="00255B5E" w:rsidRDefault="00BE61A2" w:rsidP="00255B5E">
      <w:pPr>
        <w:pStyle w:val="ListParagraph"/>
        <w:numPr>
          <w:ilvl w:val="0"/>
          <w:numId w:val="8"/>
        </w:numPr>
        <w:rPr>
          <w:rFonts w:eastAsia="Times New Roman"/>
        </w:rPr>
      </w:pPr>
      <w:r w:rsidRPr="00255B5E">
        <w:rPr>
          <w:rFonts w:eastAsia="Times New Roman"/>
        </w:rPr>
        <w:t xml:space="preserve">There were 2,479 cases of chickenpox notified in 2015, a 15% increase from 2014 (n=2,103). </w:t>
      </w:r>
    </w:p>
    <w:p w14:paraId="5F64AF7A" w14:textId="77777777" w:rsidR="00BE61A2" w:rsidRPr="00255B5E" w:rsidRDefault="00BE61A2" w:rsidP="00255B5E">
      <w:pPr>
        <w:pStyle w:val="ListParagraph"/>
        <w:numPr>
          <w:ilvl w:val="0"/>
          <w:numId w:val="8"/>
        </w:numPr>
        <w:rPr>
          <w:rFonts w:eastAsia="Times New Roman"/>
        </w:rPr>
      </w:pPr>
      <w:r w:rsidRPr="00255B5E">
        <w:rPr>
          <w:rFonts w:eastAsia="Times New Roman"/>
        </w:rPr>
        <w:t xml:space="preserve">Fifty-four per cent of cases were male and 72% were in children less than 15 years of age. </w:t>
      </w:r>
    </w:p>
    <w:p w14:paraId="34ACB90E" w14:textId="77777777" w:rsidR="00BE61A2" w:rsidRPr="00AE2F1B" w:rsidRDefault="00BE61A2" w:rsidP="00AE2F1B">
      <w:r w:rsidRPr="00AE2F1B">
        <w:t>Chickenpox is a highly contagious infection spread by respiratory secretions, including aerosol transmission, or from the vesicle fluid of skin lesions from a patient with chickenpox or shingles infection. Chickenpox is usually a mild disease of childhood; however, complications occur in approximately 1% of cases. It is more severe in adults, and in people of any age who are immunocompromised.</w:t>
      </w:r>
      <w:r w:rsidRPr="00AE2F1B">
        <w:rPr>
          <w:vertAlign w:val="superscript"/>
        </w:rPr>
        <w:t>29</w:t>
      </w:r>
      <w:r w:rsidRPr="00AE2F1B">
        <w:t xml:space="preserve"> </w:t>
      </w:r>
    </w:p>
    <w:p w14:paraId="614430D7" w14:textId="77777777" w:rsidR="00BE61A2" w:rsidRPr="00AE2F1B" w:rsidRDefault="00BE61A2" w:rsidP="00924A50">
      <w:pPr>
        <w:pStyle w:val="Heading3"/>
      </w:pPr>
      <w:bookmarkStart w:id="188" w:name="_Toc1747342"/>
      <w:r w:rsidRPr="00924A50">
        <w:rPr>
          <w:bCs w:val="0"/>
        </w:rPr>
        <w:t>Epidemiological situation in 2015</w:t>
      </w:r>
      <w:bookmarkEnd w:id="188"/>
    </w:p>
    <w:p w14:paraId="10129162" w14:textId="77777777" w:rsidR="00BE61A2" w:rsidRPr="00AE2F1B" w:rsidRDefault="00BE61A2" w:rsidP="00AE2F1B">
      <w:r w:rsidRPr="00AE2F1B">
        <w:t>In 2015, there were 2,479 cases of chickenpox reported, representing a notification rate of 15.3 per 100,000 and a 15% increase in the number of notifications compared with 2014 (n=2,103). The national notification rate of chickenpox has remained stable between 12.0 and 15.3 per 100,000 since 2010. The highest notification rate of chickenpox was in the Northern Territory (48.3 per 100,000), followed by South Australia (26.3 per 100,000), reflecting the higher case-ascertainment in these jurisdictions.</w:t>
      </w:r>
    </w:p>
    <w:p w14:paraId="336017F2" w14:textId="77777777" w:rsidR="00BE61A2" w:rsidRPr="00AE2F1B" w:rsidRDefault="00BE61A2" w:rsidP="00924A50">
      <w:pPr>
        <w:pStyle w:val="Heading3"/>
      </w:pPr>
      <w:bookmarkStart w:id="189" w:name="_Toc1747343"/>
      <w:r w:rsidRPr="00924A50">
        <w:rPr>
          <w:bCs w:val="0"/>
        </w:rPr>
        <w:t>Age and sex distribution</w:t>
      </w:r>
      <w:bookmarkEnd w:id="189"/>
    </w:p>
    <w:p w14:paraId="0883735D" w14:textId="77777777" w:rsidR="00BE61A2" w:rsidRDefault="00BE61A2" w:rsidP="00AE2F1B">
      <w:r w:rsidRPr="00AE2F1B">
        <w:t xml:space="preserve">In 2015, 54% (n=1,339) of notified cases were male and 72% (n=1,780) occurred in children less than 15 years of age. Consistent with recent years, children under the age of 10 years had the highest notification rates in 2015. Rates were highest in the 5–9 years age group (77 per 100,000) (Figure 82). Compared with 2014, all age-group-specific </w:t>
      </w:r>
      <w:r w:rsidRPr="00AE2F1B">
        <w:lastRenderedPageBreak/>
        <w:t>rates increased, with the largest increase occurring in infants under 1 year of age, from 55 per 100,000 in 2014 to 77 per 100,000 in 2015 (Figure 83).</w:t>
      </w:r>
    </w:p>
    <w:p w14:paraId="35ED5F19" w14:textId="77777777" w:rsidR="0079028C" w:rsidRDefault="0079028C" w:rsidP="0079028C">
      <w:pPr>
        <w:pStyle w:val="CDIFigures"/>
        <w:rPr>
          <w:rStyle w:val="A9"/>
          <w:rFonts w:asciiTheme="minorHAnsi" w:hAnsiTheme="minorHAnsi" w:cstheme="minorBidi"/>
          <w:b/>
          <w:bCs w:val="0"/>
          <w:color w:val="auto"/>
          <w:sz w:val="22"/>
          <w:szCs w:val="22"/>
          <w:vertAlign w:val="superscript"/>
        </w:rPr>
      </w:pPr>
      <w:r w:rsidRPr="0079028C">
        <w:t>Figure 82: Notification rate of chickenpox, Australia,</w:t>
      </w:r>
      <w:r w:rsidRPr="006E7597">
        <w:rPr>
          <w:rStyle w:val="A9"/>
          <w:rFonts w:asciiTheme="minorHAnsi" w:hAnsiTheme="minorHAnsi" w:cstheme="minorBidi"/>
          <w:b/>
          <w:bCs w:val="0"/>
          <w:color w:val="auto"/>
          <w:sz w:val="22"/>
          <w:szCs w:val="22"/>
          <w:vertAlign w:val="superscript"/>
        </w:rPr>
        <w:t>*</w:t>
      </w:r>
      <w:r w:rsidRPr="0079028C">
        <w:rPr>
          <w:rStyle w:val="A9"/>
          <w:rFonts w:asciiTheme="minorHAnsi" w:hAnsiTheme="minorHAnsi" w:cstheme="minorBidi"/>
          <w:b/>
          <w:bCs w:val="0"/>
          <w:color w:val="auto"/>
          <w:sz w:val="22"/>
          <w:szCs w:val="22"/>
        </w:rPr>
        <w:t xml:space="preserve"> </w:t>
      </w:r>
      <w:r w:rsidRPr="0079028C">
        <w:t>2015, by age group and sex</w:t>
      </w:r>
      <w:r w:rsidRPr="006E7597">
        <w:rPr>
          <w:rStyle w:val="A9"/>
          <w:rFonts w:asciiTheme="minorHAnsi" w:hAnsiTheme="minorHAnsi" w:cstheme="minorBidi"/>
          <w:b/>
          <w:bCs w:val="0"/>
          <w:color w:val="auto"/>
          <w:sz w:val="22"/>
          <w:szCs w:val="22"/>
          <w:vertAlign w:val="superscript"/>
        </w:rPr>
        <w:t>#</w:t>
      </w:r>
    </w:p>
    <w:p w14:paraId="6E661147" w14:textId="77777777" w:rsidR="002C62E6" w:rsidRPr="009E0B10" w:rsidRDefault="0021477A" w:rsidP="0079028C">
      <w:pPr>
        <w:pStyle w:val="CDIFigures"/>
        <w:rPr>
          <w:rStyle w:val="A9"/>
          <w:rFonts w:asciiTheme="minorHAnsi" w:hAnsiTheme="minorHAnsi" w:cstheme="minorBidi"/>
          <w:b/>
          <w:bCs w:val="0"/>
          <w:color w:val="auto"/>
          <w:sz w:val="22"/>
          <w:szCs w:val="22"/>
        </w:rPr>
      </w:pPr>
      <w:r>
        <w:rPr>
          <w:rStyle w:val="A9"/>
          <w:rFonts w:asciiTheme="minorHAnsi" w:hAnsiTheme="minorHAnsi" w:cstheme="minorBidi"/>
          <w:b/>
          <w:bCs w:val="0"/>
          <w:color w:val="auto"/>
          <w:sz w:val="22"/>
          <w:szCs w:val="22"/>
        </w:rPr>
        <w:pict w14:anchorId="15B99B20">
          <v:shape id="_x0000_i1103" type="#_x0000_t75" alt="This figure shows the rates for chickenpox in Australia in 2015, and by age group and sex. This figure demonstrates that the majority of cases are in children aged less than 15 years." style="width:522.6pt;height:339pt">
            <v:imagedata r:id="rId101" o:title="5-VPD chapter Figures_50 to 85 for CDI _Page_34"/>
          </v:shape>
        </w:pict>
      </w:r>
    </w:p>
    <w:p w14:paraId="5CB1D0C5" w14:textId="77777777" w:rsidR="0079028C" w:rsidRDefault="0079028C" w:rsidP="0079028C">
      <w:pPr>
        <w:pStyle w:val="CDIfootnotes"/>
      </w:pPr>
      <w:r w:rsidRPr="0079028C">
        <w:t>*</w:t>
      </w:r>
      <w:r w:rsidRPr="0079028C">
        <w:tab/>
        <w:t>Excludes New South Wales.</w:t>
      </w:r>
      <w:r w:rsidRPr="0079028C">
        <w:br/>
        <w:t>#</w:t>
      </w:r>
      <w:r w:rsidRPr="0079028C">
        <w:tab/>
        <w:t>Age of onset missing for 50 and sex missing for 13 notifications.</w:t>
      </w:r>
    </w:p>
    <w:p w14:paraId="2CA2F8B3" w14:textId="77777777" w:rsidR="007E4CB6" w:rsidRDefault="007E4CB6">
      <w:pPr>
        <w:rPr>
          <w:b/>
        </w:rPr>
      </w:pPr>
      <w:r>
        <w:br w:type="page"/>
      </w:r>
    </w:p>
    <w:p w14:paraId="032BAA6C" w14:textId="77777777" w:rsidR="006E7597" w:rsidRDefault="006E7597" w:rsidP="006E7597">
      <w:pPr>
        <w:pStyle w:val="CDIFigures"/>
        <w:rPr>
          <w:rStyle w:val="A9"/>
          <w:rFonts w:asciiTheme="minorHAnsi" w:hAnsiTheme="minorHAnsi" w:cstheme="minorBidi"/>
          <w:b/>
          <w:bCs w:val="0"/>
          <w:color w:val="auto"/>
          <w:sz w:val="22"/>
          <w:szCs w:val="22"/>
          <w:vertAlign w:val="superscript"/>
        </w:rPr>
      </w:pPr>
      <w:r w:rsidRPr="006E7597">
        <w:lastRenderedPageBreak/>
        <w:t>Figure 83: Notifications of chickenpox, Australia,</w:t>
      </w:r>
      <w:r w:rsidRPr="006E7597">
        <w:rPr>
          <w:rStyle w:val="A9"/>
          <w:rFonts w:asciiTheme="minorHAnsi" w:hAnsiTheme="minorHAnsi" w:cstheme="minorBidi"/>
          <w:b/>
          <w:bCs w:val="0"/>
          <w:color w:val="auto"/>
          <w:sz w:val="22"/>
          <w:szCs w:val="22"/>
          <w:vertAlign w:val="superscript"/>
        </w:rPr>
        <w:t>*</w:t>
      </w:r>
      <w:r w:rsidRPr="006E7597">
        <w:rPr>
          <w:rStyle w:val="A9"/>
          <w:rFonts w:asciiTheme="minorHAnsi" w:hAnsiTheme="minorHAnsi" w:cstheme="minorBidi"/>
          <w:b/>
          <w:bCs w:val="0"/>
          <w:color w:val="auto"/>
          <w:sz w:val="22"/>
          <w:szCs w:val="22"/>
        </w:rPr>
        <w:t xml:space="preserve"> </w:t>
      </w:r>
      <w:r w:rsidRPr="006E7597">
        <w:t>2010 to 2015, by year and selected age groups</w:t>
      </w:r>
      <w:r w:rsidRPr="006E7597">
        <w:rPr>
          <w:rStyle w:val="A9"/>
          <w:rFonts w:asciiTheme="minorHAnsi" w:hAnsiTheme="minorHAnsi" w:cstheme="minorBidi"/>
          <w:b/>
          <w:bCs w:val="0"/>
          <w:color w:val="auto"/>
          <w:sz w:val="22"/>
          <w:szCs w:val="22"/>
          <w:vertAlign w:val="superscript"/>
        </w:rPr>
        <w:t>#</w:t>
      </w:r>
    </w:p>
    <w:p w14:paraId="3D3597F9" w14:textId="77777777" w:rsidR="007E4CB6" w:rsidRDefault="0021477A" w:rsidP="006E7597">
      <w:pPr>
        <w:pStyle w:val="CDIFigures"/>
        <w:rPr>
          <w:rStyle w:val="A9"/>
          <w:rFonts w:asciiTheme="minorHAnsi" w:hAnsiTheme="minorHAnsi" w:cstheme="minorBidi"/>
          <w:b/>
          <w:bCs w:val="0"/>
          <w:color w:val="auto"/>
          <w:sz w:val="22"/>
          <w:szCs w:val="22"/>
          <w:vertAlign w:val="superscript"/>
        </w:rPr>
      </w:pPr>
      <w:r>
        <w:rPr>
          <w:rStyle w:val="A9"/>
          <w:rFonts w:asciiTheme="minorHAnsi" w:hAnsiTheme="minorHAnsi" w:cstheme="minorBidi"/>
          <w:b/>
          <w:bCs w:val="0"/>
          <w:color w:val="auto"/>
          <w:sz w:val="22"/>
          <w:szCs w:val="22"/>
          <w:vertAlign w:val="superscript"/>
        </w:rPr>
        <w:pict w14:anchorId="0C80CB2F">
          <v:shape id="_x0000_i1104" type="#_x0000_t75" alt="This figure shows the rates for chickenpox in Australia from 2010 to 2015, by selected age group. The figure demonstrates the highest age specific rates occurred in those 9 years of age and younger. Rates for those 10 years of age and older have remained relatively stable from 2010 to 2015." style="width:522.6pt;height:314.4pt">
            <v:imagedata r:id="rId102" o:title="5-VPD chapter Figures_50 to 85 for CDI _Page_35"/>
          </v:shape>
        </w:pict>
      </w:r>
    </w:p>
    <w:p w14:paraId="4C1401C7" w14:textId="77777777" w:rsidR="006E7597" w:rsidRPr="006E7597" w:rsidRDefault="006E7597" w:rsidP="006E7597">
      <w:pPr>
        <w:pStyle w:val="CDIfootnotes"/>
      </w:pPr>
      <w:r>
        <w:rPr>
          <w:rStyle w:val="A13"/>
          <w:rFonts w:cstheme="minorBidi"/>
          <w:color w:val="auto"/>
          <w:sz w:val="18"/>
          <w:szCs w:val="22"/>
        </w:rPr>
        <w:t>*</w:t>
      </w:r>
      <w:r>
        <w:rPr>
          <w:rStyle w:val="A13"/>
          <w:rFonts w:cstheme="minorBidi"/>
          <w:color w:val="auto"/>
          <w:sz w:val="18"/>
          <w:szCs w:val="22"/>
        </w:rPr>
        <w:tab/>
      </w:r>
      <w:r>
        <w:t>Excludes New South Wales</w:t>
      </w:r>
      <w:r>
        <w:br/>
      </w:r>
      <w:r>
        <w:rPr>
          <w:rStyle w:val="A13"/>
          <w:rFonts w:cstheme="minorBidi"/>
          <w:color w:val="auto"/>
          <w:sz w:val="18"/>
          <w:szCs w:val="22"/>
        </w:rPr>
        <w:t>#</w:t>
      </w:r>
      <w:r>
        <w:rPr>
          <w:rStyle w:val="A13"/>
          <w:rFonts w:cstheme="minorBidi"/>
          <w:color w:val="auto"/>
          <w:sz w:val="18"/>
          <w:szCs w:val="22"/>
        </w:rPr>
        <w:tab/>
      </w:r>
      <w:r w:rsidRPr="006E7597">
        <w:t>Age of onset missing for 9 notifications in 2010, 7 notifications in 2011, 21 notifications in 2012, 38 notifica</w:t>
      </w:r>
      <w:r w:rsidRPr="006E7597">
        <w:softHyphen/>
        <w:t>tions in 2013, 54 notifications in 2014 and 50 notifications in 2015</w:t>
      </w:r>
    </w:p>
    <w:p w14:paraId="3695035D" w14:textId="77777777" w:rsidR="00BE61A2" w:rsidRPr="0039362D" w:rsidRDefault="00BE61A2" w:rsidP="00255B5E">
      <w:pPr>
        <w:pStyle w:val="Heading3"/>
      </w:pPr>
      <w:bookmarkStart w:id="190" w:name="_Toc1747344"/>
      <w:r w:rsidRPr="0039362D">
        <w:t>Immunisation</w:t>
      </w:r>
      <w:bookmarkEnd w:id="190"/>
    </w:p>
    <w:p w14:paraId="0DAED8FC" w14:textId="77777777" w:rsidR="00BE61A2" w:rsidRPr="00AE2F1B" w:rsidRDefault="00BE61A2" w:rsidP="00AE2F1B">
      <w:r w:rsidRPr="00AE2F1B">
        <w:t>Routine use of a varicella-containing vaccine in children was first recommended in Australia in 2003. In November 2005, the vaccine was funded under the NIP for all children at 18 months of age, with a school-based catch-up program included for children 10 to 13 years of age with no history of disease or previous immunisation.</w:t>
      </w:r>
    </w:p>
    <w:p w14:paraId="07C6F8FE" w14:textId="77777777" w:rsidR="00BE61A2" w:rsidRPr="00AE2F1B" w:rsidRDefault="00BE61A2" w:rsidP="00AE2F1B">
      <w:r w:rsidRPr="00AE2F1B">
        <w:t xml:space="preserve">In 2015, the oldest cohort of children eligible for varicella immunisation at 18 months of age were 11 years of age. Of those eligible for immunisation (n=1,649), 35% (577/1,649) were vaccinated and 17% (283/1,649) were unvaccinated. The remaining 48% (789/1,649) were of unknown immunisation status. </w:t>
      </w:r>
    </w:p>
    <w:p w14:paraId="774AD9A6" w14:textId="77777777" w:rsidR="00BE61A2" w:rsidRPr="004E056D" w:rsidRDefault="00BE61A2" w:rsidP="004E056D">
      <w:pPr>
        <w:pStyle w:val="Heading2"/>
      </w:pPr>
      <w:bookmarkStart w:id="191" w:name="_Toc1747345"/>
      <w:r w:rsidRPr="004E056D">
        <w:rPr>
          <w:bCs w:val="0"/>
          <w:sz w:val="27"/>
          <w:szCs w:val="27"/>
        </w:rPr>
        <w:t>Shingles</w:t>
      </w:r>
      <w:bookmarkEnd w:id="191"/>
    </w:p>
    <w:p w14:paraId="0D8CAA0C" w14:textId="77777777" w:rsidR="00BE61A2" w:rsidRPr="00BB4A96" w:rsidRDefault="00BE61A2" w:rsidP="00BB4A96">
      <w:pPr>
        <w:pStyle w:val="ListParagraph"/>
        <w:numPr>
          <w:ilvl w:val="0"/>
          <w:numId w:val="8"/>
        </w:numPr>
        <w:rPr>
          <w:rFonts w:eastAsia="Times New Roman"/>
        </w:rPr>
      </w:pPr>
      <w:r w:rsidRPr="00BB4A96">
        <w:rPr>
          <w:rFonts w:eastAsia="Times New Roman"/>
        </w:rPr>
        <w:t xml:space="preserve">There were 6,343 cases of shingles notified in 2015, a 15% increase compared with 2014. </w:t>
      </w:r>
    </w:p>
    <w:p w14:paraId="686441D5" w14:textId="77777777" w:rsidR="00BB4A96" w:rsidRPr="00BB4A96" w:rsidRDefault="00BE61A2" w:rsidP="00BB4A96">
      <w:pPr>
        <w:pStyle w:val="ListParagraph"/>
        <w:numPr>
          <w:ilvl w:val="0"/>
          <w:numId w:val="8"/>
        </w:numPr>
        <w:rPr>
          <w:rFonts w:eastAsia="Times New Roman"/>
        </w:rPr>
      </w:pPr>
      <w:r w:rsidRPr="00BB4A96">
        <w:rPr>
          <w:rFonts w:eastAsia="Times New Roman"/>
        </w:rPr>
        <w:t>Fifty-six per cent of notified shingles cases were female, and rates were h</w:t>
      </w:r>
      <w:r w:rsidR="00BB4A96" w:rsidRPr="00BB4A96">
        <w:rPr>
          <w:rFonts w:eastAsia="Times New Roman"/>
        </w:rPr>
        <w:t>ighest in the older age groups.</w:t>
      </w:r>
    </w:p>
    <w:p w14:paraId="693E8069" w14:textId="77777777" w:rsidR="00BE61A2" w:rsidRPr="00AE2F1B" w:rsidRDefault="00BE61A2" w:rsidP="00AE2F1B">
      <w:pPr>
        <w:rPr>
          <w:rFonts w:eastAsia="Times New Roman"/>
        </w:rPr>
      </w:pPr>
      <w:r w:rsidRPr="00AE2F1B">
        <w:rPr>
          <w:rFonts w:eastAsia="Times New Roman"/>
        </w:rPr>
        <w:t>Shingles occurs most commonly with increasing age, impaired immunity, and a history of chickenpox in the first year of life.</w:t>
      </w:r>
      <w:r w:rsidRPr="00AE2F1B">
        <w:rPr>
          <w:rFonts w:eastAsia="Times New Roman"/>
          <w:vertAlign w:val="superscript"/>
        </w:rPr>
        <w:t>29</w:t>
      </w:r>
      <w:r w:rsidRPr="00AE2F1B">
        <w:rPr>
          <w:rFonts w:eastAsia="Times New Roman"/>
        </w:rPr>
        <w:t xml:space="preserve"> Reactivation of VZV that causes shingles is thought to be due to a decline in cellular immunity to the virus. Shingles typically presents as a unilateral vesicular rash localised in a dermatomal distribution. Associated symptoms may include headache, photophobia, malaise, itching, tingling, or severe pain in the affected dermatome. In the majority of patients, shingles is an acute and self-limiting disease; however, complications develop in approximately 30% of cases, the most common of which is chronic severe neuropathic pain or post herpetic neuralgia.</w:t>
      </w:r>
      <w:r w:rsidRPr="00AE2F1B">
        <w:rPr>
          <w:rFonts w:eastAsia="Times New Roman"/>
          <w:vertAlign w:val="superscript"/>
        </w:rPr>
        <w:t>21</w:t>
      </w:r>
      <w:r w:rsidRPr="00AE2F1B">
        <w:rPr>
          <w:rFonts w:eastAsia="Times New Roman"/>
        </w:rPr>
        <w:t xml:space="preserve"> </w:t>
      </w:r>
    </w:p>
    <w:p w14:paraId="1DD13BE6" w14:textId="77777777" w:rsidR="00BE61A2" w:rsidRPr="00AE2F1B" w:rsidRDefault="00BE61A2" w:rsidP="00AE2F1B">
      <w:r w:rsidRPr="00AE2F1B">
        <w:lastRenderedPageBreak/>
        <w:t>A single dose of zoster vaccine is recommended for adults aged 60 years and over who have not previously received a dose of zoster vaccine. However, in 2015 this immunisation was not funded through the NIP.</w:t>
      </w:r>
      <w:r w:rsidRPr="00AE2F1B">
        <w:rPr>
          <w:vertAlign w:val="superscript"/>
        </w:rPr>
        <w:t>29</w:t>
      </w:r>
      <w:r w:rsidRPr="00AE2F1B">
        <w:t xml:space="preserve"> </w:t>
      </w:r>
    </w:p>
    <w:p w14:paraId="7EF3B4C7" w14:textId="77777777" w:rsidR="00BE61A2" w:rsidRPr="00AE2F1B" w:rsidRDefault="00BE61A2" w:rsidP="00924A50">
      <w:pPr>
        <w:pStyle w:val="Heading3"/>
      </w:pPr>
      <w:bookmarkStart w:id="192" w:name="_Toc1747346"/>
      <w:r w:rsidRPr="00924A50">
        <w:rPr>
          <w:bCs w:val="0"/>
        </w:rPr>
        <w:t>Epidemiological situation in 2015</w:t>
      </w:r>
      <w:bookmarkEnd w:id="192"/>
    </w:p>
    <w:p w14:paraId="666B2868" w14:textId="77777777" w:rsidR="00BE61A2" w:rsidRPr="00AE2F1B" w:rsidRDefault="00BE61A2" w:rsidP="00AE2F1B">
      <w:r w:rsidRPr="00AE2F1B">
        <w:t>In 2015, there were 6,343 cases of shingles reported, representing a notification rate of 40 per 100,000 and a 15% increase compared with 2014 (n=5,520). The highest rates of shingles occurred in the Northern Territory (148.9 per 100,000) and in South Australia (136.8 per 100,000) (Table 5). The high rates in these jurisdictions most likely r</w:t>
      </w:r>
      <w:r w:rsidR="005B4E09">
        <w:t>eflect their higher levels of c</w:t>
      </w:r>
      <w:r w:rsidRPr="00AE2F1B">
        <w:t xml:space="preserve">ase-ascertainment compared with other jurisdictions. </w:t>
      </w:r>
    </w:p>
    <w:p w14:paraId="37FA1033" w14:textId="77777777" w:rsidR="00BE61A2" w:rsidRPr="00AE2F1B" w:rsidRDefault="00BE61A2" w:rsidP="00924A50">
      <w:pPr>
        <w:pStyle w:val="Heading3"/>
      </w:pPr>
      <w:bookmarkStart w:id="193" w:name="_Toc1747347"/>
      <w:r w:rsidRPr="00924A50">
        <w:rPr>
          <w:bCs w:val="0"/>
        </w:rPr>
        <w:t>Age and sex distribution</w:t>
      </w:r>
      <w:bookmarkEnd w:id="193"/>
    </w:p>
    <w:p w14:paraId="0F4C3605" w14:textId="77777777" w:rsidR="00BE61A2" w:rsidRDefault="00BE61A2" w:rsidP="0010296C">
      <w:r w:rsidRPr="00AE2F1B">
        <w:t xml:space="preserve">In 2015, 56% (n=3,534) of notified shingles cases were female. As expected, the notification rate increased with age, with the highest rates occurring in those 80 years and over in 2015 (Figure 84). Since 2010, rates in the adult age groups (older than 20 years) have been rising, the largest increase occurring in the 70–79 years age group with a 250% increase in rates between 2010 and 2015 (Figure 85). Rates among children and adolescents have been more stable, remaining at or below 20 per 100,000 since 2010. </w:t>
      </w:r>
    </w:p>
    <w:p w14:paraId="79C107D9" w14:textId="77777777" w:rsidR="0061611C" w:rsidRDefault="0061611C" w:rsidP="0061611C">
      <w:pPr>
        <w:pStyle w:val="CDIFigures"/>
      </w:pPr>
      <w:r w:rsidRPr="0061611C">
        <w:t>Figure 84: Notification rate for shingles, Australia,</w:t>
      </w:r>
      <w:r w:rsidRPr="0061611C">
        <w:rPr>
          <w:rStyle w:val="A9"/>
          <w:rFonts w:asciiTheme="minorHAnsi" w:hAnsiTheme="minorHAnsi" w:cstheme="minorBidi"/>
          <w:b/>
          <w:bCs w:val="0"/>
          <w:color w:val="auto"/>
          <w:sz w:val="22"/>
          <w:szCs w:val="22"/>
          <w:vertAlign w:val="superscript"/>
        </w:rPr>
        <w:t>*</w:t>
      </w:r>
      <w:r w:rsidRPr="0061611C">
        <w:rPr>
          <w:rStyle w:val="A9"/>
          <w:rFonts w:asciiTheme="minorHAnsi" w:hAnsiTheme="minorHAnsi" w:cstheme="minorBidi"/>
          <w:b/>
          <w:bCs w:val="0"/>
          <w:color w:val="auto"/>
          <w:sz w:val="22"/>
          <w:szCs w:val="22"/>
        </w:rPr>
        <w:t xml:space="preserve"> </w:t>
      </w:r>
      <w:r w:rsidRPr="0061611C">
        <w:t>2015, by age group</w:t>
      </w:r>
      <w:r w:rsidRPr="0061611C">
        <w:rPr>
          <w:rStyle w:val="A9"/>
          <w:rFonts w:asciiTheme="minorHAnsi" w:hAnsiTheme="minorHAnsi" w:cstheme="minorBidi"/>
          <w:b/>
          <w:bCs w:val="0"/>
          <w:color w:val="auto"/>
          <w:sz w:val="22"/>
          <w:szCs w:val="22"/>
        </w:rPr>
        <w:t xml:space="preserve"> </w:t>
      </w:r>
      <w:r w:rsidRPr="0061611C">
        <w:t>and sex</w:t>
      </w:r>
      <w:r w:rsidR="00A53DA1" w:rsidRPr="00A53DA1">
        <w:rPr>
          <w:rStyle w:val="A9"/>
          <w:rFonts w:asciiTheme="minorHAnsi" w:hAnsiTheme="minorHAnsi" w:cstheme="minorBidi"/>
          <w:b/>
          <w:bCs w:val="0"/>
          <w:color w:val="auto"/>
          <w:sz w:val="22"/>
          <w:szCs w:val="22"/>
          <w:vertAlign w:val="superscript"/>
        </w:rPr>
        <w:t>#</w:t>
      </w:r>
    </w:p>
    <w:p w14:paraId="7D570C36" w14:textId="77777777" w:rsidR="00324F65" w:rsidRDefault="0021477A" w:rsidP="0061611C">
      <w:pPr>
        <w:pStyle w:val="CDIFigures"/>
      </w:pPr>
      <w:r>
        <w:pict w14:anchorId="43FF7229">
          <v:shape id="_x0000_i1105" type="#_x0000_t75" alt="This figure shows the rates for shingles in Australia in 2015, by age group and sex. This figure shows higher numbers of female cases compared with male cases, and rates of infection increase with age. The highest rates for females are for those more than 80 years of age and for males those aged 70-74 years." style="width:522.6pt;height:351.6pt">
            <v:imagedata r:id="rId103" o:title="5-VPD chapter Figures_50 to 85 for CDI _Page_36"/>
          </v:shape>
        </w:pict>
      </w:r>
    </w:p>
    <w:p w14:paraId="0F7C618A" w14:textId="77777777" w:rsidR="00041F6B" w:rsidRPr="00041F6B" w:rsidRDefault="00041F6B" w:rsidP="00041F6B">
      <w:pPr>
        <w:pStyle w:val="CDIfootnotes"/>
      </w:pPr>
      <w:r w:rsidRPr="00041F6B">
        <w:t>*</w:t>
      </w:r>
      <w:r>
        <w:tab/>
      </w:r>
      <w:r w:rsidRPr="00041F6B">
        <w:t>Excludes New South Wales</w:t>
      </w:r>
    </w:p>
    <w:p w14:paraId="31B6B098" w14:textId="77777777" w:rsidR="00815671" w:rsidRDefault="00041F6B" w:rsidP="00041F6B">
      <w:pPr>
        <w:pStyle w:val="CDIfootnotes"/>
      </w:pPr>
      <w:r w:rsidRPr="00041F6B">
        <w:t>#</w:t>
      </w:r>
      <w:r>
        <w:tab/>
      </w:r>
      <w:r w:rsidRPr="00041F6B">
        <w:t>Age of onset missing for 45 notifications and sex mi</w:t>
      </w:r>
      <w:r>
        <w:t>ssing for 5 notifications.</w:t>
      </w:r>
      <w:r w:rsidR="00815671">
        <w:br w:type="page"/>
      </w:r>
    </w:p>
    <w:p w14:paraId="48A1794E" w14:textId="77777777" w:rsidR="00A270E8" w:rsidRDefault="00A270E8" w:rsidP="00A270E8">
      <w:pPr>
        <w:pStyle w:val="CDIFigures"/>
        <w:rPr>
          <w:rStyle w:val="A9"/>
          <w:rFonts w:asciiTheme="minorHAnsi" w:hAnsiTheme="minorHAnsi" w:cstheme="minorBidi"/>
          <w:b/>
          <w:bCs w:val="0"/>
          <w:color w:val="auto"/>
          <w:sz w:val="22"/>
          <w:szCs w:val="22"/>
          <w:vertAlign w:val="superscript"/>
        </w:rPr>
      </w:pPr>
      <w:r w:rsidRPr="00A270E8">
        <w:lastRenderedPageBreak/>
        <w:t>Figure 85: Notification rate for shingles, Australia,</w:t>
      </w:r>
      <w:r w:rsidRPr="00A270E8">
        <w:rPr>
          <w:rStyle w:val="A9"/>
          <w:rFonts w:asciiTheme="minorHAnsi" w:hAnsiTheme="minorHAnsi" w:cstheme="minorBidi"/>
          <w:b/>
          <w:bCs w:val="0"/>
          <w:color w:val="auto"/>
          <w:sz w:val="22"/>
          <w:szCs w:val="22"/>
          <w:vertAlign w:val="superscript"/>
        </w:rPr>
        <w:t>*</w:t>
      </w:r>
      <w:r w:rsidRPr="00A270E8">
        <w:rPr>
          <w:rStyle w:val="A9"/>
          <w:rFonts w:asciiTheme="minorHAnsi" w:hAnsiTheme="minorHAnsi" w:cstheme="minorBidi"/>
          <w:b/>
          <w:bCs w:val="0"/>
          <w:color w:val="auto"/>
          <w:sz w:val="22"/>
          <w:szCs w:val="22"/>
        </w:rPr>
        <w:t xml:space="preserve"> </w:t>
      </w:r>
      <w:r w:rsidRPr="00A270E8">
        <w:t>2010 to 2015, by year and selected age groups</w:t>
      </w:r>
      <w:r w:rsidRPr="00A270E8">
        <w:rPr>
          <w:rStyle w:val="A9"/>
          <w:rFonts w:asciiTheme="minorHAnsi" w:hAnsiTheme="minorHAnsi" w:cstheme="minorBidi"/>
          <w:b/>
          <w:bCs w:val="0"/>
          <w:color w:val="auto"/>
          <w:sz w:val="22"/>
          <w:szCs w:val="22"/>
          <w:vertAlign w:val="superscript"/>
        </w:rPr>
        <w:t>#</w:t>
      </w:r>
    </w:p>
    <w:p w14:paraId="75B7871D" w14:textId="77777777" w:rsidR="00815671" w:rsidRPr="00815671" w:rsidRDefault="0021477A" w:rsidP="00A270E8">
      <w:pPr>
        <w:pStyle w:val="CDIFigures"/>
        <w:rPr>
          <w:rStyle w:val="A9"/>
          <w:rFonts w:asciiTheme="minorHAnsi" w:hAnsiTheme="minorHAnsi" w:cstheme="minorBidi"/>
          <w:b/>
          <w:bCs w:val="0"/>
          <w:color w:val="auto"/>
          <w:sz w:val="22"/>
          <w:szCs w:val="22"/>
        </w:rPr>
      </w:pPr>
      <w:r>
        <w:rPr>
          <w:rStyle w:val="A9"/>
          <w:rFonts w:asciiTheme="minorHAnsi" w:hAnsiTheme="minorHAnsi" w:cstheme="minorBidi"/>
          <w:b/>
          <w:bCs w:val="0"/>
          <w:color w:val="auto"/>
          <w:sz w:val="22"/>
          <w:szCs w:val="22"/>
        </w:rPr>
        <w:pict w14:anchorId="39CB6F8D">
          <v:shape id="_x0000_i1106" type="#_x0000_t75" alt="This figure shows the rates for shingles in Australia from 2010 to 2015, by age group. The figure demonstrates the highest age specific rates for shingles over the reporting period occurred in those 60 years and over. Since 2010, rates in the all age groups above 60 years have gradually increased with the highest rates occurring in 2015. Rates in those under the age of 60 years have remained more stable and below 36 per 100,000 population for the reporting period." style="width:522.6pt;height:334.8pt">
            <v:imagedata r:id="rId104" o:title="5-VPD chapter Figures_50 to 85 for CDI _Page_36"/>
          </v:shape>
        </w:pict>
      </w:r>
    </w:p>
    <w:p w14:paraId="1CC76550" w14:textId="77777777" w:rsidR="00885DBD" w:rsidRDefault="00885DBD" w:rsidP="00885DBD">
      <w:pPr>
        <w:pStyle w:val="CDIfootnotes"/>
        <w:ind w:left="720" w:hanging="720"/>
      </w:pPr>
      <w:r>
        <w:t>*</w:t>
      </w:r>
      <w:r>
        <w:tab/>
        <w:t>Excludes New South Wales.</w:t>
      </w:r>
    </w:p>
    <w:p w14:paraId="2886789E" w14:textId="77777777" w:rsidR="00AE5D7B" w:rsidRPr="00AE5D7B" w:rsidRDefault="00AE5D7B" w:rsidP="00885DBD">
      <w:pPr>
        <w:pStyle w:val="CDIfootnotes"/>
        <w:ind w:left="720" w:hanging="720"/>
      </w:pPr>
      <w:r w:rsidRPr="00AE5D7B">
        <w:t>#</w:t>
      </w:r>
      <w:r>
        <w:tab/>
      </w:r>
      <w:r w:rsidRPr="00AE5D7B">
        <w:t>Age of onset missing for 13 notifications in 2010, 14 notifications in 2011, 23 notifications in 2012, 57 notifications in 2013, 57 notifica</w:t>
      </w:r>
      <w:r w:rsidRPr="00AE5D7B">
        <w:softHyphen/>
        <w:t>tions in 2014 and 45 notifications in 2015.</w:t>
      </w:r>
    </w:p>
    <w:p w14:paraId="49CE14F9" w14:textId="77777777" w:rsidR="00BE61A2" w:rsidRPr="00095AA3" w:rsidRDefault="00BE61A2" w:rsidP="00095AA3">
      <w:pPr>
        <w:pStyle w:val="Heading1"/>
      </w:pPr>
      <w:bookmarkStart w:id="194" w:name="_Toc1747348"/>
      <w:r w:rsidRPr="00095AA3">
        <w:rPr>
          <w:rStyle w:val="Heading1Char"/>
          <w:b/>
        </w:rPr>
        <w:t>Vectorborne diseases</w:t>
      </w:r>
      <w:bookmarkEnd w:id="194"/>
    </w:p>
    <w:p w14:paraId="02076A8E" w14:textId="77777777" w:rsidR="00BE61A2" w:rsidRPr="00AE2F1B" w:rsidRDefault="00BE61A2" w:rsidP="00AE2F1B">
      <w:r w:rsidRPr="00AE2F1B">
        <w:t xml:space="preserve">Vectorborne diseases are infections transmitted by arthropods such as mosquitoes and ticks. A </w:t>
      </w:r>
      <w:proofErr w:type="spellStart"/>
      <w:r w:rsidRPr="00AE2F1B">
        <w:t>vectorborne</w:t>
      </w:r>
      <w:proofErr w:type="spellEnd"/>
      <w:r w:rsidRPr="00AE2F1B">
        <w:t xml:space="preserve"> disease may involve a simple transfer via the arthropod, </w:t>
      </w:r>
      <w:proofErr w:type="gramStart"/>
      <w:r w:rsidRPr="00AE2F1B">
        <w:t>or,</w:t>
      </w:r>
      <w:proofErr w:type="gramEnd"/>
      <w:r w:rsidRPr="00AE2F1B">
        <w:t xml:space="preserve"> may involve replication of the disease-causing organism in the vector.</w:t>
      </w:r>
      <w:r w:rsidRPr="00AE2F1B">
        <w:rPr>
          <w:vertAlign w:val="superscript"/>
        </w:rPr>
        <w:t>21</w:t>
      </w:r>
      <w:r w:rsidRPr="00AE2F1B">
        <w:t xml:space="preserve"> Vectorborne diseases of public health importance in Australia listed in this chapter are in the genera </w:t>
      </w:r>
      <w:r w:rsidRPr="00DF12AB">
        <w:rPr>
          <w:rStyle w:val="Emphasis"/>
          <w:b w:val="0"/>
        </w:rPr>
        <w:t>Alphavirus</w:t>
      </w:r>
      <w:r w:rsidRPr="00AE2F1B">
        <w:t xml:space="preserve"> and </w:t>
      </w:r>
      <w:r w:rsidRPr="00DF12AB">
        <w:rPr>
          <w:rStyle w:val="Emphasis"/>
          <w:b w:val="0"/>
        </w:rPr>
        <w:t>Flavivirus</w:t>
      </w:r>
      <w:r w:rsidRPr="00AE2F1B">
        <w:t xml:space="preserve"> . Viruses in the genus </w:t>
      </w:r>
      <w:r w:rsidRPr="00DF12AB">
        <w:rPr>
          <w:rStyle w:val="Emphasis"/>
          <w:b w:val="0"/>
        </w:rPr>
        <w:t>Alphavirus</w:t>
      </w:r>
      <w:r w:rsidRPr="00AE2F1B">
        <w:t xml:space="preserve"> that are notifiable in Australia are Barmah Forest virus (BFV), Ross River virus (RRV) and Chikungunya virus (CHIKV). </w:t>
      </w:r>
    </w:p>
    <w:p w14:paraId="718F71BF" w14:textId="77777777" w:rsidR="00BE61A2" w:rsidRPr="00AE2F1B" w:rsidRDefault="00BE61A2" w:rsidP="00AE2F1B">
      <w:r w:rsidRPr="00AE2F1B">
        <w:t xml:space="preserve">Viruses in the genus </w:t>
      </w:r>
      <w:r w:rsidRPr="00DF12AB">
        <w:rPr>
          <w:rStyle w:val="Emphasis"/>
          <w:b w:val="0"/>
        </w:rPr>
        <w:t>Flavivirus</w:t>
      </w:r>
      <w:r w:rsidRPr="00AE2F1B">
        <w:t xml:space="preserve"> that are included in the </w:t>
      </w:r>
      <w:proofErr w:type="spellStart"/>
      <w:r w:rsidRPr="00AE2F1B">
        <w:t>vectorborne</w:t>
      </w:r>
      <w:proofErr w:type="spellEnd"/>
      <w:r w:rsidRPr="00AE2F1B">
        <w:t xml:space="preserve"> diseases category are dengue virus (DENV) infection; Japanese encephalitis virus (JEV) infection; infections with the </w:t>
      </w:r>
      <w:proofErr w:type="spellStart"/>
      <w:r w:rsidRPr="00AE2F1B">
        <w:t>Kunjin</w:t>
      </w:r>
      <w:proofErr w:type="spellEnd"/>
      <w:r w:rsidRPr="00AE2F1B">
        <w:t xml:space="preserve"> lineage of West Nile virus (KUNV), which is probably limited to the Australian mainland or possibly Papua New Guinea, and other lineages of West Nile virus (WNV); malaria; Murray Valley encephalitis virus (MVEV) infection; and </w:t>
      </w:r>
      <w:r w:rsidRPr="00DF12AB">
        <w:rPr>
          <w:rStyle w:val="Emphasis"/>
          <w:b w:val="0"/>
        </w:rPr>
        <w:t>Flavivirus</w:t>
      </w:r>
      <w:r w:rsidRPr="00AE2F1B">
        <w:t xml:space="preserve"> unspecified, which includes Zika virus infection (ZIKV).</w:t>
      </w:r>
    </w:p>
    <w:p w14:paraId="270B9404" w14:textId="77777777" w:rsidR="00BE61A2" w:rsidRPr="00AE2F1B" w:rsidRDefault="00BE61A2" w:rsidP="00AE2F1B">
      <w:r w:rsidRPr="00AE2F1B">
        <w:t xml:space="preserve">Some other </w:t>
      </w:r>
      <w:proofErr w:type="spellStart"/>
      <w:r w:rsidRPr="00AE2F1B">
        <w:t>vectorborne</w:t>
      </w:r>
      <w:proofErr w:type="spellEnd"/>
      <w:r w:rsidRPr="00AE2F1B">
        <w:t xml:space="preserve"> diseases, including yellow fever virus infection, </w:t>
      </w:r>
      <w:proofErr w:type="gramStart"/>
      <w:r w:rsidRPr="00AE2F1B">
        <w:t>plague</w:t>
      </w:r>
      <w:proofErr w:type="gramEnd"/>
      <w:r w:rsidRPr="00AE2F1B">
        <w:t xml:space="preserve"> and certain viral haemorrhagic fevers, are listed under quarantinable diseases. The National Arbovirus and Malaria Advisory Committee (NAMAC) </w:t>
      </w:r>
      <w:r w:rsidRPr="00AE2F1B">
        <w:lastRenderedPageBreak/>
        <w:t xml:space="preserve">provides expert technical advice on </w:t>
      </w:r>
      <w:proofErr w:type="spellStart"/>
      <w:r w:rsidRPr="00AE2F1B">
        <w:t>vectorborne</w:t>
      </w:r>
      <w:proofErr w:type="spellEnd"/>
      <w:r w:rsidRPr="00AE2F1B">
        <w:t xml:space="preserve"> diseases to the Australian Health Principal Protection Committee through CDNA.</w:t>
      </w:r>
    </w:p>
    <w:p w14:paraId="023A2FF4" w14:textId="77777777" w:rsidR="00BE61A2" w:rsidRPr="004E056D" w:rsidRDefault="00BE61A2" w:rsidP="004E056D">
      <w:pPr>
        <w:pStyle w:val="Heading2"/>
      </w:pPr>
      <w:bookmarkStart w:id="195" w:name="_Toc1747349"/>
      <w:r w:rsidRPr="004E056D">
        <w:rPr>
          <w:bCs w:val="0"/>
          <w:sz w:val="27"/>
          <w:szCs w:val="27"/>
        </w:rPr>
        <w:t>Barmah Forest virus</w:t>
      </w:r>
      <w:bookmarkEnd w:id="195"/>
    </w:p>
    <w:p w14:paraId="0D4E5698" w14:textId="77777777" w:rsidR="00BE61A2" w:rsidRPr="001052E4" w:rsidRDefault="00BE61A2" w:rsidP="001052E4">
      <w:pPr>
        <w:pStyle w:val="ListParagraph"/>
        <w:numPr>
          <w:ilvl w:val="0"/>
          <w:numId w:val="11"/>
        </w:numPr>
        <w:rPr>
          <w:rFonts w:eastAsia="Times New Roman"/>
        </w:rPr>
      </w:pPr>
      <w:r w:rsidRPr="001052E4">
        <w:rPr>
          <w:rFonts w:eastAsia="Times New Roman"/>
        </w:rPr>
        <w:t xml:space="preserve">The low number of notifications and rates observed in 2014 continued in 2015. </w:t>
      </w:r>
    </w:p>
    <w:p w14:paraId="115CCC7B" w14:textId="77777777" w:rsidR="00BE61A2" w:rsidRPr="001052E4" w:rsidRDefault="00BE61A2" w:rsidP="001052E4">
      <w:pPr>
        <w:pStyle w:val="ListParagraph"/>
        <w:numPr>
          <w:ilvl w:val="0"/>
          <w:numId w:val="11"/>
        </w:numPr>
        <w:rPr>
          <w:rFonts w:eastAsia="Times New Roman"/>
        </w:rPr>
      </w:pPr>
      <w:r w:rsidRPr="001052E4">
        <w:rPr>
          <w:rFonts w:eastAsia="Times New Roman"/>
        </w:rPr>
        <w:t xml:space="preserve">BFV is most commonly reported in middle-aged to older age groups. </w:t>
      </w:r>
    </w:p>
    <w:p w14:paraId="301D4B30" w14:textId="77777777" w:rsidR="00BE61A2" w:rsidRPr="001052E4" w:rsidRDefault="00BE61A2" w:rsidP="001052E4">
      <w:pPr>
        <w:pStyle w:val="ListParagraph"/>
        <w:numPr>
          <w:ilvl w:val="0"/>
          <w:numId w:val="11"/>
        </w:numPr>
        <w:rPr>
          <w:rFonts w:eastAsia="Times New Roman"/>
        </w:rPr>
      </w:pPr>
      <w:r w:rsidRPr="001052E4">
        <w:rPr>
          <w:rFonts w:eastAsia="Times New Roman"/>
        </w:rPr>
        <w:t xml:space="preserve">Notifications peaked between January and April of 2015. </w:t>
      </w:r>
    </w:p>
    <w:p w14:paraId="6EDA4A16" w14:textId="77777777" w:rsidR="00BE61A2" w:rsidRDefault="00BE61A2" w:rsidP="00AE2F1B">
      <w:r w:rsidRPr="00AE2F1B">
        <w:t>BFV occurs exclusively in the Australasian region.</w:t>
      </w:r>
      <w:r w:rsidRPr="00AE2F1B">
        <w:rPr>
          <w:vertAlign w:val="superscript"/>
        </w:rPr>
        <w:t>115</w:t>
      </w:r>
      <w:r w:rsidRPr="00AE2F1B">
        <w:t xml:space="preserve"> Infection can cause a clinical illness, which is characterised by fever, </w:t>
      </w:r>
      <w:proofErr w:type="gramStart"/>
      <w:r w:rsidRPr="00AE2F1B">
        <w:t>rash</w:t>
      </w:r>
      <w:proofErr w:type="gramEnd"/>
      <w:r w:rsidRPr="00AE2F1B">
        <w:t xml:space="preserve"> and poly arthritis. The virus is transmitted by numerous species of mosquitos that breed in diverse environments.</w:t>
      </w:r>
      <w:r w:rsidRPr="00AE2F1B">
        <w:rPr>
          <w:vertAlign w:val="superscript"/>
        </w:rPr>
        <w:t>116</w:t>
      </w:r>
      <w:r w:rsidRPr="00AE2F1B">
        <w:t xml:space="preserve"> False positive IgM diagnoses for BFV in particular are a known issue; </w:t>
      </w:r>
      <w:proofErr w:type="gramStart"/>
      <w:r w:rsidRPr="00AE2F1B">
        <w:t>thus</w:t>
      </w:r>
      <w:proofErr w:type="gramEnd"/>
      <w:r w:rsidRPr="00AE2F1B">
        <w:t xml:space="preserve"> it is unclear what proportion of notifications represent true cases. In 2015, the national case definition for BFV required only a single IgM positive test to BFV, in the absence of IgM to RRV.</w:t>
      </w:r>
      <w:r w:rsidRPr="00AE2F1B">
        <w:rPr>
          <w:vertAlign w:val="superscript"/>
        </w:rPr>
        <w:t>117</w:t>
      </w:r>
      <w:r w:rsidRPr="00AE2F1B">
        <w:t xml:space="preserve"> A revised case definition was implemented on 1 January 2016, in which a single IgM is no longer considered sufficient</w:t>
      </w:r>
      <w:r w:rsidR="00373BA8">
        <w:t xml:space="preserve"> evidence for a confirmed case.</w:t>
      </w:r>
    </w:p>
    <w:p w14:paraId="475927CA" w14:textId="77777777" w:rsidR="00B6374B" w:rsidRDefault="00B6374B" w:rsidP="00373BA8">
      <w:pPr>
        <w:pStyle w:val="CDIFigures"/>
      </w:pPr>
      <w:r w:rsidRPr="006503A1">
        <w:t>Figure 86: Notifications of Barmah Forest virus infection, Australia, 2010 to 2015, by month and year and state</w:t>
      </w:r>
      <w:r w:rsidR="007658A9">
        <w:t> </w:t>
      </w:r>
      <w:r w:rsidRPr="006503A1">
        <w:t>or</w:t>
      </w:r>
      <w:r w:rsidR="006F08F7">
        <w:t> </w:t>
      </w:r>
      <w:r w:rsidRPr="006503A1">
        <w:t>territory</w:t>
      </w:r>
    </w:p>
    <w:p w14:paraId="425840EE" w14:textId="77777777" w:rsidR="00B6374B" w:rsidRDefault="0021477A" w:rsidP="00373BA8">
      <w:pPr>
        <w:pStyle w:val="CDIFigures"/>
      </w:pPr>
      <w:r>
        <w:pict w14:anchorId="4C835A33">
          <v:shape id="_x0000_i1107" type="#_x0000_t75" alt="This figure shows notified cases of Barmah Forest virus infection in Australia between 2010 and 2015, by month and year and state or territory. The figure shows an outbreak particularly affecting Victoria in late 2010 and early 2011. The figure also shows that in October 2012, notifications began to increase. This marked the start of an outbreak of likely false positive notifications that continued into late 2013.  In 2014 and 2015 notified cases of Barmah Forest virus infections declined and have remained low." style="width:522.6pt;height:351.6pt;mso-position-vertical:absolute">
            <v:imagedata r:id="rId105" o:title="6-Vectorborne chapter figures _86 to 100_Page_01"/>
          </v:shape>
        </w:pict>
      </w:r>
    </w:p>
    <w:p w14:paraId="4EBFCE6A" w14:textId="77777777" w:rsidR="00B6374B" w:rsidRDefault="00B6374B">
      <w:pPr>
        <w:rPr>
          <w:b/>
        </w:rPr>
      </w:pPr>
      <w:r>
        <w:br w:type="page"/>
      </w:r>
    </w:p>
    <w:p w14:paraId="2F5E9E30" w14:textId="77777777" w:rsidR="00373BA8" w:rsidRDefault="00373BA8" w:rsidP="00373BA8">
      <w:pPr>
        <w:pStyle w:val="CDIFigures"/>
      </w:pPr>
      <w:r w:rsidRPr="00373BA8">
        <w:lastRenderedPageBreak/>
        <w:t>Figure 87: Rates of Barmah Forest virus infection, Australia, 2010 to 2015, by state or territory and year</w:t>
      </w:r>
    </w:p>
    <w:p w14:paraId="5BE75D92" w14:textId="77777777" w:rsidR="00B6374B" w:rsidRDefault="0021477A" w:rsidP="00373BA8">
      <w:pPr>
        <w:pStyle w:val="CDIFigures"/>
      </w:pPr>
      <w:r>
        <w:pict w14:anchorId="66283888">
          <v:shape id="_x0000_i1108" type="#_x0000_t75" alt="This figure shows notification rates of Barmah Forest virus infection in Australia between 2010 and 2015, by year and state or territory. For the reporting period rates were highest in the Northern Territory followed by Queensland and Western Australia. Rates in all states and territories remained at or below 40 per 100,000 population between 2010 to 2012. Compared with 2012, rates in 2013 increased considerably in the Northern Territory (from 36.9 to 167 per 100,000 population), Queensland (from 21.5 to 47.8 per 100,000 population) and Western Australia (8.8 to 40.4 per 100,000 population). This rise is likely due to an rise in the number of false positive notifications that began in 2012 and continued into late 2013. In 2014 and 2015, rates of Barmah Forest virus infection were below 15 per 100,000 population across all states and territories." style="width:522.6pt;height:309.6pt">
            <v:imagedata r:id="rId106" o:title="6-Vectorborne chapter figures _86 to 100_Page_02"/>
          </v:shape>
        </w:pict>
      </w:r>
    </w:p>
    <w:p w14:paraId="55FD847A" w14:textId="77777777" w:rsidR="00373BA8" w:rsidRDefault="00373BA8" w:rsidP="00373BA8">
      <w:pPr>
        <w:pStyle w:val="CDIFigures"/>
      </w:pPr>
      <w:r w:rsidRPr="00373BA8">
        <w:t>Figure 88: Notification rates for Barmah Forest virus, 2015, by age group and sex</w:t>
      </w:r>
    </w:p>
    <w:p w14:paraId="79D01F5F" w14:textId="77777777" w:rsidR="00B6374B" w:rsidRPr="00373BA8" w:rsidRDefault="0021477A" w:rsidP="00373BA8">
      <w:pPr>
        <w:pStyle w:val="CDIFigures"/>
      </w:pPr>
      <w:r>
        <w:pict w14:anchorId="300DA9BA">
          <v:shape id="_x0000_i1109" type="#_x0000_t75" alt="This figure shows the age and sex specific notification rates for Barmah Forest virus infection in 2015. The figure demonstrates a peak of infection in middle aged males and females." style="width:522.6pt;height:330.6pt">
            <v:imagedata r:id="rId107" o:title="6-Vectorborne chapter figures _86 to 100_Page_03"/>
          </v:shape>
        </w:pict>
      </w:r>
    </w:p>
    <w:p w14:paraId="405084A9" w14:textId="77777777" w:rsidR="00373BA8" w:rsidRPr="00AE2F1B" w:rsidRDefault="00373BA8" w:rsidP="00AE2F1B"/>
    <w:p w14:paraId="6BFE18B0" w14:textId="77777777" w:rsidR="00BE61A2" w:rsidRPr="00AE2F1B" w:rsidRDefault="00BE61A2" w:rsidP="00924A50">
      <w:pPr>
        <w:pStyle w:val="Heading3"/>
      </w:pPr>
      <w:bookmarkStart w:id="196" w:name="_Toc1747350"/>
      <w:r w:rsidRPr="00924A50">
        <w:rPr>
          <w:bCs w:val="0"/>
        </w:rPr>
        <w:t>Epidemiological situation in 2015</w:t>
      </w:r>
      <w:bookmarkEnd w:id="196"/>
    </w:p>
    <w:p w14:paraId="0E061B37" w14:textId="77777777" w:rsidR="00BE61A2" w:rsidRDefault="00BE61A2" w:rsidP="00AE2F1B">
      <w:r w:rsidRPr="00AE2F1B">
        <w:t>In 2015, there were 628 notifications of BFV, representing a rate of 2.6 per 100,000. This is much lower than the 5-year mean of 2,008.6 notifications and a 5-year mean rate of 8.8 per 100,000, but similar to 2014 (3.2 per 100,000; n=742) (Figure 86). A marked increase in notifications in 2013 was considered likely to have been due to a high rate of false positive IgM test results produced by a commercial test kit in private laboratories, which resulted in a recall of the affected kits in September 2013.</w:t>
      </w:r>
      <w:r w:rsidRPr="00AE2F1B">
        <w:rPr>
          <w:vertAlign w:val="superscript"/>
        </w:rPr>
        <w:t>112</w:t>
      </w:r>
      <w:r w:rsidRPr="00AE2F1B">
        <w:t xml:space="preserve"> </w:t>
      </w:r>
    </w:p>
    <w:p w14:paraId="1B4EC973" w14:textId="77777777" w:rsidR="00BE61A2" w:rsidRPr="00AE2F1B" w:rsidRDefault="00BE61A2" w:rsidP="00924A50">
      <w:pPr>
        <w:pStyle w:val="Heading3"/>
      </w:pPr>
      <w:bookmarkStart w:id="197" w:name="_Toc1747351"/>
      <w:r w:rsidRPr="00924A50">
        <w:rPr>
          <w:bCs w:val="0"/>
        </w:rPr>
        <w:t>Geographical distribution</w:t>
      </w:r>
      <w:bookmarkEnd w:id="197"/>
    </w:p>
    <w:p w14:paraId="38930AA8" w14:textId="77777777" w:rsidR="00BE61A2" w:rsidRPr="00AE2F1B" w:rsidRDefault="00BE61A2" w:rsidP="00AE2F1B">
      <w:r w:rsidRPr="00AE2F1B">
        <w:t>The largest number of notifications was in Queensland (n=360), but the highest rate was in the Northern Territory (10.6 per 100,000) (Table 5</w:t>
      </w:r>
      <w:r w:rsidR="001052E4" w:rsidRPr="00AE2F1B">
        <w:t xml:space="preserve">). </w:t>
      </w:r>
      <w:r w:rsidRPr="00AE2F1B">
        <w:t xml:space="preserve">It is important to note that seasonal trends vary between and within states and territories according to differences in mosquito vectors, </w:t>
      </w:r>
      <w:proofErr w:type="gramStart"/>
      <w:r w:rsidRPr="00AE2F1B">
        <w:t>hosts</w:t>
      </w:r>
      <w:proofErr w:type="gramEnd"/>
      <w:r w:rsidRPr="00AE2F1B">
        <w:t xml:space="preserve"> and climate. In addition, comparisons between regions are likely to be influenced by accuracy of case-ascertainment, which may vary between jurisdictions because of some differences in reporting criteria and the quality of diagnostic tests used.</w:t>
      </w:r>
    </w:p>
    <w:p w14:paraId="7C0CAC9D" w14:textId="77777777" w:rsidR="00BE61A2" w:rsidRPr="00AE2F1B" w:rsidRDefault="00BE61A2" w:rsidP="00924A50">
      <w:pPr>
        <w:pStyle w:val="Heading3"/>
      </w:pPr>
      <w:bookmarkStart w:id="198" w:name="_Toc1747352"/>
      <w:r w:rsidRPr="00924A50">
        <w:rPr>
          <w:bCs w:val="0"/>
        </w:rPr>
        <w:t>Age and sex distribution</w:t>
      </w:r>
      <w:bookmarkEnd w:id="198"/>
    </w:p>
    <w:p w14:paraId="0D46FE38" w14:textId="77777777" w:rsidR="00BE61A2" w:rsidRPr="00AE2F1B" w:rsidRDefault="00BE61A2" w:rsidP="00AE2F1B">
      <w:r w:rsidRPr="00AE2F1B">
        <w:t>BFV is most commonly reported in middle-aged and older adults. The median age of notifications in 2015 was 50 years (range: 7 to 96 years), and 49% of cases were male. Notification rates of BFV peaked in females aged 50–54 years (6.1 per 100,000) and males aged 60–64 years (5.1 per 100,000) (Figure 88).</w:t>
      </w:r>
    </w:p>
    <w:p w14:paraId="7793757E" w14:textId="77777777" w:rsidR="00BE61A2" w:rsidRPr="00AE2F1B" w:rsidRDefault="00BE61A2" w:rsidP="00924A50">
      <w:pPr>
        <w:pStyle w:val="Heading3"/>
      </w:pPr>
      <w:bookmarkStart w:id="199" w:name="_Toc1747353"/>
      <w:r w:rsidRPr="00924A50">
        <w:rPr>
          <w:bCs w:val="0"/>
        </w:rPr>
        <w:t>Seasonality</w:t>
      </w:r>
      <w:bookmarkEnd w:id="199"/>
    </w:p>
    <w:p w14:paraId="6F0F6A17" w14:textId="77777777" w:rsidR="00BE61A2" w:rsidRPr="00AE2F1B" w:rsidRDefault="00BE61A2" w:rsidP="00AE2F1B">
      <w:r w:rsidRPr="00AE2F1B">
        <w:t xml:space="preserve">In 2015, BFV was most commonly reported between January and May, with 68% (425/628) of cases notified during these months. This is a more pronounced seasonality than that observed between 2010 and 2014, when 57% of cases were reported during these months. </w:t>
      </w:r>
    </w:p>
    <w:p w14:paraId="3D65F65B" w14:textId="77777777" w:rsidR="00BE61A2" w:rsidRPr="004E056D" w:rsidRDefault="00BE61A2" w:rsidP="004E056D">
      <w:pPr>
        <w:pStyle w:val="Heading2"/>
      </w:pPr>
      <w:bookmarkStart w:id="200" w:name="_Toc1747354"/>
      <w:r w:rsidRPr="004E056D">
        <w:rPr>
          <w:bCs w:val="0"/>
          <w:sz w:val="27"/>
          <w:szCs w:val="27"/>
        </w:rPr>
        <w:t>Chikungunya virus</w:t>
      </w:r>
      <w:bookmarkEnd w:id="200"/>
    </w:p>
    <w:p w14:paraId="0BA8E098" w14:textId="77777777" w:rsidR="00BE61A2" w:rsidRPr="001052E4" w:rsidRDefault="00BE61A2" w:rsidP="001052E4">
      <w:pPr>
        <w:pStyle w:val="ListParagraph"/>
        <w:numPr>
          <w:ilvl w:val="0"/>
          <w:numId w:val="11"/>
        </w:numPr>
        <w:rPr>
          <w:rFonts w:eastAsia="Times New Roman"/>
        </w:rPr>
      </w:pPr>
      <w:r w:rsidRPr="001052E4">
        <w:rPr>
          <w:rFonts w:eastAsia="Times New Roman"/>
        </w:rPr>
        <w:t xml:space="preserve">Notifications of CHIKV in 2015 are lower than the 5-year mean but similar to 2013 and 2014. </w:t>
      </w:r>
    </w:p>
    <w:p w14:paraId="68BCF165" w14:textId="77777777" w:rsidR="001052E4" w:rsidRPr="001052E4" w:rsidRDefault="00BE61A2" w:rsidP="001052E4">
      <w:pPr>
        <w:pStyle w:val="ListParagraph"/>
        <w:numPr>
          <w:ilvl w:val="0"/>
          <w:numId w:val="11"/>
        </w:numPr>
        <w:rPr>
          <w:rFonts w:eastAsia="Times New Roman"/>
        </w:rPr>
      </w:pPr>
      <w:r w:rsidRPr="001052E4">
        <w:rPr>
          <w:rFonts w:eastAsia="Times New Roman"/>
        </w:rPr>
        <w:t xml:space="preserve">In 2015, place of acquisition information was completed for all but 1 case, and all of cases were acquired overseas. </w:t>
      </w:r>
    </w:p>
    <w:p w14:paraId="3385A927" w14:textId="77777777" w:rsidR="00BE61A2" w:rsidRPr="00AE2F1B" w:rsidRDefault="00BE61A2" w:rsidP="00AE2F1B">
      <w:pPr>
        <w:rPr>
          <w:rFonts w:eastAsia="Times New Roman"/>
        </w:rPr>
      </w:pPr>
      <w:r w:rsidRPr="00AE2F1B">
        <w:rPr>
          <w:rFonts w:eastAsia="Times New Roman"/>
        </w:rPr>
        <w:t xml:space="preserve">CHIKV can cause an illness which is characterised by an abrupt onset of fever, </w:t>
      </w:r>
      <w:proofErr w:type="gramStart"/>
      <w:r w:rsidRPr="00AE2F1B">
        <w:rPr>
          <w:rFonts w:eastAsia="Times New Roman"/>
        </w:rPr>
        <w:t>rash</w:t>
      </w:r>
      <w:proofErr w:type="gramEnd"/>
      <w:r w:rsidRPr="00AE2F1B">
        <w:rPr>
          <w:rFonts w:eastAsia="Times New Roman"/>
        </w:rPr>
        <w:t xml:space="preserve"> and severe joint pain. The acute disease lasts 1 to 10 days, but convalescence may include prolonged joint swelling and pain lasting months. Haemorrhagic manifestations may occur occasionally.</w:t>
      </w:r>
      <w:r w:rsidRPr="00AE2F1B">
        <w:rPr>
          <w:rFonts w:eastAsia="Times New Roman"/>
          <w:vertAlign w:val="superscript"/>
        </w:rPr>
        <w:t>118</w:t>
      </w:r>
      <w:r w:rsidRPr="00AE2F1B">
        <w:rPr>
          <w:rFonts w:eastAsia="Times New Roman"/>
        </w:rPr>
        <w:t xml:space="preserve"> Humans are amplification hosts for CHIKV, and other vertebrates are not required for transmission to occur. Local transmission of CHIKV has not been reported in Australia, but it is regularly reported in travellers returning from overseas. There is the potential for transmission of CHIKV in areas where a suitable mosquito vector exists. </w:t>
      </w:r>
    </w:p>
    <w:p w14:paraId="29B70181" w14:textId="77777777" w:rsidR="00BE61A2" w:rsidRPr="00AE2F1B" w:rsidRDefault="00BE61A2" w:rsidP="00AE2F1B">
      <w:r w:rsidRPr="00AE2F1B">
        <w:t xml:space="preserve">Internationally, CHIKV is most commonly transmitted by </w:t>
      </w:r>
      <w:r w:rsidRPr="00DF12AB">
        <w:rPr>
          <w:rStyle w:val="Emphasis"/>
          <w:b w:val="0"/>
        </w:rPr>
        <w:t>Aedes aegypti</w:t>
      </w:r>
      <w:r w:rsidRPr="00AE2F1B">
        <w:t xml:space="preserve"> and </w:t>
      </w:r>
      <w:r w:rsidRPr="00DF12AB">
        <w:rPr>
          <w:rStyle w:val="Emphasis"/>
          <w:b w:val="0"/>
        </w:rPr>
        <w:t xml:space="preserve">Aedes </w:t>
      </w:r>
      <w:r w:rsidR="00330DE9" w:rsidRPr="00DF12AB">
        <w:rPr>
          <w:rStyle w:val="Emphasis"/>
          <w:b w:val="0"/>
        </w:rPr>
        <w:t>albopictus</w:t>
      </w:r>
      <w:r w:rsidR="00330DE9" w:rsidRPr="00AE2F1B">
        <w:t xml:space="preserve">. </w:t>
      </w:r>
      <w:r w:rsidRPr="00AE2F1B">
        <w:t xml:space="preserve">In Australia, </w:t>
      </w:r>
      <w:r w:rsidRPr="00DF12AB">
        <w:rPr>
          <w:rStyle w:val="Emphasis"/>
          <w:b w:val="0"/>
        </w:rPr>
        <w:t>Ae.</w:t>
      </w:r>
      <w:r w:rsidR="00C003BE">
        <w:rPr>
          <w:rStyle w:val="Emphasis"/>
          <w:b w:val="0"/>
        </w:rPr>
        <w:t> </w:t>
      </w:r>
      <w:r w:rsidRPr="00DF12AB">
        <w:rPr>
          <w:rStyle w:val="Emphasis"/>
          <w:b w:val="0"/>
        </w:rPr>
        <w:t>aegypti</w:t>
      </w:r>
      <w:r w:rsidRPr="00AE2F1B">
        <w:t xml:space="preserve"> is present in parts of Northern, Central and South-west Queensland and </w:t>
      </w:r>
      <w:r w:rsidRPr="00DF12AB">
        <w:rPr>
          <w:rStyle w:val="Emphasis"/>
          <w:b w:val="0"/>
        </w:rPr>
        <w:t>Ae. albopictus</w:t>
      </w:r>
      <w:r w:rsidRPr="00AE2F1B">
        <w:t xml:space="preserve"> is found on Cocos Island, on Christmas Island and in some areas of the Torres Strait Islands.</w:t>
      </w:r>
      <w:r w:rsidRPr="00AE2F1B">
        <w:rPr>
          <w:vertAlign w:val="superscript"/>
        </w:rPr>
        <w:t>119</w:t>
      </w:r>
      <w:r w:rsidRPr="00AE2F1B">
        <w:t xml:space="preserve"> CHIKV was made nationally notifiable in January 2015; however, notifications have been sent to the Commonwealth from all jurisdictions since 2010, when a national case definition was implemented.</w:t>
      </w:r>
    </w:p>
    <w:p w14:paraId="6CC17E83" w14:textId="77777777" w:rsidR="00BE61A2" w:rsidRPr="00AE2F1B" w:rsidRDefault="00BE61A2" w:rsidP="00924A50">
      <w:pPr>
        <w:pStyle w:val="Heading3"/>
      </w:pPr>
      <w:bookmarkStart w:id="201" w:name="_Toc1747355"/>
      <w:r w:rsidRPr="00924A50">
        <w:rPr>
          <w:bCs w:val="0"/>
        </w:rPr>
        <w:t>Epidemiological situation in 2015</w:t>
      </w:r>
      <w:bookmarkEnd w:id="201"/>
    </w:p>
    <w:p w14:paraId="561F60D3" w14:textId="77777777" w:rsidR="00BE61A2" w:rsidRPr="00AE2F1B" w:rsidRDefault="00BE61A2" w:rsidP="00AE2F1B">
      <w:r w:rsidRPr="00AE2F1B">
        <w:t>In 2015, there were 110 notifications of CHIKV. This is an increase compared with the 5-year mean of 72.8 notifications, but similar to 2013 and 2014 (134 and 110 notifications respectively) (Figure 89).</w:t>
      </w:r>
    </w:p>
    <w:p w14:paraId="0CD25499" w14:textId="77777777" w:rsidR="006510CC" w:rsidRDefault="006510CC" w:rsidP="006510CC">
      <w:pPr>
        <w:pStyle w:val="CDIFigures"/>
      </w:pPr>
      <w:r w:rsidRPr="006510CC">
        <w:lastRenderedPageBreak/>
        <w:t>Figure 89: Notifications of chikungunya virus infection, Australia, 2010 to 2015, by month and year and state or</w:t>
      </w:r>
      <w:r w:rsidR="00FA7AB6">
        <w:t> </w:t>
      </w:r>
      <w:r w:rsidRPr="006510CC">
        <w:t>territory</w:t>
      </w:r>
    </w:p>
    <w:p w14:paraId="7C04322B" w14:textId="77777777" w:rsidR="005B559B" w:rsidRPr="006510CC" w:rsidRDefault="0021477A" w:rsidP="006510CC">
      <w:pPr>
        <w:pStyle w:val="CDIFigures"/>
      </w:pPr>
      <w:r>
        <w:pict w14:anchorId="173502C3">
          <v:shape id="_x0000_i1110" type="#_x0000_t75" alt="This figure shows notified cases of Barmah Forest virus infection in Australia between 2010 and 2015, by month and year and state or territory. The figure shows notified cases of Chikungunya virus infection have increased since 2013." style="width:522.6pt;height:330.6pt;mso-position-vertical:absolute">
            <v:imagedata r:id="rId108" o:title="6-Vectorborne chapter figures _86 to 100_Page_04"/>
          </v:shape>
        </w:pict>
      </w:r>
    </w:p>
    <w:p w14:paraId="48058B7D" w14:textId="77777777" w:rsidR="00BE61A2" w:rsidRPr="00AE2F1B" w:rsidRDefault="00BE61A2" w:rsidP="00924A50">
      <w:pPr>
        <w:pStyle w:val="Heading3"/>
      </w:pPr>
      <w:bookmarkStart w:id="202" w:name="_Toc1747356"/>
      <w:r w:rsidRPr="00924A50">
        <w:rPr>
          <w:bCs w:val="0"/>
        </w:rPr>
        <w:t>Geographical distribution</w:t>
      </w:r>
      <w:bookmarkEnd w:id="202"/>
    </w:p>
    <w:p w14:paraId="17C51B98" w14:textId="77777777" w:rsidR="00BE61A2" w:rsidRPr="00AE2F1B" w:rsidRDefault="00BE61A2" w:rsidP="00AE2F1B">
      <w:r w:rsidRPr="00AE2F1B">
        <w:t>The largest number of notifications was in Victoria (n=38), followed by New South Wales (n=35 and Queensland (n=11). Complete information on the place of acquisition was supplied for 99% (109/110). All notifications with complete information were overseas acquired, most frequently in Indonesia (21%, n=23) or Samoa (18%, n=20) (Table 19).</w:t>
      </w:r>
    </w:p>
    <w:p w14:paraId="7FC0603F" w14:textId="77777777" w:rsidR="0081070B" w:rsidRDefault="0081070B">
      <w:pPr>
        <w:rPr>
          <w:b/>
        </w:rPr>
      </w:pPr>
      <w:r>
        <w:br w:type="page"/>
      </w:r>
    </w:p>
    <w:p w14:paraId="12393C69" w14:textId="77777777" w:rsidR="00BE61A2" w:rsidRPr="00AE2F1B" w:rsidRDefault="00BE61A2" w:rsidP="00330DE9">
      <w:pPr>
        <w:pStyle w:val="CDIFigures"/>
      </w:pPr>
      <w:r w:rsidRPr="00AE2F1B">
        <w:lastRenderedPageBreak/>
        <w:t xml:space="preserve">Table 19: Notifications of chikungunya virus infection 2015, by place of acquisition and quarter </w:t>
      </w:r>
    </w:p>
    <w:tbl>
      <w:tblPr>
        <w:tblStyle w:val="CDI-StandardTable"/>
        <w:tblW w:w="0" w:type="auto"/>
        <w:tblCellMar>
          <w:top w:w="142" w:type="dxa"/>
          <w:left w:w="142" w:type="dxa"/>
          <w:bottom w:w="142" w:type="dxa"/>
        </w:tblCellMar>
        <w:tblLook w:val="04A0" w:firstRow="1" w:lastRow="0" w:firstColumn="1" w:lastColumn="0" w:noHBand="0" w:noVBand="1"/>
        <w:tblDescription w:val="This table shows the place of acquisition for notified case on Chikungunya virus infections in each quarter of 2015. The majority of Chikungunya virus infections reported in 2015 were acquired in Indonesia, Samoa, India or East Timor (65/110).&#10;"/>
      </w:tblPr>
      <w:tblGrid>
        <w:gridCol w:w="2632"/>
        <w:gridCol w:w="1561"/>
        <w:gridCol w:w="1562"/>
        <w:gridCol w:w="1561"/>
        <w:gridCol w:w="1562"/>
        <w:gridCol w:w="1562"/>
      </w:tblGrid>
      <w:tr w:rsidR="00BE61A2" w:rsidRPr="00374CC9" w14:paraId="429ABAFA" w14:textId="77777777" w:rsidTr="0014476C">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38CF54CC"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Country or region of acquisition</w:t>
            </w:r>
          </w:p>
        </w:tc>
        <w:tc>
          <w:tcPr>
            <w:tcW w:w="7808" w:type="dxa"/>
            <w:gridSpan w:val="5"/>
            <w:hideMark/>
          </w:tcPr>
          <w:p w14:paraId="04F4E8FC"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Number of notifications</w:t>
            </w:r>
          </w:p>
        </w:tc>
      </w:tr>
      <w:tr w:rsidR="00BE61A2" w:rsidRPr="00374CC9" w14:paraId="3546390D" w14:textId="77777777" w:rsidTr="00CA6B9F">
        <w:tblPrEx>
          <w:tblCellMar>
            <w:right w:w="108" w:type="dxa"/>
          </w:tblCellMar>
        </w:tblPrEx>
        <w:tc>
          <w:tcPr>
            <w:tcW w:w="0" w:type="auto"/>
            <w:hideMark/>
          </w:tcPr>
          <w:p w14:paraId="4503E1D6" w14:textId="77777777" w:rsidR="00BE61A2" w:rsidRPr="00374CC9" w:rsidRDefault="00BE61A2">
            <w:pPr>
              <w:rPr>
                <w:rFonts w:asciiTheme="minorHAnsi" w:eastAsia="Times New Roman" w:hAnsiTheme="minorHAnsi"/>
                <w:sz w:val="18"/>
                <w:szCs w:val="18"/>
              </w:rPr>
            </w:pPr>
          </w:p>
        </w:tc>
        <w:tc>
          <w:tcPr>
            <w:tcW w:w="1561" w:type="dxa"/>
            <w:shd w:val="clear" w:color="auto" w:fill="BFBFBF" w:themeFill="background1" w:themeFillShade="BF"/>
            <w:hideMark/>
          </w:tcPr>
          <w:p w14:paraId="40FBA07D" w14:textId="77777777" w:rsidR="00BE61A2" w:rsidRPr="00CA6B9F" w:rsidRDefault="00BE61A2">
            <w:pPr>
              <w:rPr>
                <w:rFonts w:asciiTheme="minorHAnsi" w:eastAsia="Times New Roman" w:hAnsiTheme="minorHAnsi"/>
                <w:b/>
                <w:sz w:val="18"/>
                <w:szCs w:val="18"/>
              </w:rPr>
            </w:pPr>
            <w:r w:rsidRPr="00CA6B9F">
              <w:rPr>
                <w:rFonts w:asciiTheme="minorHAnsi" w:eastAsia="Times New Roman" w:hAnsiTheme="minorHAnsi"/>
                <w:b/>
                <w:sz w:val="18"/>
                <w:szCs w:val="18"/>
              </w:rPr>
              <w:t>Jan–Mar</w:t>
            </w:r>
          </w:p>
        </w:tc>
        <w:tc>
          <w:tcPr>
            <w:tcW w:w="1562" w:type="dxa"/>
            <w:shd w:val="clear" w:color="auto" w:fill="BFBFBF" w:themeFill="background1" w:themeFillShade="BF"/>
            <w:hideMark/>
          </w:tcPr>
          <w:p w14:paraId="1048BBC5" w14:textId="77777777" w:rsidR="00BE61A2" w:rsidRPr="00CA6B9F" w:rsidRDefault="00BE61A2">
            <w:pPr>
              <w:rPr>
                <w:rFonts w:asciiTheme="minorHAnsi" w:eastAsia="Times New Roman" w:hAnsiTheme="minorHAnsi"/>
                <w:b/>
                <w:sz w:val="18"/>
                <w:szCs w:val="18"/>
              </w:rPr>
            </w:pPr>
            <w:r w:rsidRPr="00CA6B9F">
              <w:rPr>
                <w:rFonts w:asciiTheme="minorHAnsi" w:eastAsia="Times New Roman" w:hAnsiTheme="minorHAnsi"/>
                <w:b/>
                <w:sz w:val="18"/>
                <w:szCs w:val="18"/>
              </w:rPr>
              <w:t>Apr–Jun</w:t>
            </w:r>
          </w:p>
        </w:tc>
        <w:tc>
          <w:tcPr>
            <w:tcW w:w="1561" w:type="dxa"/>
            <w:shd w:val="clear" w:color="auto" w:fill="BFBFBF" w:themeFill="background1" w:themeFillShade="BF"/>
            <w:hideMark/>
          </w:tcPr>
          <w:p w14:paraId="51583EAB" w14:textId="77777777" w:rsidR="00BE61A2" w:rsidRPr="00CA6B9F" w:rsidRDefault="00BE61A2">
            <w:pPr>
              <w:rPr>
                <w:rFonts w:asciiTheme="minorHAnsi" w:eastAsia="Times New Roman" w:hAnsiTheme="minorHAnsi"/>
                <w:b/>
                <w:sz w:val="18"/>
                <w:szCs w:val="18"/>
              </w:rPr>
            </w:pPr>
            <w:r w:rsidRPr="00CA6B9F">
              <w:rPr>
                <w:rFonts w:asciiTheme="minorHAnsi" w:eastAsia="Times New Roman" w:hAnsiTheme="minorHAnsi"/>
                <w:b/>
                <w:sz w:val="18"/>
                <w:szCs w:val="18"/>
              </w:rPr>
              <w:t>Jul–Sept</w:t>
            </w:r>
          </w:p>
        </w:tc>
        <w:tc>
          <w:tcPr>
            <w:tcW w:w="1562" w:type="dxa"/>
            <w:shd w:val="clear" w:color="auto" w:fill="BFBFBF" w:themeFill="background1" w:themeFillShade="BF"/>
            <w:hideMark/>
          </w:tcPr>
          <w:p w14:paraId="4169189D" w14:textId="77777777" w:rsidR="00BE61A2" w:rsidRPr="00CA6B9F" w:rsidRDefault="00BE61A2">
            <w:pPr>
              <w:rPr>
                <w:rFonts w:asciiTheme="minorHAnsi" w:eastAsia="Times New Roman" w:hAnsiTheme="minorHAnsi"/>
                <w:b/>
                <w:sz w:val="18"/>
                <w:szCs w:val="18"/>
              </w:rPr>
            </w:pPr>
            <w:r w:rsidRPr="00CA6B9F">
              <w:rPr>
                <w:rFonts w:asciiTheme="minorHAnsi" w:eastAsia="Times New Roman" w:hAnsiTheme="minorHAnsi"/>
                <w:b/>
                <w:sz w:val="18"/>
                <w:szCs w:val="18"/>
              </w:rPr>
              <w:t>Oct–Dec</w:t>
            </w:r>
          </w:p>
        </w:tc>
        <w:tc>
          <w:tcPr>
            <w:tcW w:w="1562" w:type="dxa"/>
            <w:shd w:val="clear" w:color="auto" w:fill="BFBFBF" w:themeFill="background1" w:themeFillShade="BF"/>
            <w:hideMark/>
          </w:tcPr>
          <w:p w14:paraId="77E2077D" w14:textId="77777777" w:rsidR="00BE61A2" w:rsidRPr="00CA6B9F" w:rsidRDefault="00BE61A2">
            <w:pPr>
              <w:rPr>
                <w:rFonts w:asciiTheme="minorHAnsi" w:eastAsia="Times New Roman" w:hAnsiTheme="minorHAnsi"/>
                <w:b/>
                <w:sz w:val="18"/>
                <w:szCs w:val="18"/>
              </w:rPr>
            </w:pPr>
            <w:r w:rsidRPr="00CA6B9F">
              <w:rPr>
                <w:rFonts w:asciiTheme="minorHAnsi" w:eastAsia="Times New Roman" w:hAnsiTheme="minorHAnsi"/>
                <w:b/>
                <w:sz w:val="18"/>
                <w:szCs w:val="18"/>
              </w:rPr>
              <w:t>Total</w:t>
            </w:r>
          </w:p>
        </w:tc>
      </w:tr>
      <w:tr w:rsidR="00BE61A2" w:rsidRPr="00374CC9" w14:paraId="4012A883" w14:textId="77777777" w:rsidTr="0014476C">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2077E4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Indonesia</w:t>
            </w:r>
          </w:p>
        </w:tc>
        <w:tc>
          <w:tcPr>
            <w:tcW w:w="1561" w:type="dxa"/>
            <w:hideMark/>
          </w:tcPr>
          <w:p w14:paraId="5483C8A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16</w:t>
            </w:r>
          </w:p>
        </w:tc>
        <w:tc>
          <w:tcPr>
            <w:tcW w:w="1562" w:type="dxa"/>
            <w:hideMark/>
          </w:tcPr>
          <w:p w14:paraId="5EB663B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w:t>
            </w:r>
          </w:p>
        </w:tc>
        <w:tc>
          <w:tcPr>
            <w:tcW w:w="1561" w:type="dxa"/>
            <w:hideMark/>
          </w:tcPr>
          <w:p w14:paraId="161D7A7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1562" w:type="dxa"/>
            <w:hideMark/>
          </w:tcPr>
          <w:p w14:paraId="03F1010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1562" w:type="dxa"/>
            <w:hideMark/>
          </w:tcPr>
          <w:p w14:paraId="4FC1276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23</w:t>
            </w:r>
          </w:p>
        </w:tc>
      </w:tr>
      <w:tr w:rsidR="00BE61A2" w:rsidRPr="00374CC9" w14:paraId="73280277" w14:textId="77777777" w:rsidTr="0014476C">
        <w:tblPrEx>
          <w:tblCellMar>
            <w:right w:w="108" w:type="dxa"/>
          </w:tblCellMar>
        </w:tblPrEx>
        <w:tc>
          <w:tcPr>
            <w:tcW w:w="0" w:type="auto"/>
            <w:hideMark/>
          </w:tcPr>
          <w:p w14:paraId="26D7859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Samoa</w:t>
            </w:r>
          </w:p>
        </w:tc>
        <w:tc>
          <w:tcPr>
            <w:tcW w:w="1561" w:type="dxa"/>
            <w:hideMark/>
          </w:tcPr>
          <w:p w14:paraId="352D40E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w:t>
            </w:r>
          </w:p>
        </w:tc>
        <w:tc>
          <w:tcPr>
            <w:tcW w:w="1562" w:type="dxa"/>
            <w:hideMark/>
          </w:tcPr>
          <w:p w14:paraId="241EF31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61" w:type="dxa"/>
            <w:hideMark/>
          </w:tcPr>
          <w:p w14:paraId="525FD2A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62" w:type="dxa"/>
            <w:hideMark/>
          </w:tcPr>
          <w:p w14:paraId="4120433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62" w:type="dxa"/>
            <w:hideMark/>
          </w:tcPr>
          <w:p w14:paraId="0DBEFE2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w:t>
            </w:r>
          </w:p>
        </w:tc>
      </w:tr>
      <w:tr w:rsidR="00BE61A2" w:rsidRPr="00374CC9" w14:paraId="3492D978" w14:textId="77777777" w:rsidTr="0014476C">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0F37E3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India</w:t>
            </w:r>
          </w:p>
        </w:tc>
        <w:tc>
          <w:tcPr>
            <w:tcW w:w="1561" w:type="dxa"/>
            <w:hideMark/>
          </w:tcPr>
          <w:p w14:paraId="783D44D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1562" w:type="dxa"/>
            <w:hideMark/>
          </w:tcPr>
          <w:p w14:paraId="6185DB0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61" w:type="dxa"/>
            <w:hideMark/>
          </w:tcPr>
          <w:p w14:paraId="67311C0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w:t>
            </w:r>
          </w:p>
        </w:tc>
        <w:tc>
          <w:tcPr>
            <w:tcW w:w="1562" w:type="dxa"/>
            <w:hideMark/>
          </w:tcPr>
          <w:p w14:paraId="620CE2A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w:t>
            </w:r>
          </w:p>
        </w:tc>
        <w:tc>
          <w:tcPr>
            <w:tcW w:w="1562" w:type="dxa"/>
            <w:hideMark/>
          </w:tcPr>
          <w:p w14:paraId="235FFDA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12</w:t>
            </w:r>
          </w:p>
        </w:tc>
      </w:tr>
      <w:tr w:rsidR="00BE61A2" w:rsidRPr="00374CC9" w14:paraId="6E99FFC2" w14:textId="77777777" w:rsidTr="0014476C">
        <w:tblPrEx>
          <w:tblCellMar>
            <w:right w:w="108" w:type="dxa"/>
          </w:tblCellMar>
        </w:tblPrEx>
        <w:tc>
          <w:tcPr>
            <w:tcW w:w="0" w:type="auto"/>
            <w:hideMark/>
          </w:tcPr>
          <w:p w14:paraId="00AD965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East Timor</w:t>
            </w:r>
          </w:p>
        </w:tc>
        <w:tc>
          <w:tcPr>
            <w:tcW w:w="1561" w:type="dxa"/>
            <w:hideMark/>
          </w:tcPr>
          <w:p w14:paraId="1E6DD8A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1562" w:type="dxa"/>
            <w:hideMark/>
          </w:tcPr>
          <w:p w14:paraId="771D765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w:t>
            </w:r>
          </w:p>
        </w:tc>
        <w:tc>
          <w:tcPr>
            <w:tcW w:w="1561" w:type="dxa"/>
            <w:hideMark/>
          </w:tcPr>
          <w:p w14:paraId="40515CE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1562" w:type="dxa"/>
            <w:hideMark/>
          </w:tcPr>
          <w:p w14:paraId="0C66E19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62" w:type="dxa"/>
            <w:hideMark/>
          </w:tcPr>
          <w:p w14:paraId="61EA24F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w:t>
            </w:r>
          </w:p>
        </w:tc>
      </w:tr>
      <w:tr w:rsidR="00BE61A2" w:rsidRPr="00374CC9" w14:paraId="7EEADCEE" w14:textId="77777777" w:rsidTr="0014476C">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4F5AD5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Colombia</w:t>
            </w:r>
          </w:p>
        </w:tc>
        <w:tc>
          <w:tcPr>
            <w:tcW w:w="1561" w:type="dxa"/>
            <w:hideMark/>
          </w:tcPr>
          <w:p w14:paraId="0008943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w:t>
            </w:r>
          </w:p>
        </w:tc>
        <w:tc>
          <w:tcPr>
            <w:tcW w:w="1562" w:type="dxa"/>
            <w:hideMark/>
          </w:tcPr>
          <w:p w14:paraId="642BBEA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1561" w:type="dxa"/>
            <w:hideMark/>
          </w:tcPr>
          <w:p w14:paraId="7D3CF17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1562" w:type="dxa"/>
            <w:hideMark/>
          </w:tcPr>
          <w:p w14:paraId="26094F6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62" w:type="dxa"/>
            <w:hideMark/>
          </w:tcPr>
          <w:p w14:paraId="4E39151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w:t>
            </w:r>
          </w:p>
        </w:tc>
      </w:tr>
      <w:tr w:rsidR="00BE61A2" w:rsidRPr="00374CC9" w14:paraId="0584D61B" w14:textId="77777777" w:rsidTr="0014476C">
        <w:tblPrEx>
          <w:tblCellMar>
            <w:right w:w="108" w:type="dxa"/>
          </w:tblCellMar>
        </w:tblPrEx>
        <w:tc>
          <w:tcPr>
            <w:tcW w:w="0" w:type="auto"/>
            <w:hideMark/>
          </w:tcPr>
          <w:p w14:paraId="132AA4E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Nauru</w:t>
            </w:r>
          </w:p>
        </w:tc>
        <w:tc>
          <w:tcPr>
            <w:tcW w:w="1561" w:type="dxa"/>
            <w:hideMark/>
          </w:tcPr>
          <w:p w14:paraId="6604F0E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62" w:type="dxa"/>
            <w:hideMark/>
          </w:tcPr>
          <w:p w14:paraId="669BD17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w:t>
            </w:r>
          </w:p>
        </w:tc>
        <w:tc>
          <w:tcPr>
            <w:tcW w:w="1561" w:type="dxa"/>
            <w:hideMark/>
          </w:tcPr>
          <w:p w14:paraId="02BEED5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62" w:type="dxa"/>
            <w:hideMark/>
          </w:tcPr>
          <w:p w14:paraId="71A3DDC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62" w:type="dxa"/>
            <w:hideMark/>
          </w:tcPr>
          <w:p w14:paraId="3680C7F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w:t>
            </w:r>
          </w:p>
        </w:tc>
      </w:tr>
      <w:tr w:rsidR="00BE61A2" w:rsidRPr="00374CC9" w14:paraId="3B324290" w14:textId="77777777" w:rsidTr="0014476C">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4168F3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Cook Islands</w:t>
            </w:r>
          </w:p>
        </w:tc>
        <w:tc>
          <w:tcPr>
            <w:tcW w:w="1561" w:type="dxa"/>
            <w:hideMark/>
          </w:tcPr>
          <w:p w14:paraId="00802C4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62" w:type="dxa"/>
            <w:hideMark/>
          </w:tcPr>
          <w:p w14:paraId="502FAC0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w:t>
            </w:r>
          </w:p>
        </w:tc>
        <w:tc>
          <w:tcPr>
            <w:tcW w:w="1561" w:type="dxa"/>
            <w:hideMark/>
          </w:tcPr>
          <w:p w14:paraId="4FE8967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1562" w:type="dxa"/>
            <w:hideMark/>
          </w:tcPr>
          <w:p w14:paraId="28E212F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62" w:type="dxa"/>
            <w:hideMark/>
          </w:tcPr>
          <w:p w14:paraId="03FDD07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w:t>
            </w:r>
          </w:p>
        </w:tc>
      </w:tr>
      <w:tr w:rsidR="00BE61A2" w:rsidRPr="00374CC9" w14:paraId="4289D2C9" w14:textId="77777777" w:rsidTr="0014476C">
        <w:tblPrEx>
          <w:tblCellMar>
            <w:right w:w="108" w:type="dxa"/>
          </w:tblCellMar>
        </w:tblPrEx>
        <w:tc>
          <w:tcPr>
            <w:tcW w:w="0" w:type="auto"/>
            <w:hideMark/>
          </w:tcPr>
          <w:p w14:paraId="12305B0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Kiribati</w:t>
            </w:r>
          </w:p>
        </w:tc>
        <w:tc>
          <w:tcPr>
            <w:tcW w:w="1561" w:type="dxa"/>
            <w:hideMark/>
          </w:tcPr>
          <w:p w14:paraId="6421687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w:t>
            </w:r>
          </w:p>
        </w:tc>
        <w:tc>
          <w:tcPr>
            <w:tcW w:w="1562" w:type="dxa"/>
            <w:hideMark/>
          </w:tcPr>
          <w:p w14:paraId="70B1BBA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61" w:type="dxa"/>
            <w:hideMark/>
          </w:tcPr>
          <w:p w14:paraId="6D77E8E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62" w:type="dxa"/>
            <w:hideMark/>
          </w:tcPr>
          <w:p w14:paraId="2C2DCE0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62" w:type="dxa"/>
            <w:hideMark/>
          </w:tcPr>
          <w:p w14:paraId="7446286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w:t>
            </w:r>
          </w:p>
        </w:tc>
      </w:tr>
      <w:tr w:rsidR="00BE61A2" w:rsidRPr="00374CC9" w14:paraId="7C343678" w14:textId="77777777" w:rsidTr="0014476C">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C68462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Mexico</w:t>
            </w:r>
          </w:p>
        </w:tc>
        <w:tc>
          <w:tcPr>
            <w:tcW w:w="1561" w:type="dxa"/>
            <w:hideMark/>
          </w:tcPr>
          <w:p w14:paraId="07583DE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62" w:type="dxa"/>
            <w:hideMark/>
          </w:tcPr>
          <w:p w14:paraId="5F4BAAC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61" w:type="dxa"/>
            <w:hideMark/>
          </w:tcPr>
          <w:p w14:paraId="74E432D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1562" w:type="dxa"/>
            <w:hideMark/>
          </w:tcPr>
          <w:p w14:paraId="717E6C8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1562" w:type="dxa"/>
            <w:hideMark/>
          </w:tcPr>
          <w:p w14:paraId="1A16EAA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r>
      <w:tr w:rsidR="00BE61A2" w:rsidRPr="00374CC9" w14:paraId="520635AD" w14:textId="77777777" w:rsidTr="0014476C">
        <w:tblPrEx>
          <w:tblCellMar>
            <w:right w:w="108" w:type="dxa"/>
          </w:tblCellMar>
        </w:tblPrEx>
        <w:tc>
          <w:tcPr>
            <w:tcW w:w="0" w:type="auto"/>
            <w:hideMark/>
          </w:tcPr>
          <w:p w14:paraId="7A1A8FD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French Polynesia</w:t>
            </w:r>
          </w:p>
        </w:tc>
        <w:tc>
          <w:tcPr>
            <w:tcW w:w="1561" w:type="dxa"/>
            <w:hideMark/>
          </w:tcPr>
          <w:p w14:paraId="680CAA2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1562" w:type="dxa"/>
            <w:hideMark/>
          </w:tcPr>
          <w:p w14:paraId="48E7A66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61" w:type="dxa"/>
            <w:hideMark/>
          </w:tcPr>
          <w:p w14:paraId="79E7A54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62" w:type="dxa"/>
            <w:hideMark/>
          </w:tcPr>
          <w:p w14:paraId="46BC187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62" w:type="dxa"/>
            <w:hideMark/>
          </w:tcPr>
          <w:p w14:paraId="3903635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r>
      <w:tr w:rsidR="00BE61A2" w:rsidRPr="00374CC9" w14:paraId="6942E4DA" w14:textId="77777777" w:rsidTr="0014476C">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346157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Philippines</w:t>
            </w:r>
          </w:p>
        </w:tc>
        <w:tc>
          <w:tcPr>
            <w:tcW w:w="1561" w:type="dxa"/>
            <w:hideMark/>
          </w:tcPr>
          <w:p w14:paraId="42B2A4D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62" w:type="dxa"/>
            <w:hideMark/>
          </w:tcPr>
          <w:p w14:paraId="5A69A1F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1561" w:type="dxa"/>
            <w:hideMark/>
          </w:tcPr>
          <w:p w14:paraId="2176875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62" w:type="dxa"/>
            <w:hideMark/>
          </w:tcPr>
          <w:p w14:paraId="5B33314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62" w:type="dxa"/>
            <w:hideMark/>
          </w:tcPr>
          <w:p w14:paraId="55F669B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r>
      <w:tr w:rsidR="00BE61A2" w:rsidRPr="00374CC9" w14:paraId="4A19544C" w14:textId="77777777" w:rsidTr="0014476C">
        <w:tblPrEx>
          <w:tblCellMar>
            <w:right w:w="108" w:type="dxa"/>
          </w:tblCellMar>
        </w:tblPrEx>
        <w:tc>
          <w:tcPr>
            <w:tcW w:w="0" w:type="auto"/>
            <w:hideMark/>
          </w:tcPr>
          <w:p w14:paraId="465268B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El Salvador</w:t>
            </w:r>
          </w:p>
        </w:tc>
        <w:tc>
          <w:tcPr>
            <w:tcW w:w="1561" w:type="dxa"/>
            <w:hideMark/>
          </w:tcPr>
          <w:p w14:paraId="628744E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62" w:type="dxa"/>
            <w:hideMark/>
          </w:tcPr>
          <w:p w14:paraId="7A6B8D1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1561" w:type="dxa"/>
            <w:hideMark/>
          </w:tcPr>
          <w:p w14:paraId="0B107B2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62" w:type="dxa"/>
            <w:hideMark/>
          </w:tcPr>
          <w:p w14:paraId="1251723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62" w:type="dxa"/>
            <w:hideMark/>
          </w:tcPr>
          <w:p w14:paraId="59987DA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r>
      <w:tr w:rsidR="00BE61A2" w:rsidRPr="00374CC9" w14:paraId="07839800" w14:textId="77777777" w:rsidTr="0014476C">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8C3BF4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Kenya</w:t>
            </w:r>
          </w:p>
        </w:tc>
        <w:tc>
          <w:tcPr>
            <w:tcW w:w="1561" w:type="dxa"/>
            <w:hideMark/>
          </w:tcPr>
          <w:p w14:paraId="188DCE3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62" w:type="dxa"/>
            <w:hideMark/>
          </w:tcPr>
          <w:p w14:paraId="132C585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61" w:type="dxa"/>
            <w:hideMark/>
          </w:tcPr>
          <w:p w14:paraId="2745C4F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62" w:type="dxa"/>
            <w:hideMark/>
          </w:tcPr>
          <w:p w14:paraId="3AA21CE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1562" w:type="dxa"/>
            <w:hideMark/>
          </w:tcPr>
          <w:p w14:paraId="783AEC2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r>
      <w:tr w:rsidR="00BE61A2" w:rsidRPr="00374CC9" w14:paraId="211B34C1" w14:textId="77777777" w:rsidTr="0014476C">
        <w:tblPrEx>
          <w:tblCellMar>
            <w:right w:w="108" w:type="dxa"/>
          </w:tblCellMar>
        </w:tblPrEx>
        <w:tc>
          <w:tcPr>
            <w:tcW w:w="0" w:type="auto"/>
            <w:hideMark/>
          </w:tcPr>
          <w:p w14:paraId="5E6AF21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Taiwan</w:t>
            </w:r>
          </w:p>
        </w:tc>
        <w:tc>
          <w:tcPr>
            <w:tcW w:w="1561" w:type="dxa"/>
            <w:hideMark/>
          </w:tcPr>
          <w:p w14:paraId="47D56D9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62" w:type="dxa"/>
            <w:hideMark/>
          </w:tcPr>
          <w:p w14:paraId="61DAE80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1561" w:type="dxa"/>
            <w:hideMark/>
          </w:tcPr>
          <w:p w14:paraId="2604B6D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62" w:type="dxa"/>
            <w:hideMark/>
          </w:tcPr>
          <w:p w14:paraId="1DE6ABC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62" w:type="dxa"/>
            <w:hideMark/>
          </w:tcPr>
          <w:p w14:paraId="35588CB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r>
      <w:tr w:rsidR="00BE61A2" w:rsidRPr="00374CC9" w14:paraId="4B17E11B" w14:textId="77777777" w:rsidTr="0014476C">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BC395A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Malaysia</w:t>
            </w:r>
          </w:p>
        </w:tc>
        <w:tc>
          <w:tcPr>
            <w:tcW w:w="1561" w:type="dxa"/>
            <w:hideMark/>
          </w:tcPr>
          <w:p w14:paraId="0950CA5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1562" w:type="dxa"/>
            <w:hideMark/>
          </w:tcPr>
          <w:p w14:paraId="7B70091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61" w:type="dxa"/>
            <w:hideMark/>
          </w:tcPr>
          <w:p w14:paraId="1419466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62" w:type="dxa"/>
            <w:hideMark/>
          </w:tcPr>
          <w:p w14:paraId="28AF3DF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62" w:type="dxa"/>
            <w:hideMark/>
          </w:tcPr>
          <w:p w14:paraId="65E9881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r>
      <w:tr w:rsidR="00BE61A2" w:rsidRPr="00374CC9" w14:paraId="2BF1F636" w14:textId="77777777" w:rsidTr="0014476C">
        <w:tblPrEx>
          <w:tblCellMar>
            <w:right w:w="108" w:type="dxa"/>
          </w:tblCellMar>
        </w:tblPrEx>
        <w:tc>
          <w:tcPr>
            <w:tcW w:w="0" w:type="auto"/>
            <w:hideMark/>
          </w:tcPr>
          <w:p w14:paraId="6E23AC7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Central America, NFD</w:t>
            </w:r>
          </w:p>
        </w:tc>
        <w:tc>
          <w:tcPr>
            <w:tcW w:w="1561" w:type="dxa"/>
            <w:hideMark/>
          </w:tcPr>
          <w:p w14:paraId="699C1B0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62" w:type="dxa"/>
            <w:hideMark/>
          </w:tcPr>
          <w:p w14:paraId="24C5FEF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61" w:type="dxa"/>
            <w:hideMark/>
          </w:tcPr>
          <w:p w14:paraId="5AD3034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62" w:type="dxa"/>
            <w:hideMark/>
          </w:tcPr>
          <w:p w14:paraId="6C31817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1562" w:type="dxa"/>
            <w:hideMark/>
          </w:tcPr>
          <w:p w14:paraId="423FFDA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r>
      <w:tr w:rsidR="00BE61A2" w:rsidRPr="00374CC9" w14:paraId="21FDCF4A" w14:textId="77777777" w:rsidTr="0014476C">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C7F3E9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Not stated</w:t>
            </w:r>
          </w:p>
        </w:tc>
        <w:tc>
          <w:tcPr>
            <w:tcW w:w="1561" w:type="dxa"/>
            <w:hideMark/>
          </w:tcPr>
          <w:p w14:paraId="38914A4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62" w:type="dxa"/>
            <w:hideMark/>
          </w:tcPr>
          <w:p w14:paraId="38DB3F6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1561" w:type="dxa"/>
            <w:hideMark/>
          </w:tcPr>
          <w:p w14:paraId="4E1C932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62" w:type="dxa"/>
            <w:hideMark/>
          </w:tcPr>
          <w:p w14:paraId="3945601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62" w:type="dxa"/>
            <w:hideMark/>
          </w:tcPr>
          <w:p w14:paraId="3583F29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r>
      <w:tr w:rsidR="00BE61A2" w:rsidRPr="00374CC9" w14:paraId="3FDDBE9C" w14:textId="77777777" w:rsidTr="0014476C">
        <w:tblPrEx>
          <w:tblCellMar>
            <w:right w:w="108" w:type="dxa"/>
          </w:tblCellMar>
        </w:tblPrEx>
        <w:tc>
          <w:tcPr>
            <w:tcW w:w="0" w:type="auto"/>
            <w:hideMark/>
          </w:tcPr>
          <w:p w14:paraId="2106143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Jamaica</w:t>
            </w:r>
          </w:p>
        </w:tc>
        <w:tc>
          <w:tcPr>
            <w:tcW w:w="1561" w:type="dxa"/>
            <w:hideMark/>
          </w:tcPr>
          <w:p w14:paraId="01423CA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1562" w:type="dxa"/>
            <w:hideMark/>
          </w:tcPr>
          <w:p w14:paraId="651D8EC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61" w:type="dxa"/>
            <w:hideMark/>
          </w:tcPr>
          <w:p w14:paraId="39FA9C3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62" w:type="dxa"/>
            <w:hideMark/>
          </w:tcPr>
          <w:p w14:paraId="5E48CDD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62" w:type="dxa"/>
            <w:hideMark/>
          </w:tcPr>
          <w:p w14:paraId="2A0C95D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r>
      <w:tr w:rsidR="00BE61A2" w:rsidRPr="00374CC9" w14:paraId="1EF121ED" w14:textId="77777777" w:rsidTr="0014476C">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8E64E8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South America, NEC</w:t>
            </w:r>
          </w:p>
        </w:tc>
        <w:tc>
          <w:tcPr>
            <w:tcW w:w="1561" w:type="dxa"/>
            <w:hideMark/>
          </w:tcPr>
          <w:p w14:paraId="765F3B1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62" w:type="dxa"/>
            <w:hideMark/>
          </w:tcPr>
          <w:p w14:paraId="3E6A444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61" w:type="dxa"/>
            <w:hideMark/>
          </w:tcPr>
          <w:p w14:paraId="0DCA6C1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62" w:type="dxa"/>
            <w:hideMark/>
          </w:tcPr>
          <w:p w14:paraId="29A100A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1562" w:type="dxa"/>
            <w:hideMark/>
          </w:tcPr>
          <w:p w14:paraId="20A2C1C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r>
      <w:tr w:rsidR="00BE61A2" w:rsidRPr="00374CC9" w14:paraId="28519D13" w14:textId="77777777" w:rsidTr="0014476C">
        <w:tblPrEx>
          <w:tblCellMar>
            <w:right w:w="108" w:type="dxa"/>
          </w:tblCellMar>
        </w:tblPrEx>
        <w:tc>
          <w:tcPr>
            <w:tcW w:w="0" w:type="auto"/>
            <w:hideMark/>
          </w:tcPr>
          <w:p w14:paraId="23AF35C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Honduras</w:t>
            </w:r>
          </w:p>
        </w:tc>
        <w:tc>
          <w:tcPr>
            <w:tcW w:w="1561" w:type="dxa"/>
            <w:hideMark/>
          </w:tcPr>
          <w:p w14:paraId="13AEBB0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62" w:type="dxa"/>
            <w:hideMark/>
          </w:tcPr>
          <w:p w14:paraId="3148F98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61" w:type="dxa"/>
            <w:hideMark/>
          </w:tcPr>
          <w:p w14:paraId="579A1DB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1562" w:type="dxa"/>
            <w:hideMark/>
          </w:tcPr>
          <w:p w14:paraId="4E72D59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62" w:type="dxa"/>
            <w:hideMark/>
          </w:tcPr>
          <w:p w14:paraId="2679C39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r>
      <w:tr w:rsidR="00BE61A2" w:rsidRPr="00374CC9" w14:paraId="136B57A7" w14:textId="77777777" w:rsidTr="0014476C">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E03A93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Thailand</w:t>
            </w:r>
          </w:p>
        </w:tc>
        <w:tc>
          <w:tcPr>
            <w:tcW w:w="1561" w:type="dxa"/>
            <w:hideMark/>
          </w:tcPr>
          <w:p w14:paraId="4D8039A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62" w:type="dxa"/>
            <w:hideMark/>
          </w:tcPr>
          <w:p w14:paraId="4B30100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61" w:type="dxa"/>
            <w:hideMark/>
          </w:tcPr>
          <w:p w14:paraId="0DE4F43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1562" w:type="dxa"/>
            <w:hideMark/>
          </w:tcPr>
          <w:p w14:paraId="237A3AA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62" w:type="dxa"/>
            <w:hideMark/>
          </w:tcPr>
          <w:p w14:paraId="2329BE0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r>
      <w:tr w:rsidR="00BE61A2" w:rsidRPr="00374CC9" w14:paraId="21830B08" w14:textId="77777777" w:rsidTr="0014476C">
        <w:tblPrEx>
          <w:tblCellMar>
            <w:right w:w="108" w:type="dxa"/>
          </w:tblCellMar>
        </w:tblPrEx>
        <w:tc>
          <w:tcPr>
            <w:tcW w:w="0" w:type="auto"/>
            <w:hideMark/>
          </w:tcPr>
          <w:p w14:paraId="180E5DF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Tonga</w:t>
            </w:r>
          </w:p>
        </w:tc>
        <w:tc>
          <w:tcPr>
            <w:tcW w:w="1561" w:type="dxa"/>
            <w:hideMark/>
          </w:tcPr>
          <w:p w14:paraId="7A386ED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1562" w:type="dxa"/>
            <w:hideMark/>
          </w:tcPr>
          <w:p w14:paraId="6201870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61" w:type="dxa"/>
            <w:hideMark/>
          </w:tcPr>
          <w:p w14:paraId="6FA5C55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62" w:type="dxa"/>
            <w:hideMark/>
          </w:tcPr>
          <w:p w14:paraId="458FDA5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62" w:type="dxa"/>
            <w:hideMark/>
          </w:tcPr>
          <w:p w14:paraId="3AB7354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r>
      <w:tr w:rsidR="00BE61A2" w:rsidRPr="00374CC9" w14:paraId="32CCAE04" w14:textId="77777777" w:rsidTr="0014476C">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B4AF48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Nigeria</w:t>
            </w:r>
          </w:p>
        </w:tc>
        <w:tc>
          <w:tcPr>
            <w:tcW w:w="1561" w:type="dxa"/>
            <w:hideMark/>
          </w:tcPr>
          <w:p w14:paraId="4593582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62" w:type="dxa"/>
            <w:hideMark/>
          </w:tcPr>
          <w:p w14:paraId="40A98EB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61" w:type="dxa"/>
            <w:hideMark/>
          </w:tcPr>
          <w:p w14:paraId="43D58F7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62" w:type="dxa"/>
            <w:hideMark/>
          </w:tcPr>
          <w:p w14:paraId="72EDF23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1562" w:type="dxa"/>
            <w:hideMark/>
          </w:tcPr>
          <w:p w14:paraId="2D7313D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r>
      <w:tr w:rsidR="00BE61A2" w:rsidRPr="00374CC9" w14:paraId="51FB8365" w14:textId="77777777" w:rsidTr="0014476C">
        <w:tblPrEx>
          <w:tblCellMar>
            <w:right w:w="108" w:type="dxa"/>
          </w:tblCellMar>
        </w:tblPrEx>
        <w:tc>
          <w:tcPr>
            <w:tcW w:w="0" w:type="auto"/>
            <w:hideMark/>
          </w:tcPr>
          <w:p w14:paraId="713CAEE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Nicaragua</w:t>
            </w:r>
          </w:p>
        </w:tc>
        <w:tc>
          <w:tcPr>
            <w:tcW w:w="1561" w:type="dxa"/>
            <w:hideMark/>
          </w:tcPr>
          <w:p w14:paraId="400F0A3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62" w:type="dxa"/>
            <w:hideMark/>
          </w:tcPr>
          <w:p w14:paraId="1C07DDA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1561" w:type="dxa"/>
            <w:hideMark/>
          </w:tcPr>
          <w:p w14:paraId="74CE812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62" w:type="dxa"/>
            <w:hideMark/>
          </w:tcPr>
          <w:p w14:paraId="313D347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562" w:type="dxa"/>
            <w:hideMark/>
          </w:tcPr>
          <w:p w14:paraId="1413ADB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r>
      <w:tr w:rsidR="00BE61A2" w:rsidRPr="00325153" w14:paraId="01DC6029" w14:textId="77777777" w:rsidTr="00325153">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38EC8B97" w14:textId="77777777" w:rsidR="00BE61A2" w:rsidRPr="00325153" w:rsidRDefault="00BE61A2">
            <w:pPr>
              <w:rPr>
                <w:rFonts w:asciiTheme="minorHAnsi" w:eastAsia="Times New Roman" w:hAnsiTheme="minorHAnsi"/>
                <w:b/>
                <w:sz w:val="18"/>
                <w:szCs w:val="18"/>
              </w:rPr>
            </w:pPr>
            <w:r w:rsidRPr="00325153">
              <w:rPr>
                <w:rFonts w:asciiTheme="minorHAnsi" w:eastAsia="Times New Roman" w:hAnsiTheme="minorHAnsi"/>
                <w:b/>
                <w:sz w:val="18"/>
                <w:szCs w:val="18"/>
              </w:rPr>
              <w:t>Total</w:t>
            </w:r>
          </w:p>
        </w:tc>
        <w:tc>
          <w:tcPr>
            <w:tcW w:w="1561" w:type="dxa"/>
            <w:shd w:val="clear" w:color="auto" w:fill="FDE9D9" w:themeFill="accent6" w:themeFillTint="33"/>
            <w:hideMark/>
          </w:tcPr>
          <w:p w14:paraId="65B3E7C9" w14:textId="77777777" w:rsidR="00BE61A2" w:rsidRPr="00325153" w:rsidRDefault="00BE61A2">
            <w:pPr>
              <w:rPr>
                <w:rFonts w:asciiTheme="minorHAnsi" w:eastAsia="Times New Roman" w:hAnsiTheme="minorHAnsi"/>
                <w:b/>
                <w:sz w:val="18"/>
                <w:szCs w:val="18"/>
              </w:rPr>
            </w:pPr>
            <w:r w:rsidRPr="00325153">
              <w:rPr>
                <w:rFonts w:asciiTheme="minorHAnsi" w:eastAsia="Times New Roman" w:hAnsiTheme="minorHAnsi"/>
                <w:b/>
                <w:sz w:val="18"/>
                <w:szCs w:val="18"/>
              </w:rPr>
              <w:t>55</w:t>
            </w:r>
          </w:p>
        </w:tc>
        <w:tc>
          <w:tcPr>
            <w:tcW w:w="1562" w:type="dxa"/>
            <w:shd w:val="clear" w:color="auto" w:fill="FDE9D9" w:themeFill="accent6" w:themeFillTint="33"/>
            <w:hideMark/>
          </w:tcPr>
          <w:p w14:paraId="41CFF23F" w14:textId="77777777" w:rsidR="00BE61A2" w:rsidRPr="00325153" w:rsidRDefault="00BE61A2">
            <w:pPr>
              <w:rPr>
                <w:rFonts w:asciiTheme="minorHAnsi" w:eastAsia="Times New Roman" w:hAnsiTheme="minorHAnsi"/>
                <w:b/>
                <w:sz w:val="18"/>
                <w:szCs w:val="18"/>
              </w:rPr>
            </w:pPr>
            <w:r w:rsidRPr="00325153">
              <w:rPr>
                <w:rFonts w:asciiTheme="minorHAnsi" w:eastAsia="Times New Roman" w:hAnsiTheme="minorHAnsi"/>
                <w:b/>
                <w:sz w:val="18"/>
                <w:szCs w:val="18"/>
              </w:rPr>
              <w:t>29</w:t>
            </w:r>
          </w:p>
        </w:tc>
        <w:tc>
          <w:tcPr>
            <w:tcW w:w="1561" w:type="dxa"/>
            <w:shd w:val="clear" w:color="auto" w:fill="FDE9D9" w:themeFill="accent6" w:themeFillTint="33"/>
            <w:hideMark/>
          </w:tcPr>
          <w:p w14:paraId="618D27C3" w14:textId="77777777" w:rsidR="00BE61A2" w:rsidRPr="00325153" w:rsidRDefault="00BE61A2">
            <w:pPr>
              <w:rPr>
                <w:rFonts w:asciiTheme="minorHAnsi" w:eastAsia="Times New Roman" w:hAnsiTheme="minorHAnsi"/>
                <w:b/>
                <w:sz w:val="18"/>
                <w:szCs w:val="18"/>
              </w:rPr>
            </w:pPr>
            <w:r w:rsidRPr="00325153">
              <w:rPr>
                <w:rFonts w:asciiTheme="minorHAnsi" w:eastAsia="Times New Roman" w:hAnsiTheme="minorHAnsi"/>
                <w:b/>
                <w:sz w:val="18"/>
                <w:szCs w:val="18"/>
              </w:rPr>
              <w:t>15</w:t>
            </w:r>
          </w:p>
        </w:tc>
        <w:tc>
          <w:tcPr>
            <w:tcW w:w="1562" w:type="dxa"/>
            <w:shd w:val="clear" w:color="auto" w:fill="FDE9D9" w:themeFill="accent6" w:themeFillTint="33"/>
            <w:hideMark/>
          </w:tcPr>
          <w:p w14:paraId="7F3B4B9D" w14:textId="77777777" w:rsidR="00BE61A2" w:rsidRPr="00325153" w:rsidRDefault="00BE61A2">
            <w:pPr>
              <w:rPr>
                <w:rFonts w:asciiTheme="minorHAnsi" w:eastAsia="Times New Roman" w:hAnsiTheme="minorHAnsi"/>
                <w:b/>
                <w:sz w:val="18"/>
                <w:szCs w:val="18"/>
              </w:rPr>
            </w:pPr>
            <w:r w:rsidRPr="00325153">
              <w:rPr>
                <w:rFonts w:asciiTheme="minorHAnsi" w:eastAsia="Times New Roman" w:hAnsiTheme="minorHAnsi"/>
                <w:b/>
                <w:sz w:val="18"/>
                <w:szCs w:val="18"/>
              </w:rPr>
              <w:t>11</w:t>
            </w:r>
          </w:p>
        </w:tc>
        <w:tc>
          <w:tcPr>
            <w:tcW w:w="1562" w:type="dxa"/>
            <w:shd w:val="clear" w:color="auto" w:fill="FDE9D9" w:themeFill="accent6" w:themeFillTint="33"/>
            <w:hideMark/>
          </w:tcPr>
          <w:p w14:paraId="20D0B5D5" w14:textId="77777777" w:rsidR="00BE61A2" w:rsidRPr="00325153" w:rsidRDefault="00BE61A2">
            <w:pPr>
              <w:rPr>
                <w:rFonts w:asciiTheme="minorHAnsi" w:eastAsia="Times New Roman" w:hAnsiTheme="minorHAnsi"/>
                <w:b/>
                <w:sz w:val="18"/>
                <w:szCs w:val="18"/>
              </w:rPr>
            </w:pPr>
            <w:r w:rsidRPr="00325153">
              <w:rPr>
                <w:rFonts w:asciiTheme="minorHAnsi" w:eastAsia="Times New Roman" w:hAnsiTheme="minorHAnsi"/>
                <w:b/>
                <w:sz w:val="18"/>
                <w:szCs w:val="18"/>
              </w:rPr>
              <w:t>110</w:t>
            </w:r>
          </w:p>
        </w:tc>
      </w:tr>
    </w:tbl>
    <w:p w14:paraId="7E61A5B6" w14:textId="77777777" w:rsidR="00BE61A2" w:rsidRPr="00AE2F1B" w:rsidRDefault="00BE61A2" w:rsidP="00924A50">
      <w:pPr>
        <w:pStyle w:val="Heading3"/>
        <w:rPr>
          <w:rFonts w:eastAsiaTheme="minorEastAsia"/>
        </w:rPr>
      </w:pPr>
      <w:bookmarkStart w:id="203" w:name="_Toc1747357"/>
      <w:r w:rsidRPr="00924A50">
        <w:rPr>
          <w:bCs w:val="0"/>
        </w:rPr>
        <w:lastRenderedPageBreak/>
        <w:t>Age and sex distribution</w:t>
      </w:r>
      <w:bookmarkEnd w:id="203"/>
    </w:p>
    <w:p w14:paraId="031F2664" w14:textId="77777777" w:rsidR="00BE61A2" w:rsidRDefault="00BE61A2" w:rsidP="00AE2F1B">
      <w:r w:rsidRPr="00AE2F1B">
        <w:t xml:space="preserve">In Australia, CHIKV is most commonly reported in younger and middle-aged adults, which may </w:t>
      </w:r>
      <w:proofErr w:type="gramStart"/>
      <w:r w:rsidRPr="00AE2F1B">
        <w:t>be a reflection of</w:t>
      </w:r>
      <w:proofErr w:type="gramEnd"/>
      <w:r w:rsidRPr="00AE2F1B">
        <w:t xml:space="preserve"> the peak travelling age groups. The median age of notifications in 2015 was 44.5 years (range: 11–76 years) and 39% of cases were male (Figure 90).</w:t>
      </w:r>
    </w:p>
    <w:p w14:paraId="5D108AB1" w14:textId="77777777" w:rsidR="00C63A5E" w:rsidRDefault="00C63A5E" w:rsidP="00C63A5E">
      <w:pPr>
        <w:pStyle w:val="CDIFigures"/>
      </w:pPr>
      <w:r w:rsidRPr="00C63A5E">
        <w:t>Figure 90: Notifications of Chikungunya Virus infection, 2015, by age group and sex</w:t>
      </w:r>
    </w:p>
    <w:p w14:paraId="5EA58344" w14:textId="77777777" w:rsidR="00973211" w:rsidRPr="00C63A5E" w:rsidRDefault="0021477A" w:rsidP="00C63A5E">
      <w:pPr>
        <w:pStyle w:val="CDIFigures"/>
      </w:pPr>
      <w:r>
        <w:pict w14:anchorId="67B7C389">
          <v:shape id="_x0000_i1111" type="#_x0000_t75" alt="This figure shows the majority of notified Chikungunya virus infections in 2015 were female. The majority of notified cases were reported in people aged 20 to 39 years and 50 to 59 years." style="width:522.6pt;height:330.6pt">
            <v:imagedata r:id="rId109" o:title="6-Vectorborne chapter figures _86 to 100_Page_05"/>
          </v:shape>
        </w:pict>
      </w:r>
    </w:p>
    <w:p w14:paraId="0EA9A5D1" w14:textId="77777777" w:rsidR="00BE61A2" w:rsidRPr="00AE2F1B" w:rsidRDefault="00BE61A2" w:rsidP="00924A50">
      <w:pPr>
        <w:pStyle w:val="Heading3"/>
      </w:pPr>
      <w:bookmarkStart w:id="204" w:name="_Toc1747358"/>
      <w:r w:rsidRPr="00924A50">
        <w:rPr>
          <w:bCs w:val="0"/>
        </w:rPr>
        <w:t>Seasonality</w:t>
      </w:r>
      <w:bookmarkEnd w:id="204"/>
    </w:p>
    <w:p w14:paraId="1D4AFBCC" w14:textId="77777777" w:rsidR="00BE61A2" w:rsidRPr="00AE2F1B" w:rsidRDefault="00BE61A2" w:rsidP="00AE2F1B">
      <w:r w:rsidRPr="00AE2F1B">
        <w:t>No clear seasonality for CHIKV is evident in Australia, although there can be increases in notifications during peak periods of travel by Australians overseas or during large outbreaks in a particular country or region. The first known outbreak of CHIKV in Samoa occurred in late 2014 and early 2015 with more than 4,500 cases.</w:t>
      </w:r>
      <w:r w:rsidRPr="00AE2F1B">
        <w:rPr>
          <w:vertAlign w:val="superscript"/>
        </w:rPr>
        <w:t>120</w:t>
      </w:r>
      <w:r w:rsidRPr="00AE2F1B">
        <w:t xml:space="preserve"> This outbreak resulted in 20 imported cases in Australia in the first quarter of 2015 (Table 19). There had been a further 25 cases in the 4th quarter of 2014. </w:t>
      </w:r>
    </w:p>
    <w:p w14:paraId="60AA95C7" w14:textId="77777777" w:rsidR="00BE61A2" w:rsidRPr="004E056D" w:rsidRDefault="00BE61A2" w:rsidP="004E056D">
      <w:pPr>
        <w:pStyle w:val="Heading2"/>
      </w:pPr>
      <w:bookmarkStart w:id="205" w:name="_Toc1747359"/>
      <w:r w:rsidRPr="004E056D">
        <w:rPr>
          <w:bCs w:val="0"/>
          <w:sz w:val="27"/>
          <w:szCs w:val="27"/>
        </w:rPr>
        <w:t>Dengue virus</w:t>
      </w:r>
      <w:bookmarkEnd w:id="205"/>
    </w:p>
    <w:p w14:paraId="0B40D6E0" w14:textId="77777777" w:rsidR="00BE61A2" w:rsidRPr="00856390" w:rsidRDefault="00BE61A2" w:rsidP="00D762CF">
      <w:pPr>
        <w:pStyle w:val="ListParagraph"/>
        <w:numPr>
          <w:ilvl w:val="0"/>
          <w:numId w:val="5"/>
        </w:numPr>
        <w:rPr>
          <w:rFonts w:eastAsia="Times New Roman"/>
        </w:rPr>
      </w:pPr>
      <w:r w:rsidRPr="00856390">
        <w:rPr>
          <w:rFonts w:eastAsia="Times New Roman"/>
        </w:rPr>
        <w:t xml:space="preserve">Notifications of DENV were 1.2 times the 5-year mean in 2015. </w:t>
      </w:r>
    </w:p>
    <w:p w14:paraId="51801236" w14:textId="77777777" w:rsidR="00BE61A2" w:rsidRPr="00856390" w:rsidRDefault="00BE61A2" w:rsidP="00D762CF">
      <w:pPr>
        <w:pStyle w:val="ListParagraph"/>
        <w:numPr>
          <w:ilvl w:val="0"/>
          <w:numId w:val="5"/>
        </w:numPr>
        <w:rPr>
          <w:rFonts w:eastAsia="Times New Roman"/>
        </w:rPr>
      </w:pPr>
      <w:r w:rsidRPr="00856390">
        <w:rPr>
          <w:rFonts w:eastAsia="Times New Roman"/>
        </w:rPr>
        <w:t xml:space="preserve">For overseas-acquired DENV, the most common place of acquisition was Indonesia. </w:t>
      </w:r>
    </w:p>
    <w:p w14:paraId="39477C5B" w14:textId="77777777" w:rsidR="007D2DDC" w:rsidRPr="00856390" w:rsidRDefault="00BE61A2" w:rsidP="00D762CF">
      <w:pPr>
        <w:pStyle w:val="ListParagraph"/>
        <w:numPr>
          <w:ilvl w:val="0"/>
          <w:numId w:val="5"/>
        </w:numPr>
        <w:rPr>
          <w:rFonts w:eastAsia="Times New Roman"/>
        </w:rPr>
      </w:pPr>
      <w:r w:rsidRPr="00856390">
        <w:rPr>
          <w:rFonts w:eastAsia="Times New Roman"/>
        </w:rPr>
        <w:t xml:space="preserve">There were 66 </w:t>
      </w:r>
      <w:r w:rsidR="007D2DDC" w:rsidRPr="00856390">
        <w:rPr>
          <w:rFonts w:eastAsia="Times New Roman"/>
        </w:rPr>
        <w:t>locally</w:t>
      </w:r>
      <w:r w:rsidRPr="00856390">
        <w:rPr>
          <w:rFonts w:eastAsia="Times New Roman"/>
        </w:rPr>
        <w:t xml:space="preserve"> acquired cases reported in 2015. </w:t>
      </w:r>
    </w:p>
    <w:p w14:paraId="067A87A1" w14:textId="77777777" w:rsidR="00BE61A2" w:rsidRPr="00AE2F1B" w:rsidRDefault="00BE61A2" w:rsidP="00AE2F1B">
      <w:pPr>
        <w:rPr>
          <w:rFonts w:eastAsia="Times New Roman"/>
        </w:rPr>
      </w:pPr>
      <w:r w:rsidRPr="00AE2F1B">
        <w:rPr>
          <w:rFonts w:eastAsia="Times New Roman"/>
        </w:rPr>
        <w:t xml:space="preserve">The clinical illness for DENV infection is characterised by mild to severe febrile illness with fever, headache, muscle/joint pain and sometimes a rash. A minority of cases progress to severe dengue, with plasma leakage and possibly respiratory distress, haemorrhagic </w:t>
      </w:r>
      <w:proofErr w:type="gramStart"/>
      <w:r w:rsidRPr="00AE2F1B">
        <w:rPr>
          <w:rFonts w:eastAsia="Times New Roman"/>
        </w:rPr>
        <w:t>manifestations</w:t>
      </w:r>
      <w:proofErr w:type="gramEnd"/>
      <w:r w:rsidRPr="00AE2F1B">
        <w:rPr>
          <w:rFonts w:eastAsia="Times New Roman"/>
        </w:rPr>
        <w:t xml:space="preserve"> and shock. Mortality rates are 1% to 20%, depending on the level of supportive care given.</w:t>
      </w:r>
      <w:r w:rsidRPr="00AE2F1B">
        <w:rPr>
          <w:rFonts w:eastAsia="Times New Roman"/>
          <w:vertAlign w:val="superscript"/>
        </w:rPr>
        <w:t>121</w:t>
      </w:r>
      <w:r w:rsidRPr="00AE2F1B">
        <w:rPr>
          <w:rFonts w:eastAsia="Times New Roman"/>
        </w:rPr>
        <w:t xml:space="preserve"> DENV has 4 serotypes, each containing numerous genotypes. No specific treatment is available and there is no vaccine currently available in Australia. The serotypes detected in returning travellers (and thus involved in any local outbreaks in Queensland) vary by year and geographical region. Infection </w:t>
      </w:r>
      <w:r w:rsidRPr="00AE2F1B">
        <w:rPr>
          <w:rFonts w:eastAsia="Times New Roman"/>
        </w:rPr>
        <w:lastRenderedPageBreak/>
        <w:t>with 1 serotype probably confers lifelong immunity to that serotype,</w:t>
      </w:r>
      <w:r w:rsidRPr="00AE2F1B">
        <w:rPr>
          <w:rFonts w:eastAsia="Times New Roman"/>
          <w:vertAlign w:val="superscript"/>
        </w:rPr>
        <w:t>21</w:t>
      </w:r>
      <w:r w:rsidRPr="00AE2F1B">
        <w:rPr>
          <w:rFonts w:eastAsia="Times New Roman"/>
        </w:rPr>
        <w:t xml:space="preserve"> but subsequent infection with a different serotype is thought to increase the risk of severe outcomes, along with other factors including the infecting serotype and genotype, and host factors.</w:t>
      </w:r>
      <w:r w:rsidRPr="00AE2F1B">
        <w:rPr>
          <w:rFonts w:eastAsia="Times New Roman"/>
          <w:vertAlign w:val="superscript"/>
        </w:rPr>
        <w:t>21,122,123,124</w:t>
      </w:r>
      <w:r w:rsidRPr="00AE2F1B">
        <w:rPr>
          <w:rFonts w:eastAsia="Times New Roman"/>
        </w:rPr>
        <w:t xml:space="preserve"> </w:t>
      </w:r>
    </w:p>
    <w:p w14:paraId="25B1D36D" w14:textId="77777777" w:rsidR="00BE61A2" w:rsidRPr="00AE2F1B" w:rsidRDefault="00BE61A2" w:rsidP="00AE2F1B">
      <w:r w:rsidRPr="00AE2F1B">
        <w:t>DENV is not endemic anywhere in Australia, but local transmission can occur in dengue-receptive areas following importation by a viraemic tourist or a resident returning from a dengue-affected area overseas.</w:t>
      </w:r>
      <w:r w:rsidRPr="00AE2F1B">
        <w:rPr>
          <w:vertAlign w:val="superscript"/>
        </w:rPr>
        <w:t>125</w:t>
      </w:r>
      <w:r w:rsidRPr="00AE2F1B">
        <w:t xml:space="preserve"> Outbreaks of dengue are considered a high risk in areas of Queensland where at least one vector species ( </w:t>
      </w:r>
      <w:r w:rsidRPr="00DF12AB">
        <w:rPr>
          <w:rStyle w:val="Emphasis"/>
          <w:b w:val="0"/>
        </w:rPr>
        <w:t>Ae. aegypti</w:t>
      </w:r>
      <w:r w:rsidRPr="00AE2F1B">
        <w:t xml:space="preserve"> or </w:t>
      </w:r>
      <w:r w:rsidRPr="00DF12AB">
        <w:rPr>
          <w:rStyle w:val="Emphasis"/>
          <w:b w:val="0"/>
        </w:rPr>
        <w:t>Ae.</w:t>
      </w:r>
      <w:r w:rsidR="00A86F4A">
        <w:rPr>
          <w:rStyle w:val="Emphasis"/>
          <w:b w:val="0"/>
        </w:rPr>
        <w:t> </w:t>
      </w:r>
      <w:r w:rsidRPr="00DF12AB">
        <w:rPr>
          <w:rStyle w:val="Emphasis"/>
          <w:b w:val="0"/>
        </w:rPr>
        <w:t>albopictus</w:t>
      </w:r>
      <w:r w:rsidRPr="00AE2F1B">
        <w:t xml:space="preserve"> ) is endemic and, where there is a regular influx of international travellers or residents who have returned from dengue-endemic areas, and where there is a recent history of dengue transmission (e.g. Cairns, Townsville, Torres Strait). DENV transmission is considered a moderate risk where the vector is present but where there is no recent history of outbreaks and where few viraemic travellers arrive from endemic areas.</w:t>
      </w:r>
      <w:r w:rsidRPr="00AE2F1B">
        <w:rPr>
          <w:vertAlign w:val="superscript"/>
        </w:rPr>
        <w:t>125</w:t>
      </w:r>
      <w:r w:rsidRPr="00AE2F1B">
        <w:t xml:space="preserve"> There is a low risk of outbreaks in other areas of Queensland (and elsewhere in Australia) where there are currently no populations of </w:t>
      </w:r>
      <w:r w:rsidRPr="00DF12AB">
        <w:rPr>
          <w:rStyle w:val="Emphasis"/>
          <w:b w:val="0"/>
        </w:rPr>
        <w:t>Ae. aegypti</w:t>
      </w:r>
      <w:r w:rsidRPr="00AE2F1B">
        <w:t xml:space="preserve"> or </w:t>
      </w:r>
      <w:r w:rsidRPr="00DF12AB">
        <w:rPr>
          <w:rStyle w:val="Emphasis"/>
          <w:b w:val="0"/>
        </w:rPr>
        <w:t>Ae. albopictus</w:t>
      </w:r>
      <w:r w:rsidRPr="00AE2F1B">
        <w:t xml:space="preserve"> present. Isolated cases of laboratory-acquired infection and infections with an unknown source (possibly related to mosquito importations on air cargo or luggage) have been reported.</w:t>
      </w:r>
      <w:r w:rsidRPr="00AE2F1B">
        <w:rPr>
          <w:vertAlign w:val="superscript"/>
        </w:rPr>
        <w:t>126,127,128</w:t>
      </w:r>
      <w:r w:rsidRPr="00AE2F1B">
        <w:t xml:space="preserve"> </w:t>
      </w:r>
    </w:p>
    <w:p w14:paraId="3208CF52" w14:textId="77777777" w:rsidR="00BE61A2" w:rsidRPr="00AE2F1B" w:rsidRDefault="00BE61A2" w:rsidP="00924A50">
      <w:pPr>
        <w:pStyle w:val="Heading3"/>
      </w:pPr>
      <w:bookmarkStart w:id="206" w:name="_Toc1747360"/>
      <w:r w:rsidRPr="00924A50">
        <w:rPr>
          <w:bCs w:val="0"/>
        </w:rPr>
        <w:t>Epidemiological situation in 2015</w:t>
      </w:r>
      <w:bookmarkEnd w:id="206"/>
    </w:p>
    <w:p w14:paraId="170644A6" w14:textId="77777777" w:rsidR="00BE61A2" w:rsidRPr="00AE2F1B" w:rsidRDefault="00BE61A2" w:rsidP="00AE2F1B">
      <w:r w:rsidRPr="00AE2F1B">
        <w:t>In 2015, there were 1,714 notifications of DENV, representing a rate of 7.2 per 100,000. This is 1.2 times the 5-year mean of 1,430.4 notifications. Of these notifications, 1,534 were confirmed and 180 were probable.</w:t>
      </w:r>
    </w:p>
    <w:p w14:paraId="66844F32" w14:textId="77777777" w:rsidR="00BE61A2" w:rsidRPr="00AE2F1B" w:rsidRDefault="00BE61A2" w:rsidP="00924A50">
      <w:pPr>
        <w:pStyle w:val="Heading3"/>
      </w:pPr>
      <w:bookmarkStart w:id="207" w:name="_Toc1747361"/>
      <w:r w:rsidRPr="00924A50">
        <w:rPr>
          <w:bCs w:val="0"/>
        </w:rPr>
        <w:t>Geographical distribution</w:t>
      </w:r>
      <w:bookmarkEnd w:id="207"/>
    </w:p>
    <w:p w14:paraId="7CDF2885" w14:textId="77777777" w:rsidR="00BE61A2" w:rsidRDefault="00BE61A2" w:rsidP="00AE2F1B">
      <w:r w:rsidRPr="00AE2F1B">
        <w:t>The largest number of notifications was in Western Australia (Figure 91) (n=554), followed by Victoria (n=386). A high number of DENV notifications in Western Australia has previously been noted as reflecting the predilection of Western Australians to holiday in Bali, Indonesia where most of these infections are acquired.</w:t>
      </w:r>
      <w:r w:rsidRPr="00AE2F1B">
        <w:rPr>
          <w:vertAlign w:val="superscript"/>
        </w:rPr>
        <w:t>129</w:t>
      </w:r>
      <w:r w:rsidRPr="00AE2F1B">
        <w:t xml:space="preserve"> </w:t>
      </w:r>
    </w:p>
    <w:p w14:paraId="18228415" w14:textId="77777777" w:rsidR="00B54296" w:rsidRPr="00AE2F1B" w:rsidRDefault="003F1A05" w:rsidP="003F1A05">
      <w:pPr>
        <w:pStyle w:val="CDIFigures"/>
      </w:pPr>
      <w:r>
        <w:t>Figure 91: Notifications of dengue virus infection, Australia, 2010 to 2015, by month and year and state or</w:t>
      </w:r>
      <w:r w:rsidR="00A10409">
        <w:t> </w:t>
      </w:r>
      <w:r>
        <w:t>territory</w:t>
      </w:r>
      <w:r w:rsidR="0021477A">
        <w:pict w14:anchorId="0FD550AA">
          <v:shape id="_x0000_i1112" type="#_x0000_t75" alt="This figure shows the number of dengue virus infections in Australia from 2010 to 2015, by state and territory. For the reporting period notified cases were highset in the Western Australia, Queensland , Victoria and New South Wales respectively. There is a distinct seasonal pattern of dengue virus infection, with cases more likely to be notified during and following the months of peak overseas travel to endemic countries (January to March).&#10;" style="width:522.6pt;height:314.4pt">
            <v:imagedata r:id="rId110" o:title="6-Vectorborne chapter figures _86 to 100_Page_06"/>
          </v:shape>
        </w:pict>
      </w:r>
    </w:p>
    <w:p w14:paraId="7F31E694" w14:textId="77777777" w:rsidR="00BE61A2" w:rsidRPr="00AE2F1B" w:rsidRDefault="00BE61A2" w:rsidP="00AE2F1B">
      <w:r w:rsidRPr="00AE2F1B">
        <w:lastRenderedPageBreak/>
        <w:t xml:space="preserve">Complete information on the place of acquisition was supplied for 98% (1,680/1,714) of notifications (Table 19). There were 1,614 notifications of dengue acquired overseas. Of these, the majority were acquired in Indonesia, (60%, 970/1,614), with the next largest proportion being acquired in Thailand (8%, 133/1,614). </w:t>
      </w:r>
    </w:p>
    <w:p w14:paraId="3867AA83" w14:textId="77777777" w:rsidR="00BE61A2" w:rsidRPr="00AE2F1B" w:rsidRDefault="00BE61A2" w:rsidP="00330DE9">
      <w:pPr>
        <w:pStyle w:val="Heading3"/>
      </w:pPr>
      <w:bookmarkStart w:id="208" w:name="_Toc1747362"/>
      <w:r w:rsidRPr="00AE2F1B">
        <w:t>Age and sex distribution</w:t>
      </w:r>
      <w:bookmarkEnd w:id="208"/>
    </w:p>
    <w:p w14:paraId="7C05290C" w14:textId="77777777" w:rsidR="00BE61A2" w:rsidRDefault="00BE61A2" w:rsidP="00AE2F1B">
      <w:r w:rsidRPr="00AE2F1B">
        <w:t xml:space="preserve">In Australia, DENV is most commonly reported in younger, </w:t>
      </w:r>
      <w:proofErr w:type="gramStart"/>
      <w:r w:rsidRPr="00AE2F1B">
        <w:t>middle-aged</w:t>
      </w:r>
      <w:proofErr w:type="gramEnd"/>
      <w:r w:rsidRPr="00AE2F1B">
        <w:t xml:space="preserve"> and older adults, which may be a reflection of the peak travelling age groups. The median age of notifications in 2015 was 39.5 years (range: 1 to 83 years), and 50% of cases were male. Case numbers peaked in females aged 20–24 and 25–29 years and males aged 30–34 years (Figure 92).</w:t>
      </w:r>
    </w:p>
    <w:p w14:paraId="6D0499CF" w14:textId="77777777" w:rsidR="008A4234" w:rsidRDefault="008A4234" w:rsidP="008A4234">
      <w:pPr>
        <w:pStyle w:val="CDIFigures"/>
      </w:pPr>
      <w:r w:rsidRPr="008A4234">
        <w:t>Figure 92: Notifications of dengue virus infection, 2015, by age group and sex</w:t>
      </w:r>
    </w:p>
    <w:p w14:paraId="648D7C21" w14:textId="77777777" w:rsidR="00B0410A" w:rsidRPr="008A4234" w:rsidRDefault="0021477A" w:rsidP="008A4234">
      <w:pPr>
        <w:pStyle w:val="CDIFigures"/>
      </w:pPr>
      <w:r>
        <w:pict w14:anchorId="058440D6">
          <v:shape id="_x0000_i1113" type="#_x0000_t75" alt="This figure shows the numbers of Dengue virus infection by 5-year age groups and sex in Australia in 2015. The figure demonstrates the peak of reported infections amongst younger and middle aged adults, with a median of 39.5 years.&#10;" style="width:522.6pt;height:351.6pt">
            <v:imagedata r:id="rId111" o:title="6-Vectorborne chapter figures _86 to 100_Page_07"/>
          </v:shape>
        </w:pict>
      </w:r>
    </w:p>
    <w:p w14:paraId="22DFE76A" w14:textId="77777777" w:rsidR="00BE61A2" w:rsidRPr="00330DE9" w:rsidRDefault="00BE61A2" w:rsidP="00330DE9">
      <w:pPr>
        <w:pStyle w:val="Heading3"/>
      </w:pPr>
      <w:bookmarkStart w:id="209" w:name="_Toc1747363"/>
      <w:r w:rsidRPr="00330DE9">
        <w:t>Seasonality</w:t>
      </w:r>
      <w:bookmarkEnd w:id="209"/>
    </w:p>
    <w:p w14:paraId="02BD96CB" w14:textId="77777777" w:rsidR="00BE61A2" w:rsidRPr="00AE2F1B" w:rsidRDefault="00BE61A2" w:rsidP="00AE2F1B">
      <w:r w:rsidRPr="00AE2F1B">
        <w:t>For overseas-acquired cases of DENV, no clear seasonality is evident. However, there can be increases in notifications during peak periods of travel by Australians overseas or during large outbreaks in a particular country or region. In February 2015, the Ministry of Health in Tonga reported an outbreak of DENV serotype 3 that began in January 2015.</w:t>
      </w:r>
      <w:r w:rsidRPr="00AE2F1B">
        <w:rPr>
          <w:vertAlign w:val="superscript"/>
        </w:rPr>
        <w:t>130</w:t>
      </w:r>
      <w:r w:rsidRPr="00AE2F1B">
        <w:t xml:space="preserve"> There were 36 cases imported from Tonga in 2015 (Table 20). There had been no cases imported from Tonga between 2011 and 2013, and 15 cases in 2014, with all reported from April 2014 onwards.</w:t>
      </w:r>
    </w:p>
    <w:p w14:paraId="3E4E8F96" w14:textId="77777777" w:rsidR="00B0410A" w:rsidRDefault="00B0410A">
      <w:pPr>
        <w:rPr>
          <w:b/>
        </w:rPr>
      </w:pPr>
      <w:r>
        <w:br w:type="page"/>
      </w:r>
    </w:p>
    <w:p w14:paraId="66E73CEB" w14:textId="77777777" w:rsidR="00BE61A2" w:rsidRPr="00AE2F1B" w:rsidRDefault="00BE61A2" w:rsidP="00330DE9">
      <w:pPr>
        <w:pStyle w:val="CDIFigures"/>
      </w:pPr>
      <w:r w:rsidRPr="00AE2F1B">
        <w:lastRenderedPageBreak/>
        <w:t xml:space="preserve">Table 20: Notifications of Dengue Virus infection 2015, by place of acquisition and quarter </w:t>
      </w:r>
    </w:p>
    <w:tbl>
      <w:tblPr>
        <w:tblStyle w:val="CDI-StandardTable"/>
        <w:tblW w:w="0" w:type="auto"/>
        <w:tblCellMar>
          <w:top w:w="142" w:type="dxa"/>
          <w:left w:w="142" w:type="dxa"/>
          <w:bottom w:w="142" w:type="dxa"/>
        </w:tblCellMar>
        <w:tblLook w:val="04A0" w:firstRow="1" w:lastRow="0" w:firstColumn="1" w:lastColumn="0" w:noHBand="0" w:noVBand="1"/>
        <w:tblDescription w:val="This table shows the place of acquisition for notified cases of dengue virus infection in each quarter of 2015. Of the cases with place of acquisition reported, 42% were reported in the first quarter of 2015 (January to March). The majority of dengue virus infections reported in 2015 were acquired in Indonesia, Thailand Malaysia or the Philippines&#10;"/>
      </w:tblPr>
      <w:tblGrid>
        <w:gridCol w:w="1600"/>
        <w:gridCol w:w="2509"/>
        <w:gridCol w:w="1266"/>
        <w:gridCol w:w="1266"/>
        <w:gridCol w:w="1266"/>
        <w:gridCol w:w="1266"/>
        <w:gridCol w:w="1267"/>
      </w:tblGrid>
      <w:tr w:rsidR="00BE61A2" w:rsidRPr="00374CC9" w14:paraId="2A96F261" w14:textId="77777777" w:rsidTr="001C17E0">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5018E288"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Category</w:t>
            </w:r>
          </w:p>
        </w:tc>
        <w:tc>
          <w:tcPr>
            <w:tcW w:w="0" w:type="auto"/>
            <w:hideMark/>
          </w:tcPr>
          <w:p w14:paraId="65B7491B"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Country/region</w:t>
            </w:r>
          </w:p>
        </w:tc>
        <w:tc>
          <w:tcPr>
            <w:tcW w:w="1266" w:type="dxa"/>
            <w:hideMark/>
          </w:tcPr>
          <w:p w14:paraId="437C7882"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Jan–Mar</w:t>
            </w:r>
          </w:p>
        </w:tc>
        <w:tc>
          <w:tcPr>
            <w:tcW w:w="1266" w:type="dxa"/>
            <w:hideMark/>
          </w:tcPr>
          <w:p w14:paraId="1927FC0E"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Apr–Jun</w:t>
            </w:r>
          </w:p>
        </w:tc>
        <w:tc>
          <w:tcPr>
            <w:tcW w:w="1266" w:type="dxa"/>
            <w:hideMark/>
          </w:tcPr>
          <w:p w14:paraId="2DFD5CFC"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Jul–Sept</w:t>
            </w:r>
          </w:p>
        </w:tc>
        <w:tc>
          <w:tcPr>
            <w:tcW w:w="1266" w:type="dxa"/>
            <w:hideMark/>
          </w:tcPr>
          <w:p w14:paraId="6BE4F65A"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Oct–Dec</w:t>
            </w:r>
          </w:p>
        </w:tc>
        <w:tc>
          <w:tcPr>
            <w:tcW w:w="1267" w:type="dxa"/>
            <w:hideMark/>
          </w:tcPr>
          <w:p w14:paraId="49CBCD7C"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Total</w:t>
            </w:r>
          </w:p>
        </w:tc>
      </w:tr>
      <w:tr w:rsidR="00BE61A2" w:rsidRPr="00374CC9" w14:paraId="4759E828" w14:textId="77777777" w:rsidTr="001C17E0">
        <w:tblPrEx>
          <w:tblCellMar>
            <w:right w:w="108" w:type="dxa"/>
          </w:tblCellMar>
        </w:tblPrEx>
        <w:tc>
          <w:tcPr>
            <w:tcW w:w="0" w:type="auto"/>
            <w:hideMark/>
          </w:tcPr>
          <w:p w14:paraId="7BDD2F0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Overseas acquired</w:t>
            </w:r>
          </w:p>
        </w:tc>
        <w:tc>
          <w:tcPr>
            <w:tcW w:w="0" w:type="auto"/>
            <w:hideMark/>
          </w:tcPr>
          <w:p w14:paraId="6F621DC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Indonesia</w:t>
            </w:r>
          </w:p>
        </w:tc>
        <w:tc>
          <w:tcPr>
            <w:tcW w:w="1266" w:type="dxa"/>
            <w:hideMark/>
          </w:tcPr>
          <w:p w14:paraId="221DF78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490</w:t>
            </w:r>
          </w:p>
        </w:tc>
        <w:tc>
          <w:tcPr>
            <w:tcW w:w="1266" w:type="dxa"/>
            <w:hideMark/>
          </w:tcPr>
          <w:p w14:paraId="72AC9BA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314</w:t>
            </w:r>
          </w:p>
        </w:tc>
        <w:tc>
          <w:tcPr>
            <w:tcW w:w="1266" w:type="dxa"/>
            <w:hideMark/>
          </w:tcPr>
          <w:p w14:paraId="62DB36D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84</w:t>
            </w:r>
          </w:p>
        </w:tc>
        <w:tc>
          <w:tcPr>
            <w:tcW w:w="1266" w:type="dxa"/>
            <w:hideMark/>
          </w:tcPr>
          <w:p w14:paraId="0ED2ED2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82</w:t>
            </w:r>
          </w:p>
        </w:tc>
        <w:tc>
          <w:tcPr>
            <w:tcW w:w="1267" w:type="dxa"/>
            <w:hideMark/>
          </w:tcPr>
          <w:p w14:paraId="4CDFF8D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970</w:t>
            </w:r>
          </w:p>
        </w:tc>
      </w:tr>
      <w:tr w:rsidR="00BE61A2" w:rsidRPr="00374CC9" w14:paraId="35A93321" w14:textId="77777777" w:rsidTr="001C17E0">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F2C2C22" w14:textId="77777777" w:rsidR="00BE61A2" w:rsidRPr="00374CC9" w:rsidRDefault="00BE61A2">
            <w:pPr>
              <w:rPr>
                <w:rFonts w:asciiTheme="minorHAnsi" w:eastAsia="Times New Roman" w:hAnsiTheme="minorHAnsi"/>
                <w:sz w:val="18"/>
                <w:szCs w:val="18"/>
              </w:rPr>
            </w:pPr>
          </w:p>
        </w:tc>
        <w:tc>
          <w:tcPr>
            <w:tcW w:w="0" w:type="auto"/>
            <w:hideMark/>
          </w:tcPr>
          <w:p w14:paraId="3CA5F9E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Thailand</w:t>
            </w:r>
          </w:p>
        </w:tc>
        <w:tc>
          <w:tcPr>
            <w:tcW w:w="1266" w:type="dxa"/>
            <w:hideMark/>
          </w:tcPr>
          <w:p w14:paraId="46700B4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27</w:t>
            </w:r>
          </w:p>
        </w:tc>
        <w:tc>
          <w:tcPr>
            <w:tcW w:w="1266" w:type="dxa"/>
            <w:hideMark/>
          </w:tcPr>
          <w:p w14:paraId="536E454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w:t>
            </w:r>
          </w:p>
        </w:tc>
        <w:tc>
          <w:tcPr>
            <w:tcW w:w="1266" w:type="dxa"/>
            <w:hideMark/>
          </w:tcPr>
          <w:p w14:paraId="48650A3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44</w:t>
            </w:r>
          </w:p>
        </w:tc>
        <w:tc>
          <w:tcPr>
            <w:tcW w:w="1266" w:type="dxa"/>
            <w:hideMark/>
          </w:tcPr>
          <w:p w14:paraId="6744B94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42</w:t>
            </w:r>
          </w:p>
        </w:tc>
        <w:tc>
          <w:tcPr>
            <w:tcW w:w="1267" w:type="dxa"/>
            <w:hideMark/>
          </w:tcPr>
          <w:p w14:paraId="528439C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133</w:t>
            </w:r>
          </w:p>
        </w:tc>
      </w:tr>
      <w:tr w:rsidR="00BE61A2" w:rsidRPr="00374CC9" w14:paraId="0ED4B325" w14:textId="77777777" w:rsidTr="001C17E0">
        <w:tblPrEx>
          <w:tblCellMar>
            <w:right w:w="108" w:type="dxa"/>
          </w:tblCellMar>
        </w:tblPrEx>
        <w:tc>
          <w:tcPr>
            <w:tcW w:w="0" w:type="auto"/>
            <w:hideMark/>
          </w:tcPr>
          <w:p w14:paraId="371B366E" w14:textId="77777777" w:rsidR="00BE61A2" w:rsidRPr="00374CC9" w:rsidRDefault="00BE61A2">
            <w:pPr>
              <w:rPr>
                <w:rFonts w:asciiTheme="minorHAnsi" w:eastAsia="Times New Roman" w:hAnsiTheme="minorHAnsi"/>
                <w:sz w:val="18"/>
                <w:szCs w:val="18"/>
              </w:rPr>
            </w:pPr>
          </w:p>
        </w:tc>
        <w:tc>
          <w:tcPr>
            <w:tcW w:w="0" w:type="auto"/>
            <w:hideMark/>
          </w:tcPr>
          <w:p w14:paraId="2A03F1B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Malaysia</w:t>
            </w:r>
          </w:p>
        </w:tc>
        <w:tc>
          <w:tcPr>
            <w:tcW w:w="1266" w:type="dxa"/>
            <w:hideMark/>
          </w:tcPr>
          <w:p w14:paraId="745C54C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36</w:t>
            </w:r>
          </w:p>
        </w:tc>
        <w:tc>
          <w:tcPr>
            <w:tcW w:w="1266" w:type="dxa"/>
            <w:hideMark/>
          </w:tcPr>
          <w:p w14:paraId="152CBCE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16</w:t>
            </w:r>
          </w:p>
        </w:tc>
        <w:tc>
          <w:tcPr>
            <w:tcW w:w="1266" w:type="dxa"/>
            <w:hideMark/>
          </w:tcPr>
          <w:p w14:paraId="7057610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19</w:t>
            </w:r>
          </w:p>
        </w:tc>
        <w:tc>
          <w:tcPr>
            <w:tcW w:w="1266" w:type="dxa"/>
            <w:hideMark/>
          </w:tcPr>
          <w:p w14:paraId="6331259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w:t>
            </w:r>
          </w:p>
        </w:tc>
        <w:tc>
          <w:tcPr>
            <w:tcW w:w="1267" w:type="dxa"/>
            <w:hideMark/>
          </w:tcPr>
          <w:p w14:paraId="6F7C4E4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80</w:t>
            </w:r>
          </w:p>
        </w:tc>
      </w:tr>
      <w:tr w:rsidR="00BE61A2" w:rsidRPr="00374CC9" w14:paraId="25BE9614" w14:textId="77777777" w:rsidTr="001C17E0">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0E95DE6" w14:textId="77777777" w:rsidR="00BE61A2" w:rsidRPr="00374CC9" w:rsidRDefault="00BE61A2">
            <w:pPr>
              <w:rPr>
                <w:rFonts w:asciiTheme="minorHAnsi" w:eastAsia="Times New Roman" w:hAnsiTheme="minorHAnsi"/>
                <w:sz w:val="18"/>
                <w:szCs w:val="18"/>
              </w:rPr>
            </w:pPr>
          </w:p>
        </w:tc>
        <w:tc>
          <w:tcPr>
            <w:tcW w:w="0" w:type="auto"/>
            <w:hideMark/>
          </w:tcPr>
          <w:p w14:paraId="63C3F0A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Philippines</w:t>
            </w:r>
          </w:p>
        </w:tc>
        <w:tc>
          <w:tcPr>
            <w:tcW w:w="1266" w:type="dxa"/>
            <w:hideMark/>
          </w:tcPr>
          <w:p w14:paraId="6EF44E6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19</w:t>
            </w:r>
          </w:p>
        </w:tc>
        <w:tc>
          <w:tcPr>
            <w:tcW w:w="1266" w:type="dxa"/>
            <w:hideMark/>
          </w:tcPr>
          <w:p w14:paraId="2D70721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w:t>
            </w:r>
          </w:p>
        </w:tc>
        <w:tc>
          <w:tcPr>
            <w:tcW w:w="1266" w:type="dxa"/>
            <w:hideMark/>
          </w:tcPr>
          <w:p w14:paraId="4DD526A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17</w:t>
            </w:r>
          </w:p>
        </w:tc>
        <w:tc>
          <w:tcPr>
            <w:tcW w:w="1266" w:type="dxa"/>
            <w:hideMark/>
          </w:tcPr>
          <w:p w14:paraId="0537E5A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32</w:t>
            </w:r>
          </w:p>
        </w:tc>
        <w:tc>
          <w:tcPr>
            <w:tcW w:w="1267" w:type="dxa"/>
            <w:hideMark/>
          </w:tcPr>
          <w:p w14:paraId="4C70FD9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73</w:t>
            </w:r>
          </w:p>
        </w:tc>
      </w:tr>
      <w:tr w:rsidR="00BE61A2" w:rsidRPr="00374CC9" w14:paraId="52B0EEE7" w14:textId="77777777" w:rsidTr="001C17E0">
        <w:tblPrEx>
          <w:tblCellMar>
            <w:right w:w="108" w:type="dxa"/>
          </w:tblCellMar>
        </w:tblPrEx>
        <w:tc>
          <w:tcPr>
            <w:tcW w:w="0" w:type="auto"/>
            <w:hideMark/>
          </w:tcPr>
          <w:p w14:paraId="1B904486" w14:textId="77777777" w:rsidR="00BE61A2" w:rsidRPr="00374CC9" w:rsidRDefault="00BE61A2">
            <w:pPr>
              <w:rPr>
                <w:rFonts w:asciiTheme="minorHAnsi" w:eastAsia="Times New Roman" w:hAnsiTheme="minorHAnsi"/>
                <w:sz w:val="18"/>
                <w:szCs w:val="18"/>
              </w:rPr>
            </w:pPr>
          </w:p>
        </w:tc>
        <w:tc>
          <w:tcPr>
            <w:tcW w:w="0" w:type="auto"/>
            <w:hideMark/>
          </w:tcPr>
          <w:p w14:paraId="08A1988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India</w:t>
            </w:r>
          </w:p>
        </w:tc>
        <w:tc>
          <w:tcPr>
            <w:tcW w:w="1266" w:type="dxa"/>
            <w:hideMark/>
          </w:tcPr>
          <w:p w14:paraId="3A664B3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w:t>
            </w:r>
          </w:p>
        </w:tc>
        <w:tc>
          <w:tcPr>
            <w:tcW w:w="1266" w:type="dxa"/>
            <w:hideMark/>
          </w:tcPr>
          <w:p w14:paraId="015F54D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1266" w:type="dxa"/>
            <w:hideMark/>
          </w:tcPr>
          <w:p w14:paraId="4146A53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17</w:t>
            </w:r>
          </w:p>
        </w:tc>
        <w:tc>
          <w:tcPr>
            <w:tcW w:w="1266" w:type="dxa"/>
            <w:hideMark/>
          </w:tcPr>
          <w:p w14:paraId="4E3D9C3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23</w:t>
            </w:r>
          </w:p>
        </w:tc>
        <w:tc>
          <w:tcPr>
            <w:tcW w:w="1267" w:type="dxa"/>
            <w:hideMark/>
          </w:tcPr>
          <w:p w14:paraId="2C9E5F0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51</w:t>
            </w:r>
          </w:p>
        </w:tc>
      </w:tr>
      <w:tr w:rsidR="00BE61A2" w:rsidRPr="00374CC9" w14:paraId="5FA436A8" w14:textId="77777777" w:rsidTr="001C17E0">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8C9FFD0" w14:textId="77777777" w:rsidR="00BE61A2" w:rsidRPr="00374CC9" w:rsidRDefault="00BE61A2">
            <w:pPr>
              <w:rPr>
                <w:rFonts w:asciiTheme="minorHAnsi" w:eastAsia="Times New Roman" w:hAnsiTheme="minorHAnsi"/>
                <w:sz w:val="18"/>
                <w:szCs w:val="18"/>
              </w:rPr>
            </w:pPr>
          </w:p>
        </w:tc>
        <w:tc>
          <w:tcPr>
            <w:tcW w:w="0" w:type="auto"/>
            <w:hideMark/>
          </w:tcPr>
          <w:p w14:paraId="2867BDF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Sri Lanka</w:t>
            </w:r>
          </w:p>
        </w:tc>
        <w:tc>
          <w:tcPr>
            <w:tcW w:w="1266" w:type="dxa"/>
            <w:hideMark/>
          </w:tcPr>
          <w:p w14:paraId="2EF023D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14</w:t>
            </w:r>
          </w:p>
        </w:tc>
        <w:tc>
          <w:tcPr>
            <w:tcW w:w="1266" w:type="dxa"/>
            <w:hideMark/>
          </w:tcPr>
          <w:p w14:paraId="4D9BF14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w:t>
            </w:r>
          </w:p>
        </w:tc>
        <w:tc>
          <w:tcPr>
            <w:tcW w:w="1266" w:type="dxa"/>
            <w:hideMark/>
          </w:tcPr>
          <w:p w14:paraId="7283380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w:t>
            </w:r>
          </w:p>
        </w:tc>
        <w:tc>
          <w:tcPr>
            <w:tcW w:w="1266" w:type="dxa"/>
            <w:hideMark/>
          </w:tcPr>
          <w:p w14:paraId="2F08860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11</w:t>
            </w:r>
          </w:p>
        </w:tc>
        <w:tc>
          <w:tcPr>
            <w:tcW w:w="1267" w:type="dxa"/>
            <w:hideMark/>
          </w:tcPr>
          <w:p w14:paraId="750BC57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39</w:t>
            </w:r>
          </w:p>
        </w:tc>
      </w:tr>
      <w:tr w:rsidR="00BE61A2" w:rsidRPr="00374CC9" w14:paraId="0E64C240" w14:textId="77777777" w:rsidTr="001C17E0">
        <w:tblPrEx>
          <w:tblCellMar>
            <w:right w:w="108" w:type="dxa"/>
          </w:tblCellMar>
        </w:tblPrEx>
        <w:tc>
          <w:tcPr>
            <w:tcW w:w="0" w:type="auto"/>
            <w:hideMark/>
          </w:tcPr>
          <w:p w14:paraId="39D1BAC0" w14:textId="77777777" w:rsidR="00BE61A2" w:rsidRPr="00374CC9" w:rsidRDefault="00BE61A2">
            <w:pPr>
              <w:rPr>
                <w:rFonts w:asciiTheme="minorHAnsi" w:eastAsia="Times New Roman" w:hAnsiTheme="minorHAnsi"/>
                <w:sz w:val="18"/>
                <w:szCs w:val="18"/>
              </w:rPr>
            </w:pPr>
          </w:p>
        </w:tc>
        <w:tc>
          <w:tcPr>
            <w:tcW w:w="0" w:type="auto"/>
            <w:hideMark/>
          </w:tcPr>
          <w:p w14:paraId="3DF62AE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Tonga</w:t>
            </w:r>
          </w:p>
        </w:tc>
        <w:tc>
          <w:tcPr>
            <w:tcW w:w="1266" w:type="dxa"/>
            <w:hideMark/>
          </w:tcPr>
          <w:p w14:paraId="27D96B0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34</w:t>
            </w:r>
          </w:p>
        </w:tc>
        <w:tc>
          <w:tcPr>
            <w:tcW w:w="1266" w:type="dxa"/>
            <w:hideMark/>
          </w:tcPr>
          <w:p w14:paraId="5AEC272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1266" w:type="dxa"/>
            <w:hideMark/>
          </w:tcPr>
          <w:p w14:paraId="30A7498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266" w:type="dxa"/>
            <w:hideMark/>
          </w:tcPr>
          <w:p w14:paraId="1CBBAC2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267" w:type="dxa"/>
            <w:hideMark/>
          </w:tcPr>
          <w:p w14:paraId="66C77F1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36</w:t>
            </w:r>
          </w:p>
        </w:tc>
      </w:tr>
      <w:tr w:rsidR="00BE61A2" w:rsidRPr="00374CC9" w14:paraId="38D1BE0C" w14:textId="77777777" w:rsidTr="001C17E0">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A7CB9A3" w14:textId="77777777" w:rsidR="00BE61A2" w:rsidRPr="00374CC9" w:rsidRDefault="00BE61A2">
            <w:pPr>
              <w:rPr>
                <w:rFonts w:asciiTheme="minorHAnsi" w:eastAsia="Times New Roman" w:hAnsiTheme="minorHAnsi"/>
                <w:sz w:val="18"/>
                <w:szCs w:val="18"/>
              </w:rPr>
            </w:pPr>
          </w:p>
        </w:tc>
        <w:tc>
          <w:tcPr>
            <w:tcW w:w="0" w:type="auto"/>
            <w:hideMark/>
          </w:tcPr>
          <w:p w14:paraId="2DEA786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Papua New Guinea</w:t>
            </w:r>
          </w:p>
        </w:tc>
        <w:tc>
          <w:tcPr>
            <w:tcW w:w="1266" w:type="dxa"/>
            <w:hideMark/>
          </w:tcPr>
          <w:p w14:paraId="17191D1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266" w:type="dxa"/>
            <w:hideMark/>
          </w:tcPr>
          <w:p w14:paraId="397E053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16</w:t>
            </w:r>
          </w:p>
        </w:tc>
        <w:tc>
          <w:tcPr>
            <w:tcW w:w="1266" w:type="dxa"/>
            <w:hideMark/>
          </w:tcPr>
          <w:p w14:paraId="329B3DF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w:t>
            </w:r>
          </w:p>
        </w:tc>
        <w:tc>
          <w:tcPr>
            <w:tcW w:w="1266" w:type="dxa"/>
            <w:hideMark/>
          </w:tcPr>
          <w:p w14:paraId="08A3FF0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w:t>
            </w:r>
          </w:p>
        </w:tc>
        <w:tc>
          <w:tcPr>
            <w:tcW w:w="1267" w:type="dxa"/>
            <w:hideMark/>
          </w:tcPr>
          <w:p w14:paraId="167C478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28</w:t>
            </w:r>
          </w:p>
        </w:tc>
      </w:tr>
      <w:tr w:rsidR="00BE61A2" w:rsidRPr="00374CC9" w14:paraId="341B11E2" w14:textId="77777777" w:rsidTr="001C17E0">
        <w:tblPrEx>
          <w:tblCellMar>
            <w:right w:w="108" w:type="dxa"/>
          </w:tblCellMar>
        </w:tblPrEx>
        <w:tc>
          <w:tcPr>
            <w:tcW w:w="0" w:type="auto"/>
            <w:hideMark/>
          </w:tcPr>
          <w:p w14:paraId="61749352" w14:textId="77777777" w:rsidR="00BE61A2" w:rsidRPr="00374CC9" w:rsidRDefault="00BE61A2">
            <w:pPr>
              <w:rPr>
                <w:rFonts w:asciiTheme="minorHAnsi" w:eastAsia="Times New Roman" w:hAnsiTheme="minorHAnsi"/>
                <w:sz w:val="18"/>
                <w:szCs w:val="18"/>
              </w:rPr>
            </w:pPr>
          </w:p>
        </w:tc>
        <w:tc>
          <w:tcPr>
            <w:tcW w:w="0" w:type="auto"/>
            <w:hideMark/>
          </w:tcPr>
          <w:p w14:paraId="50449D2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Vietnam</w:t>
            </w:r>
          </w:p>
        </w:tc>
        <w:tc>
          <w:tcPr>
            <w:tcW w:w="1266" w:type="dxa"/>
            <w:hideMark/>
          </w:tcPr>
          <w:p w14:paraId="734D143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1266" w:type="dxa"/>
            <w:hideMark/>
          </w:tcPr>
          <w:p w14:paraId="6F0D6D4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1266" w:type="dxa"/>
            <w:hideMark/>
          </w:tcPr>
          <w:p w14:paraId="71261AD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w:t>
            </w:r>
          </w:p>
        </w:tc>
        <w:tc>
          <w:tcPr>
            <w:tcW w:w="1266" w:type="dxa"/>
            <w:hideMark/>
          </w:tcPr>
          <w:p w14:paraId="5DE00F5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14</w:t>
            </w:r>
          </w:p>
        </w:tc>
        <w:tc>
          <w:tcPr>
            <w:tcW w:w="1267" w:type="dxa"/>
            <w:hideMark/>
          </w:tcPr>
          <w:p w14:paraId="77B9F5E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25</w:t>
            </w:r>
          </w:p>
        </w:tc>
      </w:tr>
      <w:tr w:rsidR="00BE61A2" w:rsidRPr="00374CC9" w14:paraId="4D2B1F3A" w14:textId="77777777" w:rsidTr="001C17E0">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D89CDDE" w14:textId="77777777" w:rsidR="00BE61A2" w:rsidRPr="00374CC9" w:rsidRDefault="00BE61A2">
            <w:pPr>
              <w:rPr>
                <w:rFonts w:asciiTheme="minorHAnsi" w:eastAsia="Times New Roman" w:hAnsiTheme="minorHAnsi"/>
                <w:sz w:val="18"/>
                <w:szCs w:val="18"/>
              </w:rPr>
            </w:pPr>
          </w:p>
        </w:tc>
        <w:tc>
          <w:tcPr>
            <w:tcW w:w="0" w:type="auto"/>
            <w:hideMark/>
          </w:tcPr>
          <w:p w14:paraId="7AAB6B0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Cambodia</w:t>
            </w:r>
          </w:p>
        </w:tc>
        <w:tc>
          <w:tcPr>
            <w:tcW w:w="1266" w:type="dxa"/>
            <w:hideMark/>
          </w:tcPr>
          <w:p w14:paraId="1D36D4C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266" w:type="dxa"/>
            <w:hideMark/>
          </w:tcPr>
          <w:p w14:paraId="5B8D7DE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1266" w:type="dxa"/>
            <w:hideMark/>
          </w:tcPr>
          <w:p w14:paraId="5E24F0A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w:t>
            </w:r>
          </w:p>
        </w:tc>
        <w:tc>
          <w:tcPr>
            <w:tcW w:w="1266" w:type="dxa"/>
            <w:hideMark/>
          </w:tcPr>
          <w:p w14:paraId="4A31CED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11</w:t>
            </w:r>
          </w:p>
        </w:tc>
        <w:tc>
          <w:tcPr>
            <w:tcW w:w="1267" w:type="dxa"/>
            <w:hideMark/>
          </w:tcPr>
          <w:p w14:paraId="73D8546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w:t>
            </w:r>
          </w:p>
        </w:tc>
      </w:tr>
      <w:tr w:rsidR="00BE61A2" w:rsidRPr="00374CC9" w14:paraId="55253EC1" w14:textId="77777777" w:rsidTr="001C17E0">
        <w:tblPrEx>
          <w:tblCellMar>
            <w:right w:w="108" w:type="dxa"/>
          </w:tblCellMar>
        </w:tblPrEx>
        <w:tc>
          <w:tcPr>
            <w:tcW w:w="0" w:type="auto"/>
            <w:hideMark/>
          </w:tcPr>
          <w:p w14:paraId="0A59E13F" w14:textId="77777777" w:rsidR="00BE61A2" w:rsidRPr="00374CC9" w:rsidRDefault="00BE61A2">
            <w:pPr>
              <w:rPr>
                <w:rFonts w:asciiTheme="minorHAnsi" w:eastAsia="Times New Roman" w:hAnsiTheme="minorHAnsi"/>
                <w:sz w:val="18"/>
                <w:szCs w:val="18"/>
              </w:rPr>
            </w:pPr>
          </w:p>
        </w:tc>
        <w:tc>
          <w:tcPr>
            <w:tcW w:w="0" w:type="auto"/>
            <w:hideMark/>
          </w:tcPr>
          <w:p w14:paraId="3522D3F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South-East Asia, NFD</w:t>
            </w:r>
          </w:p>
        </w:tc>
        <w:tc>
          <w:tcPr>
            <w:tcW w:w="1266" w:type="dxa"/>
            <w:hideMark/>
          </w:tcPr>
          <w:p w14:paraId="1429F59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1266" w:type="dxa"/>
            <w:hideMark/>
          </w:tcPr>
          <w:p w14:paraId="28C01D7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1266" w:type="dxa"/>
            <w:hideMark/>
          </w:tcPr>
          <w:p w14:paraId="6D37361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w:t>
            </w:r>
          </w:p>
        </w:tc>
        <w:tc>
          <w:tcPr>
            <w:tcW w:w="1266" w:type="dxa"/>
            <w:hideMark/>
          </w:tcPr>
          <w:p w14:paraId="7A241F9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w:t>
            </w:r>
          </w:p>
        </w:tc>
        <w:tc>
          <w:tcPr>
            <w:tcW w:w="1267" w:type="dxa"/>
            <w:hideMark/>
          </w:tcPr>
          <w:p w14:paraId="56DC1BD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17</w:t>
            </w:r>
          </w:p>
        </w:tc>
      </w:tr>
      <w:tr w:rsidR="00BE61A2" w:rsidRPr="00374CC9" w14:paraId="407E4780" w14:textId="77777777" w:rsidTr="001C17E0">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0E553AC" w14:textId="77777777" w:rsidR="00BE61A2" w:rsidRPr="00374CC9" w:rsidRDefault="00BE61A2">
            <w:pPr>
              <w:rPr>
                <w:rFonts w:asciiTheme="minorHAnsi" w:eastAsia="Times New Roman" w:hAnsiTheme="minorHAnsi"/>
                <w:sz w:val="18"/>
                <w:szCs w:val="18"/>
              </w:rPr>
            </w:pPr>
          </w:p>
        </w:tc>
        <w:tc>
          <w:tcPr>
            <w:tcW w:w="0" w:type="auto"/>
            <w:hideMark/>
          </w:tcPr>
          <w:p w14:paraId="48C7B3F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Bangladesh</w:t>
            </w:r>
          </w:p>
        </w:tc>
        <w:tc>
          <w:tcPr>
            <w:tcW w:w="1266" w:type="dxa"/>
            <w:hideMark/>
          </w:tcPr>
          <w:p w14:paraId="3050EE3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266" w:type="dxa"/>
            <w:hideMark/>
          </w:tcPr>
          <w:p w14:paraId="2BCE9C4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1266" w:type="dxa"/>
            <w:hideMark/>
          </w:tcPr>
          <w:p w14:paraId="304D23E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13</w:t>
            </w:r>
          </w:p>
        </w:tc>
        <w:tc>
          <w:tcPr>
            <w:tcW w:w="1266" w:type="dxa"/>
            <w:hideMark/>
          </w:tcPr>
          <w:p w14:paraId="1A67614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1267" w:type="dxa"/>
            <w:hideMark/>
          </w:tcPr>
          <w:p w14:paraId="0B0B02F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16</w:t>
            </w:r>
          </w:p>
        </w:tc>
      </w:tr>
      <w:tr w:rsidR="00BE61A2" w:rsidRPr="00374CC9" w14:paraId="48BAD47E" w14:textId="77777777" w:rsidTr="001C17E0">
        <w:tblPrEx>
          <w:tblCellMar>
            <w:right w:w="108" w:type="dxa"/>
          </w:tblCellMar>
        </w:tblPrEx>
        <w:tc>
          <w:tcPr>
            <w:tcW w:w="0" w:type="auto"/>
            <w:hideMark/>
          </w:tcPr>
          <w:p w14:paraId="4789DE0E" w14:textId="77777777" w:rsidR="00BE61A2" w:rsidRPr="00374CC9" w:rsidRDefault="00BE61A2">
            <w:pPr>
              <w:rPr>
                <w:rFonts w:asciiTheme="minorHAnsi" w:eastAsia="Times New Roman" w:hAnsiTheme="minorHAnsi"/>
                <w:sz w:val="18"/>
                <w:szCs w:val="18"/>
              </w:rPr>
            </w:pPr>
          </w:p>
        </w:tc>
        <w:tc>
          <w:tcPr>
            <w:tcW w:w="0" w:type="auto"/>
            <w:hideMark/>
          </w:tcPr>
          <w:p w14:paraId="0F188FC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East Timor</w:t>
            </w:r>
          </w:p>
        </w:tc>
        <w:tc>
          <w:tcPr>
            <w:tcW w:w="1266" w:type="dxa"/>
            <w:hideMark/>
          </w:tcPr>
          <w:p w14:paraId="3C50DD8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w:t>
            </w:r>
          </w:p>
        </w:tc>
        <w:tc>
          <w:tcPr>
            <w:tcW w:w="1266" w:type="dxa"/>
            <w:hideMark/>
          </w:tcPr>
          <w:p w14:paraId="0550214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w:t>
            </w:r>
          </w:p>
        </w:tc>
        <w:tc>
          <w:tcPr>
            <w:tcW w:w="1266" w:type="dxa"/>
            <w:hideMark/>
          </w:tcPr>
          <w:p w14:paraId="6E1A277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1266" w:type="dxa"/>
            <w:hideMark/>
          </w:tcPr>
          <w:p w14:paraId="7C69E02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267" w:type="dxa"/>
            <w:hideMark/>
          </w:tcPr>
          <w:p w14:paraId="04C9B1E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15</w:t>
            </w:r>
          </w:p>
        </w:tc>
      </w:tr>
      <w:tr w:rsidR="00BE61A2" w:rsidRPr="00374CC9" w14:paraId="232AB3FA" w14:textId="77777777" w:rsidTr="001C17E0">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276BCFD" w14:textId="77777777" w:rsidR="00BE61A2" w:rsidRPr="00374CC9" w:rsidRDefault="00BE61A2">
            <w:pPr>
              <w:rPr>
                <w:rFonts w:asciiTheme="minorHAnsi" w:eastAsia="Times New Roman" w:hAnsiTheme="minorHAnsi"/>
                <w:sz w:val="18"/>
                <w:szCs w:val="18"/>
              </w:rPr>
            </w:pPr>
          </w:p>
        </w:tc>
        <w:tc>
          <w:tcPr>
            <w:tcW w:w="0" w:type="auto"/>
            <w:hideMark/>
          </w:tcPr>
          <w:p w14:paraId="603D203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Singapore</w:t>
            </w:r>
          </w:p>
        </w:tc>
        <w:tc>
          <w:tcPr>
            <w:tcW w:w="1266" w:type="dxa"/>
            <w:hideMark/>
          </w:tcPr>
          <w:p w14:paraId="240A6DF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1266" w:type="dxa"/>
            <w:hideMark/>
          </w:tcPr>
          <w:p w14:paraId="3F29AA9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1266" w:type="dxa"/>
            <w:hideMark/>
          </w:tcPr>
          <w:p w14:paraId="3C8176F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1266" w:type="dxa"/>
            <w:hideMark/>
          </w:tcPr>
          <w:p w14:paraId="4DBD7FA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w:t>
            </w:r>
          </w:p>
        </w:tc>
        <w:tc>
          <w:tcPr>
            <w:tcW w:w="1267" w:type="dxa"/>
            <w:hideMark/>
          </w:tcPr>
          <w:p w14:paraId="79D6092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14</w:t>
            </w:r>
          </w:p>
        </w:tc>
      </w:tr>
      <w:tr w:rsidR="00BE61A2" w:rsidRPr="00374CC9" w14:paraId="5FCA57CD" w14:textId="77777777" w:rsidTr="001C17E0">
        <w:tblPrEx>
          <w:tblCellMar>
            <w:right w:w="108" w:type="dxa"/>
          </w:tblCellMar>
        </w:tblPrEx>
        <w:tc>
          <w:tcPr>
            <w:tcW w:w="0" w:type="auto"/>
            <w:hideMark/>
          </w:tcPr>
          <w:p w14:paraId="38475350" w14:textId="77777777" w:rsidR="00BE61A2" w:rsidRPr="00374CC9" w:rsidRDefault="00BE61A2">
            <w:pPr>
              <w:rPr>
                <w:rFonts w:asciiTheme="minorHAnsi" w:eastAsia="Times New Roman" w:hAnsiTheme="minorHAnsi"/>
                <w:sz w:val="18"/>
                <w:szCs w:val="18"/>
              </w:rPr>
            </w:pPr>
          </w:p>
        </w:tc>
        <w:tc>
          <w:tcPr>
            <w:tcW w:w="0" w:type="auto"/>
            <w:hideMark/>
          </w:tcPr>
          <w:p w14:paraId="2354079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Burma (Myanmar)</w:t>
            </w:r>
          </w:p>
        </w:tc>
        <w:tc>
          <w:tcPr>
            <w:tcW w:w="1266" w:type="dxa"/>
            <w:hideMark/>
          </w:tcPr>
          <w:p w14:paraId="69B327E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1266" w:type="dxa"/>
            <w:hideMark/>
          </w:tcPr>
          <w:p w14:paraId="190ECE2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1266" w:type="dxa"/>
            <w:hideMark/>
          </w:tcPr>
          <w:p w14:paraId="6807134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1266" w:type="dxa"/>
            <w:hideMark/>
          </w:tcPr>
          <w:p w14:paraId="727B0FE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w:t>
            </w:r>
          </w:p>
        </w:tc>
        <w:tc>
          <w:tcPr>
            <w:tcW w:w="1267" w:type="dxa"/>
            <w:hideMark/>
          </w:tcPr>
          <w:p w14:paraId="761D5EC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11</w:t>
            </w:r>
          </w:p>
        </w:tc>
      </w:tr>
      <w:tr w:rsidR="00BE61A2" w:rsidRPr="00374CC9" w14:paraId="4AF50D3D" w14:textId="77777777" w:rsidTr="001C17E0">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0974D61" w14:textId="77777777" w:rsidR="00BE61A2" w:rsidRPr="00374CC9" w:rsidRDefault="00BE61A2">
            <w:pPr>
              <w:rPr>
                <w:rFonts w:asciiTheme="minorHAnsi" w:eastAsia="Times New Roman" w:hAnsiTheme="minorHAnsi"/>
                <w:sz w:val="18"/>
                <w:szCs w:val="18"/>
              </w:rPr>
            </w:pPr>
          </w:p>
        </w:tc>
        <w:tc>
          <w:tcPr>
            <w:tcW w:w="0" w:type="auto"/>
            <w:hideMark/>
          </w:tcPr>
          <w:p w14:paraId="7780706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Samoa</w:t>
            </w:r>
          </w:p>
        </w:tc>
        <w:tc>
          <w:tcPr>
            <w:tcW w:w="1266" w:type="dxa"/>
            <w:hideMark/>
          </w:tcPr>
          <w:p w14:paraId="15643A0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266" w:type="dxa"/>
            <w:hideMark/>
          </w:tcPr>
          <w:p w14:paraId="411374C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266" w:type="dxa"/>
            <w:hideMark/>
          </w:tcPr>
          <w:p w14:paraId="2273429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w:t>
            </w:r>
          </w:p>
        </w:tc>
        <w:tc>
          <w:tcPr>
            <w:tcW w:w="1266" w:type="dxa"/>
            <w:hideMark/>
          </w:tcPr>
          <w:p w14:paraId="3ACE8E5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w:t>
            </w:r>
          </w:p>
        </w:tc>
        <w:tc>
          <w:tcPr>
            <w:tcW w:w="1267" w:type="dxa"/>
            <w:hideMark/>
          </w:tcPr>
          <w:p w14:paraId="2136B61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w:t>
            </w:r>
          </w:p>
        </w:tc>
      </w:tr>
      <w:tr w:rsidR="00BE61A2" w:rsidRPr="00374CC9" w14:paraId="5A5F05F2" w14:textId="77777777" w:rsidTr="001C17E0">
        <w:tblPrEx>
          <w:tblCellMar>
            <w:right w:w="108" w:type="dxa"/>
          </w:tblCellMar>
        </w:tblPrEx>
        <w:tc>
          <w:tcPr>
            <w:tcW w:w="0" w:type="auto"/>
            <w:hideMark/>
          </w:tcPr>
          <w:p w14:paraId="3609B86C" w14:textId="77777777" w:rsidR="00BE61A2" w:rsidRPr="00374CC9" w:rsidRDefault="00BE61A2">
            <w:pPr>
              <w:rPr>
                <w:rFonts w:asciiTheme="minorHAnsi" w:eastAsia="Times New Roman" w:hAnsiTheme="minorHAnsi"/>
                <w:sz w:val="18"/>
                <w:szCs w:val="18"/>
              </w:rPr>
            </w:pPr>
          </w:p>
        </w:tc>
        <w:tc>
          <w:tcPr>
            <w:tcW w:w="0" w:type="auto"/>
            <w:hideMark/>
          </w:tcPr>
          <w:p w14:paraId="2DF4EA3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Fiji</w:t>
            </w:r>
          </w:p>
        </w:tc>
        <w:tc>
          <w:tcPr>
            <w:tcW w:w="1266" w:type="dxa"/>
            <w:hideMark/>
          </w:tcPr>
          <w:p w14:paraId="27CA17C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1266" w:type="dxa"/>
            <w:hideMark/>
          </w:tcPr>
          <w:p w14:paraId="0EFFC27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w:t>
            </w:r>
          </w:p>
        </w:tc>
        <w:tc>
          <w:tcPr>
            <w:tcW w:w="1266" w:type="dxa"/>
            <w:hideMark/>
          </w:tcPr>
          <w:p w14:paraId="04D3B1B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266" w:type="dxa"/>
            <w:hideMark/>
          </w:tcPr>
          <w:p w14:paraId="4855573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w:t>
            </w:r>
          </w:p>
        </w:tc>
        <w:tc>
          <w:tcPr>
            <w:tcW w:w="1267" w:type="dxa"/>
            <w:hideMark/>
          </w:tcPr>
          <w:p w14:paraId="0D002A2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w:t>
            </w:r>
          </w:p>
        </w:tc>
      </w:tr>
      <w:tr w:rsidR="00BE61A2" w:rsidRPr="00374CC9" w14:paraId="0A66B68C" w14:textId="77777777" w:rsidTr="001C17E0">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A73E996" w14:textId="77777777" w:rsidR="00BE61A2" w:rsidRPr="00374CC9" w:rsidRDefault="00BE61A2">
            <w:pPr>
              <w:rPr>
                <w:rFonts w:asciiTheme="minorHAnsi" w:eastAsia="Times New Roman" w:hAnsiTheme="minorHAnsi"/>
                <w:sz w:val="18"/>
                <w:szCs w:val="18"/>
              </w:rPr>
            </w:pPr>
          </w:p>
        </w:tc>
        <w:tc>
          <w:tcPr>
            <w:tcW w:w="0" w:type="auto"/>
            <w:hideMark/>
          </w:tcPr>
          <w:p w14:paraId="1BD4DCB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Brazil</w:t>
            </w:r>
          </w:p>
        </w:tc>
        <w:tc>
          <w:tcPr>
            <w:tcW w:w="1266" w:type="dxa"/>
            <w:hideMark/>
          </w:tcPr>
          <w:p w14:paraId="5023F4F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1266" w:type="dxa"/>
            <w:hideMark/>
          </w:tcPr>
          <w:p w14:paraId="0E790F6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1266" w:type="dxa"/>
            <w:hideMark/>
          </w:tcPr>
          <w:p w14:paraId="554FD4C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1266" w:type="dxa"/>
            <w:hideMark/>
          </w:tcPr>
          <w:p w14:paraId="72A3B12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1267" w:type="dxa"/>
            <w:hideMark/>
          </w:tcPr>
          <w:p w14:paraId="0CCF5E7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w:t>
            </w:r>
          </w:p>
        </w:tc>
      </w:tr>
      <w:tr w:rsidR="00BE61A2" w:rsidRPr="00374CC9" w14:paraId="6AB859D8" w14:textId="77777777" w:rsidTr="001C17E0">
        <w:tblPrEx>
          <w:tblCellMar>
            <w:right w:w="108" w:type="dxa"/>
          </w:tblCellMar>
        </w:tblPrEx>
        <w:tc>
          <w:tcPr>
            <w:tcW w:w="0" w:type="auto"/>
            <w:hideMark/>
          </w:tcPr>
          <w:p w14:paraId="2175D3C1" w14:textId="77777777" w:rsidR="00BE61A2" w:rsidRPr="00374CC9" w:rsidRDefault="00BE61A2">
            <w:pPr>
              <w:rPr>
                <w:rFonts w:asciiTheme="minorHAnsi" w:eastAsia="Times New Roman" w:hAnsiTheme="minorHAnsi"/>
                <w:sz w:val="18"/>
                <w:szCs w:val="18"/>
              </w:rPr>
            </w:pPr>
          </w:p>
        </w:tc>
        <w:tc>
          <w:tcPr>
            <w:tcW w:w="0" w:type="auto"/>
            <w:hideMark/>
          </w:tcPr>
          <w:p w14:paraId="4049641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Solomon Islands</w:t>
            </w:r>
          </w:p>
        </w:tc>
        <w:tc>
          <w:tcPr>
            <w:tcW w:w="1266" w:type="dxa"/>
            <w:hideMark/>
          </w:tcPr>
          <w:p w14:paraId="5A926D9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w:t>
            </w:r>
          </w:p>
        </w:tc>
        <w:tc>
          <w:tcPr>
            <w:tcW w:w="1266" w:type="dxa"/>
            <w:hideMark/>
          </w:tcPr>
          <w:p w14:paraId="3E826D5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266" w:type="dxa"/>
            <w:hideMark/>
          </w:tcPr>
          <w:p w14:paraId="2CAA047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266" w:type="dxa"/>
            <w:hideMark/>
          </w:tcPr>
          <w:p w14:paraId="1179285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1267" w:type="dxa"/>
            <w:hideMark/>
          </w:tcPr>
          <w:p w14:paraId="700E2BE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w:t>
            </w:r>
          </w:p>
        </w:tc>
      </w:tr>
      <w:tr w:rsidR="00BE61A2" w:rsidRPr="00374CC9" w14:paraId="66B51B9F" w14:textId="77777777" w:rsidTr="001C17E0">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D5BB492" w14:textId="77777777" w:rsidR="00BE61A2" w:rsidRPr="00374CC9" w:rsidRDefault="00BE61A2">
            <w:pPr>
              <w:rPr>
                <w:rFonts w:asciiTheme="minorHAnsi" w:eastAsia="Times New Roman" w:hAnsiTheme="minorHAnsi"/>
                <w:sz w:val="18"/>
                <w:szCs w:val="18"/>
              </w:rPr>
            </w:pPr>
          </w:p>
        </w:tc>
        <w:tc>
          <w:tcPr>
            <w:tcW w:w="0" w:type="auto"/>
            <w:hideMark/>
          </w:tcPr>
          <w:p w14:paraId="022B1D9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Mainland South-East Asia, NFD</w:t>
            </w:r>
          </w:p>
        </w:tc>
        <w:tc>
          <w:tcPr>
            <w:tcW w:w="1266" w:type="dxa"/>
            <w:hideMark/>
          </w:tcPr>
          <w:p w14:paraId="4B1B919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266" w:type="dxa"/>
            <w:hideMark/>
          </w:tcPr>
          <w:p w14:paraId="7BADE06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266" w:type="dxa"/>
            <w:hideMark/>
          </w:tcPr>
          <w:p w14:paraId="5886618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1266" w:type="dxa"/>
            <w:hideMark/>
          </w:tcPr>
          <w:p w14:paraId="3659369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w:t>
            </w:r>
          </w:p>
        </w:tc>
        <w:tc>
          <w:tcPr>
            <w:tcW w:w="1267" w:type="dxa"/>
            <w:hideMark/>
          </w:tcPr>
          <w:p w14:paraId="178F121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w:t>
            </w:r>
          </w:p>
        </w:tc>
      </w:tr>
      <w:tr w:rsidR="00BE61A2" w:rsidRPr="00374CC9" w14:paraId="00EF8548" w14:textId="77777777" w:rsidTr="001C17E0">
        <w:tblPrEx>
          <w:tblCellMar>
            <w:right w:w="108" w:type="dxa"/>
          </w:tblCellMar>
        </w:tblPrEx>
        <w:tc>
          <w:tcPr>
            <w:tcW w:w="0" w:type="auto"/>
            <w:hideMark/>
          </w:tcPr>
          <w:p w14:paraId="4CF18FDB" w14:textId="77777777" w:rsidR="00BE61A2" w:rsidRPr="00374CC9" w:rsidRDefault="00BE61A2">
            <w:pPr>
              <w:rPr>
                <w:rFonts w:asciiTheme="minorHAnsi" w:eastAsia="Times New Roman" w:hAnsiTheme="minorHAnsi"/>
                <w:sz w:val="18"/>
                <w:szCs w:val="18"/>
              </w:rPr>
            </w:pPr>
          </w:p>
        </w:tc>
        <w:tc>
          <w:tcPr>
            <w:tcW w:w="0" w:type="auto"/>
            <w:hideMark/>
          </w:tcPr>
          <w:p w14:paraId="6A28B06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Maldives</w:t>
            </w:r>
          </w:p>
        </w:tc>
        <w:tc>
          <w:tcPr>
            <w:tcW w:w="1266" w:type="dxa"/>
            <w:hideMark/>
          </w:tcPr>
          <w:p w14:paraId="360361B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266" w:type="dxa"/>
            <w:hideMark/>
          </w:tcPr>
          <w:p w14:paraId="3AC77EB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1266" w:type="dxa"/>
            <w:hideMark/>
          </w:tcPr>
          <w:p w14:paraId="1255344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1266" w:type="dxa"/>
            <w:hideMark/>
          </w:tcPr>
          <w:p w14:paraId="69C2928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267" w:type="dxa"/>
            <w:hideMark/>
          </w:tcPr>
          <w:p w14:paraId="687C3AF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w:t>
            </w:r>
          </w:p>
        </w:tc>
      </w:tr>
      <w:tr w:rsidR="00BE61A2" w:rsidRPr="00374CC9" w14:paraId="112E618D" w14:textId="77777777" w:rsidTr="001C17E0">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FD8C350" w14:textId="77777777" w:rsidR="00BE61A2" w:rsidRPr="00374CC9" w:rsidRDefault="00BE61A2">
            <w:pPr>
              <w:rPr>
                <w:rFonts w:asciiTheme="minorHAnsi" w:eastAsia="Times New Roman" w:hAnsiTheme="minorHAnsi"/>
                <w:sz w:val="18"/>
                <w:szCs w:val="18"/>
              </w:rPr>
            </w:pPr>
          </w:p>
        </w:tc>
        <w:tc>
          <w:tcPr>
            <w:tcW w:w="0" w:type="auto"/>
            <w:hideMark/>
          </w:tcPr>
          <w:p w14:paraId="39C9E20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South America, NFD</w:t>
            </w:r>
          </w:p>
        </w:tc>
        <w:tc>
          <w:tcPr>
            <w:tcW w:w="1266" w:type="dxa"/>
            <w:hideMark/>
          </w:tcPr>
          <w:p w14:paraId="10F1FA3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266" w:type="dxa"/>
            <w:hideMark/>
          </w:tcPr>
          <w:p w14:paraId="2E18121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1266" w:type="dxa"/>
            <w:hideMark/>
          </w:tcPr>
          <w:p w14:paraId="6C7B434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1266" w:type="dxa"/>
            <w:hideMark/>
          </w:tcPr>
          <w:p w14:paraId="4FD1518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267" w:type="dxa"/>
            <w:hideMark/>
          </w:tcPr>
          <w:p w14:paraId="2C31E51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w:t>
            </w:r>
          </w:p>
        </w:tc>
      </w:tr>
      <w:tr w:rsidR="00BE61A2" w:rsidRPr="00374CC9" w14:paraId="6C647578" w14:textId="77777777" w:rsidTr="001C17E0">
        <w:tblPrEx>
          <w:tblCellMar>
            <w:right w:w="108" w:type="dxa"/>
          </w:tblCellMar>
        </w:tblPrEx>
        <w:tc>
          <w:tcPr>
            <w:tcW w:w="0" w:type="auto"/>
            <w:hideMark/>
          </w:tcPr>
          <w:p w14:paraId="3B61088F" w14:textId="77777777" w:rsidR="00BE61A2" w:rsidRPr="00374CC9" w:rsidRDefault="00BE61A2">
            <w:pPr>
              <w:rPr>
                <w:rFonts w:asciiTheme="minorHAnsi" w:eastAsia="Times New Roman" w:hAnsiTheme="minorHAnsi"/>
                <w:sz w:val="18"/>
                <w:szCs w:val="18"/>
              </w:rPr>
            </w:pPr>
          </w:p>
        </w:tc>
        <w:tc>
          <w:tcPr>
            <w:tcW w:w="0" w:type="auto"/>
            <w:hideMark/>
          </w:tcPr>
          <w:p w14:paraId="1492217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Pakistan</w:t>
            </w:r>
          </w:p>
        </w:tc>
        <w:tc>
          <w:tcPr>
            <w:tcW w:w="1266" w:type="dxa"/>
            <w:hideMark/>
          </w:tcPr>
          <w:p w14:paraId="451B22C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1266" w:type="dxa"/>
            <w:hideMark/>
          </w:tcPr>
          <w:p w14:paraId="3D11335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266" w:type="dxa"/>
            <w:hideMark/>
          </w:tcPr>
          <w:p w14:paraId="57EC23D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1266" w:type="dxa"/>
            <w:hideMark/>
          </w:tcPr>
          <w:p w14:paraId="1926E92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1267" w:type="dxa"/>
            <w:hideMark/>
          </w:tcPr>
          <w:p w14:paraId="04CA9FE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w:t>
            </w:r>
          </w:p>
        </w:tc>
      </w:tr>
      <w:tr w:rsidR="00BE61A2" w:rsidRPr="00374CC9" w14:paraId="5657A6E7" w14:textId="77777777" w:rsidTr="001C17E0">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4FB6AA9" w14:textId="77777777" w:rsidR="00BE61A2" w:rsidRPr="00374CC9" w:rsidRDefault="00BE61A2">
            <w:pPr>
              <w:rPr>
                <w:rFonts w:asciiTheme="minorHAnsi" w:eastAsia="Times New Roman" w:hAnsiTheme="minorHAnsi"/>
                <w:sz w:val="18"/>
                <w:szCs w:val="18"/>
              </w:rPr>
            </w:pPr>
          </w:p>
        </w:tc>
        <w:tc>
          <w:tcPr>
            <w:tcW w:w="0" w:type="auto"/>
            <w:hideMark/>
          </w:tcPr>
          <w:p w14:paraId="1C37CF2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Cuba</w:t>
            </w:r>
          </w:p>
        </w:tc>
        <w:tc>
          <w:tcPr>
            <w:tcW w:w="1266" w:type="dxa"/>
            <w:hideMark/>
          </w:tcPr>
          <w:p w14:paraId="2412EB6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266" w:type="dxa"/>
            <w:hideMark/>
          </w:tcPr>
          <w:p w14:paraId="04DCA46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266" w:type="dxa"/>
            <w:hideMark/>
          </w:tcPr>
          <w:p w14:paraId="1F9BFE2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266" w:type="dxa"/>
            <w:hideMark/>
          </w:tcPr>
          <w:p w14:paraId="3E71E5E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1267" w:type="dxa"/>
            <w:hideMark/>
          </w:tcPr>
          <w:p w14:paraId="328C95B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r>
      <w:tr w:rsidR="00BE61A2" w:rsidRPr="00374CC9" w14:paraId="4F4BE561" w14:textId="77777777" w:rsidTr="001C17E0">
        <w:tblPrEx>
          <w:tblCellMar>
            <w:right w:w="108" w:type="dxa"/>
          </w:tblCellMar>
        </w:tblPrEx>
        <w:tc>
          <w:tcPr>
            <w:tcW w:w="0" w:type="auto"/>
            <w:hideMark/>
          </w:tcPr>
          <w:p w14:paraId="7BAAD291" w14:textId="77777777" w:rsidR="00BE61A2" w:rsidRPr="00374CC9" w:rsidRDefault="00BE61A2">
            <w:pPr>
              <w:rPr>
                <w:rFonts w:asciiTheme="minorHAnsi" w:eastAsia="Times New Roman" w:hAnsiTheme="minorHAnsi"/>
                <w:sz w:val="18"/>
                <w:szCs w:val="18"/>
              </w:rPr>
            </w:pPr>
          </w:p>
        </w:tc>
        <w:tc>
          <w:tcPr>
            <w:tcW w:w="0" w:type="auto"/>
            <w:hideMark/>
          </w:tcPr>
          <w:p w14:paraId="635CFF0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Other countries</w:t>
            </w:r>
            <w:r w:rsidRPr="00374CC9">
              <w:rPr>
                <w:rFonts w:asciiTheme="minorHAnsi" w:eastAsia="Times New Roman" w:hAnsiTheme="minorHAnsi"/>
                <w:sz w:val="18"/>
                <w:szCs w:val="18"/>
                <w:vertAlign w:val="superscript"/>
              </w:rPr>
              <w:t>*</w:t>
            </w:r>
          </w:p>
        </w:tc>
        <w:tc>
          <w:tcPr>
            <w:tcW w:w="1266" w:type="dxa"/>
            <w:hideMark/>
          </w:tcPr>
          <w:p w14:paraId="01B0C79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1266" w:type="dxa"/>
            <w:hideMark/>
          </w:tcPr>
          <w:p w14:paraId="75E51AE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w:t>
            </w:r>
          </w:p>
        </w:tc>
        <w:tc>
          <w:tcPr>
            <w:tcW w:w="1266" w:type="dxa"/>
            <w:hideMark/>
          </w:tcPr>
          <w:p w14:paraId="7147161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w:t>
            </w:r>
          </w:p>
        </w:tc>
        <w:tc>
          <w:tcPr>
            <w:tcW w:w="1266" w:type="dxa"/>
            <w:hideMark/>
          </w:tcPr>
          <w:p w14:paraId="4F2699D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15</w:t>
            </w:r>
          </w:p>
        </w:tc>
        <w:tc>
          <w:tcPr>
            <w:tcW w:w="1267" w:type="dxa"/>
            <w:hideMark/>
          </w:tcPr>
          <w:p w14:paraId="16E7A25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27</w:t>
            </w:r>
          </w:p>
        </w:tc>
      </w:tr>
      <w:tr w:rsidR="00BE61A2" w:rsidRPr="00374CC9" w14:paraId="18918B71" w14:textId="77777777" w:rsidTr="001C17E0">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DABAB28" w14:textId="77777777" w:rsidR="00BE61A2" w:rsidRPr="00374CC9" w:rsidRDefault="00BE61A2">
            <w:pPr>
              <w:rPr>
                <w:rFonts w:asciiTheme="minorHAnsi" w:eastAsia="Times New Roman" w:hAnsiTheme="minorHAnsi"/>
                <w:sz w:val="18"/>
                <w:szCs w:val="18"/>
              </w:rPr>
            </w:pPr>
          </w:p>
        </w:tc>
        <w:tc>
          <w:tcPr>
            <w:tcW w:w="0" w:type="auto"/>
            <w:hideMark/>
          </w:tcPr>
          <w:p w14:paraId="2DD1ED1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Overseas–country unknown</w:t>
            </w:r>
          </w:p>
        </w:tc>
        <w:tc>
          <w:tcPr>
            <w:tcW w:w="1266" w:type="dxa"/>
            <w:hideMark/>
          </w:tcPr>
          <w:p w14:paraId="6981FAE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1266" w:type="dxa"/>
            <w:hideMark/>
          </w:tcPr>
          <w:p w14:paraId="3A833E7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266" w:type="dxa"/>
            <w:hideMark/>
          </w:tcPr>
          <w:p w14:paraId="57FF5CA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1266" w:type="dxa"/>
            <w:hideMark/>
          </w:tcPr>
          <w:p w14:paraId="7A933AB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267" w:type="dxa"/>
            <w:hideMark/>
          </w:tcPr>
          <w:p w14:paraId="7D3FEDC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r>
      <w:tr w:rsidR="00BE61A2" w:rsidRPr="00DF2A11" w14:paraId="12A97890" w14:textId="77777777" w:rsidTr="00DF2A11">
        <w:tblPrEx>
          <w:tblCellMar>
            <w:right w:w="108" w:type="dxa"/>
          </w:tblCellMar>
        </w:tblPrEx>
        <w:tc>
          <w:tcPr>
            <w:tcW w:w="0" w:type="auto"/>
            <w:gridSpan w:val="2"/>
            <w:shd w:val="clear" w:color="auto" w:fill="FDE9D9" w:themeFill="accent6" w:themeFillTint="33"/>
            <w:hideMark/>
          </w:tcPr>
          <w:p w14:paraId="229F1EAE" w14:textId="77777777" w:rsidR="00BE61A2" w:rsidRPr="00DF2A11" w:rsidRDefault="00BE61A2">
            <w:pPr>
              <w:rPr>
                <w:rFonts w:asciiTheme="minorHAnsi" w:eastAsia="Times New Roman" w:hAnsiTheme="minorHAnsi"/>
                <w:b/>
                <w:sz w:val="18"/>
                <w:szCs w:val="18"/>
              </w:rPr>
            </w:pPr>
            <w:r w:rsidRPr="00DF2A11">
              <w:rPr>
                <w:rFonts w:asciiTheme="minorHAnsi" w:eastAsia="Times New Roman" w:hAnsiTheme="minorHAnsi"/>
                <w:b/>
                <w:sz w:val="18"/>
                <w:szCs w:val="18"/>
              </w:rPr>
              <w:lastRenderedPageBreak/>
              <w:t>Total</w:t>
            </w:r>
          </w:p>
        </w:tc>
        <w:tc>
          <w:tcPr>
            <w:tcW w:w="1266" w:type="dxa"/>
            <w:shd w:val="clear" w:color="auto" w:fill="FDE9D9" w:themeFill="accent6" w:themeFillTint="33"/>
            <w:hideMark/>
          </w:tcPr>
          <w:p w14:paraId="4D68CEA1" w14:textId="77777777" w:rsidR="00BE61A2" w:rsidRPr="00DF2A11" w:rsidRDefault="00BE61A2">
            <w:pPr>
              <w:rPr>
                <w:rFonts w:asciiTheme="minorHAnsi" w:eastAsia="Times New Roman" w:hAnsiTheme="minorHAnsi"/>
                <w:b/>
                <w:sz w:val="18"/>
                <w:szCs w:val="18"/>
              </w:rPr>
            </w:pPr>
            <w:r w:rsidRPr="00DF2A11">
              <w:rPr>
                <w:rFonts w:asciiTheme="minorHAnsi" w:eastAsia="Times New Roman" w:hAnsiTheme="minorHAnsi"/>
                <w:b/>
                <w:sz w:val="18"/>
                <w:szCs w:val="18"/>
              </w:rPr>
              <w:t>655</w:t>
            </w:r>
          </w:p>
        </w:tc>
        <w:tc>
          <w:tcPr>
            <w:tcW w:w="1266" w:type="dxa"/>
            <w:shd w:val="clear" w:color="auto" w:fill="FDE9D9" w:themeFill="accent6" w:themeFillTint="33"/>
            <w:hideMark/>
          </w:tcPr>
          <w:p w14:paraId="48CBD306" w14:textId="77777777" w:rsidR="00BE61A2" w:rsidRPr="00DF2A11" w:rsidRDefault="00BE61A2">
            <w:pPr>
              <w:rPr>
                <w:rFonts w:asciiTheme="minorHAnsi" w:eastAsia="Times New Roman" w:hAnsiTheme="minorHAnsi"/>
                <w:b/>
                <w:sz w:val="18"/>
                <w:szCs w:val="18"/>
              </w:rPr>
            </w:pPr>
            <w:r w:rsidRPr="00DF2A11">
              <w:rPr>
                <w:rFonts w:asciiTheme="minorHAnsi" w:eastAsia="Times New Roman" w:hAnsiTheme="minorHAnsi"/>
                <w:b/>
                <w:sz w:val="18"/>
                <w:szCs w:val="18"/>
              </w:rPr>
              <w:t>409</w:t>
            </w:r>
          </w:p>
        </w:tc>
        <w:tc>
          <w:tcPr>
            <w:tcW w:w="1266" w:type="dxa"/>
            <w:shd w:val="clear" w:color="auto" w:fill="FDE9D9" w:themeFill="accent6" w:themeFillTint="33"/>
            <w:hideMark/>
          </w:tcPr>
          <w:p w14:paraId="4E6B7388" w14:textId="77777777" w:rsidR="00BE61A2" w:rsidRPr="00DF2A11" w:rsidRDefault="00BE61A2">
            <w:pPr>
              <w:rPr>
                <w:rFonts w:asciiTheme="minorHAnsi" w:eastAsia="Times New Roman" w:hAnsiTheme="minorHAnsi"/>
                <w:b/>
                <w:sz w:val="18"/>
                <w:szCs w:val="18"/>
              </w:rPr>
            </w:pPr>
            <w:r w:rsidRPr="00DF2A11">
              <w:rPr>
                <w:rFonts w:asciiTheme="minorHAnsi" w:eastAsia="Times New Roman" w:hAnsiTheme="minorHAnsi"/>
                <w:b/>
                <w:sz w:val="18"/>
                <w:szCs w:val="18"/>
              </w:rPr>
              <w:t>261</w:t>
            </w:r>
          </w:p>
        </w:tc>
        <w:tc>
          <w:tcPr>
            <w:tcW w:w="1266" w:type="dxa"/>
            <w:shd w:val="clear" w:color="auto" w:fill="FDE9D9" w:themeFill="accent6" w:themeFillTint="33"/>
            <w:hideMark/>
          </w:tcPr>
          <w:p w14:paraId="0B3C06E5" w14:textId="77777777" w:rsidR="00BE61A2" w:rsidRPr="00DF2A11" w:rsidRDefault="00BE61A2">
            <w:pPr>
              <w:rPr>
                <w:rFonts w:asciiTheme="minorHAnsi" w:eastAsia="Times New Roman" w:hAnsiTheme="minorHAnsi"/>
                <w:b/>
                <w:sz w:val="18"/>
                <w:szCs w:val="18"/>
              </w:rPr>
            </w:pPr>
            <w:r w:rsidRPr="00DF2A11">
              <w:rPr>
                <w:rFonts w:asciiTheme="minorHAnsi" w:eastAsia="Times New Roman" w:hAnsiTheme="minorHAnsi"/>
                <w:b/>
                <w:sz w:val="18"/>
                <w:szCs w:val="18"/>
              </w:rPr>
              <w:t>289</w:t>
            </w:r>
          </w:p>
        </w:tc>
        <w:tc>
          <w:tcPr>
            <w:tcW w:w="1267" w:type="dxa"/>
            <w:shd w:val="clear" w:color="auto" w:fill="FDE9D9" w:themeFill="accent6" w:themeFillTint="33"/>
            <w:hideMark/>
          </w:tcPr>
          <w:p w14:paraId="18E1348B" w14:textId="77777777" w:rsidR="00BE61A2" w:rsidRPr="00DF2A11" w:rsidRDefault="00BE61A2">
            <w:pPr>
              <w:rPr>
                <w:rFonts w:asciiTheme="minorHAnsi" w:eastAsia="Times New Roman" w:hAnsiTheme="minorHAnsi"/>
                <w:b/>
                <w:sz w:val="18"/>
                <w:szCs w:val="18"/>
              </w:rPr>
            </w:pPr>
            <w:r w:rsidRPr="00DF2A11">
              <w:rPr>
                <w:rFonts w:asciiTheme="minorHAnsi" w:eastAsia="Times New Roman" w:hAnsiTheme="minorHAnsi"/>
                <w:b/>
                <w:sz w:val="18"/>
                <w:szCs w:val="18"/>
              </w:rPr>
              <w:t>1,614</w:t>
            </w:r>
          </w:p>
        </w:tc>
      </w:tr>
      <w:tr w:rsidR="00BE61A2" w:rsidRPr="00374CC9" w14:paraId="49F15AEA" w14:textId="77777777" w:rsidTr="001C17E0">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gridSpan w:val="2"/>
            <w:hideMark/>
          </w:tcPr>
          <w:p w14:paraId="0A82EB6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Locally acquired Australia</w:t>
            </w:r>
          </w:p>
        </w:tc>
        <w:tc>
          <w:tcPr>
            <w:tcW w:w="1266" w:type="dxa"/>
            <w:hideMark/>
          </w:tcPr>
          <w:p w14:paraId="5B8DA60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58</w:t>
            </w:r>
          </w:p>
        </w:tc>
        <w:tc>
          <w:tcPr>
            <w:tcW w:w="1266" w:type="dxa"/>
            <w:hideMark/>
          </w:tcPr>
          <w:p w14:paraId="6426818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w:t>
            </w:r>
          </w:p>
        </w:tc>
        <w:tc>
          <w:tcPr>
            <w:tcW w:w="1266" w:type="dxa"/>
            <w:hideMark/>
          </w:tcPr>
          <w:p w14:paraId="3443F9F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266" w:type="dxa"/>
            <w:hideMark/>
          </w:tcPr>
          <w:p w14:paraId="2ED9AEC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1267" w:type="dxa"/>
            <w:hideMark/>
          </w:tcPr>
          <w:p w14:paraId="7013FD8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66</w:t>
            </w:r>
          </w:p>
        </w:tc>
      </w:tr>
      <w:tr w:rsidR="00BE61A2" w:rsidRPr="00374CC9" w14:paraId="0440E367" w14:textId="77777777" w:rsidTr="001C17E0">
        <w:tblPrEx>
          <w:tblCellMar>
            <w:right w:w="108" w:type="dxa"/>
          </w:tblCellMar>
        </w:tblPrEx>
        <w:tc>
          <w:tcPr>
            <w:tcW w:w="0" w:type="auto"/>
            <w:gridSpan w:val="2"/>
            <w:hideMark/>
          </w:tcPr>
          <w:p w14:paraId="4B39920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Unknown</w:t>
            </w:r>
          </w:p>
        </w:tc>
        <w:tc>
          <w:tcPr>
            <w:tcW w:w="1266" w:type="dxa"/>
            <w:hideMark/>
          </w:tcPr>
          <w:p w14:paraId="7AA5152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17</w:t>
            </w:r>
          </w:p>
        </w:tc>
        <w:tc>
          <w:tcPr>
            <w:tcW w:w="1266" w:type="dxa"/>
            <w:hideMark/>
          </w:tcPr>
          <w:p w14:paraId="2A28580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w:t>
            </w:r>
          </w:p>
        </w:tc>
        <w:tc>
          <w:tcPr>
            <w:tcW w:w="1266" w:type="dxa"/>
            <w:hideMark/>
          </w:tcPr>
          <w:p w14:paraId="68C4B6B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w:t>
            </w:r>
          </w:p>
        </w:tc>
        <w:tc>
          <w:tcPr>
            <w:tcW w:w="1266" w:type="dxa"/>
            <w:hideMark/>
          </w:tcPr>
          <w:p w14:paraId="5DA2659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1267" w:type="dxa"/>
            <w:hideMark/>
          </w:tcPr>
          <w:p w14:paraId="3A204D4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34</w:t>
            </w:r>
          </w:p>
        </w:tc>
      </w:tr>
      <w:tr w:rsidR="00BE61A2" w:rsidRPr="003873AD" w14:paraId="32912F93" w14:textId="77777777" w:rsidTr="003873AD">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486094A6" w14:textId="77777777" w:rsidR="00BE61A2" w:rsidRPr="003873AD" w:rsidRDefault="00BE61A2">
            <w:pPr>
              <w:rPr>
                <w:rFonts w:asciiTheme="minorHAnsi" w:eastAsia="Times New Roman" w:hAnsiTheme="minorHAnsi"/>
                <w:b/>
                <w:sz w:val="18"/>
                <w:szCs w:val="18"/>
              </w:rPr>
            </w:pPr>
            <w:r w:rsidRPr="003873AD">
              <w:rPr>
                <w:rFonts w:asciiTheme="minorHAnsi" w:eastAsia="Times New Roman" w:hAnsiTheme="minorHAnsi"/>
                <w:b/>
                <w:sz w:val="18"/>
                <w:szCs w:val="18"/>
              </w:rPr>
              <w:t>Grand Total</w:t>
            </w:r>
          </w:p>
        </w:tc>
        <w:tc>
          <w:tcPr>
            <w:tcW w:w="0" w:type="auto"/>
            <w:shd w:val="clear" w:color="auto" w:fill="FDE9D9" w:themeFill="accent6" w:themeFillTint="33"/>
            <w:hideMark/>
          </w:tcPr>
          <w:p w14:paraId="3C3380EB" w14:textId="77777777" w:rsidR="00BE61A2" w:rsidRPr="003873AD" w:rsidRDefault="00BE61A2">
            <w:pPr>
              <w:rPr>
                <w:rFonts w:asciiTheme="minorHAnsi" w:eastAsia="Times New Roman" w:hAnsiTheme="minorHAnsi"/>
                <w:b/>
                <w:sz w:val="18"/>
                <w:szCs w:val="18"/>
              </w:rPr>
            </w:pPr>
          </w:p>
        </w:tc>
        <w:tc>
          <w:tcPr>
            <w:tcW w:w="1266" w:type="dxa"/>
            <w:shd w:val="clear" w:color="auto" w:fill="FDE9D9" w:themeFill="accent6" w:themeFillTint="33"/>
            <w:hideMark/>
          </w:tcPr>
          <w:p w14:paraId="1EE57E55" w14:textId="77777777" w:rsidR="00BE61A2" w:rsidRPr="003873AD" w:rsidRDefault="00BE61A2">
            <w:pPr>
              <w:rPr>
                <w:rFonts w:asciiTheme="minorHAnsi" w:eastAsia="Times New Roman" w:hAnsiTheme="minorHAnsi"/>
                <w:b/>
                <w:sz w:val="18"/>
                <w:szCs w:val="18"/>
              </w:rPr>
            </w:pPr>
            <w:r w:rsidRPr="003873AD">
              <w:rPr>
                <w:rFonts w:asciiTheme="minorHAnsi" w:eastAsia="Times New Roman" w:hAnsiTheme="minorHAnsi"/>
                <w:b/>
                <w:sz w:val="18"/>
                <w:szCs w:val="18"/>
              </w:rPr>
              <w:t>730</w:t>
            </w:r>
          </w:p>
        </w:tc>
        <w:tc>
          <w:tcPr>
            <w:tcW w:w="1266" w:type="dxa"/>
            <w:shd w:val="clear" w:color="auto" w:fill="FDE9D9" w:themeFill="accent6" w:themeFillTint="33"/>
            <w:hideMark/>
          </w:tcPr>
          <w:p w14:paraId="652C36E1" w14:textId="77777777" w:rsidR="00BE61A2" w:rsidRPr="003873AD" w:rsidRDefault="00BE61A2">
            <w:pPr>
              <w:rPr>
                <w:rFonts w:asciiTheme="minorHAnsi" w:eastAsia="Times New Roman" w:hAnsiTheme="minorHAnsi"/>
                <w:b/>
                <w:sz w:val="18"/>
                <w:szCs w:val="18"/>
              </w:rPr>
            </w:pPr>
            <w:r w:rsidRPr="003873AD">
              <w:rPr>
                <w:rFonts w:asciiTheme="minorHAnsi" w:eastAsia="Times New Roman" w:hAnsiTheme="minorHAnsi"/>
                <w:b/>
                <w:sz w:val="18"/>
                <w:szCs w:val="18"/>
              </w:rPr>
              <w:t>427</w:t>
            </w:r>
          </w:p>
        </w:tc>
        <w:tc>
          <w:tcPr>
            <w:tcW w:w="1266" w:type="dxa"/>
            <w:shd w:val="clear" w:color="auto" w:fill="FDE9D9" w:themeFill="accent6" w:themeFillTint="33"/>
            <w:hideMark/>
          </w:tcPr>
          <w:p w14:paraId="6C4231D3" w14:textId="77777777" w:rsidR="00BE61A2" w:rsidRPr="003873AD" w:rsidRDefault="00BE61A2">
            <w:pPr>
              <w:rPr>
                <w:rFonts w:asciiTheme="minorHAnsi" w:eastAsia="Times New Roman" w:hAnsiTheme="minorHAnsi"/>
                <w:b/>
                <w:sz w:val="18"/>
                <w:szCs w:val="18"/>
              </w:rPr>
            </w:pPr>
            <w:r w:rsidRPr="003873AD">
              <w:rPr>
                <w:rFonts w:asciiTheme="minorHAnsi" w:eastAsia="Times New Roman" w:hAnsiTheme="minorHAnsi"/>
                <w:b/>
                <w:sz w:val="18"/>
                <w:szCs w:val="18"/>
              </w:rPr>
              <w:t>267</w:t>
            </w:r>
          </w:p>
        </w:tc>
        <w:tc>
          <w:tcPr>
            <w:tcW w:w="1266" w:type="dxa"/>
            <w:shd w:val="clear" w:color="auto" w:fill="FDE9D9" w:themeFill="accent6" w:themeFillTint="33"/>
            <w:hideMark/>
          </w:tcPr>
          <w:p w14:paraId="427E4E8F" w14:textId="77777777" w:rsidR="00BE61A2" w:rsidRPr="003873AD" w:rsidRDefault="00BE61A2">
            <w:pPr>
              <w:rPr>
                <w:rFonts w:asciiTheme="minorHAnsi" w:eastAsia="Times New Roman" w:hAnsiTheme="minorHAnsi"/>
                <w:b/>
                <w:sz w:val="18"/>
                <w:szCs w:val="18"/>
              </w:rPr>
            </w:pPr>
            <w:r w:rsidRPr="003873AD">
              <w:rPr>
                <w:rFonts w:asciiTheme="minorHAnsi" w:eastAsia="Times New Roman" w:hAnsiTheme="minorHAnsi"/>
                <w:b/>
                <w:sz w:val="18"/>
                <w:szCs w:val="18"/>
              </w:rPr>
              <w:t>290</w:t>
            </w:r>
          </w:p>
        </w:tc>
        <w:tc>
          <w:tcPr>
            <w:tcW w:w="1267" w:type="dxa"/>
            <w:shd w:val="clear" w:color="auto" w:fill="FDE9D9" w:themeFill="accent6" w:themeFillTint="33"/>
            <w:hideMark/>
          </w:tcPr>
          <w:p w14:paraId="029894CD" w14:textId="77777777" w:rsidR="00BE61A2" w:rsidRPr="003873AD" w:rsidRDefault="00BE61A2">
            <w:pPr>
              <w:rPr>
                <w:rFonts w:asciiTheme="minorHAnsi" w:eastAsia="Times New Roman" w:hAnsiTheme="minorHAnsi"/>
                <w:b/>
                <w:sz w:val="18"/>
                <w:szCs w:val="18"/>
              </w:rPr>
            </w:pPr>
            <w:r w:rsidRPr="003873AD">
              <w:rPr>
                <w:rFonts w:asciiTheme="minorHAnsi" w:eastAsia="Times New Roman" w:hAnsiTheme="minorHAnsi"/>
                <w:b/>
                <w:sz w:val="18"/>
                <w:szCs w:val="18"/>
              </w:rPr>
              <w:t>1,714</w:t>
            </w:r>
          </w:p>
        </w:tc>
      </w:tr>
    </w:tbl>
    <w:p w14:paraId="06DAEF9A" w14:textId="77777777" w:rsidR="003873AD" w:rsidRDefault="003873AD" w:rsidP="00AE2F1B"/>
    <w:p w14:paraId="18269F38" w14:textId="77777777" w:rsidR="00BE61A2" w:rsidRPr="00AE2F1B" w:rsidRDefault="00BE61A2" w:rsidP="00AE2F1B">
      <w:r w:rsidRPr="00AE2F1B">
        <w:t>Outbreaks of locally acquired DENV in North Queensland are more likely to begin during the warmer, wetter months in North Queensland, and rarely continue into the cooler months. In 2015, 77% of locally acquired cases were reported between January and May.</w:t>
      </w:r>
    </w:p>
    <w:p w14:paraId="1CB6EAA2" w14:textId="77777777" w:rsidR="00BE61A2" w:rsidRPr="00AE2F1B" w:rsidRDefault="00BE61A2" w:rsidP="00924A50">
      <w:pPr>
        <w:pStyle w:val="Heading3"/>
      </w:pPr>
      <w:bookmarkStart w:id="210" w:name="_Toc1747364"/>
      <w:r w:rsidRPr="00924A50">
        <w:rPr>
          <w:bCs w:val="0"/>
        </w:rPr>
        <w:t>Locally acquired cases and outbreaks</w:t>
      </w:r>
      <w:bookmarkEnd w:id="210"/>
    </w:p>
    <w:p w14:paraId="305400AD" w14:textId="77777777" w:rsidR="00BE61A2" w:rsidRPr="00AE2F1B" w:rsidRDefault="00BE61A2" w:rsidP="00AE2F1B">
      <w:r w:rsidRPr="00AE2F1B">
        <w:t xml:space="preserve">In 2015, almost all locally acquired cases of DENV (97%, 64/66) were associated with outbreaks in North Queensland. A further 2 cases had travelled to or within Queensland during their incubation </w:t>
      </w:r>
      <w:proofErr w:type="gramStart"/>
      <w:r w:rsidRPr="00AE2F1B">
        <w:t>period, but</w:t>
      </w:r>
      <w:proofErr w:type="gramEnd"/>
      <w:r w:rsidRPr="00AE2F1B">
        <w:t xml:space="preserve"> were not reported as being associated with a specific outbreak. </w:t>
      </w:r>
    </w:p>
    <w:p w14:paraId="21AAACB0" w14:textId="77777777" w:rsidR="00BE61A2" w:rsidRPr="004E056D" w:rsidRDefault="00BE61A2" w:rsidP="004E056D">
      <w:pPr>
        <w:pStyle w:val="Heading2"/>
      </w:pPr>
      <w:bookmarkStart w:id="211" w:name="_Toc1747365"/>
      <w:r w:rsidRPr="004E056D">
        <w:rPr>
          <w:bCs w:val="0"/>
          <w:sz w:val="27"/>
          <w:szCs w:val="27"/>
        </w:rPr>
        <w:t>Flavivirus unspecified (including Zika Virus)</w:t>
      </w:r>
      <w:bookmarkEnd w:id="211"/>
    </w:p>
    <w:p w14:paraId="2BAFAC7D" w14:textId="77777777" w:rsidR="00BE61A2" w:rsidRPr="00AE2F1B" w:rsidRDefault="00BE61A2" w:rsidP="00404CD9">
      <w:pPr>
        <w:pStyle w:val="ListParagraph"/>
        <w:numPr>
          <w:ilvl w:val="0"/>
          <w:numId w:val="47"/>
        </w:numPr>
      </w:pPr>
      <w:r w:rsidRPr="00AE2F1B">
        <w:t>There were 12 notifications reported in 2015, 10 of which were for ZIKV.</w:t>
      </w:r>
    </w:p>
    <w:p w14:paraId="0D78F501" w14:textId="77777777" w:rsidR="00BE61A2" w:rsidRDefault="00BE61A2" w:rsidP="00AE2F1B">
      <w:r w:rsidRPr="00AE2F1B">
        <w:t xml:space="preserve">This disease category enables the capture and epidemiological analysis of emerging infections within this broad disease group. Emerging diseases can be made nationally notifiable if required, according to the protocol for making a change to the National Notifiable Diseases List in Australia, which is available on the Department of Health website. An unspecified category is particularly important for the </w:t>
      </w:r>
      <w:proofErr w:type="gramStart"/>
      <w:r w:rsidRPr="00AE2F1B">
        <w:t>flaviviruses, because</w:t>
      </w:r>
      <w:proofErr w:type="gramEnd"/>
      <w:r w:rsidRPr="00AE2F1B">
        <w:t xml:space="preserve"> it is recognised that some infections cannot be attributed to a single flavivirus.</w:t>
      </w:r>
    </w:p>
    <w:p w14:paraId="745BE6AD" w14:textId="77777777" w:rsidR="00081484" w:rsidRDefault="00081484">
      <w:pPr>
        <w:rPr>
          <w:b/>
        </w:rPr>
      </w:pPr>
      <w:r>
        <w:br w:type="page"/>
      </w:r>
    </w:p>
    <w:p w14:paraId="04AD6759" w14:textId="77777777" w:rsidR="008D2ED9" w:rsidRDefault="008D2ED9" w:rsidP="008D2ED9">
      <w:pPr>
        <w:pStyle w:val="CDIFigures"/>
      </w:pPr>
      <w:r w:rsidRPr="008D2ED9">
        <w:lastRenderedPageBreak/>
        <w:t>Figure 93: Notifications of flavivirus unspecified, Australia, 2010 to 2015, by month and virus species</w:t>
      </w:r>
    </w:p>
    <w:p w14:paraId="0B627569" w14:textId="77777777" w:rsidR="00081484" w:rsidRPr="008D2ED9" w:rsidRDefault="0021477A" w:rsidP="008D2ED9">
      <w:pPr>
        <w:pStyle w:val="CDIFigures"/>
      </w:pPr>
      <w:r>
        <w:pict w14:anchorId="3DB7F243">
          <v:shape id="_x0000_i1114" type="#_x0000_t75" alt="This figure shows notified cases of flavivirus unspecified, in Australia between 2010 and 2015, by month and year and species. Zika virus was the most common viral species notified in 2014 and 2015 with 13 cases in 2014 and 10 cases (out of a total 12 flavivirus unspecified cases) in 2015." style="width:522.6pt;height:318.6pt">
            <v:imagedata r:id="rId112" o:title="6-Vectorborne chapter figures _86 to 100_Page_08"/>
          </v:shape>
        </w:pict>
      </w:r>
    </w:p>
    <w:p w14:paraId="5B3EF9D6" w14:textId="77777777" w:rsidR="00BE61A2" w:rsidRPr="00AE2F1B" w:rsidRDefault="00BE61A2" w:rsidP="00AE2F1B">
      <w:r w:rsidRPr="00DF12AB">
        <w:rPr>
          <w:rStyle w:val="Emphasis"/>
          <w:b w:val="0"/>
        </w:rPr>
        <w:t>Flavivirus</w:t>
      </w:r>
      <w:r w:rsidRPr="00AE2F1B">
        <w:t xml:space="preserve"> unspecified includes notifications of ZIKV, for which a specific case definition was implemented from 1 January 2016. Prior to November 2015, ZIKV was not thought to be cause for serious public health concern, due to the high rate of asymptomatic infection and the fact that symptomatic cases were generally mild, notwithstanding the reports of a possible association with Guillain Barré syndrome.</w:t>
      </w:r>
      <w:r w:rsidRPr="00AE2F1B">
        <w:rPr>
          <w:vertAlign w:val="superscript"/>
        </w:rPr>
        <w:t>131</w:t>
      </w:r>
      <w:r w:rsidRPr="00AE2F1B">
        <w:t xml:space="preserve"> However, ZIKV spread rapidly through the many countries in the Americas after being first confirmed in Brazil in May 2015.</w:t>
      </w:r>
      <w:r w:rsidRPr="00AE2F1B">
        <w:rPr>
          <w:vertAlign w:val="superscript"/>
        </w:rPr>
        <w:t>132,133</w:t>
      </w:r>
      <w:r w:rsidRPr="00AE2F1B">
        <w:t xml:space="preserve"> An increase in microcephaly in Brazil with geographical and temporal links to ZIKV was reported in November 2015, and the WHO declared the clusters of microcephaly and neurological disorders a public health event of international concern on 1 February 2016.</w:t>
      </w:r>
      <w:r w:rsidRPr="00AE2F1B">
        <w:rPr>
          <w:vertAlign w:val="superscript"/>
        </w:rPr>
        <w:t>134</w:t>
      </w:r>
      <w:r w:rsidRPr="00AE2F1B">
        <w:t xml:space="preserve"> There is now strong scientific consensus that the virus can be transmitted in utero and can cause severe birth defects such as microcephaly and foetal death,</w:t>
      </w:r>
      <w:r w:rsidRPr="00AE2F1B">
        <w:rPr>
          <w:vertAlign w:val="superscript"/>
        </w:rPr>
        <w:t>135</w:t>
      </w:r>
      <w:r w:rsidRPr="00AE2F1B">
        <w:t xml:space="preserve"> and that it can cause Guillain Barré syndrome.</w:t>
      </w:r>
      <w:r w:rsidRPr="00AE2F1B">
        <w:rPr>
          <w:vertAlign w:val="superscript"/>
        </w:rPr>
        <w:t>136,137</w:t>
      </w:r>
      <w:r w:rsidRPr="00AE2F1B">
        <w:t xml:space="preserve"> While </w:t>
      </w:r>
      <w:proofErr w:type="spellStart"/>
      <w:r w:rsidRPr="00AE2F1B">
        <w:t>vectorborne</w:t>
      </w:r>
      <w:proofErr w:type="spellEnd"/>
      <w:r w:rsidRPr="00AE2F1B">
        <w:t xml:space="preserve"> transmission remains the main mode of transmission, multiple instances of probable or confirmed sexual transmission have now been reported.</w:t>
      </w:r>
      <w:r w:rsidRPr="00AE2F1B">
        <w:rPr>
          <w:vertAlign w:val="superscript"/>
        </w:rPr>
        <w:t>131,138,139,140,141,142</w:t>
      </w:r>
      <w:r w:rsidRPr="00AE2F1B">
        <w:t xml:space="preserve"> </w:t>
      </w:r>
    </w:p>
    <w:p w14:paraId="1A036587" w14:textId="77777777" w:rsidR="00BE61A2" w:rsidRPr="00AE2F1B" w:rsidRDefault="00BE61A2" w:rsidP="00924A50">
      <w:pPr>
        <w:pStyle w:val="Heading3"/>
      </w:pPr>
      <w:bookmarkStart w:id="212" w:name="_Toc1747366"/>
      <w:r w:rsidRPr="00924A50">
        <w:rPr>
          <w:bCs w:val="0"/>
        </w:rPr>
        <w:t>Epidemiological situation in 2015</w:t>
      </w:r>
      <w:bookmarkEnd w:id="212"/>
    </w:p>
    <w:p w14:paraId="0F5ABD45" w14:textId="77777777" w:rsidR="00BE61A2" w:rsidRPr="00AE2F1B" w:rsidRDefault="00BE61A2" w:rsidP="00AE2F1B">
      <w:r w:rsidRPr="00AE2F1B">
        <w:t xml:space="preserve">In 2015, there were 12 notified cases of flavivirus unspecified, similar to the 5-year mean of 13.2 notifications. Most of these notifications (10/12) were for ZIKV, while there was 1 case of </w:t>
      </w:r>
      <w:proofErr w:type="spellStart"/>
      <w:r w:rsidRPr="00AE2F1B">
        <w:t>Sindbis</w:t>
      </w:r>
      <w:proofErr w:type="spellEnd"/>
      <w:r w:rsidRPr="00AE2F1B">
        <w:t>. No single flavivirus species was identified for 1 notification.</w:t>
      </w:r>
    </w:p>
    <w:p w14:paraId="271BAFA6" w14:textId="77777777" w:rsidR="00BE61A2" w:rsidRPr="00AE2F1B" w:rsidRDefault="00BE61A2" w:rsidP="00330DE9">
      <w:pPr>
        <w:pStyle w:val="Heading4"/>
      </w:pPr>
      <w:r w:rsidRPr="00AE2F1B">
        <w:t>Geographical distribution</w:t>
      </w:r>
    </w:p>
    <w:p w14:paraId="6C2E33E4" w14:textId="77777777" w:rsidR="00BE61A2" w:rsidRPr="00AE2F1B" w:rsidRDefault="00BE61A2" w:rsidP="00AE2F1B">
      <w:r w:rsidRPr="00AE2F1B">
        <w:t xml:space="preserve">There were 5 notifications from Queensland, 2 each from New South Wales, </w:t>
      </w:r>
      <w:proofErr w:type="gramStart"/>
      <w:r w:rsidRPr="00AE2F1B">
        <w:t>Victoria</w:t>
      </w:r>
      <w:proofErr w:type="gramEnd"/>
      <w:r w:rsidRPr="00AE2F1B">
        <w:t xml:space="preserve"> and Western Australia and 1 from South Australia. There were no notifications from the Australian Capital Territory, the Northern Territory or Tasmania.</w:t>
      </w:r>
    </w:p>
    <w:p w14:paraId="4389A1B2" w14:textId="77777777" w:rsidR="00C11C93" w:rsidRDefault="00C11C93">
      <w:pPr>
        <w:rPr>
          <w:rFonts w:asciiTheme="majorHAnsi" w:eastAsiaTheme="majorEastAsia" w:hAnsiTheme="majorHAnsi" w:cstheme="majorBidi"/>
          <w:b/>
          <w:bCs/>
          <w:i/>
          <w:iCs/>
        </w:rPr>
      </w:pPr>
      <w:r>
        <w:br w:type="page"/>
      </w:r>
    </w:p>
    <w:p w14:paraId="120D0AD9" w14:textId="77777777" w:rsidR="00BE61A2" w:rsidRPr="00AE2F1B" w:rsidRDefault="00BE61A2" w:rsidP="00330DE9">
      <w:pPr>
        <w:pStyle w:val="Heading4"/>
      </w:pPr>
      <w:r w:rsidRPr="00AE2F1B">
        <w:lastRenderedPageBreak/>
        <w:t>Age and sex distribution</w:t>
      </w:r>
    </w:p>
    <w:p w14:paraId="1965F0DD" w14:textId="77777777" w:rsidR="00BE61A2" w:rsidRDefault="00BE61A2" w:rsidP="00AE2F1B">
      <w:r w:rsidRPr="00AE2F1B">
        <w:t xml:space="preserve">Notifications under Flavivirus unspecified were most commonly in younger and middle-aged adults (Figure 94), with all but one case acquired overseas. This may </w:t>
      </w:r>
      <w:proofErr w:type="gramStart"/>
      <w:r w:rsidRPr="00AE2F1B">
        <w:t>be a reflection of</w:t>
      </w:r>
      <w:proofErr w:type="gramEnd"/>
      <w:r w:rsidRPr="00AE2F1B">
        <w:t xml:space="preserve"> the peak travelling age groups. The median age of notifications in 2015 was 35 years (range: 22 to 69 years). </w:t>
      </w:r>
    </w:p>
    <w:p w14:paraId="76D61371" w14:textId="77777777" w:rsidR="00694662" w:rsidRPr="00694662" w:rsidRDefault="00694662" w:rsidP="00694662">
      <w:pPr>
        <w:pStyle w:val="CDIFigures"/>
      </w:pPr>
      <w:r w:rsidRPr="00694662">
        <w:t>Figure 94: Notifications of flavivirus unspecified, 2015, by age-group and sex</w:t>
      </w:r>
      <w:r w:rsidR="0021477A">
        <w:pict w14:anchorId="54D5C7BC">
          <v:shape id="_x0000_i1115" type="#_x0000_t75" alt="This figure shows the majority of notified cases of flavivirus unspecified in 2015 were male.  Cases were reported in persons aged 22 to 69 years. " style="width:522.6pt;height:351.6pt">
            <v:imagedata r:id="rId113" o:title="6-Vectorborne chapter figures _86 to 100_Page_09"/>
          </v:shape>
        </w:pict>
      </w:r>
    </w:p>
    <w:p w14:paraId="0DB4C8FF" w14:textId="77777777" w:rsidR="00BE61A2" w:rsidRPr="00AE2F1B" w:rsidRDefault="00BE61A2" w:rsidP="00330DE9">
      <w:pPr>
        <w:pStyle w:val="Heading4"/>
      </w:pPr>
      <w:r w:rsidRPr="00AE2F1B">
        <w:t>Seasonality</w:t>
      </w:r>
    </w:p>
    <w:p w14:paraId="6B8F8453" w14:textId="77777777" w:rsidR="00BE61A2" w:rsidRPr="00AE2F1B" w:rsidRDefault="00BE61A2" w:rsidP="00AE2F1B">
      <w:r w:rsidRPr="00AE2F1B">
        <w:t xml:space="preserve">Notifications of overseas-acquired Flavivirus unspecified can increase during peak periods of travel by Australians overseas, or during large outbreaks in a particular country or region. Many of the notifications in 2015 were for ZIKV acquired in Pacific Island nations (7/12). </w:t>
      </w:r>
      <w:r w:rsidR="005A6725" w:rsidRPr="005A6725">
        <w:t>The first outbreak of ZIKV in a Pacific Island nation was first reported in Yap, Federat</w:t>
      </w:r>
      <w:r w:rsidR="005A6725">
        <w:t>ed States of Micronesia in 2007</w:t>
      </w:r>
      <w:r w:rsidR="005A6725" w:rsidRPr="005A6725">
        <w:rPr>
          <w:vertAlign w:val="superscript"/>
        </w:rPr>
        <w:t>202</w:t>
      </w:r>
      <w:r w:rsidR="005A6725" w:rsidRPr="005A6725">
        <w:t xml:space="preserve"> Following this ZIKV outbreaks were reported in French Polynesia in late 2013, and in the Cook Islands and New Caledonia in 2014.</w:t>
      </w:r>
      <w:r w:rsidR="00B723D3" w:rsidRPr="00B723D3">
        <w:rPr>
          <w:vertAlign w:val="superscript"/>
        </w:rPr>
        <w:t xml:space="preserve"> </w:t>
      </w:r>
      <w:r w:rsidR="00B723D3" w:rsidRPr="005A6725">
        <w:rPr>
          <w:vertAlign w:val="superscript"/>
        </w:rPr>
        <w:t>203</w:t>
      </w:r>
      <w:r w:rsidR="00B723D3">
        <w:rPr>
          <w:vertAlign w:val="superscript"/>
        </w:rPr>
        <w:t xml:space="preserve"> </w:t>
      </w:r>
      <w:r w:rsidRPr="00AE2F1B">
        <w:t>ZIKV was first confirmed in the Solomon Islands in March 2015 (</w:t>
      </w:r>
      <w:proofErr w:type="spellStart"/>
      <w:r w:rsidRPr="00AE2F1B">
        <w:t>PacNet</w:t>
      </w:r>
      <w:proofErr w:type="spellEnd"/>
      <w:r w:rsidRPr="00AE2F1B">
        <w:t xml:space="preserve"> updates 16 March to 21 May 2015).</w:t>
      </w:r>
      <w:r w:rsidRPr="00AE2F1B">
        <w:rPr>
          <w:vertAlign w:val="superscript"/>
        </w:rPr>
        <w:t>143</w:t>
      </w:r>
      <w:r w:rsidRPr="00AE2F1B">
        <w:t xml:space="preserve"> There were two ZIKV cases imported to Australia in 2015 from the Solomon Islands, both with dates of diagnosis in March (Table 21). </w:t>
      </w:r>
    </w:p>
    <w:p w14:paraId="7BD44C00" w14:textId="77777777" w:rsidR="00C11C93" w:rsidRDefault="00C11C93">
      <w:pPr>
        <w:rPr>
          <w:b/>
        </w:rPr>
      </w:pPr>
      <w:r>
        <w:br w:type="page"/>
      </w:r>
    </w:p>
    <w:p w14:paraId="1A7492EA" w14:textId="77777777" w:rsidR="00BE61A2" w:rsidRPr="00AE2F1B" w:rsidRDefault="00BE61A2" w:rsidP="00330DE9">
      <w:pPr>
        <w:pStyle w:val="CDIFigures"/>
      </w:pPr>
      <w:r w:rsidRPr="00AE2F1B">
        <w:lastRenderedPageBreak/>
        <w:t xml:space="preserve">Table 21: Notifications of flavivirus unspecified 2015, by virus, place of acquisition and quarter </w:t>
      </w:r>
    </w:p>
    <w:tbl>
      <w:tblPr>
        <w:tblStyle w:val="CDI-StandardTable"/>
        <w:tblW w:w="0" w:type="auto"/>
        <w:tblCellMar>
          <w:top w:w="142" w:type="dxa"/>
          <w:left w:w="142" w:type="dxa"/>
          <w:bottom w:w="142" w:type="dxa"/>
        </w:tblCellMar>
        <w:tblLook w:val="04A0" w:firstRow="1" w:lastRow="0" w:firstColumn="1" w:lastColumn="0" w:noHBand="0" w:noVBand="1"/>
        <w:tblDescription w:val="This table shows the place of acquisition of notified cases of flavivirus unspecified in each quarter of 2015. Just under half of notified cases were reported in the first quarter of 2015 (January to March).  The place of acquisition for the 10 Zika cases included a range of Pacific Island and South American countries.&#10;"/>
      </w:tblPr>
      <w:tblGrid>
        <w:gridCol w:w="1600"/>
        <w:gridCol w:w="2659"/>
        <w:gridCol w:w="1410"/>
        <w:gridCol w:w="907"/>
        <w:gridCol w:w="875"/>
        <w:gridCol w:w="887"/>
        <w:gridCol w:w="891"/>
        <w:gridCol w:w="644"/>
      </w:tblGrid>
      <w:tr w:rsidR="004B770F" w:rsidRPr="004B770F" w14:paraId="043BA51F" w14:textId="77777777" w:rsidTr="000A4FFE">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0534D8AD"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Category</w:t>
            </w:r>
          </w:p>
        </w:tc>
        <w:tc>
          <w:tcPr>
            <w:tcW w:w="0" w:type="auto"/>
            <w:hideMark/>
          </w:tcPr>
          <w:p w14:paraId="57692B21"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Country</w:t>
            </w:r>
          </w:p>
        </w:tc>
        <w:tc>
          <w:tcPr>
            <w:tcW w:w="0" w:type="auto"/>
            <w:hideMark/>
          </w:tcPr>
          <w:p w14:paraId="78A8795C"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Virus</w:t>
            </w:r>
          </w:p>
        </w:tc>
        <w:tc>
          <w:tcPr>
            <w:tcW w:w="0" w:type="auto"/>
            <w:hideMark/>
          </w:tcPr>
          <w:p w14:paraId="7244BF98"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Jan–Mar</w:t>
            </w:r>
          </w:p>
        </w:tc>
        <w:tc>
          <w:tcPr>
            <w:tcW w:w="0" w:type="auto"/>
            <w:hideMark/>
          </w:tcPr>
          <w:p w14:paraId="5277301D"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Apr–Jun</w:t>
            </w:r>
          </w:p>
        </w:tc>
        <w:tc>
          <w:tcPr>
            <w:tcW w:w="0" w:type="auto"/>
            <w:hideMark/>
          </w:tcPr>
          <w:p w14:paraId="417DB927"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Jul–Sept</w:t>
            </w:r>
          </w:p>
        </w:tc>
        <w:tc>
          <w:tcPr>
            <w:tcW w:w="0" w:type="auto"/>
            <w:hideMark/>
          </w:tcPr>
          <w:p w14:paraId="0F34E73C"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Oct–Dec</w:t>
            </w:r>
          </w:p>
        </w:tc>
        <w:tc>
          <w:tcPr>
            <w:tcW w:w="0" w:type="auto"/>
            <w:hideMark/>
          </w:tcPr>
          <w:p w14:paraId="7B97A902"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Total</w:t>
            </w:r>
          </w:p>
        </w:tc>
      </w:tr>
      <w:tr w:rsidR="00BE61A2" w:rsidRPr="00374CC9" w14:paraId="7FAAFD91" w14:textId="77777777" w:rsidTr="000A4FFE">
        <w:tblPrEx>
          <w:tblCellMar>
            <w:right w:w="108" w:type="dxa"/>
          </w:tblCellMar>
        </w:tblPrEx>
        <w:tc>
          <w:tcPr>
            <w:tcW w:w="0" w:type="auto"/>
            <w:hideMark/>
          </w:tcPr>
          <w:p w14:paraId="7F3A3F3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Overseas acquired</w:t>
            </w:r>
          </w:p>
        </w:tc>
        <w:tc>
          <w:tcPr>
            <w:tcW w:w="0" w:type="auto"/>
            <w:hideMark/>
          </w:tcPr>
          <w:p w14:paraId="78993B6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Colombia</w:t>
            </w:r>
          </w:p>
        </w:tc>
        <w:tc>
          <w:tcPr>
            <w:tcW w:w="0" w:type="auto"/>
            <w:hideMark/>
          </w:tcPr>
          <w:p w14:paraId="298A12B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Zika virus (ZIKV)</w:t>
            </w:r>
          </w:p>
        </w:tc>
        <w:tc>
          <w:tcPr>
            <w:tcW w:w="0" w:type="auto"/>
            <w:hideMark/>
          </w:tcPr>
          <w:p w14:paraId="30FD37B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7D4F78F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CE1785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20D3B51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74D738C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r>
      <w:tr w:rsidR="00BE61A2" w:rsidRPr="00374CC9" w14:paraId="67DA30D7"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DCE8F7F" w14:textId="77777777" w:rsidR="00BE61A2" w:rsidRPr="00374CC9" w:rsidRDefault="00BE61A2">
            <w:pPr>
              <w:rPr>
                <w:rFonts w:asciiTheme="minorHAnsi" w:eastAsia="Times New Roman" w:hAnsiTheme="minorHAnsi"/>
                <w:sz w:val="18"/>
                <w:szCs w:val="18"/>
              </w:rPr>
            </w:pPr>
          </w:p>
        </w:tc>
        <w:tc>
          <w:tcPr>
            <w:tcW w:w="0" w:type="auto"/>
            <w:hideMark/>
          </w:tcPr>
          <w:p w14:paraId="5863E3A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Costa Rica</w:t>
            </w:r>
          </w:p>
        </w:tc>
        <w:tc>
          <w:tcPr>
            <w:tcW w:w="0" w:type="auto"/>
            <w:hideMark/>
          </w:tcPr>
          <w:p w14:paraId="0B21B32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Unspecified</w:t>
            </w:r>
          </w:p>
        </w:tc>
        <w:tc>
          <w:tcPr>
            <w:tcW w:w="0" w:type="auto"/>
            <w:hideMark/>
          </w:tcPr>
          <w:p w14:paraId="26E269B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56FF1C3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13EAA92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2C66F21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046312F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r>
      <w:tr w:rsidR="00BE61A2" w:rsidRPr="00374CC9" w14:paraId="6AF33F6F" w14:textId="77777777" w:rsidTr="000A4FFE">
        <w:tblPrEx>
          <w:tblCellMar>
            <w:right w:w="108" w:type="dxa"/>
          </w:tblCellMar>
        </w:tblPrEx>
        <w:tc>
          <w:tcPr>
            <w:tcW w:w="0" w:type="auto"/>
            <w:hideMark/>
          </w:tcPr>
          <w:p w14:paraId="38909607" w14:textId="77777777" w:rsidR="00BE61A2" w:rsidRPr="00374CC9" w:rsidRDefault="00BE61A2">
            <w:pPr>
              <w:rPr>
                <w:rFonts w:asciiTheme="minorHAnsi" w:eastAsia="Times New Roman" w:hAnsiTheme="minorHAnsi"/>
                <w:sz w:val="18"/>
                <w:szCs w:val="18"/>
              </w:rPr>
            </w:pPr>
          </w:p>
        </w:tc>
        <w:tc>
          <w:tcPr>
            <w:tcW w:w="0" w:type="auto"/>
            <w:hideMark/>
          </w:tcPr>
          <w:p w14:paraId="1DD84FE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El Salvador</w:t>
            </w:r>
          </w:p>
        </w:tc>
        <w:tc>
          <w:tcPr>
            <w:tcW w:w="0" w:type="auto"/>
            <w:hideMark/>
          </w:tcPr>
          <w:p w14:paraId="0E7F189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ZIKV</w:t>
            </w:r>
          </w:p>
        </w:tc>
        <w:tc>
          <w:tcPr>
            <w:tcW w:w="0" w:type="auto"/>
            <w:hideMark/>
          </w:tcPr>
          <w:p w14:paraId="3CDECBA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A383A2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A1C04F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FF7824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654D8BA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r>
      <w:tr w:rsidR="00BE61A2" w:rsidRPr="00374CC9" w14:paraId="3BD71DD2"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0D58741" w14:textId="77777777" w:rsidR="00BE61A2" w:rsidRPr="00374CC9" w:rsidRDefault="00BE61A2">
            <w:pPr>
              <w:rPr>
                <w:rFonts w:asciiTheme="minorHAnsi" w:eastAsia="Times New Roman" w:hAnsiTheme="minorHAnsi"/>
                <w:sz w:val="18"/>
                <w:szCs w:val="18"/>
              </w:rPr>
            </w:pPr>
          </w:p>
        </w:tc>
        <w:tc>
          <w:tcPr>
            <w:tcW w:w="0" w:type="auto"/>
            <w:hideMark/>
          </w:tcPr>
          <w:p w14:paraId="6AB27AE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Fiji</w:t>
            </w:r>
          </w:p>
        </w:tc>
        <w:tc>
          <w:tcPr>
            <w:tcW w:w="0" w:type="auto"/>
            <w:hideMark/>
          </w:tcPr>
          <w:p w14:paraId="5C21521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ZIKV</w:t>
            </w:r>
          </w:p>
        </w:tc>
        <w:tc>
          <w:tcPr>
            <w:tcW w:w="0" w:type="auto"/>
            <w:hideMark/>
          </w:tcPr>
          <w:p w14:paraId="055757B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02CB9CC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584B689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5FF78BC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36BAEB0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r>
      <w:tr w:rsidR="00BE61A2" w:rsidRPr="00374CC9" w14:paraId="1F664AEB" w14:textId="77777777" w:rsidTr="000A4FFE">
        <w:tblPrEx>
          <w:tblCellMar>
            <w:right w:w="108" w:type="dxa"/>
          </w:tblCellMar>
        </w:tblPrEx>
        <w:tc>
          <w:tcPr>
            <w:tcW w:w="0" w:type="auto"/>
            <w:hideMark/>
          </w:tcPr>
          <w:p w14:paraId="469FD68F" w14:textId="77777777" w:rsidR="00BE61A2" w:rsidRPr="00374CC9" w:rsidRDefault="00BE61A2">
            <w:pPr>
              <w:rPr>
                <w:rFonts w:asciiTheme="minorHAnsi" w:eastAsia="Times New Roman" w:hAnsiTheme="minorHAnsi"/>
                <w:sz w:val="18"/>
                <w:szCs w:val="18"/>
              </w:rPr>
            </w:pPr>
          </w:p>
        </w:tc>
        <w:tc>
          <w:tcPr>
            <w:tcW w:w="0" w:type="auto"/>
            <w:hideMark/>
          </w:tcPr>
          <w:p w14:paraId="7CF6FA8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Indonesia</w:t>
            </w:r>
          </w:p>
        </w:tc>
        <w:tc>
          <w:tcPr>
            <w:tcW w:w="0" w:type="auto"/>
            <w:hideMark/>
          </w:tcPr>
          <w:p w14:paraId="29F6BB7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ZIKV</w:t>
            </w:r>
          </w:p>
        </w:tc>
        <w:tc>
          <w:tcPr>
            <w:tcW w:w="0" w:type="auto"/>
            <w:hideMark/>
          </w:tcPr>
          <w:p w14:paraId="79822ED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124D2A2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35561D6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3B334C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CFCF59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r>
      <w:tr w:rsidR="00BE61A2" w:rsidRPr="00374CC9" w14:paraId="33D68B86"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254E187" w14:textId="77777777" w:rsidR="00BE61A2" w:rsidRPr="00374CC9" w:rsidRDefault="00BE61A2">
            <w:pPr>
              <w:rPr>
                <w:rFonts w:asciiTheme="minorHAnsi" w:eastAsia="Times New Roman" w:hAnsiTheme="minorHAnsi"/>
                <w:sz w:val="18"/>
                <w:szCs w:val="18"/>
              </w:rPr>
            </w:pPr>
          </w:p>
        </w:tc>
        <w:tc>
          <w:tcPr>
            <w:tcW w:w="0" w:type="auto"/>
            <w:hideMark/>
          </w:tcPr>
          <w:p w14:paraId="7D5CCEC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Marshall Islands</w:t>
            </w:r>
          </w:p>
        </w:tc>
        <w:tc>
          <w:tcPr>
            <w:tcW w:w="0" w:type="auto"/>
            <w:hideMark/>
          </w:tcPr>
          <w:p w14:paraId="6C76C21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ZIKV</w:t>
            </w:r>
          </w:p>
        </w:tc>
        <w:tc>
          <w:tcPr>
            <w:tcW w:w="0" w:type="auto"/>
            <w:hideMark/>
          </w:tcPr>
          <w:p w14:paraId="23003BE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5B05ECA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0D5461D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793A3E2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4A6F888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r>
      <w:tr w:rsidR="00BE61A2" w:rsidRPr="00374CC9" w14:paraId="09F18437" w14:textId="77777777" w:rsidTr="000A4FFE">
        <w:tblPrEx>
          <w:tblCellMar>
            <w:right w:w="108" w:type="dxa"/>
          </w:tblCellMar>
        </w:tblPrEx>
        <w:tc>
          <w:tcPr>
            <w:tcW w:w="0" w:type="auto"/>
            <w:hideMark/>
          </w:tcPr>
          <w:p w14:paraId="48B368A6" w14:textId="77777777" w:rsidR="00BE61A2" w:rsidRPr="00374CC9" w:rsidRDefault="00BE61A2">
            <w:pPr>
              <w:rPr>
                <w:rFonts w:asciiTheme="minorHAnsi" w:eastAsia="Times New Roman" w:hAnsiTheme="minorHAnsi"/>
                <w:sz w:val="18"/>
                <w:szCs w:val="18"/>
              </w:rPr>
            </w:pPr>
          </w:p>
        </w:tc>
        <w:tc>
          <w:tcPr>
            <w:tcW w:w="0" w:type="auto"/>
            <w:hideMark/>
          </w:tcPr>
          <w:p w14:paraId="25C2816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Polynesia (excludes Hawaii), NFD</w:t>
            </w:r>
          </w:p>
        </w:tc>
        <w:tc>
          <w:tcPr>
            <w:tcW w:w="0" w:type="auto"/>
            <w:hideMark/>
          </w:tcPr>
          <w:p w14:paraId="31EAD86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ZIKV</w:t>
            </w:r>
          </w:p>
        </w:tc>
        <w:tc>
          <w:tcPr>
            <w:tcW w:w="0" w:type="auto"/>
            <w:hideMark/>
          </w:tcPr>
          <w:p w14:paraId="197CEA0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82A8C4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355083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3029003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2FF94C5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r>
      <w:tr w:rsidR="00BE61A2" w:rsidRPr="00374CC9" w14:paraId="4CBF194A"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169DBB8" w14:textId="77777777" w:rsidR="00BE61A2" w:rsidRPr="00374CC9" w:rsidRDefault="00BE61A2">
            <w:pPr>
              <w:rPr>
                <w:rFonts w:asciiTheme="minorHAnsi" w:eastAsia="Times New Roman" w:hAnsiTheme="minorHAnsi"/>
                <w:sz w:val="18"/>
                <w:szCs w:val="18"/>
              </w:rPr>
            </w:pPr>
          </w:p>
        </w:tc>
        <w:tc>
          <w:tcPr>
            <w:tcW w:w="0" w:type="auto"/>
            <w:hideMark/>
          </w:tcPr>
          <w:p w14:paraId="251EDBF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Solomon Islands</w:t>
            </w:r>
          </w:p>
        </w:tc>
        <w:tc>
          <w:tcPr>
            <w:tcW w:w="0" w:type="auto"/>
            <w:hideMark/>
          </w:tcPr>
          <w:p w14:paraId="2BEA50F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ZIKV</w:t>
            </w:r>
          </w:p>
        </w:tc>
        <w:tc>
          <w:tcPr>
            <w:tcW w:w="0" w:type="auto"/>
            <w:hideMark/>
          </w:tcPr>
          <w:p w14:paraId="5730648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768D583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277F547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5AD8EC9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EF94B0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r>
      <w:tr w:rsidR="00BE61A2" w:rsidRPr="00374CC9" w14:paraId="5C3F8B5F" w14:textId="77777777" w:rsidTr="000A4FFE">
        <w:tblPrEx>
          <w:tblCellMar>
            <w:right w:w="108" w:type="dxa"/>
          </w:tblCellMar>
        </w:tblPrEx>
        <w:tc>
          <w:tcPr>
            <w:tcW w:w="0" w:type="auto"/>
            <w:hideMark/>
          </w:tcPr>
          <w:p w14:paraId="5A3A0100" w14:textId="77777777" w:rsidR="00BE61A2" w:rsidRPr="00374CC9" w:rsidRDefault="00BE61A2">
            <w:pPr>
              <w:rPr>
                <w:rFonts w:asciiTheme="minorHAnsi" w:eastAsia="Times New Roman" w:hAnsiTheme="minorHAnsi"/>
                <w:sz w:val="18"/>
                <w:szCs w:val="18"/>
              </w:rPr>
            </w:pPr>
          </w:p>
        </w:tc>
        <w:tc>
          <w:tcPr>
            <w:tcW w:w="0" w:type="auto"/>
            <w:hideMark/>
          </w:tcPr>
          <w:p w14:paraId="7E45440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Vanuatu</w:t>
            </w:r>
          </w:p>
        </w:tc>
        <w:tc>
          <w:tcPr>
            <w:tcW w:w="0" w:type="auto"/>
            <w:hideMark/>
          </w:tcPr>
          <w:p w14:paraId="424F910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ZIKV</w:t>
            </w:r>
          </w:p>
        </w:tc>
        <w:tc>
          <w:tcPr>
            <w:tcW w:w="0" w:type="auto"/>
            <w:hideMark/>
          </w:tcPr>
          <w:p w14:paraId="017B239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6C11293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96779F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1BE499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3C1A691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r>
      <w:tr w:rsidR="00BE61A2" w:rsidRPr="00F71725" w14:paraId="0397CF4E" w14:textId="77777777" w:rsidTr="00F71725">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gridSpan w:val="3"/>
            <w:shd w:val="clear" w:color="auto" w:fill="FDE9D9" w:themeFill="accent6" w:themeFillTint="33"/>
            <w:hideMark/>
          </w:tcPr>
          <w:p w14:paraId="0CD2B5CC" w14:textId="77777777" w:rsidR="00BE61A2" w:rsidRPr="00F71725" w:rsidRDefault="00BE61A2">
            <w:pPr>
              <w:rPr>
                <w:rFonts w:asciiTheme="minorHAnsi" w:eastAsia="Times New Roman" w:hAnsiTheme="minorHAnsi"/>
                <w:b/>
                <w:sz w:val="18"/>
                <w:szCs w:val="18"/>
              </w:rPr>
            </w:pPr>
            <w:r w:rsidRPr="00F71725">
              <w:rPr>
                <w:rFonts w:asciiTheme="minorHAnsi" w:eastAsia="Times New Roman" w:hAnsiTheme="minorHAnsi"/>
                <w:b/>
                <w:sz w:val="18"/>
                <w:szCs w:val="18"/>
              </w:rPr>
              <w:t>Overseas acquired Total</w:t>
            </w:r>
          </w:p>
        </w:tc>
        <w:tc>
          <w:tcPr>
            <w:tcW w:w="0" w:type="auto"/>
            <w:shd w:val="clear" w:color="auto" w:fill="FDE9D9" w:themeFill="accent6" w:themeFillTint="33"/>
            <w:hideMark/>
          </w:tcPr>
          <w:p w14:paraId="0A95175F" w14:textId="77777777" w:rsidR="00BE61A2" w:rsidRPr="00F71725" w:rsidRDefault="00BE61A2">
            <w:pPr>
              <w:rPr>
                <w:rFonts w:asciiTheme="minorHAnsi" w:eastAsia="Times New Roman" w:hAnsiTheme="minorHAnsi"/>
                <w:b/>
                <w:sz w:val="18"/>
                <w:szCs w:val="18"/>
              </w:rPr>
            </w:pPr>
            <w:r w:rsidRPr="00F71725">
              <w:rPr>
                <w:rFonts w:asciiTheme="minorHAnsi" w:eastAsia="Times New Roman" w:hAnsiTheme="minorHAnsi"/>
                <w:b/>
                <w:sz w:val="18"/>
                <w:szCs w:val="18"/>
              </w:rPr>
              <w:t>5</w:t>
            </w:r>
          </w:p>
        </w:tc>
        <w:tc>
          <w:tcPr>
            <w:tcW w:w="0" w:type="auto"/>
            <w:shd w:val="clear" w:color="auto" w:fill="FDE9D9" w:themeFill="accent6" w:themeFillTint="33"/>
            <w:hideMark/>
          </w:tcPr>
          <w:p w14:paraId="14AE5D33" w14:textId="77777777" w:rsidR="00BE61A2" w:rsidRPr="00F71725" w:rsidRDefault="00BE61A2">
            <w:pPr>
              <w:rPr>
                <w:rFonts w:asciiTheme="minorHAnsi" w:eastAsia="Times New Roman" w:hAnsiTheme="minorHAnsi"/>
                <w:b/>
                <w:sz w:val="18"/>
                <w:szCs w:val="18"/>
              </w:rPr>
            </w:pPr>
            <w:r w:rsidRPr="00F71725">
              <w:rPr>
                <w:rFonts w:asciiTheme="minorHAnsi" w:eastAsia="Times New Roman" w:hAnsiTheme="minorHAnsi"/>
                <w:b/>
                <w:sz w:val="18"/>
                <w:szCs w:val="18"/>
              </w:rPr>
              <w:t>1</w:t>
            </w:r>
          </w:p>
        </w:tc>
        <w:tc>
          <w:tcPr>
            <w:tcW w:w="0" w:type="auto"/>
            <w:shd w:val="clear" w:color="auto" w:fill="FDE9D9" w:themeFill="accent6" w:themeFillTint="33"/>
            <w:hideMark/>
          </w:tcPr>
          <w:p w14:paraId="003A1E29" w14:textId="77777777" w:rsidR="00BE61A2" w:rsidRPr="00F71725" w:rsidRDefault="00BE61A2">
            <w:pPr>
              <w:rPr>
                <w:rFonts w:asciiTheme="minorHAnsi" w:eastAsia="Times New Roman" w:hAnsiTheme="minorHAnsi"/>
                <w:b/>
                <w:sz w:val="18"/>
                <w:szCs w:val="18"/>
              </w:rPr>
            </w:pPr>
            <w:r w:rsidRPr="00F71725">
              <w:rPr>
                <w:rFonts w:asciiTheme="minorHAnsi" w:eastAsia="Times New Roman" w:hAnsiTheme="minorHAnsi"/>
                <w:b/>
                <w:sz w:val="18"/>
                <w:szCs w:val="18"/>
              </w:rPr>
              <w:t>1</w:t>
            </w:r>
          </w:p>
        </w:tc>
        <w:tc>
          <w:tcPr>
            <w:tcW w:w="0" w:type="auto"/>
            <w:shd w:val="clear" w:color="auto" w:fill="FDE9D9" w:themeFill="accent6" w:themeFillTint="33"/>
            <w:hideMark/>
          </w:tcPr>
          <w:p w14:paraId="50A3B9F3" w14:textId="77777777" w:rsidR="00BE61A2" w:rsidRPr="00F71725" w:rsidRDefault="00BE61A2">
            <w:pPr>
              <w:rPr>
                <w:rFonts w:asciiTheme="minorHAnsi" w:eastAsia="Times New Roman" w:hAnsiTheme="minorHAnsi"/>
                <w:b/>
                <w:sz w:val="18"/>
                <w:szCs w:val="18"/>
              </w:rPr>
            </w:pPr>
            <w:r w:rsidRPr="00F71725">
              <w:rPr>
                <w:rFonts w:asciiTheme="minorHAnsi" w:eastAsia="Times New Roman" w:hAnsiTheme="minorHAnsi"/>
                <w:b/>
                <w:sz w:val="18"/>
                <w:szCs w:val="18"/>
              </w:rPr>
              <w:t>4</w:t>
            </w:r>
          </w:p>
        </w:tc>
        <w:tc>
          <w:tcPr>
            <w:tcW w:w="0" w:type="auto"/>
            <w:shd w:val="clear" w:color="auto" w:fill="FDE9D9" w:themeFill="accent6" w:themeFillTint="33"/>
            <w:hideMark/>
          </w:tcPr>
          <w:p w14:paraId="34217BD1" w14:textId="77777777" w:rsidR="00BE61A2" w:rsidRPr="00F71725" w:rsidRDefault="00BE61A2">
            <w:pPr>
              <w:rPr>
                <w:rFonts w:asciiTheme="minorHAnsi" w:eastAsia="Times New Roman" w:hAnsiTheme="minorHAnsi"/>
                <w:b/>
                <w:sz w:val="18"/>
                <w:szCs w:val="18"/>
              </w:rPr>
            </w:pPr>
            <w:r w:rsidRPr="00F71725">
              <w:rPr>
                <w:rFonts w:asciiTheme="minorHAnsi" w:eastAsia="Times New Roman" w:hAnsiTheme="minorHAnsi"/>
                <w:b/>
                <w:sz w:val="18"/>
                <w:szCs w:val="18"/>
              </w:rPr>
              <w:t>11</w:t>
            </w:r>
          </w:p>
        </w:tc>
      </w:tr>
      <w:tr w:rsidR="00BE61A2" w:rsidRPr="00374CC9" w14:paraId="483751CA" w14:textId="77777777" w:rsidTr="000A4FFE">
        <w:tblPrEx>
          <w:tblCellMar>
            <w:right w:w="108" w:type="dxa"/>
          </w:tblCellMar>
        </w:tblPrEx>
        <w:tc>
          <w:tcPr>
            <w:tcW w:w="0" w:type="auto"/>
            <w:hideMark/>
          </w:tcPr>
          <w:p w14:paraId="71F896A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Unknown</w:t>
            </w:r>
          </w:p>
        </w:tc>
        <w:tc>
          <w:tcPr>
            <w:tcW w:w="0" w:type="auto"/>
            <w:hideMark/>
          </w:tcPr>
          <w:p w14:paraId="68B8BB7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Place of acquisition unknown</w:t>
            </w:r>
          </w:p>
        </w:tc>
        <w:tc>
          <w:tcPr>
            <w:tcW w:w="0" w:type="auto"/>
            <w:hideMark/>
          </w:tcPr>
          <w:p w14:paraId="11FDB268" w14:textId="77777777" w:rsidR="00BE61A2" w:rsidRPr="00374CC9" w:rsidRDefault="00BE61A2">
            <w:pPr>
              <w:rPr>
                <w:rFonts w:asciiTheme="minorHAnsi" w:eastAsia="Times New Roman" w:hAnsiTheme="minorHAnsi"/>
                <w:sz w:val="18"/>
                <w:szCs w:val="18"/>
              </w:rPr>
            </w:pPr>
            <w:proofErr w:type="spellStart"/>
            <w:r w:rsidRPr="00374CC9">
              <w:rPr>
                <w:rFonts w:asciiTheme="minorHAnsi" w:eastAsia="Times New Roman" w:hAnsiTheme="minorHAnsi"/>
                <w:sz w:val="18"/>
                <w:szCs w:val="18"/>
              </w:rPr>
              <w:t>Sindbis</w:t>
            </w:r>
            <w:proofErr w:type="spellEnd"/>
          </w:p>
        </w:tc>
        <w:tc>
          <w:tcPr>
            <w:tcW w:w="0" w:type="auto"/>
            <w:hideMark/>
          </w:tcPr>
          <w:p w14:paraId="4CB20D4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5B36FC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2FD3CDC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B89423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0BBF62A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r>
      <w:tr w:rsidR="00BE61A2" w:rsidRPr="002B1DFE" w14:paraId="1B2BDA79" w14:textId="77777777" w:rsidTr="002B1D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gridSpan w:val="3"/>
            <w:shd w:val="clear" w:color="auto" w:fill="FDE9D9" w:themeFill="accent6" w:themeFillTint="33"/>
            <w:hideMark/>
          </w:tcPr>
          <w:p w14:paraId="0D499F08" w14:textId="77777777" w:rsidR="00BE61A2" w:rsidRPr="002B1DFE" w:rsidRDefault="00BE61A2">
            <w:pPr>
              <w:rPr>
                <w:rFonts w:asciiTheme="minorHAnsi" w:eastAsia="Times New Roman" w:hAnsiTheme="minorHAnsi"/>
                <w:b/>
                <w:sz w:val="18"/>
                <w:szCs w:val="18"/>
              </w:rPr>
            </w:pPr>
            <w:r w:rsidRPr="002B1DFE">
              <w:rPr>
                <w:rFonts w:asciiTheme="minorHAnsi" w:eastAsia="Times New Roman" w:hAnsiTheme="minorHAnsi"/>
                <w:b/>
                <w:sz w:val="18"/>
                <w:szCs w:val="18"/>
              </w:rPr>
              <w:t>Total</w:t>
            </w:r>
          </w:p>
        </w:tc>
        <w:tc>
          <w:tcPr>
            <w:tcW w:w="0" w:type="auto"/>
            <w:shd w:val="clear" w:color="auto" w:fill="FDE9D9" w:themeFill="accent6" w:themeFillTint="33"/>
            <w:hideMark/>
          </w:tcPr>
          <w:p w14:paraId="5C66B7EB" w14:textId="77777777" w:rsidR="00BE61A2" w:rsidRPr="002B1DFE" w:rsidRDefault="00BE61A2">
            <w:pPr>
              <w:rPr>
                <w:rFonts w:asciiTheme="minorHAnsi" w:eastAsia="Times New Roman" w:hAnsiTheme="minorHAnsi"/>
                <w:b/>
                <w:sz w:val="18"/>
                <w:szCs w:val="18"/>
              </w:rPr>
            </w:pPr>
            <w:r w:rsidRPr="002B1DFE">
              <w:rPr>
                <w:rFonts w:asciiTheme="minorHAnsi" w:eastAsia="Times New Roman" w:hAnsiTheme="minorHAnsi"/>
                <w:b/>
                <w:sz w:val="18"/>
                <w:szCs w:val="18"/>
              </w:rPr>
              <w:t>5</w:t>
            </w:r>
          </w:p>
        </w:tc>
        <w:tc>
          <w:tcPr>
            <w:tcW w:w="0" w:type="auto"/>
            <w:shd w:val="clear" w:color="auto" w:fill="FDE9D9" w:themeFill="accent6" w:themeFillTint="33"/>
            <w:hideMark/>
          </w:tcPr>
          <w:p w14:paraId="6BAA8D2F" w14:textId="77777777" w:rsidR="00BE61A2" w:rsidRPr="002B1DFE" w:rsidRDefault="00BE61A2">
            <w:pPr>
              <w:rPr>
                <w:rFonts w:asciiTheme="minorHAnsi" w:eastAsia="Times New Roman" w:hAnsiTheme="minorHAnsi"/>
                <w:b/>
                <w:sz w:val="18"/>
                <w:szCs w:val="18"/>
              </w:rPr>
            </w:pPr>
            <w:r w:rsidRPr="002B1DFE">
              <w:rPr>
                <w:rFonts w:asciiTheme="minorHAnsi" w:eastAsia="Times New Roman" w:hAnsiTheme="minorHAnsi"/>
                <w:b/>
                <w:sz w:val="18"/>
                <w:szCs w:val="18"/>
              </w:rPr>
              <w:t>2</w:t>
            </w:r>
          </w:p>
        </w:tc>
        <w:tc>
          <w:tcPr>
            <w:tcW w:w="0" w:type="auto"/>
            <w:shd w:val="clear" w:color="auto" w:fill="FDE9D9" w:themeFill="accent6" w:themeFillTint="33"/>
            <w:hideMark/>
          </w:tcPr>
          <w:p w14:paraId="08F7239D" w14:textId="77777777" w:rsidR="00BE61A2" w:rsidRPr="002B1DFE" w:rsidRDefault="00BE61A2">
            <w:pPr>
              <w:rPr>
                <w:rFonts w:asciiTheme="minorHAnsi" w:eastAsia="Times New Roman" w:hAnsiTheme="minorHAnsi"/>
                <w:b/>
                <w:sz w:val="18"/>
                <w:szCs w:val="18"/>
              </w:rPr>
            </w:pPr>
            <w:r w:rsidRPr="002B1DFE">
              <w:rPr>
                <w:rFonts w:asciiTheme="minorHAnsi" w:eastAsia="Times New Roman" w:hAnsiTheme="minorHAnsi"/>
                <w:b/>
                <w:sz w:val="18"/>
                <w:szCs w:val="18"/>
              </w:rPr>
              <w:t>1</w:t>
            </w:r>
          </w:p>
        </w:tc>
        <w:tc>
          <w:tcPr>
            <w:tcW w:w="0" w:type="auto"/>
            <w:shd w:val="clear" w:color="auto" w:fill="FDE9D9" w:themeFill="accent6" w:themeFillTint="33"/>
            <w:hideMark/>
          </w:tcPr>
          <w:p w14:paraId="0C1DE1EE" w14:textId="77777777" w:rsidR="00BE61A2" w:rsidRPr="002B1DFE" w:rsidRDefault="00BE61A2">
            <w:pPr>
              <w:rPr>
                <w:rFonts w:asciiTheme="minorHAnsi" w:eastAsia="Times New Roman" w:hAnsiTheme="minorHAnsi"/>
                <w:b/>
                <w:sz w:val="18"/>
                <w:szCs w:val="18"/>
              </w:rPr>
            </w:pPr>
            <w:r w:rsidRPr="002B1DFE">
              <w:rPr>
                <w:rFonts w:asciiTheme="minorHAnsi" w:eastAsia="Times New Roman" w:hAnsiTheme="minorHAnsi"/>
                <w:b/>
                <w:sz w:val="18"/>
                <w:szCs w:val="18"/>
              </w:rPr>
              <w:t>4</w:t>
            </w:r>
          </w:p>
        </w:tc>
        <w:tc>
          <w:tcPr>
            <w:tcW w:w="0" w:type="auto"/>
            <w:shd w:val="clear" w:color="auto" w:fill="FDE9D9" w:themeFill="accent6" w:themeFillTint="33"/>
            <w:hideMark/>
          </w:tcPr>
          <w:p w14:paraId="71711B29" w14:textId="77777777" w:rsidR="00BE61A2" w:rsidRPr="002B1DFE" w:rsidRDefault="00BE61A2">
            <w:pPr>
              <w:rPr>
                <w:rFonts w:asciiTheme="minorHAnsi" w:eastAsia="Times New Roman" w:hAnsiTheme="minorHAnsi"/>
                <w:b/>
                <w:sz w:val="18"/>
                <w:szCs w:val="18"/>
              </w:rPr>
            </w:pPr>
            <w:r w:rsidRPr="002B1DFE">
              <w:rPr>
                <w:rFonts w:asciiTheme="minorHAnsi" w:eastAsia="Times New Roman" w:hAnsiTheme="minorHAnsi"/>
                <w:b/>
                <w:sz w:val="18"/>
                <w:szCs w:val="18"/>
              </w:rPr>
              <w:t>12</w:t>
            </w:r>
          </w:p>
        </w:tc>
      </w:tr>
    </w:tbl>
    <w:p w14:paraId="7C69210E" w14:textId="77777777" w:rsidR="00BE61A2" w:rsidRPr="004E056D" w:rsidRDefault="00BE61A2" w:rsidP="004E056D">
      <w:pPr>
        <w:pStyle w:val="Heading2"/>
        <w:rPr>
          <w:rFonts w:eastAsiaTheme="minorEastAsia"/>
        </w:rPr>
      </w:pPr>
      <w:bookmarkStart w:id="213" w:name="_Toc1747367"/>
      <w:r w:rsidRPr="004E056D">
        <w:rPr>
          <w:bCs w:val="0"/>
          <w:sz w:val="27"/>
          <w:szCs w:val="27"/>
        </w:rPr>
        <w:t>Japanese encephalitis virus</w:t>
      </w:r>
      <w:bookmarkEnd w:id="213"/>
    </w:p>
    <w:p w14:paraId="682612C4" w14:textId="77777777" w:rsidR="00BE61A2" w:rsidRPr="00AE2F1B" w:rsidRDefault="00BE61A2" w:rsidP="00AE2F1B">
      <w:r w:rsidRPr="00AE2F1B">
        <w:t>There were 3 cases of JEV notified in 2015. All were acquired in Indonesia.</w:t>
      </w:r>
    </w:p>
    <w:p w14:paraId="17AACCA3" w14:textId="77777777" w:rsidR="00BE61A2" w:rsidRPr="00AE2F1B" w:rsidRDefault="00BE61A2" w:rsidP="00AE2F1B">
      <w:pPr>
        <w:rPr>
          <w:rFonts w:eastAsia="Times New Roman"/>
        </w:rPr>
      </w:pPr>
      <w:r w:rsidRPr="00AE2F1B">
        <w:rPr>
          <w:rFonts w:eastAsia="Times New Roman"/>
        </w:rPr>
        <w:t>No specific treatment is available for illness caused by JEV infection, and care is largely supportive. A vaccine is available to prevent JEV infection.</w:t>
      </w:r>
      <w:r w:rsidRPr="00AE2F1B">
        <w:rPr>
          <w:rFonts w:eastAsia="Times New Roman"/>
          <w:vertAlign w:val="superscript"/>
        </w:rPr>
        <w:t>29</w:t>
      </w:r>
      <w:r w:rsidRPr="00AE2F1B">
        <w:rPr>
          <w:rFonts w:eastAsia="Times New Roman"/>
        </w:rPr>
        <w:t xml:space="preserve"> Infection is usually asymptomatic or produces a non-specific illness, but a small percentage of cases progress to encephalomyelitis of variable severity. The last locally acquired case was in 1998,</w:t>
      </w:r>
      <w:r w:rsidRPr="00AE2F1B">
        <w:rPr>
          <w:rFonts w:eastAsia="Times New Roman"/>
          <w:vertAlign w:val="superscript"/>
        </w:rPr>
        <w:t>144</w:t>
      </w:r>
      <w:r w:rsidRPr="00AE2F1B">
        <w:rPr>
          <w:rFonts w:eastAsia="Times New Roman"/>
        </w:rPr>
        <w:t xml:space="preserve"> and all cases since then have been acquired overseas. </w:t>
      </w:r>
    </w:p>
    <w:p w14:paraId="0E793E1E" w14:textId="77777777" w:rsidR="00BE61A2" w:rsidRPr="00AE2F1B" w:rsidRDefault="00BE61A2" w:rsidP="00924A50">
      <w:pPr>
        <w:pStyle w:val="Heading3"/>
        <w:rPr>
          <w:rFonts w:eastAsiaTheme="minorEastAsia"/>
        </w:rPr>
      </w:pPr>
      <w:bookmarkStart w:id="214" w:name="_Toc1747368"/>
      <w:r w:rsidRPr="00924A50">
        <w:rPr>
          <w:bCs w:val="0"/>
        </w:rPr>
        <w:t>Epidemiological situation in 2015</w:t>
      </w:r>
      <w:bookmarkEnd w:id="214"/>
    </w:p>
    <w:p w14:paraId="5C50C184" w14:textId="77777777" w:rsidR="00BE61A2" w:rsidRPr="00AE2F1B" w:rsidRDefault="00BE61A2" w:rsidP="00AE2F1B">
      <w:r w:rsidRPr="00AE2F1B">
        <w:t xml:space="preserve">In 2015, there were 3 notifications of JEV, all of them acquired in Indonesia (Table 22). There </w:t>
      </w:r>
      <w:proofErr w:type="gramStart"/>
      <w:r w:rsidRPr="00AE2F1B">
        <w:t>were</w:t>
      </w:r>
      <w:proofErr w:type="gramEnd"/>
      <w:r w:rsidRPr="00AE2F1B">
        <w:t xml:space="preserve"> a total of 6 cases between 2010 and 2014, 5 of them acquired in South-East Asia and one in Taiwan. </w:t>
      </w:r>
    </w:p>
    <w:p w14:paraId="211CBCC5" w14:textId="77777777" w:rsidR="00007C21" w:rsidRDefault="00007C21">
      <w:pPr>
        <w:rPr>
          <w:b/>
        </w:rPr>
      </w:pPr>
      <w:r>
        <w:br w:type="page"/>
      </w:r>
    </w:p>
    <w:p w14:paraId="6682A6E8" w14:textId="77777777" w:rsidR="00BE61A2" w:rsidRPr="00AE2F1B" w:rsidRDefault="00BE61A2" w:rsidP="00330DE9">
      <w:pPr>
        <w:pStyle w:val="CDIFigures"/>
      </w:pPr>
      <w:r w:rsidRPr="00AE2F1B">
        <w:lastRenderedPageBreak/>
        <w:t xml:space="preserve">Table 22: Notifications of Japanese encephalitis virus infection, Australia, 2010 to 2015 </w:t>
      </w:r>
    </w:p>
    <w:tbl>
      <w:tblPr>
        <w:tblStyle w:val="CDI-StandardTable"/>
        <w:tblW w:w="0" w:type="auto"/>
        <w:tblCellMar>
          <w:top w:w="142" w:type="dxa"/>
          <w:left w:w="142" w:type="dxa"/>
          <w:bottom w:w="142" w:type="dxa"/>
        </w:tblCellMar>
        <w:tblLook w:val="04A0" w:firstRow="1" w:lastRow="0" w:firstColumn="1" w:lastColumn="0" w:noHBand="0" w:noVBand="1"/>
        <w:tblDescription w:val="This table shows the details for the Japanese encephalitis virus infection reported betweeb 2012 and 2015including the state or territory, country of acquisition, month diagnosed, age-group and sex. All cases were acquired overseas, and the majority of cases notified during the reporting period acquired their infection in Indonesia.&#10;"/>
      </w:tblPr>
      <w:tblGrid>
        <w:gridCol w:w="615"/>
        <w:gridCol w:w="1363"/>
        <w:gridCol w:w="1912"/>
        <w:gridCol w:w="1058"/>
        <w:gridCol w:w="1027"/>
        <w:gridCol w:w="784"/>
      </w:tblGrid>
      <w:tr w:rsidR="004B770F" w:rsidRPr="004B770F" w14:paraId="59E0CD8D" w14:textId="77777777" w:rsidTr="000A4FFE">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3D4A0E37"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Year</w:t>
            </w:r>
          </w:p>
        </w:tc>
        <w:tc>
          <w:tcPr>
            <w:tcW w:w="0" w:type="auto"/>
            <w:hideMark/>
          </w:tcPr>
          <w:p w14:paraId="5D101817"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State/territory</w:t>
            </w:r>
          </w:p>
        </w:tc>
        <w:tc>
          <w:tcPr>
            <w:tcW w:w="0" w:type="auto"/>
            <w:hideMark/>
          </w:tcPr>
          <w:p w14:paraId="4D790877"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Country of acquisition</w:t>
            </w:r>
          </w:p>
        </w:tc>
        <w:tc>
          <w:tcPr>
            <w:tcW w:w="0" w:type="auto"/>
            <w:hideMark/>
          </w:tcPr>
          <w:p w14:paraId="37469C77"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Month</w:t>
            </w:r>
          </w:p>
        </w:tc>
        <w:tc>
          <w:tcPr>
            <w:tcW w:w="0" w:type="auto"/>
            <w:hideMark/>
          </w:tcPr>
          <w:p w14:paraId="2AED55E7"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Age group</w:t>
            </w:r>
          </w:p>
        </w:tc>
        <w:tc>
          <w:tcPr>
            <w:tcW w:w="0" w:type="auto"/>
            <w:hideMark/>
          </w:tcPr>
          <w:p w14:paraId="6E053C22"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Sex</w:t>
            </w:r>
          </w:p>
        </w:tc>
      </w:tr>
      <w:tr w:rsidR="00BE61A2" w:rsidRPr="00374CC9" w14:paraId="246AAFDE" w14:textId="77777777" w:rsidTr="000A4FFE">
        <w:tblPrEx>
          <w:tblCellMar>
            <w:right w:w="108" w:type="dxa"/>
          </w:tblCellMar>
        </w:tblPrEx>
        <w:tc>
          <w:tcPr>
            <w:tcW w:w="0" w:type="auto"/>
            <w:hideMark/>
          </w:tcPr>
          <w:p w14:paraId="203A74F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2012</w:t>
            </w:r>
          </w:p>
        </w:tc>
        <w:tc>
          <w:tcPr>
            <w:tcW w:w="0" w:type="auto"/>
            <w:hideMark/>
          </w:tcPr>
          <w:p w14:paraId="7DA5D9E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Qld</w:t>
            </w:r>
          </w:p>
        </w:tc>
        <w:tc>
          <w:tcPr>
            <w:tcW w:w="0" w:type="auto"/>
            <w:hideMark/>
          </w:tcPr>
          <w:p w14:paraId="5EA6741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Philippines</w:t>
            </w:r>
          </w:p>
        </w:tc>
        <w:tc>
          <w:tcPr>
            <w:tcW w:w="0" w:type="auto"/>
            <w:hideMark/>
          </w:tcPr>
          <w:p w14:paraId="32C1C26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February</w:t>
            </w:r>
          </w:p>
        </w:tc>
        <w:tc>
          <w:tcPr>
            <w:tcW w:w="0" w:type="auto"/>
            <w:hideMark/>
          </w:tcPr>
          <w:p w14:paraId="4E4C780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15–19</w:t>
            </w:r>
          </w:p>
        </w:tc>
        <w:tc>
          <w:tcPr>
            <w:tcW w:w="0" w:type="auto"/>
            <w:hideMark/>
          </w:tcPr>
          <w:p w14:paraId="66A6B49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Female</w:t>
            </w:r>
          </w:p>
        </w:tc>
      </w:tr>
      <w:tr w:rsidR="00BE61A2" w:rsidRPr="00374CC9" w14:paraId="6B283311"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BE9952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2013</w:t>
            </w:r>
          </w:p>
        </w:tc>
        <w:tc>
          <w:tcPr>
            <w:tcW w:w="0" w:type="auto"/>
            <w:hideMark/>
          </w:tcPr>
          <w:p w14:paraId="3B0C4AF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Qld</w:t>
            </w:r>
          </w:p>
        </w:tc>
        <w:tc>
          <w:tcPr>
            <w:tcW w:w="0" w:type="auto"/>
            <w:hideMark/>
          </w:tcPr>
          <w:p w14:paraId="61A4D65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Philippines</w:t>
            </w:r>
          </w:p>
        </w:tc>
        <w:tc>
          <w:tcPr>
            <w:tcW w:w="0" w:type="auto"/>
            <w:hideMark/>
          </w:tcPr>
          <w:p w14:paraId="0BBFEE6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September</w:t>
            </w:r>
          </w:p>
        </w:tc>
        <w:tc>
          <w:tcPr>
            <w:tcW w:w="0" w:type="auto"/>
            <w:hideMark/>
          </w:tcPr>
          <w:p w14:paraId="5D297F4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70–74</w:t>
            </w:r>
          </w:p>
        </w:tc>
        <w:tc>
          <w:tcPr>
            <w:tcW w:w="0" w:type="auto"/>
            <w:hideMark/>
          </w:tcPr>
          <w:p w14:paraId="1C04471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Male</w:t>
            </w:r>
          </w:p>
        </w:tc>
      </w:tr>
      <w:tr w:rsidR="00BE61A2" w:rsidRPr="00374CC9" w14:paraId="1C1AC6A6" w14:textId="77777777" w:rsidTr="000A4FFE">
        <w:tblPrEx>
          <w:tblCellMar>
            <w:right w:w="108" w:type="dxa"/>
          </w:tblCellMar>
        </w:tblPrEx>
        <w:tc>
          <w:tcPr>
            <w:tcW w:w="0" w:type="auto"/>
            <w:hideMark/>
          </w:tcPr>
          <w:p w14:paraId="003BFAB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2013</w:t>
            </w:r>
          </w:p>
        </w:tc>
        <w:tc>
          <w:tcPr>
            <w:tcW w:w="0" w:type="auto"/>
            <w:hideMark/>
          </w:tcPr>
          <w:p w14:paraId="180E8C9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Qld</w:t>
            </w:r>
          </w:p>
        </w:tc>
        <w:tc>
          <w:tcPr>
            <w:tcW w:w="0" w:type="auto"/>
            <w:hideMark/>
          </w:tcPr>
          <w:p w14:paraId="01350AC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Taiwan</w:t>
            </w:r>
          </w:p>
        </w:tc>
        <w:tc>
          <w:tcPr>
            <w:tcW w:w="0" w:type="auto"/>
            <w:hideMark/>
          </w:tcPr>
          <w:p w14:paraId="6AEA33E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July</w:t>
            </w:r>
          </w:p>
        </w:tc>
        <w:tc>
          <w:tcPr>
            <w:tcW w:w="0" w:type="auto"/>
            <w:hideMark/>
          </w:tcPr>
          <w:p w14:paraId="35D72F1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45–49</w:t>
            </w:r>
          </w:p>
        </w:tc>
        <w:tc>
          <w:tcPr>
            <w:tcW w:w="0" w:type="auto"/>
            <w:hideMark/>
          </w:tcPr>
          <w:p w14:paraId="1B36B06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Male</w:t>
            </w:r>
          </w:p>
        </w:tc>
      </w:tr>
      <w:tr w:rsidR="00BE61A2" w:rsidRPr="00374CC9" w14:paraId="17DD9372"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A43969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2013</w:t>
            </w:r>
          </w:p>
        </w:tc>
        <w:tc>
          <w:tcPr>
            <w:tcW w:w="0" w:type="auto"/>
            <w:hideMark/>
          </w:tcPr>
          <w:p w14:paraId="1DF5C36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SA</w:t>
            </w:r>
          </w:p>
        </w:tc>
        <w:tc>
          <w:tcPr>
            <w:tcW w:w="0" w:type="auto"/>
            <w:hideMark/>
          </w:tcPr>
          <w:p w14:paraId="7855188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Thailand</w:t>
            </w:r>
          </w:p>
        </w:tc>
        <w:tc>
          <w:tcPr>
            <w:tcW w:w="0" w:type="auto"/>
            <w:hideMark/>
          </w:tcPr>
          <w:p w14:paraId="739A1CD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June</w:t>
            </w:r>
          </w:p>
        </w:tc>
        <w:tc>
          <w:tcPr>
            <w:tcW w:w="0" w:type="auto"/>
            <w:hideMark/>
          </w:tcPr>
          <w:p w14:paraId="7A529BB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55–59</w:t>
            </w:r>
          </w:p>
        </w:tc>
        <w:tc>
          <w:tcPr>
            <w:tcW w:w="0" w:type="auto"/>
            <w:hideMark/>
          </w:tcPr>
          <w:p w14:paraId="4E2C62F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Male</w:t>
            </w:r>
          </w:p>
        </w:tc>
      </w:tr>
      <w:tr w:rsidR="00BE61A2" w:rsidRPr="00374CC9" w14:paraId="683ACA12" w14:textId="77777777" w:rsidTr="000A4FFE">
        <w:tblPrEx>
          <w:tblCellMar>
            <w:right w:w="108" w:type="dxa"/>
          </w:tblCellMar>
        </w:tblPrEx>
        <w:tc>
          <w:tcPr>
            <w:tcW w:w="0" w:type="auto"/>
            <w:hideMark/>
          </w:tcPr>
          <w:p w14:paraId="2A6E3D9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2013</w:t>
            </w:r>
          </w:p>
        </w:tc>
        <w:tc>
          <w:tcPr>
            <w:tcW w:w="0" w:type="auto"/>
            <w:hideMark/>
          </w:tcPr>
          <w:p w14:paraId="623E17D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WA</w:t>
            </w:r>
          </w:p>
        </w:tc>
        <w:tc>
          <w:tcPr>
            <w:tcW w:w="0" w:type="auto"/>
            <w:hideMark/>
          </w:tcPr>
          <w:p w14:paraId="03252CE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Indonesia</w:t>
            </w:r>
          </w:p>
        </w:tc>
        <w:tc>
          <w:tcPr>
            <w:tcW w:w="0" w:type="auto"/>
            <w:hideMark/>
          </w:tcPr>
          <w:p w14:paraId="4437A02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April</w:t>
            </w:r>
          </w:p>
        </w:tc>
        <w:tc>
          <w:tcPr>
            <w:tcW w:w="0" w:type="auto"/>
            <w:hideMark/>
          </w:tcPr>
          <w:p w14:paraId="2508185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40–44</w:t>
            </w:r>
          </w:p>
        </w:tc>
        <w:tc>
          <w:tcPr>
            <w:tcW w:w="0" w:type="auto"/>
            <w:hideMark/>
          </w:tcPr>
          <w:p w14:paraId="429BA5F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Female</w:t>
            </w:r>
          </w:p>
        </w:tc>
      </w:tr>
      <w:tr w:rsidR="00BE61A2" w:rsidRPr="00374CC9" w14:paraId="1FD5A600"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267107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2014</w:t>
            </w:r>
          </w:p>
        </w:tc>
        <w:tc>
          <w:tcPr>
            <w:tcW w:w="0" w:type="auto"/>
            <w:hideMark/>
          </w:tcPr>
          <w:p w14:paraId="36EFB61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SA</w:t>
            </w:r>
          </w:p>
        </w:tc>
        <w:tc>
          <w:tcPr>
            <w:tcW w:w="0" w:type="auto"/>
            <w:hideMark/>
          </w:tcPr>
          <w:p w14:paraId="2528884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Indonesia</w:t>
            </w:r>
          </w:p>
        </w:tc>
        <w:tc>
          <w:tcPr>
            <w:tcW w:w="0" w:type="auto"/>
            <w:hideMark/>
          </w:tcPr>
          <w:p w14:paraId="1F0137C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August</w:t>
            </w:r>
          </w:p>
        </w:tc>
        <w:tc>
          <w:tcPr>
            <w:tcW w:w="0" w:type="auto"/>
            <w:hideMark/>
          </w:tcPr>
          <w:p w14:paraId="0CC4BBC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50–54</w:t>
            </w:r>
          </w:p>
        </w:tc>
        <w:tc>
          <w:tcPr>
            <w:tcW w:w="0" w:type="auto"/>
            <w:hideMark/>
          </w:tcPr>
          <w:p w14:paraId="7264CB3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Male</w:t>
            </w:r>
          </w:p>
        </w:tc>
      </w:tr>
      <w:tr w:rsidR="00BE61A2" w:rsidRPr="00374CC9" w14:paraId="67FF4F29" w14:textId="77777777" w:rsidTr="000A4FFE">
        <w:tblPrEx>
          <w:tblCellMar>
            <w:right w:w="108" w:type="dxa"/>
          </w:tblCellMar>
        </w:tblPrEx>
        <w:tc>
          <w:tcPr>
            <w:tcW w:w="0" w:type="auto"/>
            <w:hideMark/>
          </w:tcPr>
          <w:p w14:paraId="624E026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2015</w:t>
            </w:r>
          </w:p>
        </w:tc>
        <w:tc>
          <w:tcPr>
            <w:tcW w:w="0" w:type="auto"/>
            <w:hideMark/>
          </w:tcPr>
          <w:p w14:paraId="65BDF57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NSW</w:t>
            </w:r>
          </w:p>
        </w:tc>
        <w:tc>
          <w:tcPr>
            <w:tcW w:w="0" w:type="auto"/>
            <w:hideMark/>
          </w:tcPr>
          <w:p w14:paraId="437DBE5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Indonesia</w:t>
            </w:r>
          </w:p>
        </w:tc>
        <w:tc>
          <w:tcPr>
            <w:tcW w:w="0" w:type="auto"/>
            <w:hideMark/>
          </w:tcPr>
          <w:p w14:paraId="49FC556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January</w:t>
            </w:r>
          </w:p>
        </w:tc>
        <w:tc>
          <w:tcPr>
            <w:tcW w:w="0" w:type="auto"/>
            <w:hideMark/>
          </w:tcPr>
          <w:p w14:paraId="7065B1B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25–29</w:t>
            </w:r>
          </w:p>
        </w:tc>
        <w:tc>
          <w:tcPr>
            <w:tcW w:w="0" w:type="auto"/>
            <w:hideMark/>
          </w:tcPr>
          <w:p w14:paraId="08600DD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Female</w:t>
            </w:r>
          </w:p>
        </w:tc>
      </w:tr>
      <w:tr w:rsidR="00BE61A2" w:rsidRPr="00374CC9" w14:paraId="2B649C4B"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88CCD3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2015</w:t>
            </w:r>
          </w:p>
        </w:tc>
        <w:tc>
          <w:tcPr>
            <w:tcW w:w="0" w:type="auto"/>
            <w:hideMark/>
          </w:tcPr>
          <w:p w14:paraId="5CAA3B8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Qld</w:t>
            </w:r>
          </w:p>
        </w:tc>
        <w:tc>
          <w:tcPr>
            <w:tcW w:w="0" w:type="auto"/>
            <w:hideMark/>
          </w:tcPr>
          <w:p w14:paraId="09B9B35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Indonesia</w:t>
            </w:r>
          </w:p>
        </w:tc>
        <w:tc>
          <w:tcPr>
            <w:tcW w:w="0" w:type="auto"/>
            <w:hideMark/>
          </w:tcPr>
          <w:p w14:paraId="34228EB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November</w:t>
            </w:r>
          </w:p>
        </w:tc>
        <w:tc>
          <w:tcPr>
            <w:tcW w:w="0" w:type="auto"/>
            <w:hideMark/>
          </w:tcPr>
          <w:p w14:paraId="2CC8CD9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40–44</w:t>
            </w:r>
          </w:p>
        </w:tc>
        <w:tc>
          <w:tcPr>
            <w:tcW w:w="0" w:type="auto"/>
            <w:hideMark/>
          </w:tcPr>
          <w:p w14:paraId="2E847AB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Female</w:t>
            </w:r>
          </w:p>
        </w:tc>
      </w:tr>
      <w:tr w:rsidR="00BE61A2" w:rsidRPr="00374CC9" w14:paraId="4970C70E" w14:textId="77777777" w:rsidTr="000A4FFE">
        <w:tblPrEx>
          <w:tblCellMar>
            <w:right w:w="108" w:type="dxa"/>
          </w:tblCellMar>
        </w:tblPrEx>
        <w:tc>
          <w:tcPr>
            <w:tcW w:w="0" w:type="auto"/>
            <w:hideMark/>
          </w:tcPr>
          <w:p w14:paraId="4DCCAC9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2015</w:t>
            </w:r>
          </w:p>
        </w:tc>
        <w:tc>
          <w:tcPr>
            <w:tcW w:w="0" w:type="auto"/>
            <w:hideMark/>
          </w:tcPr>
          <w:p w14:paraId="40069B7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Vic</w:t>
            </w:r>
          </w:p>
        </w:tc>
        <w:tc>
          <w:tcPr>
            <w:tcW w:w="0" w:type="auto"/>
            <w:hideMark/>
          </w:tcPr>
          <w:p w14:paraId="5886DFF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Indonesia</w:t>
            </w:r>
          </w:p>
        </w:tc>
        <w:tc>
          <w:tcPr>
            <w:tcW w:w="0" w:type="auto"/>
            <w:hideMark/>
          </w:tcPr>
          <w:p w14:paraId="494A3E3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January</w:t>
            </w:r>
          </w:p>
        </w:tc>
        <w:tc>
          <w:tcPr>
            <w:tcW w:w="0" w:type="auto"/>
            <w:hideMark/>
          </w:tcPr>
          <w:p w14:paraId="40410AF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45–49</w:t>
            </w:r>
          </w:p>
        </w:tc>
        <w:tc>
          <w:tcPr>
            <w:tcW w:w="0" w:type="auto"/>
            <w:hideMark/>
          </w:tcPr>
          <w:p w14:paraId="1A4E507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Male</w:t>
            </w:r>
          </w:p>
        </w:tc>
      </w:tr>
    </w:tbl>
    <w:p w14:paraId="06915349" w14:textId="77777777" w:rsidR="00BE61A2" w:rsidRPr="004E056D" w:rsidRDefault="00BE61A2" w:rsidP="004E056D">
      <w:pPr>
        <w:pStyle w:val="Heading2"/>
        <w:rPr>
          <w:rFonts w:eastAsiaTheme="minorEastAsia"/>
        </w:rPr>
      </w:pPr>
      <w:bookmarkStart w:id="215" w:name="_Toc1747369"/>
      <w:r w:rsidRPr="004E056D">
        <w:rPr>
          <w:bCs w:val="0"/>
          <w:sz w:val="27"/>
          <w:szCs w:val="27"/>
        </w:rPr>
        <w:t xml:space="preserve">West Nile virus (including </w:t>
      </w:r>
      <w:proofErr w:type="spellStart"/>
      <w:r w:rsidRPr="004E056D">
        <w:rPr>
          <w:bCs w:val="0"/>
          <w:sz w:val="27"/>
          <w:szCs w:val="27"/>
        </w:rPr>
        <w:t>Kunjin</w:t>
      </w:r>
      <w:proofErr w:type="spellEnd"/>
      <w:r w:rsidRPr="004E056D">
        <w:rPr>
          <w:bCs w:val="0"/>
          <w:sz w:val="27"/>
          <w:szCs w:val="27"/>
        </w:rPr>
        <w:t xml:space="preserve"> virus)</w:t>
      </w:r>
      <w:bookmarkEnd w:id="215"/>
    </w:p>
    <w:p w14:paraId="1034B9EA" w14:textId="77777777" w:rsidR="00BE61A2" w:rsidRPr="00330DE9" w:rsidRDefault="00BE61A2" w:rsidP="00330DE9">
      <w:pPr>
        <w:pStyle w:val="ListParagraph"/>
        <w:numPr>
          <w:ilvl w:val="0"/>
          <w:numId w:val="13"/>
        </w:numPr>
        <w:rPr>
          <w:rFonts w:eastAsia="Times New Roman"/>
        </w:rPr>
      </w:pPr>
      <w:r w:rsidRPr="00330DE9">
        <w:rPr>
          <w:rFonts w:eastAsia="Times New Roman"/>
        </w:rPr>
        <w:t xml:space="preserve">There was </w:t>
      </w:r>
      <w:r w:rsidR="002E2B04">
        <w:rPr>
          <w:rFonts w:eastAsia="Times New Roman"/>
        </w:rPr>
        <w:t>one</w:t>
      </w:r>
      <w:r w:rsidRPr="00330DE9">
        <w:rPr>
          <w:rFonts w:eastAsia="Times New Roman"/>
        </w:rPr>
        <w:t xml:space="preserve"> case of WNV/KUNV notified in 2015. </w:t>
      </w:r>
    </w:p>
    <w:p w14:paraId="51CD07CB" w14:textId="77777777" w:rsidR="00BE61A2" w:rsidRPr="00330DE9" w:rsidRDefault="00BE61A2" w:rsidP="00330DE9">
      <w:pPr>
        <w:pStyle w:val="ListParagraph"/>
        <w:numPr>
          <w:ilvl w:val="0"/>
          <w:numId w:val="13"/>
        </w:numPr>
        <w:rPr>
          <w:rFonts w:eastAsia="Times New Roman"/>
        </w:rPr>
      </w:pPr>
      <w:r w:rsidRPr="00330DE9">
        <w:rPr>
          <w:rFonts w:eastAsia="Times New Roman"/>
        </w:rPr>
        <w:t xml:space="preserve">This case acquired infection in the United States of America. </w:t>
      </w:r>
    </w:p>
    <w:p w14:paraId="41B0E305" w14:textId="77777777" w:rsidR="00BE61A2" w:rsidRPr="00AE2F1B" w:rsidRDefault="00BE61A2" w:rsidP="00AE2F1B">
      <w:r w:rsidRPr="00AE2F1B">
        <w:t xml:space="preserve">No specific treatment is available for infections with WNV/KUNV, and care is largely supportive. There is no vaccine. Infection is usually asymptomatic or produces a non-specific illness, but a small percentage of cases progress to encephalomyelitis of variable severity. </w:t>
      </w:r>
      <w:r w:rsidRPr="00DF12AB">
        <w:rPr>
          <w:rStyle w:val="Emphasis"/>
          <w:b w:val="0"/>
        </w:rPr>
        <w:t xml:space="preserve">Culex </w:t>
      </w:r>
      <w:proofErr w:type="spellStart"/>
      <w:r w:rsidRPr="00DF12AB">
        <w:rPr>
          <w:rStyle w:val="Emphasis"/>
          <w:b w:val="0"/>
        </w:rPr>
        <w:t>annulirostris</w:t>
      </w:r>
      <w:proofErr w:type="spellEnd"/>
      <w:r w:rsidRPr="00AE2F1B">
        <w:t xml:space="preserve"> is the major vector of WNV/KUNV in Australia.</w:t>
      </w:r>
    </w:p>
    <w:p w14:paraId="3A01FC5A" w14:textId="77777777" w:rsidR="00BE61A2" w:rsidRPr="00AE2F1B" w:rsidRDefault="00BE61A2" w:rsidP="00924A50">
      <w:pPr>
        <w:pStyle w:val="Heading3"/>
      </w:pPr>
      <w:bookmarkStart w:id="216" w:name="_Toc1747370"/>
      <w:r w:rsidRPr="00924A50">
        <w:rPr>
          <w:bCs w:val="0"/>
        </w:rPr>
        <w:t>Epidemiological situation in 2015</w:t>
      </w:r>
      <w:bookmarkEnd w:id="216"/>
    </w:p>
    <w:p w14:paraId="793AD1BF" w14:textId="77777777" w:rsidR="00BE61A2" w:rsidRPr="00AE2F1B" w:rsidRDefault="00BE61A2" w:rsidP="00AE2F1B">
      <w:r w:rsidRPr="00AE2F1B">
        <w:t xml:space="preserve">In 2015, there was </w:t>
      </w:r>
      <w:r w:rsidR="002E2B04">
        <w:t>one</w:t>
      </w:r>
      <w:r w:rsidRPr="00AE2F1B">
        <w:t xml:space="preserve"> notification of WNV/KUNV. The case was a male in New South Wales aged between 60 and 64 years, and the infection was acquired in the United States of America. Between 2010 and 2014, there were 7 notifications of WNV/KUNV in total, with 5 of these acquired in the Australasian region and one acquired in Djibouti. There was one case for whom the place of acquisition was unknown (Table 23).</w:t>
      </w:r>
    </w:p>
    <w:p w14:paraId="608D9069" w14:textId="77777777" w:rsidR="00007C21" w:rsidRDefault="00007C21">
      <w:pPr>
        <w:rPr>
          <w:b/>
        </w:rPr>
      </w:pPr>
      <w:r>
        <w:br w:type="page"/>
      </w:r>
    </w:p>
    <w:p w14:paraId="31E9E815" w14:textId="77777777" w:rsidR="00BE61A2" w:rsidRPr="00AE2F1B" w:rsidRDefault="00BE61A2" w:rsidP="00330DE9">
      <w:pPr>
        <w:pStyle w:val="CDIFigures"/>
      </w:pPr>
      <w:r w:rsidRPr="00AE2F1B">
        <w:lastRenderedPageBreak/>
        <w:t xml:space="preserve">Table 23: Notifications of West Nile virus (including </w:t>
      </w:r>
      <w:proofErr w:type="spellStart"/>
      <w:r w:rsidRPr="00AE2F1B">
        <w:t>Kunjin</w:t>
      </w:r>
      <w:proofErr w:type="spellEnd"/>
      <w:r w:rsidRPr="00AE2F1B">
        <w:t xml:space="preserve"> virus) infection, Australia, 2010 to 2015 </w:t>
      </w:r>
    </w:p>
    <w:tbl>
      <w:tblPr>
        <w:tblStyle w:val="CDI-StandardTable"/>
        <w:tblW w:w="0" w:type="auto"/>
        <w:tblCellMar>
          <w:top w:w="142" w:type="dxa"/>
          <w:left w:w="142" w:type="dxa"/>
          <w:bottom w:w="142" w:type="dxa"/>
        </w:tblCellMar>
        <w:tblLook w:val="04A0" w:firstRow="1" w:lastRow="0" w:firstColumn="1" w:lastColumn="0" w:noHBand="0" w:noVBand="1"/>
        <w:tblDescription w:val="This table shows details of the West Nile virus (including Kunjin virus) infection reported between 2010 and  2015 including the state or territory, country of acquisition, month diagnosed, age-group and sex. Three cases were acquired in Australia, one in 2010 and the other two in 2011. In 2015 there was just one case, acquired in the United States of America.&#10;"/>
      </w:tblPr>
      <w:tblGrid>
        <w:gridCol w:w="615"/>
        <w:gridCol w:w="1363"/>
        <w:gridCol w:w="2388"/>
        <w:gridCol w:w="2024"/>
        <w:gridCol w:w="2025"/>
        <w:gridCol w:w="2025"/>
      </w:tblGrid>
      <w:tr w:rsidR="004B770F" w:rsidRPr="004B770F" w14:paraId="36709072" w14:textId="77777777" w:rsidTr="00142697">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75794298"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Year</w:t>
            </w:r>
          </w:p>
        </w:tc>
        <w:tc>
          <w:tcPr>
            <w:tcW w:w="0" w:type="auto"/>
            <w:hideMark/>
          </w:tcPr>
          <w:p w14:paraId="47FCC0AC"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State/territory</w:t>
            </w:r>
          </w:p>
        </w:tc>
        <w:tc>
          <w:tcPr>
            <w:tcW w:w="0" w:type="auto"/>
            <w:hideMark/>
          </w:tcPr>
          <w:p w14:paraId="46785F46"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Country of acquisition</w:t>
            </w:r>
          </w:p>
        </w:tc>
        <w:tc>
          <w:tcPr>
            <w:tcW w:w="2024" w:type="dxa"/>
            <w:hideMark/>
          </w:tcPr>
          <w:p w14:paraId="12EBE3A3"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Month</w:t>
            </w:r>
          </w:p>
        </w:tc>
        <w:tc>
          <w:tcPr>
            <w:tcW w:w="2025" w:type="dxa"/>
            <w:hideMark/>
          </w:tcPr>
          <w:p w14:paraId="7E88AA92"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Age group</w:t>
            </w:r>
          </w:p>
        </w:tc>
        <w:tc>
          <w:tcPr>
            <w:tcW w:w="2025" w:type="dxa"/>
            <w:hideMark/>
          </w:tcPr>
          <w:p w14:paraId="5C049262"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Sex</w:t>
            </w:r>
          </w:p>
        </w:tc>
      </w:tr>
      <w:tr w:rsidR="00BE61A2" w:rsidRPr="00374CC9" w14:paraId="25B91FC1" w14:textId="77777777" w:rsidTr="00142697">
        <w:tblPrEx>
          <w:tblCellMar>
            <w:right w:w="108" w:type="dxa"/>
          </w:tblCellMar>
        </w:tblPrEx>
        <w:tc>
          <w:tcPr>
            <w:tcW w:w="0" w:type="auto"/>
            <w:hideMark/>
          </w:tcPr>
          <w:p w14:paraId="17622CE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2010</w:t>
            </w:r>
          </w:p>
        </w:tc>
        <w:tc>
          <w:tcPr>
            <w:tcW w:w="0" w:type="auto"/>
            <w:hideMark/>
          </w:tcPr>
          <w:p w14:paraId="2C6131F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NT</w:t>
            </w:r>
          </w:p>
        </w:tc>
        <w:tc>
          <w:tcPr>
            <w:tcW w:w="0" w:type="auto"/>
            <w:hideMark/>
          </w:tcPr>
          <w:p w14:paraId="27C6DCB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Australia</w:t>
            </w:r>
          </w:p>
        </w:tc>
        <w:tc>
          <w:tcPr>
            <w:tcW w:w="2024" w:type="dxa"/>
            <w:hideMark/>
          </w:tcPr>
          <w:p w14:paraId="130D7E3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June</w:t>
            </w:r>
          </w:p>
        </w:tc>
        <w:tc>
          <w:tcPr>
            <w:tcW w:w="2025" w:type="dxa"/>
            <w:hideMark/>
          </w:tcPr>
          <w:p w14:paraId="07AEFC5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80–84</w:t>
            </w:r>
          </w:p>
        </w:tc>
        <w:tc>
          <w:tcPr>
            <w:tcW w:w="2025" w:type="dxa"/>
            <w:hideMark/>
          </w:tcPr>
          <w:p w14:paraId="5F14381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Male</w:t>
            </w:r>
          </w:p>
        </w:tc>
      </w:tr>
      <w:tr w:rsidR="00BE61A2" w:rsidRPr="00374CC9" w14:paraId="07B9F1B5" w14:textId="77777777" w:rsidTr="00142697">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A03EE9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2010</w:t>
            </w:r>
          </w:p>
        </w:tc>
        <w:tc>
          <w:tcPr>
            <w:tcW w:w="0" w:type="auto"/>
            <w:hideMark/>
          </w:tcPr>
          <w:p w14:paraId="13E477D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Qld</w:t>
            </w:r>
          </w:p>
        </w:tc>
        <w:tc>
          <w:tcPr>
            <w:tcW w:w="0" w:type="auto"/>
            <w:hideMark/>
          </w:tcPr>
          <w:p w14:paraId="3ED61EF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Place of acquisition unknown</w:t>
            </w:r>
          </w:p>
        </w:tc>
        <w:tc>
          <w:tcPr>
            <w:tcW w:w="2024" w:type="dxa"/>
            <w:hideMark/>
          </w:tcPr>
          <w:p w14:paraId="376DC0F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February</w:t>
            </w:r>
          </w:p>
        </w:tc>
        <w:tc>
          <w:tcPr>
            <w:tcW w:w="2025" w:type="dxa"/>
            <w:hideMark/>
          </w:tcPr>
          <w:p w14:paraId="0891A80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40–44</w:t>
            </w:r>
          </w:p>
        </w:tc>
        <w:tc>
          <w:tcPr>
            <w:tcW w:w="2025" w:type="dxa"/>
            <w:hideMark/>
          </w:tcPr>
          <w:p w14:paraId="56E76FD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Male</w:t>
            </w:r>
          </w:p>
        </w:tc>
      </w:tr>
      <w:tr w:rsidR="00BE61A2" w:rsidRPr="00374CC9" w14:paraId="48343F99" w14:textId="77777777" w:rsidTr="00142697">
        <w:tblPrEx>
          <w:tblCellMar>
            <w:right w:w="108" w:type="dxa"/>
          </w:tblCellMar>
        </w:tblPrEx>
        <w:tc>
          <w:tcPr>
            <w:tcW w:w="0" w:type="auto"/>
            <w:hideMark/>
          </w:tcPr>
          <w:p w14:paraId="037A707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2011</w:t>
            </w:r>
          </w:p>
        </w:tc>
        <w:tc>
          <w:tcPr>
            <w:tcW w:w="0" w:type="auto"/>
            <w:hideMark/>
          </w:tcPr>
          <w:p w14:paraId="0B3A4D0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NSW</w:t>
            </w:r>
          </w:p>
        </w:tc>
        <w:tc>
          <w:tcPr>
            <w:tcW w:w="0" w:type="auto"/>
            <w:hideMark/>
          </w:tcPr>
          <w:p w14:paraId="56AA6C7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Australia</w:t>
            </w:r>
          </w:p>
        </w:tc>
        <w:tc>
          <w:tcPr>
            <w:tcW w:w="2024" w:type="dxa"/>
            <w:hideMark/>
          </w:tcPr>
          <w:p w14:paraId="631030C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December</w:t>
            </w:r>
          </w:p>
        </w:tc>
        <w:tc>
          <w:tcPr>
            <w:tcW w:w="2025" w:type="dxa"/>
            <w:hideMark/>
          </w:tcPr>
          <w:p w14:paraId="7F2B2AE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40–44</w:t>
            </w:r>
          </w:p>
        </w:tc>
        <w:tc>
          <w:tcPr>
            <w:tcW w:w="2025" w:type="dxa"/>
            <w:hideMark/>
          </w:tcPr>
          <w:p w14:paraId="361B165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Female</w:t>
            </w:r>
          </w:p>
        </w:tc>
      </w:tr>
      <w:tr w:rsidR="00BE61A2" w:rsidRPr="00374CC9" w14:paraId="3E95CFDB" w14:textId="77777777" w:rsidTr="00142697">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778BB6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2011</w:t>
            </w:r>
          </w:p>
        </w:tc>
        <w:tc>
          <w:tcPr>
            <w:tcW w:w="0" w:type="auto"/>
            <w:hideMark/>
          </w:tcPr>
          <w:p w14:paraId="0DBB458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NT</w:t>
            </w:r>
          </w:p>
        </w:tc>
        <w:tc>
          <w:tcPr>
            <w:tcW w:w="0" w:type="auto"/>
            <w:hideMark/>
          </w:tcPr>
          <w:p w14:paraId="6467FCD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Australia</w:t>
            </w:r>
          </w:p>
        </w:tc>
        <w:tc>
          <w:tcPr>
            <w:tcW w:w="2024" w:type="dxa"/>
            <w:hideMark/>
          </w:tcPr>
          <w:p w14:paraId="045C0DB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April</w:t>
            </w:r>
          </w:p>
        </w:tc>
        <w:tc>
          <w:tcPr>
            <w:tcW w:w="2025" w:type="dxa"/>
            <w:hideMark/>
          </w:tcPr>
          <w:p w14:paraId="5A87DDA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60–64</w:t>
            </w:r>
          </w:p>
        </w:tc>
        <w:tc>
          <w:tcPr>
            <w:tcW w:w="2025" w:type="dxa"/>
            <w:hideMark/>
          </w:tcPr>
          <w:p w14:paraId="294E5EC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Male</w:t>
            </w:r>
          </w:p>
        </w:tc>
      </w:tr>
      <w:tr w:rsidR="00BE61A2" w:rsidRPr="00374CC9" w14:paraId="5D62D676" w14:textId="77777777" w:rsidTr="00142697">
        <w:tblPrEx>
          <w:tblCellMar>
            <w:right w:w="108" w:type="dxa"/>
          </w:tblCellMar>
        </w:tblPrEx>
        <w:tc>
          <w:tcPr>
            <w:tcW w:w="0" w:type="auto"/>
            <w:hideMark/>
          </w:tcPr>
          <w:p w14:paraId="1453D1D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2013</w:t>
            </w:r>
          </w:p>
        </w:tc>
        <w:tc>
          <w:tcPr>
            <w:tcW w:w="0" w:type="auto"/>
            <w:hideMark/>
          </w:tcPr>
          <w:p w14:paraId="6EA4D67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Qld</w:t>
            </w:r>
          </w:p>
        </w:tc>
        <w:tc>
          <w:tcPr>
            <w:tcW w:w="0" w:type="auto"/>
            <w:hideMark/>
          </w:tcPr>
          <w:p w14:paraId="44C3FB5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Papua New Guinea</w:t>
            </w:r>
          </w:p>
        </w:tc>
        <w:tc>
          <w:tcPr>
            <w:tcW w:w="2024" w:type="dxa"/>
            <w:hideMark/>
          </w:tcPr>
          <w:p w14:paraId="2D8DA19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November</w:t>
            </w:r>
          </w:p>
        </w:tc>
        <w:tc>
          <w:tcPr>
            <w:tcW w:w="2025" w:type="dxa"/>
            <w:hideMark/>
          </w:tcPr>
          <w:p w14:paraId="2D7D73D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25–29</w:t>
            </w:r>
          </w:p>
        </w:tc>
        <w:tc>
          <w:tcPr>
            <w:tcW w:w="2025" w:type="dxa"/>
            <w:hideMark/>
          </w:tcPr>
          <w:p w14:paraId="40D2430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Male</w:t>
            </w:r>
          </w:p>
        </w:tc>
      </w:tr>
      <w:tr w:rsidR="00BE61A2" w:rsidRPr="00374CC9" w14:paraId="2E9C3071" w14:textId="77777777" w:rsidTr="00142697">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3CA421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2013</w:t>
            </w:r>
          </w:p>
        </w:tc>
        <w:tc>
          <w:tcPr>
            <w:tcW w:w="0" w:type="auto"/>
            <w:hideMark/>
          </w:tcPr>
          <w:p w14:paraId="7155277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Qld</w:t>
            </w:r>
          </w:p>
        </w:tc>
        <w:tc>
          <w:tcPr>
            <w:tcW w:w="0" w:type="auto"/>
            <w:hideMark/>
          </w:tcPr>
          <w:p w14:paraId="6AD70CC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Timor-Leste</w:t>
            </w:r>
          </w:p>
        </w:tc>
        <w:tc>
          <w:tcPr>
            <w:tcW w:w="2024" w:type="dxa"/>
            <w:hideMark/>
          </w:tcPr>
          <w:p w14:paraId="571198A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October</w:t>
            </w:r>
          </w:p>
        </w:tc>
        <w:tc>
          <w:tcPr>
            <w:tcW w:w="2025" w:type="dxa"/>
            <w:hideMark/>
          </w:tcPr>
          <w:p w14:paraId="5919928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35–39</w:t>
            </w:r>
          </w:p>
        </w:tc>
        <w:tc>
          <w:tcPr>
            <w:tcW w:w="2025" w:type="dxa"/>
            <w:hideMark/>
          </w:tcPr>
          <w:p w14:paraId="45176C2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Male</w:t>
            </w:r>
          </w:p>
        </w:tc>
      </w:tr>
      <w:tr w:rsidR="00BE61A2" w:rsidRPr="00374CC9" w14:paraId="1C575A1F" w14:textId="77777777" w:rsidTr="00142697">
        <w:tblPrEx>
          <w:tblCellMar>
            <w:right w:w="108" w:type="dxa"/>
          </w:tblCellMar>
        </w:tblPrEx>
        <w:tc>
          <w:tcPr>
            <w:tcW w:w="0" w:type="auto"/>
            <w:hideMark/>
          </w:tcPr>
          <w:p w14:paraId="38FB1B9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2014</w:t>
            </w:r>
          </w:p>
        </w:tc>
        <w:tc>
          <w:tcPr>
            <w:tcW w:w="0" w:type="auto"/>
            <w:hideMark/>
          </w:tcPr>
          <w:p w14:paraId="145E671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Vic</w:t>
            </w:r>
          </w:p>
        </w:tc>
        <w:tc>
          <w:tcPr>
            <w:tcW w:w="0" w:type="auto"/>
            <w:hideMark/>
          </w:tcPr>
          <w:p w14:paraId="04A4D0A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Djibouti</w:t>
            </w:r>
          </w:p>
        </w:tc>
        <w:tc>
          <w:tcPr>
            <w:tcW w:w="2024" w:type="dxa"/>
            <w:hideMark/>
          </w:tcPr>
          <w:p w14:paraId="41E4F8C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April</w:t>
            </w:r>
          </w:p>
        </w:tc>
        <w:tc>
          <w:tcPr>
            <w:tcW w:w="2025" w:type="dxa"/>
            <w:hideMark/>
          </w:tcPr>
          <w:p w14:paraId="08288B9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45–49</w:t>
            </w:r>
          </w:p>
        </w:tc>
        <w:tc>
          <w:tcPr>
            <w:tcW w:w="2025" w:type="dxa"/>
            <w:hideMark/>
          </w:tcPr>
          <w:p w14:paraId="167EDFA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Male</w:t>
            </w:r>
          </w:p>
        </w:tc>
      </w:tr>
      <w:tr w:rsidR="00BE61A2" w:rsidRPr="00374CC9" w14:paraId="36343E58" w14:textId="77777777" w:rsidTr="00142697">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E29172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2015</w:t>
            </w:r>
          </w:p>
        </w:tc>
        <w:tc>
          <w:tcPr>
            <w:tcW w:w="0" w:type="auto"/>
            <w:hideMark/>
          </w:tcPr>
          <w:p w14:paraId="696AF0D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NSW</w:t>
            </w:r>
          </w:p>
        </w:tc>
        <w:tc>
          <w:tcPr>
            <w:tcW w:w="0" w:type="auto"/>
            <w:hideMark/>
          </w:tcPr>
          <w:p w14:paraId="46A72E1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United States of America</w:t>
            </w:r>
          </w:p>
        </w:tc>
        <w:tc>
          <w:tcPr>
            <w:tcW w:w="2024" w:type="dxa"/>
            <w:hideMark/>
          </w:tcPr>
          <w:p w14:paraId="16A11AF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October</w:t>
            </w:r>
          </w:p>
        </w:tc>
        <w:tc>
          <w:tcPr>
            <w:tcW w:w="2025" w:type="dxa"/>
            <w:hideMark/>
          </w:tcPr>
          <w:p w14:paraId="3D93C54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60–64</w:t>
            </w:r>
          </w:p>
        </w:tc>
        <w:tc>
          <w:tcPr>
            <w:tcW w:w="2025" w:type="dxa"/>
            <w:hideMark/>
          </w:tcPr>
          <w:p w14:paraId="6903147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Male</w:t>
            </w:r>
          </w:p>
        </w:tc>
      </w:tr>
    </w:tbl>
    <w:p w14:paraId="0D488326" w14:textId="77777777" w:rsidR="00BE61A2" w:rsidRPr="004E056D" w:rsidRDefault="00BE61A2" w:rsidP="004E056D">
      <w:pPr>
        <w:pStyle w:val="Heading2"/>
        <w:rPr>
          <w:rFonts w:eastAsiaTheme="minorEastAsia"/>
        </w:rPr>
      </w:pPr>
      <w:bookmarkStart w:id="217" w:name="_Toc1747371"/>
      <w:r w:rsidRPr="004E056D">
        <w:rPr>
          <w:bCs w:val="0"/>
          <w:sz w:val="27"/>
          <w:szCs w:val="27"/>
        </w:rPr>
        <w:t>Malaria</w:t>
      </w:r>
      <w:bookmarkEnd w:id="217"/>
    </w:p>
    <w:p w14:paraId="31DBFFBA" w14:textId="77777777" w:rsidR="00BE61A2" w:rsidRPr="00330DE9" w:rsidRDefault="00BE61A2" w:rsidP="00330DE9">
      <w:pPr>
        <w:pStyle w:val="ListParagraph"/>
        <w:numPr>
          <w:ilvl w:val="0"/>
          <w:numId w:val="14"/>
        </w:numPr>
        <w:rPr>
          <w:rFonts w:eastAsia="Times New Roman"/>
        </w:rPr>
      </w:pPr>
      <w:r w:rsidRPr="00330DE9">
        <w:rPr>
          <w:rFonts w:eastAsia="Times New Roman"/>
        </w:rPr>
        <w:t xml:space="preserve">Notified cases of malaria were 39% below the 5-year mean in 2015, continuing the decreasing numbers notified since 2004 and 2005. </w:t>
      </w:r>
    </w:p>
    <w:p w14:paraId="5FEE61E1" w14:textId="77777777" w:rsidR="00BE61A2" w:rsidRPr="00330DE9" w:rsidRDefault="00BE61A2" w:rsidP="00330DE9">
      <w:pPr>
        <w:pStyle w:val="ListParagraph"/>
        <w:numPr>
          <w:ilvl w:val="0"/>
          <w:numId w:val="14"/>
        </w:numPr>
        <w:rPr>
          <w:rFonts w:eastAsia="Times New Roman"/>
        </w:rPr>
      </w:pPr>
      <w:r w:rsidRPr="00330DE9">
        <w:rPr>
          <w:rFonts w:eastAsia="Times New Roman"/>
        </w:rPr>
        <w:t xml:space="preserve">All cases in 2015 were overseas </w:t>
      </w:r>
      <w:r w:rsidR="00007C21" w:rsidRPr="00330DE9">
        <w:rPr>
          <w:rFonts w:eastAsia="Times New Roman"/>
        </w:rPr>
        <w:t>acquired,</w:t>
      </w:r>
      <w:r w:rsidRPr="00330DE9">
        <w:rPr>
          <w:rFonts w:eastAsia="Times New Roman"/>
        </w:rPr>
        <w:t xml:space="preserve"> with most reported to be acquired in Papua New Guinea. </w:t>
      </w:r>
    </w:p>
    <w:p w14:paraId="572DD060" w14:textId="77777777" w:rsidR="007D2DDC" w:rsidRPr="00330DE9" w:rsidRDefault="00BE61A2" w:rsidP="00330DE9">
      <w:pPr>
        <w:pStyle w:val="ListParagraph"/>
        <w:numPr>
          <w:ilvl w:val="0"/>
          <w:numId w:val="14"/>
        </w:numPr>
        <w:rPr>
          <w:rFonts w:eastAsia="Times New Roman"/>
        </w:rPr>
      </w:pPr>
      <w:r w:rsidRPr="00330DE9">
        <w:rPr>
          <w:rFonts w:eastAsia="Times New Roman"/>
        </w:rPr>
        <w:t>The majority of cases were re</w:t>
      </w:r>
      <w:r w:rsidR="007D2DDC" w:rsidRPr="00330DE9">
        <w:rPr>
          <w:rFonts w:eastAsia="Times New Roman"/>
        </w:rPr>
        <w:t>ported in men aged 15–49 years.</w:t>
      </w:r>
    </w:p>
    <w:p w14:paraId="139FD256" w14:textId="77777777" w:rsidR="00BE61A2" w:rsidRPr="00AE2F1B" w:rsidRDefault="00BE61A2" w:rsidP="00AE2F1B">
      <w:pPr>
        <w:rPr>
          <w:rFonts w:eastAsia="Times New Roman"/>
        </w:rPr>
      </w:pPr>
      <w:r w:rsidRPr="00AE2F1B">
        <w:rPr>
          <w:rFonts w:eastAsia="Times New Roman"/>
        </w:rPr>
        <w:t xml:space="preserve">Malaria is a serious acute febrile illness that is transmitted from person to person through the bite of an infected mosquito of the genus </w:t>
      </w:r>
      <w:r w:rsidR="00007C21" w:rsidRPr="00DF12AB">
        <w:rPr>
          <w:rStyle w:val="Emphasis"/>
          <w:rFonts w:eastAsia="Times New Roman"/>
          <w:b w:val="0"/>
        </w:rPr>
        <w:t>Anopheles</w:t>
      </w:r>
      <w:r w:rsidR="00007C21" w:rsidRPr="00AE2F1B">
        <w:rPr>
          <w:rFonts w:eastAsia="Times New Roman"/>
        </w:rPr>
        <w:t xml:space="preserve">. </w:t>
      </w:r>
      <w:r w:rsidRPr="00AE2F1B">
        <w:rPr>
          <w:rFonts w:eastAsia="Times New Roman"/>
        </w:rPr>
        <w:t xml:space="preserve">It is caused by a protozoan parasite in the genus </w:t>
      </w:r>
      <w:r w:rsidRPr="00DF12AB">
        <w:rPr>
          <w:rStyle w:val="Emphasis"/>
          <w:rFonts w:eastAsia="Times New Roman"/>
          <w:b w:val="0"/>
        </w:rPr>
        <w:t>Plasmodium</w:t>
      </w:r>
      <w:r w:rsidRPr="00AE2F1B">
        <w:rPr>
          <w:rFonts w:eastAsia="Times New Roman"/>
        </w:rPr>
        <w:t xml:space="preserve"> that includes 5 species that infect humans: </w:t>
      </w:r>
      <w:r w:rsidRPr="00DF12AB">
        <w:rPr>
          <w:rStyle w:val="Emphasis"/>
          <w:rFonts w:eastAsia="Times New Roman"/>
          <w:b w:val="0"/>
        </w:rPr>
        <w:t xml:space="preserve">Plasmodium </w:t>
      </w:r>
      <w:r w:rsidR="00007C21" w:rsidRPr="00DF12AB">
        <w:rPr>
          <w:rStyle w:val="Emphasis"/>
          <w:rFonts w:eastAsia="Times New Roman"/>
          <w:b w:val="0"/>
        </w:rPr>
        <w:t>vivax</w:t>
      </w:r>
      <w:r w:rsidR="00007C21" w:rsidRPr="00AE2F1B">
        <w:rPr>
          <w:rFonts w:eastAsia="Times New Roman"/>
        </w:rPr>
        <w:t>,</w:t>
      </w:r>
      <w:r w:rsidRPr="00AE2F1B">
        <w:rPr>
          <w:rFonts w:eastAsia="Times New Roman"/>
        </w:rPr>
        <w:t xml:space="preserve"> </w:t>
      </w:r>
      <w:r w:rsidRPr="00DF12AB">
        <w:rPr>
          <w:rStyle w:val="Emphasis"/>
          <w:rFonts w:eastAsia="Times New Roman"/>
          <w:b w:val="0"/>
        </w:rPr>
        <w:t xml:space="preserve">Plasmodium </w:t>
      </w:r>
      <w:r w:rsidR="00007C21" w:rsidRPr="00DF12AB">
        <w:rPr>
          <w:rStyle w:val="Emphasis"/>
          <w:rFonts w:eastAsia="Times New Roman"/>
          <w:b w:val="0"/>
        </w:rPr>
        <w:t>falciparum</w:t>
      </w:r>
      <w:r w:rsidR="00007C21" w:rsidRPr="00AE2F1B">
        <w:rPr>
          <w:rFonts w:eastAsia="Times New Roman"/>
        </w:rPr>
        <w:t>,</w:t>
      </w:r>
      <w:r w:rsidRPr="00AE2F1B">
        <w:rPr>
          <w:rFonts w:eastAsia="Times New Roman"/>
        </w:rPr>
        <w:t xml:space="preserve"> </w:t>
      </w:r>
      <w:r w:rsidRPr="00DF12AB">
        <w:rPr>
          <w:rStyle w:val="Emphasis"/>
          <w:rFonts w:eastAsia="Times New Roman"/>
          <w:b w:val="0"/>
        </w:rPr>
        <w:t xml:space="preserve">Plasmodium </w:t>
      </w:r>
      <w:proofErr w:type="spellStart"/>
      <w:r w:rsidR="00007C21" w:rsidRPr="00DF12AB">
        <w:rPr>
          <w:rStyle w:val="Emphasis"/>
          <w:rFonts w:eastAsia="Times New Roman"/>
          <w:b w:val="0"/>
        </w:rPr>
        <w:t>malariae</w:t>
      </w:r>
      <w:proofErr w:type="spellEnd"/>
      <w:r w:rsidR="00007C21" w:rsidRPr="00AE2F1B">
        <w:rPr>
          <w:rFonts w:eastAsia="Times New Roman"/>
        </w:rPr>
        <w:t>,</w:t>
      </w:r>
      <w:r w:rsidRPr="00AE2F1B">
        <w:rPr>
          <w:rFonts w:eastAsia="Times New Roman"/>
        </w:rPr>
        <w:t xml:space="preserve"> </w:t>
      </w:r>
      <w:r w:rsidRPr="00DF12AB">
        <w:rPr>
          <w:rStyle w:val="Emphasis"/>
          <w:rFonts w:eastAsia="Times New Roman"/>
          <w:b w:val="0"/>
        </w:rPr>
        <w:t xml:space="preserve">Plasmodium </w:t>
      </w:r>
      <w:proofErr w:type="spellStart"/>
      <w:r w:rsidRPr="00DF12AB">
        <w:rPr>
          <w:rStyle w:val="Emphasis"/>
          <w:rFonts w:eastAsia="Times New Roman"/>
          <w:b w:val="0"/>
        </w:rPr>
        <w:t>ovale</w:t>
      </w:r>
      <w:proofErr w:type="spellEnd"/>
      <w:r w:rsidRPr="00AE2F1B">
        <w:rPr>
          <w:rFonts w:eastAsia="Times New Roman"/>
        </w:rPr>
        <w:t xml:space="preserve"> and </w:t>
      </w:r>
      <w:r w:rsidRPr="00DF12AB">
        <w:rPr>
          <w:rStyle w:val="Emphasis"/>
          <w:rFonts w:eastAsia="Times New Roman"/>
          <w:b w:val="0"/>
        </w:rPr>
        <w:t>Plasmodium knowlesi.</w:t>
      </w:r>
      <w:r w:rsidRPr="00AE2F1B">
        <w:rPr>
          <w:rFonts w:eastAsia="Times New Roman"/>
          <w:vertAlign w:val="superscript"/>
        </w:rPr>
        <w:t xml:space="preserve">21, </w:t>
      </w:r>
      <w:proofErr w:type="gramStart"/>
      <w:r w:rsidRPr="00AE2F1B">
        <w:rPr>
          <w:rFonts w:eastAsia="Times New Roman"/>
          <w:vertAlign w:val="superscript"/>
        </w:rPr>
        <w:t>145</w:t>
      </w:r>
      <w:proofErr w:type="gramEnd"/>
      <w:r w:rsidRPr="00AE2F1B">
        <w:rPr>
          <w:rFonts w:eastAsia="Times New Roman"/>
        </w:rPr>
        <w:t xml:space="preserve"> </w:t>
      </w:r>
    </w:p>
    <w:p w14:paraId="7554F073" w14:textId="77777777" w:rsidR="00BE61A2" w:rsidRPr="00AE2F1B" w:rsidRDefault="00BE61A2" w:rsidP="00AE2F1B">
      <w:r w:rsidRPr="00AE2F1B">
        <w:t>Australia is free of endemic malaria, but suitable vectors are present in northern Australia, and the area remains malaria-receptive. Malaria in Australia is therefore a disease associated with residing or travelling overseas in areas with endemic transmission. A case series in the Northern Territory showed that malaria cases were reported in travellers returning from endemic areas, but also reflected current events such as military operations and increased refugee arrivals from malaria-endemic areas.</w:t>
      </w:r>
      <w:r w:rsidRPr="00AE2F1B">
        <w:rPr>
          <w:vertAlign w:val="superscript"/>
        </w:rPr>
        <w:t>146</w:t>
      </w:r>
      <w:r w:rsidRPr="00AE2F1B">
        <w:t xml:space="preserve"> The last cases acquired on mainland Australia were during an outbreak in North Queensland in 2002.</w:t>
      </w:r>
      <w:r w:rsidRPr="00AE2F1B">
        <w:rPr>
          <w:vertAlign w:val="superscript"/>
        </w:rPr>
        <w:t>147</w:t>
      </w:r>
      <w:r w:rsidRPr="00AE2F1B">
        <w:t xml:space="preserve"> Limited transmission occurs occasionally in the Torres Strait following importation.</w:t>
      </w:r>
    </w:p>
    <w:p w14:paraId="5699695B" w14:textId="77777777" w:rsidR="00BE61A2" w:rsidRPr="00AE2F1B" w:rsidRDefault="00BE61A2" w:rsidP="00924A50">
      <w:pPr>
        <w:pStyle w:val="Heading3"/>
      </w:pPr>
      <w:bookmarkStart w:id="218" w:name="_Toc1747372"/>
      <w:r w:rsidRPr="00924A50">
        <w:rPr>
          <w:bCs w:val="0"/>
        </w:rPr>
        <w:t>Epidemiological situation in 2015</w:t>
      </w:r>
      <w:bookmarkEnd w:id="218"/>
    </w:p>
    <w:p w14:paraId="566BB261" w14:textId="77777777" w:rsidR="00BE61A2" w:rsidRPr="00AE2F1B" w:rsidRDefault="00BE61A2" w:rsidP="00AE2F1B">
      <w:r w:rsidRPr="00AE2F1B">
        <w:t>In 2015, there were 233 notifications of malaria, representing a rate of 1.0 per 100,000. This number of cases is a 39% reduction compared with the 5-year average (381.4 cases), and continues a previously reported trend of gradually decreasing notifications in Australia since 2004–05.</w:t>
      </w:r>
      <w:r w:rsidRPr="00AE2F1B">
        <w:rPr>
          <w:vertAlign w:val="superscript"/>
        </w:rPr>
        <w:t>126</w:t>
      </w:r>
      <w:r w:rsidRPr="00AE2F1B">
        <w:t xml:space="preserve"> This is consistent with the steady decline in malaria incidence globally between 2000 and </w:t>
      </w:r>
      <w:proofErr w:type="gramStart"/>
      <w:r w:rsidRPr="00AE2F1B">
        <w:t>2015.</w:t>
      </w:r>
      <w:r w:rsidRPr="00AE2F1B">
        <w:rPr>
          <w:vertAlign w:val="superscript"/>
        </w:rPr>
        <w:t>148</w:t>
      </w:r>
      <w:proofErr w:type="gramEnd"/>
      <w:r w:rsidRPr="00AE2F1B">
        <w:t xml:space="preserve"> </w:t>
      </w:r>
    </w:p>
    <w:p w14:paraId="7CA729C5" w14:textId="77777777" w:rsidR="00BE61A2" w:rsidRPr="00AE2F1B" w:rsidRDefault="00BE61A2" w:rsidP="00A52F61">
      <w:pPr>
        <w:pStyle w:val="Heading4"/>
      </w:pPr>
      <w:r w:rsidRPr="00924A50">
        <w:rPr>
          <w:bCs w:val="0"/>
        </w:rPr>
        <w:t>Geographical distribution</w:t>
      </w:r>
    </w:p>
    <w:p w14:paraId="33FA7868" w14:textId="77777777" w:rsidR="00BE61A2" w:rsidRDefault="00BE61A2" w:rsidP="00A52F61">
      <w:r w:rsidRPr="00AE2F1B">
        <w:t>The largest number of notifications was in Victoria (n=57), with similar numbers also in Queensland (n=56), but the highest rate was in the Northern Territory (4.9 per 100,000) (</w:t>
      </w:r>
      <w:r w:rsidR="00E95D54">
        <w:t>Figure 95).</w:t>
      </w:r>
    </w:p>
    <w:p w14:paraId="2AEA01C7" w14:textId="77777777" w:rsidR="00717E82" w:rsidRDefault="00717E82">
      <w:pPr>
        <w:rPr>
          <w:b/>
        </w:rPr>
      </w:pPr>
      <w:r>
        <w:br w:type="page"/>
      </w:r>
    </w:p>
    <w:p w14:paraId="6E52FA85" w14:textId="77777777" w:rsidR="00E95D54" w:rsidRDefault="00E95D54" w:rsidP="00E95D54">
      <w:pPr>
        <w:pStyle w:val="CDIFigures"/>
      </w:pPr>
      <w:r w:rsidRPr="00E95D54">
        <w:lastRenderedPageBreak/>
        <w:t>Figure 95: Notifications of malaria, Australia, 2010 to 2015, by month and year and state or territory</w:t>
      </w:r>
    </w:p>
    <w:p w14:paraId="0061A83F" w14:textId="77777777" w:rsidR="00717E82" w:rsidRPr="00E95D54" w:rsidRDefault="0021477A" w:rsidP="00E95D54">
      <w:pPr>
        <w:pStyle w:val="CDIFigures"/>
      </w:pPr>
      <w:r>
        <w:pict w14:anchorId="285C5782">
          <v:shape id="_x0000_i1116" type="#_x0000_t75" alt="This figure shows the place of acquisition for notifications of malaria in Australia between 2010 and 2015, by month and year of diagnosis and state or territory. The figure demonstrates a gradual decrease in notifications from 2010 to 2015." style="width:524.4pt;height:351.6pt">
            <v:imagedata r:id="rId114" o:title="6-Vectorborne chapter figures _86 to 100_Page_10"/>
          </v:shape>
        </w:pict>
      </w:r>
    </w:p>
    <w:p w14:paraId="3D8029F7" w14:textId="77777777" w:rsidR="00A835E0" w:rsidRDefault="00BE61A2" w:rsidP="00A52F61">
      <w:pPr>
        <w:sectPr w:rsidR="00A835E0" w:rsidSect="00D97351">
          <w:footnotePr>
            <w:numFmt w:val="lowerRoman"/>
          </w:footnotePr>
          <w:pgSz w:w="11906" w:h="16838"/>
          <w:pgMar w:top="720" w:right="720" w:bottom="1134" w:left="720" w:header="709" w:footer="284" w:gutter="0"/>
          <w:cols w:space="708"/>
          <w:titlePg/>
          <w:docGrid w:linePitch="360"/>
        </w:sectPr>
      </w:pPr>
      <w:r w:rsidRPr="00AE2F1B">
        <w:t>In 2015, all malaria cases were acquired overseas, most frequently in Papua New Guinea (n=38), Sudan (n=29) and Uganda (n=20) (Table 24). There were 4 notifications for which the place of acquisition was unknown. The most recent locally acquired cases of malaria in Australia were a single case in 2013 acquired on Saibai Island in the Torres Strait and 7 locally acquired cases in the Torres Strait in 2011.</w:t>
      </w:r>
    </w:p>
    <w:p w14:paraId="78D6C198" w14:textId="77777777" w:rsidR="00BE61A2" w:rsidRPr="00AE2F1B" w:rsidRDefault="00BE61A2" w:rsidP="00B62331">
      <w:pPr>
        <w:pStyle w:val="CDIFigures"/>
      </w:pPr>
      <w:r w:rsidRPr="00AE2F1B">
        <w:lastRenderedPageBreak/>
        <w:t xml:space="preserve">Table 24: Cases of malaria, Australia, 2015, by Plasmodium species and country or region of acquisition </w:t>
      </w:r>
    </w:p>
    <w:tbl>
      <w:tblPr>
        <w:tblStyle w:val="CDI-StandardTable"/>
        <w:tblW w:w="0" w:type="auto"/>
        <w:tblCellMar>
          <w:top w:w="113" w:type="dxa"/>
          <w:left w:w="142" w:type="dxa"/>
          <w:bottom w:w="113" w:type="dxa"/>
          <w:right w:w="142" w:type="dxa"/>
        </w:tblCellMar>
        <w:tblLook w:val="04A0" w:firstRow="1" w:lastRow="0" w:firstColumn="1" w:lastColumn="0" w:noHBand="0" w:noVBand="1"/>
        <w:tblDescription w:val="This table shows the number of notified malaria cases reported in 2015 by place of acquisition and Plasmodium species. All cases were acquired overseas. Plasmodium falciparum was the most common species to be notified (n=147) in 2015, with the Sudan being the most frequent place of acquisition for this species, while P.vivax infections were more commonly acquired in Papua New Guinea or India. The most frequent place of acquisition for all cases in 2015 were Papua New Guinea (16%), Sudan (12%) and Uganda (9%).&#10;"/>
      </w:tblPr>
      <w:tblGrid>
        <w:gridCol w:w="2422"/>
        <w:gridCol w:w="1564"/>
        <w:gridCol w:w="1565"/>
        <w:gridCol w:w="1565"/>
        <w:gridCol w:w="1565"/>
        <w:gridCol w:w="1564"/>
        <w:gridCol w:w="1565"/>
        <w:gridCol w:w="1565"/>
        <w:gridCol w:w="1565"/>
      </w:tblGrid>
      <w:tr w:rsidR="004B770F" w:rsidRPr="00E869E0" w14:paraId="2BB74AAA" w14:textId="77777777" w:rsidTr="00476C58">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61CDDCC7" w14:textId="77777777" w:rsidR="00BE61A2" w:rsidRPr="00E869E0" w:rsidRDefault="00BE61A2" w:rsidP="00A52F61">
            <w:pPr>
              <w:rPr>
                <w:rFonts w:eastAsia="Times New Roman"/>
                <w:color w:val="FFFFFF" w:themeColor="background1"/>
                <w:sz w:val="18"/>
                <w:szCs w:val="18"/>
              </w:rPr>
            </w:pPr>
            <w:r w:rsidRPr="00E869E0">
              <w:rPr>
                <w:rFonts w:eastAsia="Times New Roman"/>
                <w:color w:val="FFFFFF" w:themeColor="background1"/>
                <w:sz w:val="18"/>
                <w:szCs w:val="18"/>
              </w:rPr>
              <w:t>Country of acquisition</w:t>
            </w:r>
          </w:p>
        </w:tc>
        <w:tc>
          <w:tcPr>
            <w:tcW w:w="1564" w:type="dxa"/>
            <w:hideMark/>
          </w:tcPr>
          <w:p w14:paraId="319BA22C" w14:textId="77777777" w:rsidR="00BE61A2" w:rsidRPr="00E869E0" w:rsidRDefault="00BE61A2" w:rsidP="00A52F61">
            <w:pPr>
              <w:rPr>
                <w:rFonts w:eastAsia="Times New Roman"/>
                <w:color w:val="FFFFFF" w:themeColor="background1"/>
                <w:sz w:val="18"/>
                <w:szCs w:val="18"/>
              </w:rPr>
            </w:pPr>
            <w:r w:rsidRPr="00E869E0">
              <w:rPr>
                <w:rFonts w:eastAsia="Times New Roman"/>
                <w:color w:val="FFFFFF" w:themeColor="background1"/>
                <w:sz w:val="18"/>
                <w:szCs w:val="18"/>
              </w:rPr>
              <w:t>P. falciparum</w:t>
            </w:r>
          </w:p>
        </w:tc>
        <w:tc>
          <w:tcPr>
            <w:tcW w:w="1565" w:type="dxa"/>
            <w:hideMark/>
          </w:tcPr>
          <w:p w14:paraId="3AA950B2" w14:textId="77777777" w:rsidR="00BE61A2" w:rsidRPr="00E869E0" w:rsidRDefault="00BE61A2" w:rsidP="00A52F61">
            <w:pPr>
              <w:rPr>
                <w:rFonts w:eastAsia="Times New Roman"/>
                <w:color w:val="FFFFFF" w:themeColor="background1"/>
                <w:sz w:val="18"/>
                <w:szCs w:val="18"/>
              </w:rPr>
            </w:pPr>
            <w:r w:rsidRPr="00E869E0">
              <w:rPr>
                <w:rFonts w:eastAsia="Times New Roman"/>
                <w:color w:val="FFFFFF" w:themeColor="background1"/>
                <w:sz w:val="18"/>
                <w:szCs w:val="18"/>
              </w:rPr>
              <w:t>P. falciparum and P. vivax</w:t>
            </w:r>
          </w:p>
        </w:tc>
        <w:tc>
          <w:tcPr>
            <w:tcW w:w="1565" w:type="dxa"/>
            <w:hideMark/>
          </w:tcPr>
          <w:p w14:paraId="0C8986EC" w14:textId="77777777" w:rsidR="00BE61A2" w:rsidRPr="00E869E0" w:rsidRDefault="00BE61A2" w:rsidP="00A52F61">
            <w:pPr>
              <w:rPr>
                <w:rFonts w:eastAsia="Times New Roman"/>
                <w:color w:val="FFFFFF" w:themeColor="background1"/>
                <w:sz w:val="18"/>
                <w:szCs w:val="18"/>
              </w:rPr>
            </w:pPr>
            <w:r w:rsidRPr="00E869E0">
              <w:rPr>
                <w:rFonts w:eastAsia="Times New Roman"/>
                <w:color w:val="FFFFFF" w:themeColor="background1"/>
                <w:sz w:val="18"/>
                <w:szCs w:val="18"/>
              </w:rPr>
              <w:t xml:space="preserve">P. </w:t>
            </w:r>
            <w:proofErr w:type="spellStart"/>
            <w:r w:rsidRPr="00E869E0">
              <w:rPr>
                <w:rFonts w:eastAsia="Times New Roman"/>
                <w:color w:val="FFFFFF" w:themeColor="background1"/>
                <w:sz w:val="18"/>
                <w:szCs w:val="18"/>
              </w:rPr>
              <w:t>malariae</w:t>
            </w:r>
            <w:proofErr w:type="spellEnd"/>
          </w:p>
        </w:tc>
        <w:tc>
          <w:tcPr>
            <w:tcW w:w="1565" w:type="dxa"/>
            <w:hideMark/>
          </w:tcPr>
          <w:p w14:paraId="1309BF70" w14:textId="77777777" w:rsidR="00BE61A2" w:rsidRPr="00E869E0" w:rsidRDefault="00BE61A2" w:rsidP="00A52F61">
            <w:pPr>
              <w:rPr>
                <w:rFonts w:eastAsia="Times New Roman"/>
                <w:color w:val="FFFFFF" w:themeColor="background1"/>
                <w:sz w:val="18"/>
                <w:szCs w:val="18"/>
              </w:rPr>
            </w:pPr>
            <w:r w:rsidRPr="00E869E0">
              <w:rPr>
                <w:rFonts w:eastAsia="Times New Roman"/>
                <w:color w:val="FFFFFF" w:themeColor="background1"/>
                <w:sz w:val="18"/>
                <w:szCs w:val="18"/>
              </w:rPr>
              <w:t xml:space="preserve">P. </w:t>
            </w:r>
            <w:proofErr w:type="spellStart"/>
            <w:r w:rsidRPr="00E869E0">
              <w:rPr>
                <w:rFonts w:eastAsia="Times New Roman"/>
                <w:color w:val="FFFFFF" w:themeColor="background1"/>
                <w:sz w:val="18"/>
                <w:szCs w:val="18"/>
              </w:rPr>
              <w:t>ovale</w:t>
            </w:r>
            <w:proofErr w:type="spellEnd"/>
          </w:p>
        </w:tc>
        <w:tc>
          <w:tcPr>
            <w:tcW w:w="1564" w:type="dxa"/>
            <w:hideMark/>
          </w:tcPr>
          <w:p w14:paraId="7801EBE6" w14:textId="77777777" w:rsidR="00BE61A2" w:rsidRPr="00E869E0" w:rsidRDefault="00BE61A2" w:rsidP="00A52F61">
            <w:pPr>
              <w:rPr>
                <w:rFonts w:eastAsia="Times New Roman"/>
                <w:color w:val="FFFFFF" w:themeColor="background1"/>
                <w:sz w:val="18"/>
                <w:szCs w:val="18"/>
              </w:rPr>
            </w:pPr>
            <w:r w:rsidRPr="00E869E0">
              <w:rPr>
                <w:rFonts w:eastAsia="Times New Roman"/>
                <w:color w:val="FFFFFF" w:themeColor="background1"/>
                <w:sz w:val="18"/>
                <w:szCs w:val="18"/>
              </w:rPr>
              <w:t>P. species</w:t>
            </w:r>
          </w:p>
        </w:tc>
        <w:tc>
          <w:tcPr>
            <w:tcW w:w="1565" w:type="dxa"/>
            <w:hideMark/>
          </w:tcPr>
          <w:p w14:paraId="7CC3C9F1" w14:textId="77777777" w:rsidR="00BE61A2" w:rsidRPr="00E869E0" w:rsidRDefault="00BE61A2" w:rsidP="00A52F61">
            <w:pPr>
              <w:rPr>
                <w:rFonts w:eastAsia="Times New Roman"/>
                <w:color w:val="FFFFFF" w:themeColor="background1"/>
                <w:sz w:val="18"/>
                <w:szCs w:val="18"/>
              </w:rPr>
            </w:pPr>
            <w:r w:rsidRPr="00E869E0">
              <w:rPr>
                <w:rFonts w:eastAsia="Times New Roman"/>
                <w:color w:val="FFFFFF" w:themeColor="background1"/>
                <w:sz w:val="18"/>
                <w:szCs w:val="18"/>
              </w:rPr>
              <w:t>P. vivax</w:t>
            </w:r>
          </w:p>
        </w:tc>
        <w:tc>
          <w:tcPr>
            <w:tcW w:w="1565" w:type="dxa"/>
            <w:hideMark/>
          </w:tcPr>
          <w:p w14:paraId="7E271842" w14:textId="77777777" w:rsidR="00BE61A2" w:rsidRPr="00E869E0" w:rsidRDefault="00BE61A2" w:rsidP="00A52F61">
            <w:pPr>
              <w:rPr>
                <w:rFonts w:eastAsia="Times New Roman"/>
                <w:color w:val="FFFFFF" w:themeColor="background1"/>
                <w:sz w:val="18"/>
                <w:szCs w:val="18"/>
              </w:rPr>
            </w:pPr>
            <w:r w:rsidRPr="00E869E0">
              <w:rPr>
                <w:rFonts w:eastAsia="Times New Roman"/>
                <w:color w:val="FFFFFF" w:themeColor="background1"/>
                <w:sz w:val="18"/>
                <w:szCs w:val="18"/>
              </w:rPr>
              <w:t>Total</w:t>
            </w:r>
          </w:p>
        </w:tc>
        <w:tc>
          <w:tcPr>
            <w:tcW w:w="1565" w:type="dxa"/>
            <w:hideMark/>
          </w:tcPr>
          <w:p w14:paraId="3CDAA9F7" w14:textId="77777777" w:rsidR="00BE61A2" w:rsidRPr="00E869E0" w:rsidRDefault="00BE61A2" w:rsidP="00A52F61">
            <w:pPr>
              <w:rPr>
                <w:rFonts w:eastAsia="Times New Roman"/>
                <w:color w:val="FFFFFF" w:themeColor="background1"/>
                <w:sz w:val="18"/>
                <w:szCs w:val="18"/>
              </w:rPr>
            </w:pPr>
            <w:r w:rsidRPr="00E869E0">
              <w:rPr>
                <w:rFonts w:eastAsia="Times New Roman"/>
                <w:color w:val="FFFFFF" w:themeColor="background1"/>
                <w:sz w:val="18"/>
                <w:szCs w:val="18"/>
              </w:rPr>
              <w:t>% of cases</w:t>
            </w:r>
          </w:p>
        </w:tc>
      </w:tr>
      <w:tr w:rsidR="00BE61A2" w:rsidRPr="00E869E0" w14:paraId="75BDFE49" w14:textId="77777777" w:rsidTr="00476C58">
        <w:tc>
          <w:tcPr>
            <w:tcW w:w="0" w:type="auto"/>
            <w:hideMark/>
          </w:tcPr>
          <w:p w14:paraId="31B81EBF"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Papua New Guinea</w:t>
            </w:r>
          </w:p>
        </w:tc>
        <w:tc>
          <w:tcPr>
            <w:tcW w:w="1564" w:type="dxa"/>
            <w:hideMark/>
          </w:tcPr>
          <w:p w14:paraId="7F8047B2"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18</w:t>
            </w:r>
          </w:p>
        </w:tc>
        <w:tc>
          <w:tcPr>
            <w:tcW w:w="1565" w:type="dxa"/>
            <w:hideMark/>
          </w:tcPr>
          <w:p w14:paraId="774B6E59"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5" w:type="dxa"/>
            <w:hideMark/>
          </w:tcPr>
          <w:p w14:paraId="23D541BF"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5" w:type="dxa"/>
            <w:hideMark/>
          </w:tcPr>
          <w:p w14:paraId="47480824"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1</w:t>
            </w:r>
          </w:p>
        </w:tc>
        <w:tc>
          <w:tcPr>
            <w:tcW w:w="1564" w:type="dxa"/>
            <w:hideMark/>
          </w:tcPr>
          <w:p w14:paraId="316D190E"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2</w:t>
            </w:r>
          </w:p>
        </w:tc>
        <w:tc>
          <w:tcPr>
            <w:tcW w:w="1565" w:type="dxa"/>
            <w:hideMark/>
          </w:tcPr>
          <w:p w14:paraId="41670EF8"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17</w:t>
            </w:r>
          </w:p>
        </w:tc>
        <w:tc>
          <w:tcPr>
            <w:tcW w:w="1565" w:type="dxa"/>
            <w:hideMark/>
          </w:tcPr>
          <w:p w14:paraId="29B6149D"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38</w:t>
            </w:r>
          </w:p>
        </w:tc>
        <w:tc>
          <w:tcPr>
            <w:tcW w:w="1565" w:type="dxa"/>
            <w:hideMark/>
          </w:tcPr>
          <w:p w14:paraId="4941A0AE"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16%</w:t>
            </w:r>
          </w:p>
        </w:tc>
      </w:tr>
      <w:tr w:rsidR="00BE61A2" w:rsidRPr="00E869E0" w14:paraId="55927E08" w14:textId="77777777" w:rsidTr="00476C58">
        <w:trPr>
          <w:cnfStyle w:val="000000010000" w:firstRow="0" w:lastRow="0" w:firstColumn="0" w:lastColumn="0" w:oddVBand="0" w:evenVBand="0" w:oddHBand="0" w:evenHBand="1" w:firstRowFirstColumn="0" w:firstRowLastColumn="0" w:lastRowFirstColumn="0" w:lastRowLastColumn="0"/>
        </w:trPr>
        <w:tc>
          <w:tcPr>
            <w:tcW w:w="0" w:type="auto"/>
            <w:hideMark/>
          </w:tcPr>
          <w:p w14:paraId="14D136E0"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Sudan</w:t>
            </w:r>
          </w:p>
        </w:tc>
        <w:tc>
          <w:tcPr>
            <w:tcW w:w="1564" w:type="dxa"/>
            <w:hideMark/>
          </w:tcPr>
          <w:p w14:paraId="3932E8B2"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25</w:t>
            </w:r>
          </w:p>
        </w:tc>
        <w:tc>
          <w:tcPr>
            <w:tcW w:w="1565" w:type="dxa"/>
            <w:hideMark/>
          </w:tcPr>
          <w:p w14:paraId="7115CCC7"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5" w:type="dxa"/>
            <w:hideMark/>
          </w:tcPr>
          <w:p w14:paraId="6C5DDF82"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5" w:type="dxa"/>
            <w:hideMark/>
          </w:tcPr>
          <w:p w14:paraId="685469BF"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3</w:t>
            </w:r>
          </w:p>
        </w:tc>
        <w:tc>
          <w:tcPr>
            <w:tcW w:w="1564" w:type="dxa"/>
            <w:hideMark/>
          </w:tcPr>
          <w:p w14:paraId="0969B768"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5" w:type="dxa"/>
            <w:hideMark/>
          </w:tcPr>
          <w:p w14:paraId="37ADBD4A"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1</w:t>
            </w:r>
          </w:p>
        </w:tc>
        <w:tc>
          <w:tcPr>
            <w:tcW w:w="1565" w:type="dxa"/>
            <w:hideMark/>
          </w:tcPr>
          <w:p w14:paraId="1F4395AE"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29</w:t>
            </w:r>
          </w:p>
        </w:tc>
        <w:tc>
          <w:tcPr>
            <w:tcW w:w="1565" w:type="dxa"/>
            <w:hideMark/>
          </w:tcPr>
          <w:p w14:paraId="7ED1E6DC"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12%</w:t>
            </w:r>
          </w:p>
        </w:tc>
      </w:tr>
      <w:tr w:rsidR="00BE61A2" w:rsidRPr="00E869E0" w14:paraId="44FF1EFD" w14:textId="77777777" w:rsidTr="00476C58">
        <w:tc>
          <w:tcPr>
            <w:tcW w:w="0" w:type="auto"/>
            <w:hideMark/>
          </w:tcPr>
          <w:p w14:paraId="6FF9D956"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Uganda</w:t>
            </w:r>
          </w:p>
        </w:tc>
        <w:tc>
          <w:tcPr>
            <w:tcW w:w="1564" w:type="dxa"/>
            <w:hideMark/>
          </w:tcPr>
          <w:p w14:paraId="5F13AFAD"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18</w:t>
            </w:r>
          </w:p>
        </w:tc>
        <w:tc>
          <w:tcPr>
            <w:tcW w:w="1565" w:type="dxa"/>
            <w:hideMark/>
          </w:tcPr>
          <w:p w14:paraId="11476E5F"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5" w:type="dxa"/>
            <w:hideMark/>
          </w:tcPr>
          <w:p w14:paraId="7C61E2E9"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2</w:t>
            </w:r>
          </w:p>
        </w:tc>
        <w:tc>
          <w:tcPr>
            <w:tcW w:w="1565" w:type="dxa"/>
            <w:hideMark/>
          </w:tcPr>
          <w:p w14:paraId="524B11E2"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4" w:type="dxa"/>
            <w:hideMark/>
          </w:tcPr>
          <w:p w14:paraId="24F9F414"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5" w:type="dxa"/>
            <w:hideMark/>
          </w:tcPr>
          <w:p w14:paraId="2415691A"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5" w:type="dxa"/>
            <w:hideMark/>
          </w:tcPr>
          <w:p w14:paraId="646DC902"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20</w:t>
            </w:r>
          </w:p>
        </w:tc>
        <w:tc>
          <w:tcPr>
            <w:tcW w:w="1565" w:type="dxa"/>
            <w:hideMark/>
          </w:tcPr>
          <w:p w14:paraId="62C54544"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9%</w:t>
            </w:r>
          </w:p>
        </w:tc>
      </w:tr>
      <w:tr w:rsidR="00BE61A2" w:rsidRPr="00E869E0" w14:paraId="09560671" w14:textId="77777777" w:rsidTr="00476C58">
        <w:trPr>
          <w:cnfStyle w:val="000000010000" w:firstRow="0" w:lastRow="0" w:firstColumn="0" w:lastColumn="0" w:oddVBand="0" w:evenVBand="0" w:oddHBand="0" w:evenHBand="1" w:firstRowFirstColumn="0" w:firstRowLastColumn="0" w:lastRowFirstColumn="0" w:lastRowLastColumn="0"/>
        </w:trPr>
        <w:tc>
          <w:tcPr>
            <w:tcW w:w="0" w:type="auto"/>
            <w:hideMark/>
          </w:tcPr>
          <w:p w14:paraId="0A54AF39"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India</w:t>
            </w:r>
          </w:p>
        </w:tc>
        <w:tc>
          <w:tcPr>
            <w:tcW w:w="1564" w:type="dxa"/>
            <w:hideMark/>
          </w:tcPr>
          <w:p w14:paraId="6DD2D2FB"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5" w:type="dxa"/>
            <w:hideMark/>
          </w:tcPr>
          <w:p w14:paraId="4BF4C6A4"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5" w:type="dxa"/>
            <w:hideMark/>
          </w:tcPr>
          <w:p w14:paraId="08756B4E"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5" w:type="dxa"/>
            <w:hideMark/>
          </w:tcPr>
          <w:p w14:paraId="1BA24E21"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4" w:type="dxa"/>
            <w:hideMark/>
          </w:tcPr>
          <w:p w14:paraId="3C9C03B5"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5" w:type="dxa"/>
            <w:hideMark/>
          </w:tcPr>
          <w:p w14:paraId="484707AD"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17</w:t>
            </w:r>
          </w:p>
        </w:tc>
        <w:tc>
          <w:tcPr>
            <w:tcW w:w="1565" w:type="dxa"/>
            <w:hideMark/>
          </w:tcPr>
          <w:p w14:paraId="67FE5847"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17</w:t>
            </w:r>
          </w:p>
        </w:tc>
        <w:tc>
          <w:tcPr>
            <w:tcW w:w="1565" w:type="dxa"/>
            <w:hideMark/>
          </w:tcPr>
          <w:p w14:paraId="238D933B"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7%</w:t>
            </w:r>
          </w:p>
        </w:tc>
      </w:tr>
      <w:tr w:rsidR="00BE61A2" w:rsidRPr="00E869E0" w14:paraId="6A9DA95F" w14:textId="77777777" w:rsidTr="00476C58">
        <w:tc>
          <w:tcPr>
            <w:tcW w:w="0" w:type="auto"/>
            <w:hideMark/>
          </w:tcPr>
          <w:p w14:paraId="4441E5E2"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Nigeria</w:t>
            </w:r>
          </w:p>
        </w:tc>
        <w:tc>
          <w:tcPr>
            <w:tcW w:w="1564" w:type="dxa"/>
            <w:hideMark/>
          </w:tcPr>
          <w:p w14:paraId="2F1CD7DC"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13</w:t>
            </w:r>
          </w:p>
        </w:tc>
        <w:tc>
          <w:tcPr>
            <w:tcW w:w="1565" w:type="dxa"/>
            <w:hideMark/>
          </w:tcPr>
          <w:p w14:paraId="0091D4B7"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5" w:type="dxa"/>
            <w:hideMark/>
          </w:tcPr>
          <w:p w14:paraId="759A1006"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5" w:type="dxa"/>
            <w:hideMark/>
          </w:tcPr>
          <w:p w14:paraId="3265A214"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3</w:t>
            </w:r>
          </w:p>
        </w:tc>
        <w:tc>
          <w:tcPr>
            <w:tcW w:w="1564" w:type="dxa"/>
            <w:hideMark/>
          </w:tcPr>
          <w:p w14:paraId="0007ADDD"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5" w:type="dxa"/>
            <w:hideMark/>
          </w:tcPr>
          <w:p w14:paraId="41A5AD89"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5" w:type="dxa"/>
            <w:hideMark/>
          </w:tcPr>
          <w:p w14:paraId="0BFF27BB"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16</w:t>
            </w:r>
          </w:p>
        </w:tc>
        <w:tc>
          <w:tcPr>
            <w:tcW w:w="1565" w:type="dxa"/>
            <w:hideMark/>
          </w:tcPr>
          <w:p w14:paraId="56A3F292"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7%</w:t>
            </w:r>
          </w:p>
        </w:tc>
      </w:tr>
      <w:tr w:rsidR="00BE61A2" w:rsidRPr="00E869E0" w14:paraId="5C3DC57F" w14:textId="77777777" w:rsidTr="00476C58">
        <w:trPr>
          <w:cnfStyle w:val="000000010000" w:firstRow="0" w:lastRow="0" w:firstColumn="0" w:lastColumn="0" w:oddVBand="0" w:evenVBand="0" w:oddHBand="0" w:evenHBand="1" w:firstRowFirstColumn="0" w:firstRowLastColumn="0" w:lastRowFirstColumn="0" w:lastRowLastColumn="0"/>
        </w:trPr>
        <w:tc>
          <w:tcPr>
            <w:tcW w:w="0" w:type="auto"/>
            <w:hideMark/>
          </w:tcPr>
          <w:p w14:paraId="3D7795A7"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Kenya</w:t>
            </w:r>
          </w:p>
        </w:tc>
        <w:tc>
          <w:tcPr>
            <w:tcW w:w="1564" w:type="dxa"/>
            <w:hideMark/>
          </w:tcPr>
          <w:p w14:paraId="2FB4EFFA"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13</w:t>
            </w:r>
          </w:p>
        </w:tc>
        <w:tc>
          <w:tcPr>
            <w:tcW w:w="1565" w:type="dxa"/>
            <w:hideMark/>
          </w:tcPr>
          <w:p w14:paraId="4B670829"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5" w:type="dxa"/>
            <w:hideMark/>
          </w:tcPr>
          <w:p w14:paraId="4AB0EB87"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5" w:type="dxa"/>
            <w:hideMark/>
          </w:tcPr>
          <w:p w14:paraId="004883B2"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2</w:t>
            </w:r>
          </w:p>
        </w:tc>
        <w:tc>
          <w:tcPr>
            <w:tcW w:w="1564" w:type="dxa"/>
            <w:hideMark/>
          </w:tcPr>
          <w:p w14:paraId="78F0FB7C"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5" w:type="dxa"/>
            <w:hideMark/>
          </w:tcPr>
          <w:p w14:paraId="4FECAA40"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5" w:type="dxa"/>
            <w:hideMark/>
          </w:tcPr>
          <w:p w14:paraId="454C382F"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15</w:t>
            </w:r>
          </w:p>
        </w:tc>
        <w:tc>
          <w:tcPr>
            <w:tcW w:w="1565" w:type="dxa"/>
            <w:hideMark/>
          </w:tcPr>
          <w:p w14:paraId="1814423C"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6%</w:t>
            </w:r>
          </w:p>
        </w:tc>
      </w:tr>
      <w:tr w:rsidR="00BE61A2" w:rsidRPr="00E869E0" w14:paraId="0F488C92" w14:textId="77777777" w:rsidTr="00476C58">
        <w:tc>
          <w:tcPr>
            <w:tcW w:w="0" w:type="auto"/>
            <w:hideMark/>
          </w:tcPr>
          <w:p w14:paraId="48CE80D6"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Tanzania</w:t>
            </w:r>
          </w:p>
        </w:tc>
        <w:tc>
          <w:tcPr>
            <w:tcW w:w="1564" w:type="dxa"/>
            <w:hideMark/>
          </w:tcPr>
          <w:p w14:paraId="35317A91"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7</w:t>
            </w:r>
          </w:p>
        </w:tc>
        <w:tc>
          <w:tcPr>
            <w:tcW w:w="1565" w:type="dxa"/>
            <w:hideMark/>
          </w:tcPr>
          <w:p w14:paraId="4637EAEF"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5" w:type="dxa"/>
            <w:hideMark/>
          </w:tcPr>
          <w:p w14:paraId="6A3CBFFE"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1</w:t>
            </w:r>
          </w:p>
        </w:tc>
        <w:tc>
          <w:tcPr>
            <w:tcW w:w="1565" w:type="dxa"/>
            <w:hideMark/>
          </w:tcPr>
          <w:p w14:paraId="379E6610"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4" w:type="dxa"/>
            <w:hideMark/>
          </w:tcPr>
          <w:p w14:paraId="52BE5824"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5" w:type="dxa"/>
            <w:hideMark/>
          </w:tcPr>
          <w:p w14:paraId="6B483F3B"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5" w:type="dxa"/>
            <w:hideMark/>
          </w:tcPr>
          <w:p w14:paraId="4DAEB8B0"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8</w:t>
            </w:r>
          </w:p>
        </w:tc>
        <w:tc>
          <w:tcPr>
            <w:tcW w:w="1565" w:type="dxa"/>
            <w:hideMark/>
          </w:tcPr>
          <w:p w14:paraId="42F01453"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3%</w:t>
            </w:r>
          </w:p>
        </w:tc>
      </w:tr>
      <w:tr w:rsidR="00BE61A2" w:rsidRPr="00E869E0" w14:paraId="012FA708" w14:textId="77777777" w:rsidTr="00476C58">
        <w:trPr>
          <w:cnfStyle w:val="000000010000" w:firstRow="0" w:lastRow="0" w:firstColumn="0" w:lastColumn="0" w:oddVBand="0" w:evenVBand="0" w:oddHBand="0" w:evenHBand="1" w:firstRowFirstColumn="0" w:firstRowLastColumn="0" w:lastRowFirstColumn="0" w:lastRowLastColumn="0"/>
        </w:trPr>
        <w:tc>
          <w:tcPr>
            <w:tcW w:w="0" w:type="auto"/>
            <w:hideMark/>
          </w:tcPr>
          <w:p w14:paraId="6D457D66"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Ghana</w:t>
            </w:r>
          </w:p>
        </w:tc>
        <w:tc>
          <w:tcPr>
            <w:tcW w:w="1564" w:type="dxa"/>
            <w:hideMark/>
          </w:tcPr>
          <w:p w14:paraId="1DE8B362"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6</w:t>
            </w:r>
          </w:p>
        </w:tc>
        <w:tc>
          <w:tcPr>
            <w:tcW w:w="1565" w:type="dxa"/>
            <w:hideMark/>
          </w:tcPr>
          <w:p w14:paraId="03367DDD"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5" w:type="dxa"/>
            <w:hideMark/>
          </w:tcPr>
          <w:p w14:paraId="5C8730CB"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5" w:type="dxa"/>
            <w:hideMark/>
          </w:tcPr>
          <w:p w14:paraId="4967CDB7"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4" w:type="dxa"/>
            <w:hideMark/>
          </w:tcPr>
          <w:p w14:paraId="2E4BBA87"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5" w:type="dxa"/>
            <w:hideMark/>
          </w:tcPr>
          <w:p w14:paraId="2A3F86BD"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5" w:type="dxa"/>
            <w:hideMark/>
          </w:tcPr>
          <w:p w14:paraId="6220D541"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6</w:t>
            </w:r>
          </w:p>
        </w:tc>
        <w:tc>
          <w:tcPr>
            <w:tcW w:w="1565" w:type="dxa"/>
            <w:hideMark/>
          </w:tcPr>
          <w:p w14:paraId="20A1FB3A"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3%</w:t>
            </w:r>
          </w:p>
        </w:tc>
      </w:tr>
      <w:tr w:rsidR="00BE61A2" w:rsidRPr="00E869E0" w14:paraId="4010DCDE" w14:textId="77777777" w:rsidTr="00476C58">
        <w:tc>
          <w:tcPr>
            <w:tcW w:w="0" w:type="auto"/>
            <w:hideMark/>
          </w:tcPr>
          <w:p w14:paraId="1C2791E9"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Indonesia</w:t>
            </w:r>
          </w:p>
        </w:tc>
        <w:tc>
          <w:tcPr>
            <w:tcW w:w="1564" w:type="dxa"/>
            <w:hideMark/>
          </w:tcPr>
          <w:p w14:paraId="35154D5F"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4</w:t>
            </w:r>
          </w:p>
        </w:tc>
        <w:tc>
          <w:tcPr>
            <w:tcW w:w="1565" w:type="dxa"/>
            <w:hideMark/>
          </w:tcPr>
          <w:p w14:paraId="0D45FD8F"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5" w:type="dxa"/>
            <w:hideMark/>
          </w:tcPr>
          <w:p w14:paraId="511D1015"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5" w:type="dxa"/>
            <w:hideMark/>
          </w:tcPr>
          <w:p w14:paraId="62FECF81"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4" w:type="dxa"/>
            <w:hideMark/>
          </w:tcPr>
          <w:p w14:paraId="646B7029"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5" w:type="dxa"/>
            <w:hideMark/>
          </w:tcPr>
          <w:p w14:paraId="08BACF1B"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2</w:t>
            </w:r>
          </w:p>
        </w:tc>
        <w:tc>
          <w:tcPr>
            <w:tcW w:w="1565" w:type="dxa"/>
            <w:hideMark/>
          </w:tcPr>
          <w:p w14:paraId="01A7FC1B"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6</w:t>
            </w:r>
          </w:p>
        </w:tc>
        <w:tc>
          <w:tcPr>
            <w:tcW w:w="1565" w:type="dxa"/>
            <w:hideMark/>
          </w:tcPr>
          <w:p w14:paraId="247F3B40"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3%</w:t>
            </w:r>
          </w:p>
        </w:tc>
      </w:tr>
      <w:tr w:rsidR="00BE61A2" w:rsidRPr="00E869E0" w14:paraId="5DC6A3E1" w14:textId="77777777" w:rsidTr="00476C58">
        <w:trPr>
          <w:cnfStyle w:val="000000010000" w:firstRow="0" w:lastRow="0" w:firstColumn="0" w:lastColumn="0" w:oddVBand="0" w:evenVBand="0" w:oddHBand="0" w:evenHBand="1" w:firstRowFirstColumn="0" w:firstRowLastColumn="0" w:lastRowFirstColumn="0" w:lastRowLastColumn="0"/>
        </w:trPr>
        <w:tc>
          <w:tcPr>
            <w:tcW w:w="0" w:type="auto"/>
            <w:hideMark/>
          </w:tcPr>
          <w:p w14:paraId="61F61517"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Solomon Islands</w:t>
            </w:r>
          </w:p>
        </w:tc>
        <w:tc>
          <w:tcPr>
            <w:tcW w:w="1564" w:type="dxa"/>
            <w:hideMark/>
          </w:tcPr>
          <w:p w14:paraId="3893ECD2"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1</w:t>
            </w:r>
          </w:p>
        </w:tc>
        <w:tc>
          <w:tcPr>
            <w:tcW w:w="1565" w:type="dxa"/>
            <w:hideMark/>
          </w:tcPr>
          <w:p w14:paraId="1DF1097C"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5" w:type="dxa"/>
            <w:hideMark/>
          </w:tcPr>
          <w:p w14:paraId="4305A1AE"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5" w:type="dxa"/>
            <w:hideMark/>
          </w:tcPr>
          <w:p w14:paraId="4A185C90"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4" w:type="dxa"/>
            <w:hideMark/>
          </w:tcPr>
          <w:p w14:paraId="23A3DDAD"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5" w:type="dxa"/>
            <w:hideMark/>
          </w:tcPr>
          <w:p w14:paraId="607BF5C3"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5</w:t>
            </w:r>
          </w:p>
        </w:tc>
        <w:tc>
          <w:tcPr>
            <w:tcW w:w="1565" w:type="dxa"/>
            <w:hideMark/>
          </w:tcPr>
          <w:p w14:paraId="0E90115C"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6</w:t>
            </w:r>
          </w:p>
        </w:tc>
        <w:tc>
          <w:tcPr>
            <w:tcW w:w="1565" w:type="dxa"/>
            <w:hideMark/>
          </w:tcPr>
          <w:p w14:paraId="47F6AFE4"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3%</w:t>
            </w:r>
          </w:p>
        </w:tc>
      </w:tr>
      <w:tr w:rsidR="00BE61A2" w:rsidRPr="00E869E0" w14:paraId="261502DD" w14:textId="77777777" w:rsidTr="00476C58">
        <w:tc>
          <w:tcPr>
            <w:tcW w:w="0" w:type="auto"/>
            <w:hideMark/>
          </w:tcPr>
          <w:p w14:paraId="2889D7B7"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Zambia</w:t>
            </w:r>
          </w:p>
        </w:tc>
        <w:tc>
          <w:tcPr>
            <w:tcW w:w="1564" w:type="dxa"/>
            <w:hideMark/>
          </w:tcPr>
          <w:p w14:paraId="4B254D50"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4</w:t>
            </w:r>
          </w:p>
        </w:tc>
        <w:tc>
          <w:tcPr>
            <w:tcW w:w="1565" w:type="dxa"/>
            <w:hideMark/>
          </w:tcPr>
          <w:p w14:paraId="7113DAFD"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5" w:type="dxa"/>
            <w:hideMark/>
          </w:tcPr>
          <w:p w14:paraId="21C50F74"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1</w:t>
            </w:r>
          </w:p>
        </w:tc>
        <w:tc>
          <w:tcPr>
            <w:tcW w:w="1565" w:type="dxa"/>
            <w:hideMark/>
          </w:tcPr>
          <w:p w14:paraId="1FEE8C37"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4" w:type="dxa"/>
            <w:hideMark/>
          </w:tcPr>
          <w:p w14:paraId="1D85E0DD"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1</w:t>
            </w:r>
          </w:p>
        </w:tc>
        <w:tc>
          <w:tcPr>
            <w:tcW w:w="1565" w:type="dxa"/>
            <w:hideMark/>
          </w:tcPr>
          <w:p w14:paraId="341051AE"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5" w:type="dxa"/>
            <w:hideMark/>
          </w:tcPr>
          <w:p w14:paraId="711A606B"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6</w:t>
            </w:r>
          </w:p>
        </w:tc>
        <w:tc>
          <w:tcPr>
            <w:tcW w:w="1565" w:type="dxa"/>
            <w:hideMark/>
          </w:tcPr>
          <w:p w14:paraId="1BF1CB68"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3%</w:t>
            </w:r>
          </w:p>
        </w:tc>
      </w:tr>
      <w:tr w:rsidR="00BE61A2" w:rsidRPr="00E869E0" w14:paraId="493F8E5F" w14:textId="77777777" w:rsidTr="00476C58">
        <w:trPr>
          <w:cnfStyle w:val="000000010000" w:firstRow="0" w:lastRow="0" w:firstColumn="0" w:lastColumn="0" w:oddVBand="0" w:evenVBand="0" w:oddHBand="0" w:evenHBand="1" w:firstRowFirstColumn="0" w:firstRowLastColumn="0" w:lastRowFirstColumn="0" w:lastRowLastColumn="0"/>
        </w:trPr>
        <w:tc>
          <w:tcPr>
            <w:tcW w:w="0" w:type="auto"/>
            <w:hideMark/>
          </w:tcPr>
          <w:p w14:paraId="0F1BA6F7"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Cameroon</w:t>
            </w:r>
          </w:p>
        </w:tc>
        <w:tc>
          <w:tcPr>
            <w:tcW w:w="1564" w:type="dxa"/>
            <w:hideMark/>
          </w:tcPr>
          <w:p w14:paraId="32E0FA91"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5</w:t>
            </w:r>
          </w:p>
        </w:tc>
        <w:tc>
          <w:tcPr>
            <w:tcW w:w="1565" w:type="dxa"/>
            <w:hideMark/>
          </w:tcPr>
          <w:p w14:paraId="7BF96649"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5" w:type="dxa"/>
            <w:hideMark/>
          </w:tcPr>
          <w:p w14:paraId="29D60804"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5" w:type="dxa"/>
            <w:hideMark/>
          </w:tcPr>
          <w:p w14:paraId="12FE40EC"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4" w:type="dxa"/>
            <w:hideMark/>
          </w:tcPr>
          <w:p w14:paraId="3F0D4B71"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5" w:type="dxa"/>
            <w:hideMark/>
          </w:tcPr>
          <w:p w14:paraId="7C14003E"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5" w:type="dxa"/>
            <w:hideMark/>
          </w:tcPr>
          <w:p w14:paraId="265A54B1"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5</w:t>
            </w:r>
          </w:p>
        </w:tc>
        <w:tc>
          <w:tcPr>
            <w:tcW w:w="1565" w:type="dxa"/>
            <w:hideMark/>
          </w:tcPr>
          <w:p w14:paraId="726FE20A"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2%</w:t>
            </w:r>
          </w:p>
        </w:tc>
      </w:tr>
      <w:tr w:rsidR="00BE61A2" w:rsidRPr="00E869E0" w14:paraId="601D5683" w14:textId="77777777" w:rsidTr="00476C58">
        <w:tc>
          <w:tcPr>
            <w:tcW w:w="0" w:type="auto"/>
            <w:hideMark/>
          </w:tcPr>
          <w:p w14:paraId="2645AC5A"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Ethiopia</w:t>
            </w:r>
          </w:p>
        </w:tc>
        <w:tc>
          <w:tcPr>
            <w:tcW w:w="1564" w:type="dxa"/>
            <w:hideMark/>
          </w:tcPr>
          <w:p w14:paraId="59F1CA5E"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3</w:t>
            </w:r>
          </w:p>
        </w:tc>
        <w:tc>
          <w:tcPr>
            <w:tcW w:w="1565" w:type="dxa"/>
            <w:hideMark/>
          </w:tcPr>
          <w:p w14:paraId="2BED518A"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5" w:type="dxa"/>
            <w:hideMark/>
          </w:tcPr>
          <w:p w14:paraId="4A5DE95C"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5" w:type="dxa"/>
            <w:hideMark/>
          </w:tcPr>
          <w:p w14:paraId="0FCE3A2D"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4" w:type="dxa"/>
            <w:hideMark/>
          </w:tcPr>
          <w:p w14:paraId="759A9C52"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5" w:type="dxa"/>
            <w:hideMark/>
          </w:tcPr>
          <w:p w14:paraId="476BFD09"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2</w:t>
            </w:r>
          </w:p>
        </w:tc>
        <w:tc>
          <w:tcPr>
            <w:tcW w:w="1565" w:type="dxa"/>
            <w:hideMark/>
          </w:tcPr>
          <w:p w14:paraId="14D716DE"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5</w:t>
            </w:r>
          </w:p>
        </w:tc>
        <w:tc>
          <w:tcPr>
            <w:tcW w:w="1565" w:type="dxa"/>
            <w:hideMark/>
          </w:tcPr>
          <w:p w14:paraId="1A94F8E6"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2%</w:t>
            </w:r>
          </w:p>
        </w:tc>
      </w:tr>
      <w:tr w:rsidR="00BE61A2" w:rsidRPr="00E869E0" w14:paraId="677716EA" w14:textId="77777777" w:rsidTr="00476C58">
        <w:trPr>
          <w:cnfStyle w:val="000000010000" w:firstRow="0" w:lastRow="0" w:firstColumn="0" w:lastColumn="0" w:oddVBand="0" w:evenVBand="0" w:oddHBand="0" w:evenHBand="1" w:firstRowFirstColumn="0" w:firstRowLastColumn="0" w:lastRowFirstColumn="0" w:lastRowLastColumn="0"/>
        </w:trPr>
        <w:tc>
          <w:tcPr>
            <w:tcW w:w="0" w:type="auto"/>
            <w:hideMark/>
          </w:tcPr>
          <w:p w14:paraId="608CB9F4"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Pakistan</w:t>
            </w:r>
          </w:p>
        </w:tc>
        <w:tc>
          <w:tcPr>
            <w:tcW w:w="1564" w:type="dxa"/>
            <w:hideMark/>
          </w:tcPr>
          <w:p w14:paraId="11C6A1BB"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5" w:type="dxa"/>
            <w:hideMark/>
          </w:tcPr>
          <w:p w14:paraId="0C373F7B"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5" w:type="dxa"/>
            <w:hideMark/>
          </w:tcPr>
          <w:p w14:paraId="3E8AFC2B"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5" w:type="dxa"/>
            <w:hideMark/>
          </w:tcPr>
          <w:p w14:paraId="74F8D715"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4" w:type="dxa"/>
            <w:hideMark/>
          </w:tcPr>
          <w:p w14:paraId="09603C30"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1</w:t>
            </w:r>
          </w:p>
        </w:tc>
        <w:tc>
          <w:tcPr>
            <w:tcW w:w="1565" w:type="dxa"/>
            <w:hideMark/>
          </w:tcPr>
          <w:p w14:paraId="4BF1C525"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4</w:t>
            </w:r>
          </w:p>
        </w:tc>
        <w:tc>
          <w:tcPr>
            <w:tcW w:w="1565" w:type="dxa"/>
            <w:hideMark/>
          </w:tcPr>
          <w:p w14:paraId="1524EFC4"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5</w:t>
            </w:r>
          </w:p>
        </w:tc>
        <w:tc>
          <w:tcPr>
            <w:tcW w:w="1565" w:type="dxa"/>
            <w:hideMark/>
          </w:tcPr>
          <w:p w14:paraId="450EE514"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2%</w:t>
            </w:r>
          </w:p>
        </w:tc>
      </w:tr>
      <w:tr w:rsidR="00BE61A2" w:rsidRPr="00E869E0" w14:paraId="35A8EF01" w14:textId="77777777" w:rsidTr="00476C58">
        <w:tc>
          <w:tcPr>
            <w:tcW w:w="0" w:type="auto"/>
            <w:hideMark/>
          </w:tcPr>
          <w:p w14:paraId="5EB7095D"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Mali</w:t>
            </w:r>
          </w:p>
        </w:tc>
        <w:tc>
          <w:tcPr>
            <w:tcW w:w="1564" w:type="dxa"/>
            <w:hideMark/>
          </w:tcPr>
          <w:p w14:paraId="2EEF2661"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4</w:t>
            </w:r>
          </w:p>
        </w:tc>
        <w:tc>
          <w:tcPr>
            <w:tcW w:w="1565" w:type="dxa"/>
            <w:hideMark/>
          </w:tcPr>
          <w:p w14:paraId="27A018CD"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5" w:type="dxa"/>
            <w:hideMark/>
          </w:tcPr>
          <w:p w14:paraId="43E447D7"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5" w:type="dxa"/>
            <w:hideMark/>
          </w:tcPr>
          <w:p w14:paraId="27A4D501"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4" w:type="dxa"/>
            <w:hideMark/>
          </w:tcPr>
          <w:p w14:paraId="798C4F4B"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5" w:type="dxa"/>
            <w:hideMark/>
          </w:tcPr>
          <w:p w14:paraId="16CAD879"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5" w:type="dxa"/>
            <w:hideMark/>
          </w:tcPr>
          <w:p w14:paraId="7EDF66E8"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4</w:t>
            </w:r>
          </w:p>
        </w:tc>
        <w:tc>
          <w:tcPr>
            <w:tcW w:w="1565" w:type="dxa"/>
            <w:hideMark/>
          </w:tcPr>
          <w:p w14:paraId="5B7BC106"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2%</w:t>
            </w:r>
          </w:p>
        </w:tc>
      </w:tr>
      <w:tr w:rsidR="00BE61A2" w:rsidRPr="00E869E0" w14:paraId="3A1972A4" w14:textId="77777777" w:rsidTr="00476C58">
        <w:trPr>
          <w:cnfStyle w:val="000000010000" w:firstRow="0" w:lastRow="0" w:firstColumn="0" w:lastColumn="0" w:oddVBand="0" w:evenVBand="0" w:oddHBand="0" w:evenHBand="1" w:firstRowFirstColumn="0" w:firstRowLastColumn="0" w:lastRowFirstColumn="0" w:lastRowLastColumn="0"/>
        </w:trPr>
        <w:tc>
          <w:tcPr>
            <w:tcW w:w="0" w:type="auto"/>
            <w:hideMark/>
          </w:tcPr>
          <w:p w14:paraId="2CE5BB74"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Rwanda</w:t>
            </w:r>
          </w:p>
        </w:tc>
        <w:tc>
          <w:tcPr>
            <w:tcW w:w="1564" w:type="dxa"/>
            <w:hideMark/>
          </w:tcPr>
          <w:p w14:paraId="04550C90"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3</w:t>
            </w:r>
          </w:p>
        </w:tc>
        <w:tc>
          <w:tcPr>
            <w:tcW w:w="1565" w:type="dxa"/>
            <w:hideMark/>
          </w:tcPr>
          <w:p w14:paraId="4DCFA55C"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5" w:type="dxa"/>
            <w:hideMark/>
          </w:tcPr>
          <w:p w14:paraId="3207AB57"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5" w:type="dxa"/>
            <w:hideMark/>
          </w:tcPr>
          <w:p w14:paraId="6B44F82D"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4" w:type="dxa"/>
            <w:hideMark/>
          </w:tcPr>
          <w:p w14:paraId="4FF1D2CE"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5" w:type="dxa"/>
            <w:hideMark/>
          </w:tcPr>
          <w:p w14:paraId="0B30F770"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1</w:t>
            </w:r>
          </w:p>
        </w:tc>
        <w:tc>
          <w:tcPr>
            <w:tcW w:w="1565" w:type="dxa"/>
            <w:hideMark/>
          </w:tcPr>
          <w:p w14:paraId="70914BEA"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4</w:t>
            </w:r>
          </w:p>
        </w:tc>
        <w:tc>
          <w:tcPr>
            <w:tcW w:w="1565" w:type="dxa"/>
            <w:hideMark/>
          </w:tcPr>
          <w:p w14:paraId="111A541C"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2%</w:t>
            </w:r>
          </w:p>
        </w:tc>
      </w:tr>
      <w:tr w:rsidR="00BE61A2" w:rsidRPr="00E869E0" w14:paraId="5B1E57BC" w14:textId="77777777" w:rsidTr="00476C58">
        <w:tc>
          <w:tcPr>
            <w:tcW w:w="0" w:type="auto"/>
            <w:hideMark/>
          </w:tcPr>
          <w:p w14:paraId="7D4FC774"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Other countries</w:t>
            </w:r>
          </w:p>
        </w:tc>
        <w:tc>
          <w:tcPr>
            <w:tcW w:w="1564" w:type="dxa"/>
            <w:hideMark/>
          </w:tcPr>
          <w:p w14:paraId="78A3B116"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17</w:t>
            </w:r>
          </w:p>
        </w:tc>
        <w:tc>
          <w:tcPr>
            <w:tcW w:w="1565" w:type="dxa"/>
            <w:hideMark/>
          </w:tcPr>
          <w:p w14:paraId="3ACD9440"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1</w:t>
            </w:r>
          </w:p>
        </w:tc>
        <w:tc>
          <w:tcPr>
            <w:tcW w:w="1565" w:type="dxa"/>
            <w:hideMark/>
          </w:tcPr>
          <w:p w14:paraId="7BBD2D71"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1</w:t>
            </w:r>
          </w:p>
        </w:tc>
        <w:tc>
          <w:tcPr>
            <w:tcW w:w="1565" w:type="dxa"/>
            <w:hideMark/>
          </w:tcPr>
          <w:p w14:paraId="23855238"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1</w:t>
            </w:r>
          </w:p>
        </w:tc>
        <w:tc>
          <w:tcPr>
            <w:tcW w:w="1564" w:type="dxa"/>
            <w:hideMark/>
          </w:tcPr>
          <w:p w14:paraId="4CB00616"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1</w:t>
            </w:r>
          </w:p>
        </w:tc>
        <w:tc>
          <w:tcPr>
            <w:tcW w:w="1565" w:type="dxa"/>
            <w:hideMark/>
          </w:tcPr>
          <w:p w14:paraId="17E6485F"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8</w:t>
            </w:r>
          </w:p>
        </w:tc>
        <w:tc>
          <w:tcPr>
            <w:tcW w:w="1565" w:type="dxa"/>
            <w:hideMark/>
          </w:tcPr>
          <w:p w14:paraId="787317D6"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29</w:t>
            </w:r>
          </w:p>
        </w:tc>
        <w:tc>
          <w:tcPr>
            <w:tcW w:w="1565" w:type="dxa"/>
            <w:hideMark/>
          </w:tcPr>
          <w:p w14:paraId="726656D7"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12%</w:t>
            </w:r>
          </w:p>
        </w:tc>
      </w:tr>
      <w:tr w:rsidR="00BE61A2" w:rsidRPr="00E869E0" w14:paraId="0371805E" w14:textId="77777777" w:rsidTr="00476C58">
        <w:trPr>
          <w:cnfStyle w:val="000000010000" w:firstRow="0" w:lastRow="0" w:firstColumn="0" w:lastColumn="0" w:oddVBand="0" w:evenVBand="0" w:oddHBand="0" w:evenHBand="1" w:firstRowFirstColumn="0" w:firstRowLastColumn="0" w:lastRowFirstColumn="0" w:lastRowLastColumn="0"/>
        </w:trPr>
        <w:tc>
          <w:tcPr>
            <w:tcW w:w="0" w:type="auto"/>
            <w:hideMark/>
          </w:tcPr>
          <w:p w14:paraId="3618BB36"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Overseas - country unknown</w:t>
            </w:r>
          </w:p>
        </w:tc>
        <w:tc>
          <w:tcPr>
            <w:tcW w:w="1564" w:type="dxa"/>
            <w:hideMark/>
          </w:tcPr>
          <w:p w14:paraId="6DD2E061"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6</w:t>
            </w:r>
          </w:p>
        </w:tc>
        <w:tc>
          <w:tcPr>
            <w:tcW w:w="1565" w:type="dxa"/>
            <w:hideMark/>
          </w:tcPr>
          <w:p w14:paraId="4DF6DA4E"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5" w:type="dxa"/>
            <w:hideMark/>
          </w:tcPr>
          <w:p w14:paraId="1221BFED"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5" w:type="dxa"/>
            <w:hideMark/>
          </w:tcPr>
          <w:p w14:paraId="33CC958E"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4" w:type="dxa"/>
            <w:hideMark/>
          </w:tcPr>
          <w:p w14:paraId="4A9233BD"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5" w:type="dxa"/>
            <w:hideMark/>
          </w:tcPr>
          <w:p w14:paraId="65D7BA9E"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4</w:t>
            </w:r>
          </w:p>
        </w:tc>
        <w:tc>
          <w:tcPr>
            <w:tcW w:w="1565" w:type="dxa"/>
            <w:hideMark/>
          </w:tcPr>
          <w:p w14:paraId="201F1AE3"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10</w:t>
            </w:r>
          </w:p>
        </w:tc>
        <w:tc>
          <w:tcPr>
            <w:tcW w:w="1565" w:type="dxa"/>
            <w:hideMark/>
          </w:tcPr>
          <w:p w14:paraId="645747FC"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4%</w:t>
            </w:r>
          </w:p>
        </w:tc>
      </w:tr>
      <w:tr w:rsidR="00BE61A2" w:rsidRPr="00E869E0" w14:paraId="2F80B21C" w14:textId="77777777" w:rsidTr="00476C58">
        <w:tc>
          <w:tcPr>
            <w:tcW w:w="0" w:type="auto"/>
            <w:hideMark/>
          </w:tcPr>
          <w:p w14:paraId="34564641"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Place of acquisition unknown</w:t>
            </w:r>
          </w:p>
        </w:tc>
        <w:tc>
          <w:tcPr>
            <w:tcW w:w="1564" w:type="dxa"/>
            <w:hideMark/>
          </w:tcPr>
          <w:p w14:paraId="6CD1F69D"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5" w:type="dxa"/>
            <w:hideMark/>
          </w:tcPr>
          <w:p w14:paraId="4DEEDE6B"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5" w:type="dxa"/>
            <w:hideMark/>
          </w:tcPr>
          <w:p w14:paraId="5FD79299"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2</w:t>
            </w:r>
          </w:p>
        </w:tc>
        <w:tc>
          <w:tcPr>
            <w:tcW w:w="1565" w:type="dxa"/>
            <w:hideMark/>
          </w:tcPr>
          <w:p w14:paraId="6C1FEEB7"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2</w:t>
            </w:r>
          </w:p>
        </w:tc>
        <w:tc>
          <w:tcPr>
            <w:tcW w:w="1564" w:type="dxa"/>
            <w:hideMark/>
          </w:tcPr>
          <w:p w14:paraId="2015DB58"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5" w:type="dxa"/>
            <w:hideMark/>
          </w:tcPr>
          <w:p w14:paraId="018C7200"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0</w:t>
            </w:r>
          </w:p>
        </w:tc>
        <w:tc>
          <w:tcPr>
            <w:tcW w:w="1565" w:type="dxa"/>
            <w:hideMark/>
          </w:tcPr>
          <w:p w14:paraId="03FE11DE"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4</w:t>
            </w:r>
          </w:p>
        </w:tc>
        <w:tc>
          <w:tcPr>
            <w:tcW w:w="1565" w:type="dxa"/>
            <w:hideMark/>
          </w:tcPr>
          <w:p w14:paraId="4500170A" w14:textId="77777777" w:rsidR="00BE61A2" w:rsidRPr="00E869E0" w:rsidRDefault="00BE61A2" w:rsidP="00A52F61">
            <w:pPr>
              <w:rPr>
                <w:rFonts w:asciiTheme="minorHAnsi" w:eastAsia="Times New Roman" w:hAnsiTheme="minorHAnsi"/>
                <w:sz w:val="18"/>
                <w:szCs w:val="18"/>
              </w:rPr>
            </w:pPr>
            <w:r w:rsidRPr="00E869E0">
              <w:rPr>
                <w:rFonts w:asciiTheme="minorHAnsi" w:eastAsia="Times New Roman" w:hAnsiTheme="minorHAnsi"/>
                <w:sz w:val="18"/>
                <w:szCs w:val="18"/>
              </w:rPr>
              <w:t>2%</w:t>
            </w:r>
          </w:p>
        </w:tc>
      </w:tr>
      <w:tr w:rsidR="001033BF" w:rsidRPr="00E869E0" w14:paraId="2CE9F5D9" w14:textId="77777777" w:rsidTr="00476C58">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773D9DBB" w14:textId="77777777" w:rsidR="00BE61A2" w:rsidRPr="00E869E0" w:rsidRDefault="00BE61A2" w:rsidP="00A52F61">
            <w:pPr>
              <w:rPr>
                <w:rFonts w:asciiTheme="minorHAnsi" w:eastAsia="Times New Roman" w:hAnsiTheme="minorHAnsi"/>
                <w:b/>
                <w:sz w:val="18"/>
                <w:szCs w:val="18"/>
              </w:rPr>
            </w:pPr>
            <w:r w:rsidRPr="00E869E0">
              <w:rPr>
                <w:rFonts w:asciiTheme="minorHAnsi" w:eastAsia="Times New Roman" w:hAnsiTheme="minorHAnsi"/>
                <w:b/>
                <w:sz w:val="18"/>
                <w:szCs w:val="18"/>
              </w:rPr>
              <w:t>Total</w:t>
            </w:r>
          </w:p>
        </w:tc>
        <w:tc>
          <w:tcPr>
            <w:tcW w:w="1564" w:type="dxa"/>
            <w:shd w:val="clear" w:color="auto" w:fill="FDE9D9" w:themeFill="accent6" w:themeFillTint="33"/>
            <w:hideMark/>
          </w:tcPr>
          <w:p w14:paraId="11D90CAB" w14:textId="77777777" w:rsidR="00BE61A2" w:rsidRPr="00E869E0" w:rsidRDefault="00BE61A2" w:rsidP="00A52F61">
            <w:pPr>
              <w:rPr>
                <w:rFonts w:asciiTheme="minorHAnsi" w:eastAsia="Times New Roman" w:hAnsiTheme="minorHAnsi"/>
                <w:b/>
                <w:sz w:val="18"/>
                <w:szCs w:val="18"/>
              </w:rPr>
            </w:pPr>
            <w:r w:rsidRPr="00E869E0">
              <w:rPr>
                <w:rFonts w:asciiTheme="minorHAnsi" w:eastAsia="Times New Roman" w:hAnsiTheme="minorHAnsi"/>
                <w:b/>
                <w:sz w:val="18"/>
                <w:szCs w:val="18"/>
              </w:rPr>
              <w:t>147</w:t>
            </w:r>
          </w:p>
        </w:tc>
        <w:tc>
          <w:tcPr>
            <w:tcW w:w="1565" w:type="dxa"/>
            <w:shd w:val="clear" w:color="auto" w:fill="FDE9D9" w:themeFill="accent6" w:themeFillTint="33"/>
            <w:hideMark/>
          </w:tcPr>
          <w:p w14:paraId="4EC7A7CE" w14:textId="77777777" w:rsidR="00BE61A2" w:rsidRPr="00E869E0" w:rsidRDefault="00BE61A2" w:rsidP="00A52F61">
            <w:pPr>
              <w:rPr>
                <w:rFonts w:asciiTheme="minorHAnsi" w:eastAsia="Times New Roman" w:hAnsiTheme="minorHAnsi"/>
                <w:b/>
                <w:sz w:val="18"/>
                <w:szCs w:val="18"/>
              </w:rPr>
            </w:pPr>
            <w:r w:rsidRPr="00E869E0">
              <w:rPr>
                <w:rFonts w:asciiTheme="minorHAnsi" w:eastAsia="Times New Roman" w:hAnsiTheme="minorHAnsi"/>
                <w:b/>
                <w:sz w:val="18"/>
                <w:szCs w:val="18"/>
              </w:rPr>
              <w:t>1</w:t>
            </w:r>
          </w:p>
        </w:tc>
        <w:tc>
          <w:tcPr>
            <w:tcW w:w="1565" w:type="dxa"/>
            <w:shd w:val="clear" w:color="auto" w:fill="FDE9D9" w:themeFill="accent6" w:themeFillTint="33"/>
            <w:hideMark/>
          </w:tcPr>
          <w:p w14:paraId="5C7D5FB4" w14:textId="77777777" w:rsidR="00BE61A2" w:rsidRPr="00E869E0" w:rsidRDefault="00BE61A2" w:rsidP="00A52F61">
            <w:pPr>
              <w:rPr>
                <w:rFonts w:asciiTheme="minorHAnsi" w:eastAsia="Times New Roman" w:hAnsiTheme="minorHAnsi"/>
                <w:b/>
                <w:sz w:val="18"/>
                <w:szCs w:val="18"/>
              </w:rPr>
            </w:pPr>
            <w:r w:rsidRPr="00E869E0">
              <w:rPr>
                <w:rFonts w:asciiTheme="minorHAnsi" w:eastAsia="Times New Roman" w:hAnsiTheme="minorHAnsi"/>
                <w:b/>
                <w:sz w:val="18"/>
                <w:szCs w:val="18"/>
              </w:rPr>
              <w:t>7</w:t>
            </w:r>
          </w:p>
        </w:tc>
        <w:tc>
          <w:tcPr>
            <w:tcW w:w="1565" w:type="dxa"/>
            <w:shd w:val="clear" w:color="auto" w:fill="FDE9D9" w:themeFill="accent6" w:themeFillTint="33"/>
            <w:hideMark/>
          </w:tcPr>
          <w:p w14:paraId="50CD5C60" w14:textId="77777777" w:rsidR="00BE61A2" w:rsidRPr="00E869E0" w:rsidRDefault="00BE61A2" w:rsidP="00A52F61">
            <w:pPr>
              <w:rPr>
                <w:rFonts w:asciiTheme="minorHAnsi" w:eastAsia="Times New Roman" w:hAnsiTheme="minorHAnsi"/>
                <w:b/>
                <w:sz w:val="18"/>
                <w:szCs w:val="18"/>
              </w:rPr>
            </w:pPr>
            <w:r w:rsidRPr="00E869E0">
              <w:rPr>
                <w:rFonts w:asciiTheme="minorHAnsi" w:eastAsia="Times New Roman" w:hAnsiTheme="minorHAnsi"/>
                <w:b/>
                <w:sz w:val="18"/>
                <w:szCs w:val="18"/>
              </w:rPr>
              <w:t>12</w:t>
            </w:r>
          </w:p>
        </w:tc>
        <w:tc>
          <w:tcPr>
            <w:tcW w:w="1564" w:type="dxa"/>
            <w:shd w:val="clear" w:color="auto" w:fill="FDE9D9" w:themeFill="accent6" w:themeFillTint="33"/>
            <w:hideMark/>
          </w:tcPr>
          <w:p w14:paraId="715D9C7F" w14:textId="77777777" w:rsidR="00BE61A2" w:rsidRPr="00E869E0" w:rsidRDefault="00BE61A2" w:rsidP="00A52F61">
            <w:pPr>
              <w:rPr>
                <w:rFonts w:asciiTheme="minorHAnsi" w:eastAsia="Times New Roman" w:hAnsiTheme="minorHAnsi"/>
                <w:b/>
                <w:sz w:val="18"/>
                <w:szCs w:val="18"/>
              </w:rPr>
            </w:pPr>
            <w:r w:rsidRPr="00E869E0">
              <w:rPr>
                <w:rFonts w:asciiTheme="minorHAnsi" w:eastAsia="Times New Roman" w:hAnsiTheme="minorHAnsi"/>
                <w:b/>
                <w:sz w:val="18"/>
                <w:szCs w:val="18"/>
              </w:rPr>
              <w:t>5</w:t>
            </w:r>
          </w:p>
        </w:tc>
        <w:tc>
          <w:tcPr>
            <w:tcW w:w="1565" w:type="dxa"/>
            <w:shd w:val="clear" w:color="auto" w:fill="FDE9D9" w:themeFill="accent6" w:themeFillTint="33"/>
            <w:hideMark/>
          </w:tcPr>
          <w:p w14:paraId="2F49BB3C" w14:textId="77777777" w:rsidR="00BE61A2" w:rsidRPr="00E869E0" w:rsidRDefault="00BE61A2" w:rsidP="00A52F61">
            <w:pPr>
              <w:rPr>
                <w:rFonts w:asciiTheme="minorHAnsi" w:eastAsia="Times New Roman" w:hAnsiTheme="minorHAnsi"/>
                <w:b/>
                <w:sz w:val="18"/>
                <w:szCs w:val="18"/>
              </w:rPr>
            </w:pPr>
            <w:r w:rsidRPr="00E869E0">
              <w:rPr>
                <w:rFonts w:asciiTheme="minorHAnsi" w:eastAsia="Times New Roman" w:hAnsiTheme="minorHAnsi"/>
                <w:b/>
                <w:sz w:val="18"/>
                <w:szCs w:val="18"/>
              </w:rPr>
              <w:t>61</w:t>
            </w:r>
          </w:p>
        </w:tc>
        <w:tc>
          <w:tcPr>
            <w:tcW w:w="1565" w:type="dxa"/>
            <w:shd w:val="clear" w:color="auto" w:fill="FDE9D9" w:themeFill="accent6" w:themeFillTint="33"/>
            <w:hideMark/>
          </w:tcPr>
          <w:p w14:paraId="3AA0B374" w14:textId="77777777" w:rsidR="00BE61A2" w:rsidRPr="00E869E0" w:rsidRDefault="00BE61A2" w:rsidP="00A52F61">
            <w:pPr>
              <w:rPr>
                <w:rFonts w:asciiTheme="minorHAnsi" w:eastAsia="Times New Roman" w:hAnsiTheme="minorHAnsi"/>
                <w:b/>
                <w:sz w:val="18"/>
                <w:szCs w:val="18"/>
              </w:rPr>
            </w:pPr>
            <w:r w:rsidRPr="00E869E0">
              <w:rPr>
                <w:rFonts w:asciiTheme="minorHAnsi" w:eastAsia="Times New Roman" w:hAnsiTheme="minorHAnsi"/>
                <w:b/>
                <w:sz w:val="18"/>
                <w:szCs w:val="18"/>
              </w:rPr>
              <w:t>233</w:t>
            </w:r>
          </w:p>
        </w:tc>
        <w:tc>
          <w:tcPr>
            <w:tcW w:w="1565" w:type="dxa"/>
            <w:shd w:val="clear" w:color="auto" w:fill="FDE9D9" w:themeFill="accent6" w:themeFillTint="33"/>
            <w:hideMark/>
          </w:tcPr>
          <w:p w14:paraId="42114DFF" w14:textId="77777777" w:rsidR="00BE61A2" w:rsidRPr="00E869E0" w:rsidRDefault="00BE61A2" w:rsidP="00A52F61">
            <w:pPr>
              <w:rPr>
                <w:rFonts w:asciiTheme="minorHAnsi" w:eastAsia="Times New Roman" w:hAnsiTheme="minorHAnsi"/>
                <w:b/>
                <w:sz w:val="18"/>
                <w:szCs w:val="18"/>
              </w:rPr>
            </w:pPr>
            <w:r w:rsidRPr="00E869E0">
              <w:rPr>
                <w:rFonts w:asciiTheme="minorHAnsi" w:eastAsia="Times New Roman" w:hAnsiTheme="minorHAnsi"/>
                <w:b/>
                <w:sz w:val="18"/>
                <w:szCs w:val="18"/>
              </w:rPr>
              <w:t>100%</w:t>
            </w:r>
          </w:p>
        </w:tc>
      </w:tr>
    </w:tbl>
    <w:p w14:paraId="268940E1" w14:textId="77777777" w:rsidR="00B62331" w:rsidRDefault="00B62331" w:rsidP="00A52F61">
      <w:pPr>
        <w:pStyle w:val="Heading4"/>
        <w:rPr>
          <w:bCs w:val="0"/>
        </w:rPr>
        <w:sectPr w:rsidR="00B62331" w:rsidSect="00B62331">
          <w:pgSz w:w="16838" w:h="11906" w:orient="landscape"/>
          <w:pgMar w:top="720" w:right="720" w:bottom="720" w:left="1134" w:header="709" w:footer="284" w:gutter="0"/>
          <w:cols w:space="708"/>
          <w:titlePg/>
          <w:docGrid w:linePitch="360"/>
        </w:sectPr>
      </w:pPr>
    </w:p>
    <w:p w14:paraId="7A8AB04E" w14:textId="77777777" w:rsidR="00BE61A2" w:rsidRPr="00AE2F1B" w:rsidRDefault="00BE61A2" w:rsidP="00A52F61">
      <w:pPr>
        <w:pStyle w:val="Heading4"/>
        <w:rPr>
          <w:rFonts w:eastAsiaTheme="minorEastAsia"/>
        </w:rPr>
      </w:pPr>
      <w:r w:rsidRPr="00924A50">
        <w:rPr>
          <w:bCs w:val="0"/>
        </w:rPr>
        <w:lastRenderedPageBreak/>
        <w:t>Age and sex distribution</w:t>
      </w:r>
    </w:p>
    <w:p w14:paraId="359AA5DC" w14:textId="77777777" w:rsidR="00BE61A2" w:rsidRDefault="00BE61A2" w:rsidP="00A52F61">
      <w:r w:rsidRPr="00AE2F1B">
        <w:t>Malaria is most commonly reported in younger and middle-aged adults, and in Australia disproportionately affects male travellers, of whom some are likely to be working in endemic countries when infected. The median age of notifications in 2015 was 35 years (range: 2 to 69 years) and 73% of cases were male. Notifications peaked in males aged between 20 and 49 years (Figure 96).</w:t>
      </w:r>
    </w:p>
    <w:p w14:paraId="08D9B6C7" w14:textId="77777777" w:rsidR="00DE55A2" w:rsidRDefault="00DE55A2" w:rsidP="00DE55A2">
      <w:pPr>
        <w:pStyle w:val="CDIFigures"/>
      </w:pPr>
      <w:r w:rsidRPr="00DE55A2">
        <w:t>Figure 96: Notifications of malaria, 2015, by age group and sex</w:t>
      </w:r>
    </w:p>
    <w:p w14:paraId="23459935" w14:textId="77777777" w:rsidR="009152A6" w:rsidRPr="00DE55A2" w:rsidRDefault="0021477A" w:rsidP="00DE55A2">
      <w:pPr>
        <w:pStyle w:val="CDIFigures"/>
      </w:pPr>
      <w:r>
        <w:pict w14:anchorId="7995D264">
          <v:shape id="_x0000_i1117" type="#_x0000_t75" alt="This figure shows the majority of notified cases of Malaria in 2015 were male and the infection is most commonly reported in younger and middle aged adults (particularly those aged between 15 and 49 years)." style="width:522.6pt;height:351.6pt">
            <v:imagedata r:id="rId115" o:title="6-Vectorborne chapter figures _86 to 100_Page_11"/>
          </v:shape>
        </w:pict>
      </w:r>
    </w:p>
    <w:p w14:paraId="40134079" w14:textId="77777777" w:rsidR="00BE61A2" w:rsidRPr="00AE2F1B" w:rsidRDefault="00BE61A2" w:rsidP="00A52F61">
      <w:pPr>
        <w:pStyle w:val="Heading4"/>
      </w:pPr>
      <w:r w:rsidRPr="00924A50">
        <w:rPr>
          <w:bCs w:val="0"/>
        </w:rPr>
        <w:t>Seasonality</w:t>
      </w:r>
    </w:p>
    <w:p w14:paraId="3D9D40F7" w14:textId="77777777" w:rsidR="00BE61A2" w:rsidRPr="00AE2F1B" w:rsidRDefault="00BE61A2" w:rsidP="00A52F61">
      <w:r w:rsidRPr="00AE2F1B">
        <w:t xml:space="preserve">Diseases that are almost exclusively acquired overseas (such as malaria) can tend to increase during peak periods of travel by Australians overseas, or during increases in a particular country or region. In 2015, no particular seasonal trend was observed. </w:t>
      </w:r>
    </w:p>
    <w:p w14:paraId="54D229DB" w14:textId="77777777" w:rsidR="00BE61A2" w:rsidRPr="004E056D" w:rsidRDefault="00BE61A2" w:rsidP="004E056D">
      <w:pPr>
        <w:pStyle w:val="Heading2"/>
      </w:pPr>
      <w:bookmarkStart w:id="219" w:name="_Toc1747373"/>
      <w:r w:rsidRPr="004E056D">
        <w:rPr>
          <w:bCs w:val="0"/>
          <w:sz w:val="27"/>
          <w:szCs w:val="27"/>
        </w:rPr>
        <w:t>Murray Valley encephalitis virus</w:t>
      </w:r>
      <w:bookmarkEnd w:id="219"/>
    </w:p>
    <w:p w14:paraId="1D9CA681" w14:textId="77777777" w:rsidR="00BE61A2" w:rsidRPr="00AE2F1B" w:rsidRDefault="00BE61A2" w:rsidP="00330DE9">
      <w:pPr>
        <w:pStyle w:val="ListParagraph"/>
        <w:numPr>
          <w:ilvl w:val="0"/>
          <w:numId w:val="15"/>
        </w:numPr>
      </w:pPr>
      <w:r w:rsidRPr="00AE2F1B">
        <w:t>There were 2 cases of MVEV, notified in 2015.</w:t>
      </w:r>
    </w:p>
    <w:p w14:paraId="1DAC6494" w14:textId="77777777" w:rsidR="00BE61A2" w:rsidRPr="00AE2F1B" w:rsidRDefault="00BE61A2" w:rsidP="00AE2F1B">
      <w:r w:rsidRPr="00AE2F1B">
        <w:t xml:space="preserve">No specific treatment is available for infections with </w:t>
      </w:r>
      <w:proofErr w:type="gramStart"/>
      <w:r w:rsidRPr="00AE2F1B">
        <w:t>MVEV</w:t>
      </w:r>
      <w:proofErr w:type="gramEnd"/>
      <w:r w:rsidRPr="00AE2F1B">
        <w:t xml:space="preserve"> and care is largely supportive. No vaccine is available. Infection with MVEV is usually asymptomatic or produces a non-specific illness, but a small percentage of cases progress to encephalomyelitis of variable severity. </w:t>
      </w:r>
      <w:r w:rsidRPr="00DF12AB">
        <w:rPr>
          <w:rStyle w:val="Emphasis"/>
          <w:b w:val="0"/>
        </w:rPr>
        <w:t xml:space="preserve">Culex </w:t>
      </w:r>
      <w:proofErr w:type="spellStart"/>
      <w:r w:rsidRPr="00DF12AB">
        <w:rPr>
          <w:rStyle w:val="Emphasis"/>
          <w:b w:val="0"/>
        </w:rPr>
        <w:t>annulirostris</w:t>
      </w:r>
      <w:proofErr w:type="spellEnd"/>
      <w:r w:rsidRPr="00AE2F1B">
        <w:t xml:space="preserve"> is the major vector of MVEV.</w:t>
      </w:r>
    </w:p>
    <w:p w14:paraId="799B40B4" w14:textId="77777777" w:rsidR="00BE61A2" w:rsidRPr="00AE2F1B" w:rsidRDefault="00BE61A2" w:rsidP="00924A50">
      <w:pPr>
        <w:pStyle w:val="Heading3"/>
      </w:pPr>
      <w:bookmarkStart w:id="220" w:name="_Toc1747374"/>
      <w:r w:rsidRPr="00924A50">
        <w:rPr>
          <w:bCs w:val="0"/>
        </w:rPr>
        <w:t>Epidemiological situation in 2015</w:t>
      </w:r>
      <w:bookmarkEnd w:id="220"/>
    </w:p>
    <w:p w14:paraId="540E2968" w14:textId="77777777" w:rsidR="00BE61A2" w:rsidRDefault="00BE61A2" w:rsidP="00AE2F1B">
      <w:r w:rsidRPr="00AE2F1B">
        <w:t>In 2015, there were 2 notifications of MVEV infection. Both cases were acquired in Australia (Table 25). This compares with a total of 17 cases between 2010 and 2014, 16 of them in 2011. The details of the 16 cases in 2011 were published elsewhere;</w:t>
      </w:r>
      <w:r w:rsidRPr="00AE2F1B">
        <w:rPr>
          <w:vertAlign w:val="superscript"/>
        </w:rPr>
        <w:t>149</w:t>
      </w:r>
      <w:r w:rsidRPr="00AE2F1B">
        <w:t xml:space="preserve"> the remaining case was acquired in Papua New Guinea in 2012 (Figure 97). MVEV </w:t>
      </w:r>
      <w:r w:rsidRPr="00AE2F1B">
        <w:lastRenderedPageBreak/>
        <w:t>acquired in Australia is most commonly reported during the warmer, wetter months, with all cases between 2010 and 2015 having dates of diag</w:t>
      </w:r>
      <w:r w:rsidR="002107DA">
        <w:t>nosis between December and May.</w:t>
      </w:r>
    </w:p>
    <w:p w14:paraId="3E5769E6" w14:textId="77777777" w:rsidR="002107DA" w:rsidRDefault="002107DA" w:rsidP="002107DA">
      <w:pPr>
        <w:pStyle w:val="CDIFigures"/>
      </w:pPr>
      <w:r w:rsidRPr="002107DA">
        <w:t>Figure 97: Notifications of Murray Valley encephalitis virus infection, Australia, 2010 to 2015, by month and place of acquisition</w:t>
      </w:r>
    </w:p>
    <w:p w14:paraId="3A8684B5" w14:textId="77777777" w:rsidR="009152A6" w:rsidRPr="002107DA" w:rsidRDefault="0021477A" w:rsidP="002107DA">
      <w:pPr>
        <w:pStyle w:val="CDIFigures"/>
      </w:pPr>
      <w:r>
        <w:pict w14:anchorId="03B54111">
          <v:shape id="_x0000_i1118" type="#_x0000_t75" alt="This figure shows notifications of Murray Valley Encephalitis Virus infection by month and place of acquisition from 2010 to 2015. There were 16 cases reported in 2011, of which all were acquired in Australia; one case reported in 2012 which was acquired in Papua New Guinea; and two cases reported in 2015, both acquired in Australia." style="width:522.6pt;height:330.6pt">
            <v:imagedata r:id="rId116" o:title="6-Vectorborne chapter figures _86 to 100_Page_12"/>
          </v:shape>
        </w:pict>
      </w:r>
    </w:p>
    <w:p w14:paraId="559DD9A9" w14:textId="77777777" w:rsidR="00BE61A2" w:rsidRPr="00AE2F1B" w:rsidRDefault="00BE61A2" w:rsidP="00EA5568">
      <w:pPr>
        <w:pStyle w:val="CDIFigures"/>
      </w:pPr>
      <w:r w:rsidRPr="00AE2F1B">
        <w:t xml:space="preserve">Table 25: Notifications of Murray Valley encephalitis virus infection, by country of acquisition, state or territory, age group and sex </w:t>
      </w:r>
    </w:p>
    <w:tbl>
      <w:tblPr>
        <w:tblStyle w:val="CDI-StandardTable"/>
        <w:tblW w:w="0" w:type="auto"/>
        <w:tblCellMar>
          <w:top w:w="142" w:type="dxa"/>
          <w:left w:w="142" w:type="dxa"/>
          <w:bottom w:w="142" w:type="dxa"/>
        </w:tblCellMar>
        <w:tblLook w:val="04A0" w:firstRow="1" w:lastRow="0" w:firstColumn="1" w:lastColumn="0" w:noHBand="0" w:noVBand="1"/>
        <w:tblDescription w:val="This table shows the number of Murray Valley encephalitis virus infection reported in 2015. The table provides details on the cases country of acquisition, month diagnosed, state or territory, age-group and sex. &#10;"/>
      </w:tblPr>
      <w:tblGrid>
        <w:gridCol w:w="1912"/>
        <w:gridCol w:w="905"/>
        <w:gridCol w:w="1528"/>
        <w:gridCol w:w="1027"/>
        <w:gridCol w:w="784"/>
      </w:tblGrid>
      <w:tr w:rsidR="004B770F" w:rsidRPr="004B770F" w14:paraId="05B5F2F4" w14:textId="77777777" w:rsidTr="000A4FFE">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23B4144B"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Country of acquisition</w:t>
            </w:r>
          </w:p>
        </w:tc>
        <w:tc>
          <w:tcPr>
            <w:tcW w:w="0" w:type="auto"/>
            <w:hideMark/>
          </w:tcPr>
          <w:p w14:paraId="4E7B4A4D"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Month</w:t>
            </w:r>
          </w:p>
        </w:tc>
        <w:tc>
          <w:tcPr>
            <w:tcW w:w="0" w:type="auto"/>
            <w:hideMark/>
          </w:tcPr>
          <w:p w14:paraId="6ADE49A1"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State or territory</w:t>
            </w:r>
          </w:p>
        </w:tc>
        <w:tc>
          <w:tcPr>
            <w:tcW w:w="0" w:type="auto"/>
            <w:hideMark/>
          </w:tcPr>
          <w:p w14:paraId="6CBBA7A3"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Age group</w:t>
            </w:r>
          </w:p>
        </w:tc>
        <w:tc>
          <w:tcPr>
            <w:tcW w:w="0" w:type="auto"/>
            <w:hideMark/>
          </w:tcPr>
          <w:p w14:paraId="761B05AF"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Sex</w:t>
            </w:r>
          </w:p>
        </w:tc>
      </w:tr>
      <w:tr w:rsidR="00BE61A2" w:rsidRPr="00374CC9" w14:paraId="355E5778" w14:textId="77777777" w:rsidTr="000A4FFE">
        <w:tblPrEx>
          <w:tblCellMar>
            <w:right w:w="108" w:type="dxa"/>
          </w:tblCellMar>
        </w:tblPrEx>
        <w:tc>
          <w:tcPr>
            <w:tcW w:w="0" w:type="auto"/>
            <w:hideMark/>
          </w:tcPr>
          <w:p w14:paraId="30362F2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Australia</w:t>
            </w:r>
          </w:p>
        </w:tc>
        <w:tc>
          <w:tcPr>
            <w:tcW w:w="0" w:type="auto"/>
            <w:hideMark/>
          </w:tcPr>
          <w:p w14:paraId="29BC44C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February</w:t>
            </w:r>
          </w:p>
        </w:tc>
        <w:tc>
          <w:tcPr>
            <w:tcW w:w="0" w:type="auto"/>
            <w:hideMark/>
          </w:tcPr>
          <w:p w14:paraId="36A6B2E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NT</w:t>
            </w:r>
          </w:p>
        </w:tc>
        <w:tc>
          <w:tcPr>
            <w:tcW w:w="0" w:type="auto"/>
            <w:hideMark/>
          </w:tcPr>
          <w:p w14:paraId="3429F50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0–4</w:t>
            </w:r>
          </w:p>
        </w:tc>
        <w:tc>
          <w:tcPr>
            <w:tcW w:w="0" w:type="auto"/>
            <w:hideMark/>
          </w:tcPr>
          <w:p w14:paraId="48A9CE5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Female</w:t>
            </w:r>
          </w:p>
        </w:tc>
      </w:tr>
      <w:tr w:rsidR="00BE61A2" w:rsidRPr="00374CC9" w14:paraId="27B5B44C"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F4E6B5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Australia</w:t>
            </w:r>
          </w:p>
        </w:tc>
        <w:tc>
          <w:tcPr>
            <w:tcW w:w="0" w:type="auto"/>
            <w:hideMark/>
          </w:tcPr>
          <w:p w14:paraId="7E78ACC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May</w:t>
            </w:r>
          </w:p>
        </w:tc>
        <w:tc>
          <w:tcPr>
            <w:tcW w:w="0" w:type="auto"/>
            <w:hideMark/>
          </w:tcPr>
          <w:p w14:paraId="7689A69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NT</w:t>
            </w:r>
          </w:p>
        </w:tc>
        <w:tc>
          <w:tcPr>
            <w:tcW w:w="0" w:type="auto"/>
            <w:hideMark/>
          </w:tcPr>
          <w:p w14:paraId="19C997C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5–9</w:t>
            </w:r>
          </w:p>
        </w:tc>
        <w:tc>
          <w:tcPr>
            <w:tcW w:w="0" w:type="auto"/>
            <w:hideMark/>
          </w:tcPr>
          <w:p w14:paraId="65D140F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Male</w:t>
            </w:r>
          </w:p>
        </w:tc>
      </w:tr>
    </w:tbl>
    <w:p w14:paraId="00D2916B" w14:textId="77777777" w:rsidR="00BE61A2" w:rsidRPr="004E056D" w:rsidRDefault="00BE61A2" w:rsidP="004E056D">
      <w:pPr>
        <w:pStyle w:val="Heading2"/>
        <w:rPr>
          <w:rFonts w:eastAsiaTheme="minorEastAsia"/>
        </w:rPr>
      </w:pPr>
      <w:bookmarkStart w:id="221" w:name="_Toc1747375"/>
      <w:r w:rsidRPr="004E056D">
        <w:rPr>
          <w:bCs w:val="0"/>
          <w:sz w:val="27"/>
          <w:szCs w:val="27"/>
        </w:rPr>
        <w:t>Ross River virus</w:t>
      </w:r>
      <w:bookmarkEnd w:id="221"/>
    </w:p>
    <w:p w14:paraId="29216620" w14:textId="77777777" w:rsidR="00BE61A2" w:rsidRPr="00EA5568" w:rsidRDefault="00BE61A2" w:rsidP="00EA5568">
      <w:pPr>
        <w:pStyle w:val="ListParagraph"/>
        <w:numPr>
          <w:ilvl w:val="0"/>
          <w:numId w:val="15"/>
        </w:numPr>
        <w:rPr>
          <w:rFonts w:eastAsia="Times New Roman"/>
        </w:rPr>
      </w:pPr>
      <w:r w:rsidRPr="00EA5568">
        <w:rPr>
          <w:rFonts w:eastAsia="Times New Roman"/>
        </w:rPr>
        <w:t xml:space="preserve">Case numbers and notification rates of RRV were almost double the 5-year mean in 2015. </w:t>
      </w:r>
    </w:p>
    <w:p w14:paraId="0157B292" w14:textId="77777777" w:rsidR="00BE61A2" w:rsidRPr="00EA5568" w:rsidRDefault="00BE61A2" w:rsidP="00EA5568">
      <w:pPr>
        <w:pStyle w:val="ListParagraph"/>
        <w:numPr>
          <w:ilvl w:val="0"/>
          <w:numId w:val="15"/>
        </w:numPr>
        <w:rPr>
          <w:rFonts w:eastAsia="Times New Roman"/>
        </w:rPr>
      </w:pPr>
      <w:r w:rsidRPr="00EA5568">
        <w:rPr>
          <w:rFonts w:eastAsia="Times New Roman"/>
        </w:rPr>
        <w:t xml:space="preserve">The majority of RRV was reported in middle-aged to older age groups. </w:t>
      </w:r>
    </w:p>
    <w:p w14:paraId="1C6A3AF5" w14:textId="77777777" w:rsidR="00BE61A2" w:rsidRPr="00EA5568" w:rsidRDefault="00BE61A2" w:rsidP="00EA5568">
      <w:pPr>
        <w:pStyle w:val="ListParagraph"/>
        <w:numPr>
          <w:ilvl w:val="0"/>
          <w:numId w:val="15"/>
        </w:numPr>
        <w:rPr>
          <w:rFonts w:eastAsia="Times New Roman"/>
        </w:rPr>
      </w:pPr>
      <w:r w:rsidRPr="00EA5568">
        <w:rPr>
          <w:rFonts w:eastAsia="Times New Roman"/>
        </w:rPr>
        <w:t xml:space="preserve">Notifications peaked between January and April in 2015, which is during the season when vector numbers are at their highest. </w:t>
      </w:r>
    </w:p>
    <w:p w14:paraId="326495C5" w14:textId="77777777" w:rsidR="00BE61A2" w:rsidRPr="00AE2F1B" w:rsidRDefault="00BE61A2" w:rsidP="00AE2F1B">
      <w:r w:rsidRPr="00AE2F1B">
        <w:t>RRV occurs exclusively in the Australasian region.</w:t>
      </w:r>
      <w:r w:rsidRPr="00AE2F1B">
        <w:rPr>
          <w:vertAlign w:val="superscript"/>
        </w:rPr>
        <w:t>115</w:t>
      </w:r>
      <w:r w:rsidRPr="00AE2F1B">
        <w:t xml:space="preserve"> Infection can cause a clinical illness, which is characterised by fever, </w:t>
      </w:r>
      <w:proofErr w:type="gramStart"/>
      <w:r w:rsidRPr="00AE2F1B">
        <w:t>rash</w:t>
      </w:r>
      <w:proofErr w:type="gramEnd"/>
      <w:r w:rsidRPr="00AE2F1B">
        <w:t xml:space="preserve"> and polyarthritis. The virus is transmitted by numerous species of mosquito that breed in diverse environments.</w:t>
      </w:r>
      <w:r w:rsidRPr="00AE2F1B">
        <w:rPr>
          <w:vertAlign w:val="superscript"/>
        </w:rPr>
        <w:t>116</w:t>
      </w:r>
      <w:r w:rsidRPr="00AE2F1B">
        <w:t xml:space="preserve"> In 2015, the national case definition for RRV required only a single IgM positive test to BFV, in the absence of IgM to RRV.</w:t>
      </w:r>
      <w:r w:rsidRPr="00AE2F1B">
        <w:rPr>
          <w:vertAlign w:val="superscript"/>
        </w:rPr>
        <w:t>117</w:t>
      </w:r>
      <w:r w:rsidRPr="00AE2F1B">
        <w:t xml:space="preserve"> It is unclear what proportion of notifications represent true cases. A revised case definition </w:t>
      </w:r>
      <w:r w:rsidRPr="00AE2F1B">
        <w:lastRenderedPageBreak/>
        <w:t>was implemented on 1 January 2016, under which a single IgM is no longer considered sufficient evidence for a confirmed case.</w:t>
      </w:r>
    </w:p>
    <w:p w14:paraId="57D27C35" w14:textId="77777777" w:rsidR="00BE61A2" w:rsidRPr="00AE2F1B" w:rsidRDefault="00BE61A2" w:rsidP="00924A50">
      <w:pPr>
        <w:pStyle w:val="Heading3"/>
      </w:pPr>
      <w:bookmarkStart w:id="222" w:name="_Toc1747376"/>
      <w:r w:rsidRPr="00924A50">
        <w:rPr>
          <w:bCs w:val="0"/>
        </w:rPr>
        <w:t>Epidemiological situation in 2015</w:t>
      </w:r>
      <w:bookmarkEnd w:id="222"/>
    </w:p>
    <w:p w14:paraId="40F3EEB2" w14:textId="77777777" w:rsidR="00BE61A2" w:rsidRDefault="00BE61A2" w:rsidP="00AE2F1B">
      <w:r w:rsidRPr="00AE2F1B">
        <w:t>In 2015, there were 9,550 notifications of RRV, representing a rate of 40.1 per 100,000. This is almost double the 5-year mean of 4,915.6 notifications (1.9 times) and the 5-year mean rate of 21.6 per 100,000 (1.9 times), and also higher than 2014 (5,316 notifications, rate 22.7 per 100,000) (Figure 98). The increase was largely due to a spike in case numbers and rates in Queensland and New South Wales during January to April (Figure 99).</w:t>
      </w:r>
    </w:p>
    <w:p w14:paraId="6918FCA7" w14:textId="77777777" w:rsidR="006E4078" w:rsidRDefault="006E4078" w:rsidP="00CF1F4E">
      <w:pPr>
        <w:pStyle w:val="CDIFigures"/>
        <w:sectPr w:rsidR="006E4078" w:rsidSect="00D21CF0">
          <w:pgSz w:w="11906" w:h="16838"/>
          <w:pgMar w:top="720" w:right="720" w:bottom="1134" w:left="720" w:header="709" w:footer="284" w:gutter="0"/>
          <w:cols w:space="708"/>
          <w:titlePg/>
          <w:docGrid w:linePitch="360"/>
        </w:sectPr>
      </w:pPr>
    </w:p>
    <w:p w14:paraId="7EA17246" w14:textId="77777777" w:rsidR="00CF1F4E" w:rsidRDefault="00CF1F4E" w:rsidP="00CF1F4E">
      <w:pPr>
        <w:pStyle w:val="CDIFigures"/>
      </w:pPr>
      <w:r w:rsidRPr="00CF1F4E">
        <w:lastRenderedPageBreak/>
        <w:t>Figure 98: Notifications of Ross River virus infection, Australia, 2010 to 2015, by month and year and state or</w:t>
      </w:r>
      <w:r w:rsidR="009152A6">
        <w:t> </w:t>
      </w:r>
      <w:r w:rsidRPr="00CF1F4E">
        <w:t>territory</w:t>
      </w:r>
    </w:p>
    <w:p w14:paraId="12A9DEF2" w14:textId="77777777" w:rsidR="009152A6" w:rsidRDefault="0021477A" w:rsidP="00CF1F4E">
      <w:pPr>
        <w:pStyle w:val="CDIFigures"/>
      </w:pPr>
      <w:r>
        <w:pict w14:anchorId="5B8DCAAB">
          <v:shape id="_x0000_i1119" type="#_x0000_t75" alt="This figure show notified cases of Ross River virus infection in Australia between 2010 and 2015, by month and year and state or territory. The figure shows the large increase in cases in Vicroia in early 2011 and in Queensland in early 2015. In most years, Queensland had the largest number of cases reported. The figure also shows the marked seasonality of Ross River virus infection, with case numbers peaking during the warmer months." style="width:720.6pt;height:484.2pt">
            <v:imagedata r:id="rId117" o:title="6-Vectorborne chapter figures _86 to 100_Page_13"/>
          </v:shape>
        </w:pict>
      </w:r>
    </w:p>
    <w:p w14:paraId="19DA929A" w14:textId="77777777" w:rsidR="006E4078" w:rsidRDefault="006E4078" w:rsidP="00CF1F4E">
      <w:pPr>
        <w:pStyle w:val="CDIFigures"/>
        <w:sectPr w:rsidR="006E4078" w:rsidSect="006E4078">
          <w:pgSz w:w="16838" w:h="11906" w:orient="landscape"/>
          <w:pgMar w:top="720" w:right="720" w:bottom="720" w:left="1134" w:header="709" w:footer="284" w:gutter="0"/>
          <w:cols w:space="708"/>
          <w:titlePg/>
          <w:docGrid w:linePitch="360"/>
        </w:sectPr>
      </w:pPr>
    </w:p>
    <w:p w14:paraId="7136E99F" w14:textId="77777777" w:rsidR="00CF1F4E" w:rsidRDefault="00CF1F4E" w:rsidP="00CF1F4E">
      <w:pPr>
        <w:pStyle w:val="CDIFigures"/>
      </w:pPr>
      <w:r w:rsidRPr="00CF1F4E">
        <w:lastRenderedPageBreak/>
        <w:t>Figure 99: Notification rates of Ross River virus infection, Australia, 2010 to 2015, by state or territory and year</w:t>
      </w:r>
    </w:p>
    <w:p w14:paraId="62AD6422" w14:textId="77777777" w:rsidR="006E4078" w:rsidRPr="00CF1F4E" w:rsidRDefault="0021477A" w:rsidP="00CF1F4E">
      <w:pPr>
        <w:pStyle w:val="CDIFigures"/>
      </w:pPr>
      <w:r>
        <w:pict w14:anchorId="69A4E360">
          <v:shape id="_x0000_i1120" type="#_x0000_t75" alt="This figure shows notification rates of Ross River virus infection in Australia between 2010 and 2015, by year and state or territory. For the reporting period rates were highest in the Northern Territory. " style="width:524.4pt;height:328.8pt">
            <v:imagedata r:id="rId118" o:title="6-Vectorborne chapter figures _86 to 100_Page_14"/>
          </v:shape>
        </w:pict>
      </w:r>
    </w:p>
    <w:p w14:paraId="30E7516E" w14:textId="77777777" w:rsidR="00BE61A2" w:rsidRPr="00AE2F1B" w:rsidRDefault="00BE61A2" w:rsidP="00EA5568">
      <w:pPr>
        <w:pStyle w:val="Heading4"/>
      </w:pPr>
      <w:r w:rsidRPr="00AE2F1B">
        <w:t>Geographical distribution</w:t>
      </w:r>
    </w:p>
    <w:p w14:paraId="352BC413" w14:textId="77777777" w:rsidR="00BE61A2" w:rsidRPr="00AE2F1B" w:rsidRDefault="00BE61A2" w:rsidP="00AE2F1B">
      <w:r w:rsidRPr="00AE2F1B">
        <w:t xml:space="preserve">The largest number of notifications was in Queensland (n=6,192), but the highest rate was in the Northern Territory (147.2 per 100,000). It is important to note that seasonal trends vary between and within states and territories according to differences in mosquito vectors, </w:t>
      </w:r>
      <w:proofErr w:type="gramStart"/>
      <w:r w:rsidRPr="00AE2F1B">
        <w:t>hosts</w:t>
      </w:r>
      <w:proofErr w:type="gramEnd"/>
      <w:r w:rsidRPr="00AE2F1B">
        <w:t xml:space="preserve"> and climate. In addition, comparisons between regions are likely to be influenced by accuracy of case-ascertainment, which may vary between jurisdictions because of some differences in reporting criteria and the quality of diagnostic tests used.</w:t>
      </w:r>
    </w:p>
    <w:p w14:paraId="6B0DE1F2" w14:textId="77777777" w:rsidR="00BE61A2" w:rsidRPr="00AE2F1B" w:rsidRDefault="00BE61A2" w:rsidP="00EA5568">
      <w:pPr>
        <w:pStyle w:val="Heading4"/>
      </w:pPr>
      <w:r w:rsidRPr="00AE2F1B">
        <w:t>Age and sex distribution</w:t>
      </w:r>
    </w:p>
    <w:p w14:paraId="0EA1E0FA" w14:textId="77777777" w:rsidR="00BE61A2" w:rsidRDefault="00BE61A2" w:rsidP="00AE2F1B">
      <w:r w:rsidRPr="00AE2F1B">
        <w:t>RRV is most commonly reported in middle-aged and older adults. The median age of notifications in 2015 was 44 years (range: 0 to 93 years), and 44% of cases were male. Rates of RRV peaked in females and males aged 40–44 years (77.2 and 60.6 per 100,000 respectively) (Figure 100).</w:t>
      </w:r>
    </w:p>
    <w:p w14:paraId="73408533" w14:textId="77777777" w:rsidR="00DF0C29" w:rsidRDefault="00DF0C29" w:rsidP="00200EA4">
      <w:pPr>
        <w:pStyle w:val="CDIFigures"/>
        <w:sectPr w:rsidR="00DF0C29" w:rsidSect="00D21CF0">
          <w:pgSz w:w="11906" w:h="16838"/>
          <w:pgMar w:top="720" w:right="720" w:bottom="1134" w:left="720" w:header="709" w:footer="284" w:gutter="0"/>
          <w:cols w:space="708"/>
          <w:titlePg/>
          <w:docGrid w:linePitch="360"/>
        </w:sectPr>
      </w:pPr>
    </w:p>
    <w:p w14:paraId="0D42E014" w14:textId="77777777" w:rsidR="00200EA4" w:rsidRDefault="00200EA4" w:rsidP="00200EA4">
      <w:pPr>
        <w:pStyle w:val="CDIFigures"/>
      </w:pPr>
      <w:r w:rsidRPr="00200EA4">
        <w:lastRenderedPageBreak/>
        <w:t>Figure 100: Notification rates for Ross River virus infection, 2015, by age group and sex</w:t>
      </w:r>
    </w:p>
    <w:p w14:paraId="599B1E21" w14:textId="77777777" w:rsidR="00DF0C29" w:rsidRPr="00200EA4" w:rsidRDefault="0021477A" w:rsidP="00200EA4">
      <w:pPr>
        <w:pStyle w:val="CDIFigures"/>
      </w:pPr>
      <w:r>
        <w:pict w14:anchorId="75B3D13C">
          <v:shape id="_x0000_i1121" type="#_x0000_t75" alt="This figure shows the age and sex specific notification rates for Ross River virus infection in 2015. The figure demonstrates a peak of infection in middle aged males and females." style="width:524.4pt;height:325.2pt">
            <v:imagedata r:id="rId119" o:title="6-Vectorborne chapter figures _86 to 100_Page_15"/>
          </v:shape>
        </w:pict>
      </w:r>
    </w:p>
    <w:p w14:paraId="2EDFC10A" w14:textId="77777777" w:rsidR="00BE61A2" w:rsidRPr="00AE2F1B" w:rsidRDefault="00BE61A2" w:rsidP="00EA5568">
      <w:pPr>
        <w:pStyle w:val="Heading4"/>
      </w:pPr>
      <w:r w:rsidRPr="00AE2F1B">
        <w:t>Seasonality</w:t>
      </w:r>
    </w:p>
    <w:p w14:paraId="58FD696F" w14:textId="77777777" w:rsidR="00BE61A2" w:rsidRPr="00AE2F1B" w:rsidRDefault="00BE61A2" w:rsidP="00AE2F1B">
      <w:r w:rsidRPr="00AE2F1B">
        <w:t xml:space="preserve">In 2015, RFV was most commonly reported between January and April, with 77% (323/9,550) of cases notified during these months. This is a more pronounced seasonality than that observed between 2010 and 2014, when 63% of cases were reported during these months. </w:t>
      </w:r>
    </w:p>
    <w:p w14:paraId="0CC2A823" w14:textId="77777777" w:rsidR="00BE61A2" w:rsidRPr="0010296C" w:rsidRDefault="00BE61A2" w:rsidP="0010296C">
      <w:pPr>
        <w:pStyle w:val="Heading1"/>
      </w:pPr>
      <w:bookmarkStart w:id="223" w:name="_Toc1747377"/>
      <w:r w:rsidRPr="00EA5568">
        <w:rPr>
          <w:rStyle w:val="Heading1Char"/>
          <w:b/>
          <w:bCs/>
        </w:rPr>
        <w:t>Zoonoses</w:t>
      </w:r>
      <w:bookmarkEnd w:id="223"/>
      <w:r>
        <w:rPr>
          <w:b w:val="0"/>
          <w:bCs w:val="0"/>
          <w:kern w:val="36"/>
          <w:sz w:val="48"/>
          <w:szCs w:val="48"/>
        </w:rPr>
        <w:t> </w:t>
      </w:r>
    </w:p>
    <w:p w14:paraId="22B8EDE8" w14:textId="77777777" w:rsidR="00BE61A2" w:rsidRPr="004E056D" w:rsidRDefault="00BE61A2" w:rsidP="004E056D">
      <w:pPr>
        <w:pStyle w:val="Heading2"/>
      </w:pPr>
      <w:bookmarkStart w:id="224" w:name="_Toc1747378"/>
      <w:r w:rsidRPr="004E056D">
        <w:rPr>
          <w:bCs w:val="0"/>
          <w:sz w:val="27"/>
          <w:szCs w:val="27"/>
        </w:rPr>
        <w:t>Overview</w:t>
      </w:r>
      <w:bookmarkEnd w:id="224"/>
    </w:p>
    <w:p w14:paraId="2B8B90AF" w14:textId="77777777" w:rsidR="00BE61A2" w:rsidRPr="00AE2F1B" w:rsidRDefault="00BE61A2" w:rsidP="00AE2F1B">
      <w:r w:rsidRPr="00AE2F1B">
        <w:t>Zoonoses are those infectious diseases which are naturally transmitted between vertebrate animals and humans.</w:t>
      </w:r>
      <w:r w:rsidRPr="00AE2F1B">
        <w:rPr>
          <w:vertAlign w:val="superscript"/>
        </w:rPr>
        <w:t>150</w:t>
      </w:r>
      <w:r w:rsidRPr="00AE2F1B">
        <w:t xml:space="preserve"> Approximately 60% to 70% of emerging human infectious diseases are zoonoses</w:t>
      </w:r>
      <w:r w:rsidRPr="00AE2F1B">
        <w:rPr>
          <w:vertAlign w:val="superscript"/>
        </w:rPr>
        <w:t>151, 152, 153</w:t>
      </w:r>
      <w:r w:rsidRPr="00AE2F1B">
        <w:t xml:space="preserve"> and more than 70% of emerging zoonoses originate from wildlife.</w:t>
      </w:r>
      <w:r w:rsidRPr="00AE2F1B">
        <w:rPr>
          <w:vertAlign w:val="superscript"/>
        </w:rPr>
        <w:t>152</w:t>
      </w:r>
      <w:r w:rsidRPr="00AE2F1B">
        <w:t xml:space="preserve"> An emerging zoonosis is defined by WHO as ‘a zoonosis that is newly recognised or newly evolved, or that has occurred previously but shows an increase in incidence or expansion in geographical, host or vector range’.</w:t>
      </w:r>
      <w:r w:rsidRPr="00AE2F1B">
        <w:rPr>
          <w:vertAlign w:val="superscript"/>
        </w:rPr>
        <w:t>154</w:t>
      </w:r>
      <w:r w:rsidRPr="00AE2F1B">
        <w:t xml:space="preserve"> </w:t>
      </w:r>
    </w:p>
    <w:p w14:paraId="243A5448" w14:textId="77777777" w:rsidR="00BE61A2" w:rsidRPr="00AE2F1B" w:rsidRDefault="00BE61A2" w:rsidP="00AE2F1B">
      <w:r w:rsidRPr="00AE2F1B">
        <w:t xml:space="preserve">The zoonoses notifiable to the NNDSS included in this chapter </w:t>
      </w:r>
      <w:proofErr w:type="gramStart"/>
      <w:r w:rsidRPr="00AE2F1B">
        <w:t>are:</w:t>
      </w:r>
      <w:proofErr w:type="gramEnd"/>
      <w:r w:rsidRPr="00AE2F1B">
        <w:t xml:space="preserve"> anthrax, Australian bat lyssavirus (ABVL) or lyssavirus (unspecified) infection, brucellosis, leptospirosis, ornithosis, Q fever, and tularaemia. In 2015, zoonoses comprised 0.2% of all notifications to the NNDSS.</w:t>
      </w:r>
    </w:p>
    <w:p w14:paraId="6CC0054D" w14:textId="77777777" w:rsidR="00BE61A2" w:rsidRPr="00AE2F1B" w:rsidRDefault="00BE61A2" w:rsidP="00AE2F1B">
      <w:r w:rsidRPr="00AE2F1B">
        <w:t xml:space="preserve">Several zoonoses notifiable to the NNDSS are included under other headings in this report. For example, salmonellosis and campylobacteriosis are typically acquired from contaminated food and are listed under the gastrointestinal diseases section. Rabies is listed under </w:t>
      </w:r>
      <w:r w:rsidR="00026DC9" w:rsidRPr="00AE2F1B">
        <w:t>‘Quarantinable</w:t>
      </w:r>
      <w:r w:rsidRPr="00AE2F1B">
        <w:t xml:space="preserve"> </w:t>
      </w:r>
      <w:proofErr w:type="gramStart"/>
      <w:r w:rsidRPr="00AE2F1B">
        <w:t>diseases’</w:t>
      </w:r>
      <w:proofErr w:type="gramEnd"/>
      <w:r w:rsidRPr="00AE2F1B">
        <w:t xml:space="preserve">. </w:t>
      </w:r>
    </w:p>
    <w:p w14:paraId="1D984F30" w14:textId="77777777" w:rsidR="00BE61A2" w:rsidRPr="004E056D" w:rsidRDefault="00BE61A2" w:rsidP="004E056D">
      <w:pPr>
        <w:pStyle w:val="Heading2"/>
      </w:pPr>
      <w:bookmarkStart w:id="225" w:name="_Toc1747379"/>
      <w:r w:rsidRPr="004E056D">
        <w:rPr>
          <w:bCs w:val="0"/>
          <w:sz w:val="27"/>
          <w:szCs w:val="27"/>
        </w:rPr>
        <w:t>Anthrax</w:t>
      </w:r>
      <w:bookmarkEnd w:id="225"/>
    </w:p>
    <w:p w14:paraId="7722B3C9" w14:textId="77777777" w:rsidR="00BE61A2" w:rsidRPr="00EA5568" w:rsidRDefault="00BE61A2" w:rsidP="00EA5568">
      <w:pPr>
        <w:pStyle w:val="ListParagraph"/>
        <w:numPr>
          <w:ilvl w:val="0"/>
          <w:numId w:val="16"/>
        </w:numPr>
        <w:rPr>
          <w:rFonts w:eastAsia="Times New Roman"/>
        </w:rPr>
      </w:pPr>
      <w:r w:rsidRPr="00EA5568">
        <w:rPr>
          <w:rFonts w:eastAsia="Times New Roman"/>
        </w:rPr>
        <w:lastRenderedPageBreak/>
        <w:t xml:space="preserve">There were no cases of anthrax notified in 2015. </w:t>
      </w:r>
    </w:p>
    <w:p w14:paraId="09580D93" w14:textId="77777777" w:rsidR="00BE61A2" w:rsidRPr="00EA5568" w:rsidRDefault="00BE61A2" w:rsidP="00EA5568">
      <w:pPr>
        <w:pStyle w:val="ListParagraph"/>
        <w:numPr>
          <w:ilvl w:val="0"/>
          <w:numId w:val="16"/>
        </w:numPr>
        <w:rPr>
          <w:rFonts w:eastAsia="Times New Roman"/>
        </w:rPr>
      </w:pPr>
      <w:r w:rsidRPr="00EA5568">
        <w:rPr>
          <w:rFonts w:eastAsia="Times New Roman"/>
        </w:rPr>
        <w:t xml:space="preserve">The last case of human anthrax reported in Australia was in 2010. </w:t>
      </w:r>
    </w:p>
    <w:p w14:paraId="120D7514" w14:textId="77777777" w:rsidR="00BE61A2" w:rsidRPr="00AE2F1B" w:rsidRDefault="00BE61A2" w:rsidP="00AE2F1B">
      <w:r w:rsidRPr="00AE2F1B">
        <w:t xml:space="preserve">Anthrax is caused by the bacterium </w:t>
      </w:r>
      <w:r w:rsidRPr="00DF12AB">
        <w:rPr>
          <w:rStyle w:val="Emphasis"/>
          <w:b w:val="0"/>
        </w:rPr>
        <w:t>Bacillus anthracis</w:t>
      </w:r>
      <w:r w:rsidRPr="00AE2F1B">
        <w:t xml:space="preserve"> and most frequently causes cutaneous infection. However, it can also cause gastrointestinal and respiratory infections. Anthrax is primarily a disease of herbivores; humans and carnivores are incidental hosts. It can be an occupational hazard for veterinarians and for agriculture, wildlife and livestock workers who handle infected animals or by-products.</w:t>
      </w:r>
    </w:p>
    <w:p w14:paraId="29514E58" w14:textId="77777777" w:rsidR="00BE61A2" w:rsidRPr="00AE2F1B" w:rsidRDefault="00BE61A2" w:rsidP="00AE2F1B">
      <w:r w:rsidRPr="00AE2F1B">
        <w:t>In Australia, the areas of anthrax risk are well defined. They include the northern and north-eastern districts of Victoria and central New South Wales.</w:t>
      </w:r>
      <w:r w:rsidRPr="00AE2F1B">
        <w:rPr>
          <w:vertAlign w:val="superscript"/>
        </w:rPr>
        <w:t>155</w:t>
      </w:r>
      <w:r w:rsidRPr="00AE2F1B">
        <w:t xml:space="preserve"> Anthrax occurs only sporadically in livestock in the at-risk areas. Rare or isolated incidents or cases in animals have historically occurred in Queensland, South Australia, </w:t>
      </w:r>
      <w:proofErr w:type="gramStart"/>
      <w:r w:rsidRPr="00AE2F1B">
        <w:t>Tasmania</w:t>
      </w:r>
      <w:proofErr w:type="gramEnd"/>
      <w:r w:rsidRPr="00AE2F1B">
        <w:t xml:space="preserve"> and Western Australia.</w:t>
      </w:r>
      <w:r w:rsidRPr="00AE2F1B">
        <w:rPr>
          <w:vertAlign w:val="superscript"/>
        </w:rPr>
        <w:t>155</w:t>
      </w:r>
      <w:r w:rsidRPr="00AE2F1B">
        <w:t xml:space="preserve"> </w:t>
      </w:r>
    </w:p>
    <w:p w14:paraId="2F3743C9" w14:textId="77777777" w:rsidR="00BE61A2" w:rsidRPr="00AE2F1B" w:rsidRDefault="00BE61A2" w:rsidP="00924A50">
      <w:pPr>
        <w:pStyle w:val="Heading3"/>
      </w:pPr>
      <w:bookmarkStart w:id="226" w:name="_Toc1747380"/>
      <w:r w:rsidRPr="00924A50">
        <w:rPr>
          <w:bCs w:val="0"/>
        </w:rPr>
        <w:t>Epidemiological situation in 2015</w:t>
      </w:r>
      <w:bookmarkEnd w:id="226"/>
    </w:p>
    <w:p w14:paraId="76304A3C" w14:textId="77777777" w:rsidR="00BE61A2" w:rsidRPr="00AE2F1B" w:rsidRDefault="00BE61A2" w:rsidP="00AE2F1B">
      <w:r w:rsidRPr="00AE2F1B">
        <w:t>In 2015, there were no notified cases of anthrax in Australia. Over the previous 10 years, only 3 human cases of anthrax were reported in Australia, in 2006, 2007 and 2010.</w:t>
      </w:r>
      <w:r w:rsidRPr="00AE2F1B">
        <w:rPr>
          <w:vertAlign w:val="superscript"/>
        </w:rPr>
        <w:t>156,157,158</w:t>
      </w:r>
      <w:r w:rsidRPr="00AE2F1B">
        <w:t xml:space="preserve"> All had domestic farm or animal related </w:t>
      </w:r>
      <w:proofErr w:type="gramStart"/>
      <w:r w:rsidRPr="00AE2F1B">
        <w:t>exposures</w:t>
      </w:r>
      <w:proofErr w:type="gramEnd"/>
      <w:r w:rsidRPr="00AE2F1B">
        <w:t xml:space="preserve"> and all were cutaneous anthrax. Australia has never recorded a human case of inhalational or gastrointestinal anthrax.</w:t>
      </w:r>
    </w:p>
    <w:p w14:paraId="359CE64B" w14:textId="77777777" w:rsidR="00BE61A2" w:rsidRPr="00AE2F1B" w:rsidRDefault="00BE61A2" w:rsidP="00AE2F1B">
      <w:r w:rsidRPr="00AE2F1B">
        <w:t>There were 4 anthrax incidents reported in livestock in Australia in 2015; 3 occurred in New South Wales and 1 in Victoria. All cases were on properties within the known anthrax endemic area.</w:t>
      </w:r>
      <w:r w:rsidRPr="00AE2F1B">
        <w:rPr>
          <w:vertAlign w:val="superscript"/>
        </w:rPr>
        <w:t>155</w:t>
      </w:r>
      <w:r w:rsidRPr="00AE2F1B">
        <w:t xml:space="preserve"> </w:t>
      </w:r>
    </w:p>
    <w:p w14:paraId="5F3BA6E2" w14:textId="77777777" w:rsidR="00BE61A2" w:rsidRPr="004E056D" w:rsidRDefault="00BE61A2" w:rsidP="004E056D">
      <w:pPr>
        <w:pStyle w:val="Heading2"/>
      </w:pPr>
      <w:bookmarkStart w:id="227" w:name="_Toc1747381"/>
      <w:r w:rsidRPr="004E056D">
        <w:rPr>
          <w:bCs w:val="0"/>
          <w:sz w:val="27"/>
          <w:szCs w:val="27"/>
        </w:rPr>
        <w:t>Australian bat lyssavirus and lyssavirus (unspecified)</w:t>
      </w:r>
      <w:bookmarkEnd w:id="227"/>
    </w:p>
    <w:p w14:paraId="0E7E0B90" w14:textId="77777777" w:rsidR="00BE61A2" w:rsidRPr="00680ECD" w:rsidRDefault="00BE61A2" w:rsidP="00680ECD">
      <w:pPr>
        <w:pStyle w:val="ListParagraph"/>
        <w:numPr>
          <w:ilvl w:val="0"/>
          <w:numId w:val="16"/>
        </w:numPr>
        <w:rPr>
          <w:rFonts w:eastAsia="Times New Roman"/>
        </w:rPr>
      </w:pPr>
      <w:r w:rsidRPr="00680ECD">
        <w:rPr>
          <w:rFonts w:eastAsia="Times New Roman"/>
        </w:rPr>
        <w:t xml:space="preserve">There were no cases of ABLV notified in 2015. </w:t>
      </w:r>
    </w:p>
    <w:p w14:paraId="148E5687" w14:textId="77777777" w:rsidR="00680ECD" w:rsidRPr="00680ECD" w:rsidRDefault="00BE61A2" w:rsidP="00680ECD">
      <w:pPr>
        <w:pStyle w:val="ListParagraph"/>
        <w:numPr>
          <w:ilvl w:val="0"/>
          <w:numId w:val="16"/>
        </w:numPr>
        <w:rPr>
          <w:rFonts w:eastAsia="Times New Roman"/>
        </w:rPr>
      </w:pPr>
      <w:r w:rsidRPr="00680ECD">
        <w:rPr>
          <w:rFonts w:eastAsia="Times New Roman"/>
        </w:rPr>
        <w:t>The last case of ABLV reported in Australia was in 2013. ABLV belongs to the genus lyssavirus, which also includes the rabies virus.</w:t>
      </w:r>
    </w:p>
    <w:p w14:paraId="339A29E6" w14:textId="77777777" w:rsidR="00BE61A2" w:rsidRPr="00AE2F1B" w:rsidRDefault="00BE61A2" w:rsidP="00AE2F1B">
      <w:pPr>
        <w:rPr>
          <w:rFonts w:eastAsia="Times New Roman"/>
        </w:rPr>
      </w:pPr>
      <w:r w:rsidRPr="00AE2F1B">
        <w:rPr>
          <w:rFonts w:eastAsia="Times New Roman"/>
        </w:rPr>
        <w:t>Both invariably result in progressive, fatal encephalomyelitis in humans.</w:t>
      </w:r>
      <w:r w:rsidRPr="00AE2F1B">
        <w:rPr>
          <w:rFonts w:eastAsia="Times New Roman"/>
          <w:vertAlign w:val="superscript"/>
        </w:rPr>
        <w:t>159</w:t>
      </w:r>
      <w:r w:rsidRPr="00AE2F1B">
        <w:rPr>
          <w:rFonts w:eastAsia="Times New Roman"/>
        </w:rPr>
        <w:t xml:space="preserve"> ABLV was first identified in Australia in 1996</w:t>
      </w:r>
      <w:r w:rsidRPr="00AE2F1B">
        <w:rPr>
          <w:rFonts w:eastAsia="Times New Roman"/>
          <w:vertAlign w:val="superscript"/>
        </w:rPr>
        <w:t>160,161</w:t>
      </w:r>
      <w:r w:rsidRPr="00AE2F1B">
        <w:rPr>
          <w:rFonts w:eastAsia="Times New Roman"/>
        </w:rPr>
        <w:t xml:space="preserve"> It is present in several Australian species of bats (including flying foxes and microbats). Australia is free of terrestrial rabies. </w:t>
      </w:r>
    </w:p>
    <w:p w14:paraId="3C462084" w14:textId="77777777" w:rsidR="00BE61A2" w:rsidRPr="00AE2F1B" w:rsidRDefault="00BE61A2" w:rsidP="00AE2F1B">
      <w:r w:rsidRPr="00AE2F1B">
        <w:t>The best way to prevent ABLV infection is to avoid contact with bats. For people whose occupation (including volunteer work) or recreational activities place them at increased risk of being exposed to ABLV, rabies virus vaccine is effective in preventing infection. Pre-exposure immunisation with rabies virus vaccine is recommended for bat handlers, veterinarians and laboratory personnel working with live lyssaviruses.</w:t>
      </w:r>
      <w:r w:rsidRPr="00AE2F1B">
        <w:rPr>
          <w:vertAlign w:val="superscript"/>
        </w:rPr>
        <w:t>162</w:t>
      </w:r>
      <w:r w:rsidRPr="00AE2F1B">
        <w:t xml:space="preserve"> </w:t>
      </w:r>
      <w:proofErr w:type="gramStart"/>
      <w:r w:rsidRPr="00AE2F1B">
        <w:t>Post-exposure</w:t>
      </w:r>
      <w:proofErr w:type="gramEnd"/>
      <w:r w:rsidRPr="00AE2F1B">
        <w:t xml:space="preserve"> prophylaxis for ABLV consists of wound care and administration of a combination of rabies virus vaccine and human rabies virus immunoglobulin, depending on exposure category and prior immunisation or antibody status.</w:t>
      </w:r>
      <w:r w:rsidRPr="00AE2F1B">
        <w:rPr>
          <w:vertAlign w:val="superscript"/>
        </w:rPr>
        <w:t>29,162</w:t>
      </w:r>
      <w:r w:rsidRPr="00AE2F1B">
        <w:t xml:space="preserve"> </w:t>
      </w:r>
    </w:p>
    <w:p w14:paraId="695A3820" w14:textId="77777777" w:rsidR="00BE61A2" w:rsidRPr="00AE2F1B" w:rsidRDefault="00BE61A2" w:rsidP="00924A50">
      <w:pPr>
        <w:pStyle w:val="Heading3"/>
      </w:pPr>
      <w:bookmarkStart w:id="228" w:name="_Toc1747382"/>
      <w:r w:rsidRPr="00924A50">
        <w:rPr>
          <w:bCs w:val="0"/>
        </w:rPr>
        <w:t>Epidemiological situation in 2015</w:t>
      </w:r>
      <w:bookmarkEnd w:id="228"/>
    </w:p>
    <w:p w14:paraId="45280B1A" w14:textId="77777777" w:rsidR="00BE61A2" w:rsidRPr="00AE2F1B" w:rsidRDefault="00BE61A2" w:rsidP="00AE2F1B">
      <w:r w:rsidRPr="00AE2F1B">
        <w:t>In 2015, there were no notified cases of ABLV or lyssavirus (unspecified) infection in Australia.</w:t>
      </w:r>
    </w:p>
    <w:p w14:paraId="2C3EB85E" w14:textId="77777777" w:rsidR="00BE61A2" w:rsidRPr="00AE2F1B" w:rsidRDefault="00BE61A2" w:rsidP="00AE2F1B">
      <w:r w:rsidRPr="00AE2F1B">
        <w:t>There have been 3 cases of ABLV infection notified in humans in Australia, with single cases notified in each of 1996, 1998 and 2013. All 3 cases occurred following close contact with an infected bat in Queensland and all were fatal.</w:t>
      </w:r>
      <w:r w:rsidRPr="00AE2F1B">
        <w:rPr>
          <w:vertAlign w:val="superscript"/>
        </w:rPr>
        <w:t>163,164,165</w:t>
      </w:r>
      <w:r w:rsidRPr="00AE2F1B">
        <w:t xml:space="preserve"> In 2013, the Queensland Department of Agriculture, Fisheries and Forestry (DAFF) confirmed the first known equine cases of ABLV infection in 2 horses on a Queensland property.</w:t>
      </w:r>
      <w:r w:rsidRPr="00AE2F1B">
        <w:rPr>
          <w:vertAlign w:val="superscript"/>
        </w:rPr>
        <w:t xml:space="preserve">166, </w:t>
      </w:r>
      <w:proofErr w:type="gramStart"/>
      <w:r w:rsidRPr="00AE2F1B">
        <w:rPr>
          <w:vertAlign w:val="superscript"/>
        </w:rPr>
        <w:t>167</w:t>
      </w:r>
      <w:proofErr w:type="gramEnd"/>
      <w:r w:rsidRPr="00AE2F1B">
        <w:t xml:space="preserve"> </w:t>
      </w:r>
    </w:p>
    <w:p w14:paraId="7D33B268" w14:textId="77777777" w:rsidR="00BE61A2" w:rsidRPr="00AE2F1B" w:rsidRDefault="00BE61A2" w:rsidP="00AE2F1B">
      <w:r w:rsidRPr="00AE2F1B">
        <w:t xml:space="preserve">The Bat Health Focus Group of Wildlife Health Australia (formerly the Australian Wildlife Health Network) gathers and collates information from a range of organisations on opportunistic testing of bats for ABLV. In 2015, there were 22 ABLV detections in bats, compared with 32 detections during </w:t>
      </w:r>
      <w:proofErr w:type="gramStart"/>
      <w:r w:rsidRPr="00AE2F1B">
        <w:t>2014.</w:t>
      </w:r>
      <w:r w:rsidRPr="00AE2F1B">
        <w:rPr>
          <w:vertAlign w:val="superscript"/>
        </w:rPr>
        <w:t>168</w:t>
      </w:r>
      <w:proofErr w:type="gramEnd"/>
      <w:r w:rsidRPr="00AE2F1B">
        <w:t xml:space="preserve"> </w:t>
      </w:r>
    </w:p>
    <w:p w14:paraId="43502BD4" w14:textId="77777777" w:rsidR="00BE61A2" w:rsidRPr="004E056D" w:rsidRDefault="00BE61A2" w:rsidP="004E056D">
      <w:pPr>
        <w:pStyle w:val="Heading2"/>
      </w:pPr>
      <w:bookmarkStart w:id="229" w:name="_Toc1747383"/>
      <w:r w:rsidRPr="004E056D">
        <w:rPr>
          <w:bCs w:val="0"/>
          <w:sz w:val="27"/>
          <w:szCs w:val="27"/>
        </w:rPr>
        <w:lastRenderedPageBreak/>
        <w:t>Brucellosis</w:t>
      </w:r>
      <w:bookmarkEnd w:id="229"/>
    </w:p>
    <w:p w14:paraId="75AE3B27" w14:textId="77777777" w:rsidR="00BE61A2" w:rsidRPr="00680ECD" w:rsidRDefault="00BE61A2" w:rsidP="00680ECD">
      <w:pPr>
        <w:pStyle w:val="ListParagraph"/>
        <w:numPr>
          <w:ilvl w:val="0"/>
          <w:numId w:val="16"/>
        </w:numPr>
        <w:rPr>
          <w:rFonts w:eastAsia="Times New Roman"/>
        </w:rPr>
      </w:pPr>
      <w:r w:rsidRPr="00680ECD">
        <w:rPr>
          <w:rFonts w:eastAsia="Times New Roman"/>
        </w:rPr>
        <w:t xml:space="preserve">There were 19 cases of brucellosis notified in 2015, a 21% decrease compared to the 5- year mean. </w:t>
      </w:r>
    </w:p>
    <w:p w14:paraId="382050E3" w14:textId="77777777" w:rsidR="00BE61A2" w:rsidRPr="00680ECD" w:rsidRDefault="00BE61A2" w:rsidP="00680ECD">
      <w:pPr>
        <w:pStyle w:val="ListParagraph"/>
        <w:numPr>
          <w:ilvl w:val="0"/>
          <w:numId w:val="16"/>
        </w:numPr>
        <w:rPr>
          <w:rFonts w:eastAsia="Times New Roman"/>
        </w:rPr>
      </w:pPr>
      <w:r w:rsidRPr="00680ECD">
        <w:rPr>
          <w:rFonts w:eastAsia="Times New Roman"/>
        </w:rPr>
        <w:t xml:space="preserve">In 2015, 58% of brucellosis cases were in New South Wales residents and 37% in Queensland. </w:t>
      </w:r>
    </w:p>
    <w:p w14:paraId="4ACBE8E9" w14:textId="77777777" w:rsidR="00680ECD" w:rsidRPr="00680ECD" w:rsidRDefault="00BE61A2" w:rsidP="00680ECD">
      <w:pPr>
        <w:pStyle w:val="ListParagraph"/>
        <w:numPr>
          <w:ilvl w:val="0"/>
          <w:numId w:val="16"/>
        </w:numPr>
        <w:rPr>
          <w:rFonts w:eastAsia="Times New Roman"/>
        </w:rPr>
      </w:pPr>
      <w:r w:rsidRPr="00680ECD">
        <w:rPr>
          <w:rFonts w:eastAsia="Times New Roman"/>
        </w:rPr>
        <w:t>Eighty-nine per cent of ca</w:t>
      </w:r>
      <w:r w:rsidR="00680ECD" w:rsidRPr="00680ECD">
        <w:rPr>
          <w:rFonts w:eastAsia="Times New Roman"/>
        </w:rPr>
        <w:t>ses reported in 2015 were male.</w:t>
      </w:r>
    </w:p>
    <w:p w14:paraId="0BB30153" w14:textId="77777777" w:rsidR="00BE61A2" w:rsidRPr="00AE2F1B" w:rsidRDefault="00BE61A2" w:rsidP="00AE2F1B">
      <w:pPr>
        <w:rPr>
          <w:rFonts w:eastAsia="Times New Roman"/>
        </w:rPr>
      </w:pPr>
      <w:r w:rsidRPr="00AE2F1B">
        <w:rPr>
          <w:rFonts w:eastAsia="Times New Roman"/>
        </w:rPr>
        <w:t>Brucellosis is characterised by a fever of variable duration with a range of other symptoms including headache, weakness, profuse sweating, chills, arthralgia, depression, weight loss and generalised aching.</w:t>
      </w:r>
      <w:r w:rsidRPr="00AE2F1B">
        <w:rPr>
          <w:rFonts w:eastAsia="Times New Roman"/>
          <w:vertAlign w:val="superscript"/>
        </w:rPr>
        <w:t>21</w:t>
      </w:r>
      <w:r w:rsidRPr="00AE2F1B">
        <w:rPr>
          <w:rFonts w:eastAsia="Times New Roman"/>
        </w:rPr>
        <w:t xml:space="preserve"> </w:t>
      </w:r>
      <w:r w:rsidRPr="00DF12AB">
        <w:rPr>
          <w:rStyle w:val="Emphasis"/>
          <w:rFonts w:eastAsia="Times New Roman"/>
          <w:b w:val="0"/>
        </w:rPr>
        <w:t>Brucella</w:t>
      </w:r>
      <w:r w:rsidRPr="00AE2F1B">
        <w:rPr>
          <w:rFonts w:eastAsia="Times New Roman"/>
        </w:rPr>
        <w:t xml:space="preserve"> species that can cause illness in humans include </w:t>
      </w:r>
      <w:r w:rsidRPr="00DF12AB">
        <w:rPr>
          <w:rStyle w:val="Emphasis"/>
          <w:rFonts w:eastAsia="Times New Roman"/>
          <w:b w:val="0"/>
        </w:rPr>
        <w:t xml:space="preserve">Brucella </w:t>
      </w:r>
      <w:proofErr w:type="spellStart"/>
      <w:r w:rsidRPr="00DF12AB">
        <w:rPr>
          <w:rStyle w:val="Emphasis"/>
          <w:rFonts w:eastAsia="Times New Roman"/>
          <w:b w:val="0"/>
        </w:rPr>
        <w:t>melitensis</w:t>
      </w:r>
      <w:proofErr w:type="spellEnd"/>
      <w:r w:rsidRPr="00AE2F1B">
        <w:rPr>
          <w:rFonts w:eastAsia="Times New Roman"/>
        </w:rPr>
        <w:t xml:space="preserve"> acquired from sheep and goats, </w:t>
      </w:r>
      <w:r w:rsidRPr="00DF12AB">
        <w:rPr>
          <w:rStyle w:val="Emphasis"/>
          <w:rFonts w:eastAsia="Times New Roman"/>
          <w:b w:val="0"/>
        </w:rPr>
        <w:t>Brucella suis</w:t>
      </w:r>
      <w:r w:rsidRPr="00AE2F1B">
        <w:rPr>
          <w:rFonts w:eastAsia="Times New Roman"/>
        </w:rPr>
        <w:t xml:space="preserve"> from pigs and </w:t>
      </w:r>
      <w:r w:rsidRPr="00DF12AB">
        <w:rPr>
          <w:rStyle w:val="Emphasis"/>
          <w:rFonts w:eastAsia="Times New Roman"/>
          <w:b w:val="0"/>
        </w:rPr>
        <w:t>Brucella abortus</w:t>
      </w:r>
      <w:r w:rsidRPr="00AE2F1B">
        <w:rPr>
          <w:rFonts w:eastAsia="Times New Roman"/>
        </w:rPr>
        <w:t xml:space="preserve"> from cattle. </w:t>
      </w:r>
      <w:r w:rsidRPr="00DF12AB">
        <w:rPr>
          <w:rStyle w:val="Emphasis"/>
          <w:rFonts w:eastAsia="Times New Roman"/>
          <w:b w:val="0"/>
        </w:rPr>
        <w:t>B. abortus</w:t>
      </w:r>
      <w:r w:rsidRPr="00AE2F1B">
        <w:rPr>
          <w:rFonts w:eastAsia="Times New Roman"/>
        </w:rPr>
        <w:t xml:space="preserve"> was eradicated from Australian cattle herds in 1989 and </w:t>
      </w:r>
      <w:r w:rsidRPr="00DF12AB">
        <w:rPr>
          <w:rStyle w:val="Emphasis"/>
          <w:rFonts w:eastAsia="Times New Roman"/>
          <w:b w:val="0"/>
        </w:rPr>
        <w:t>B.</w:t>
      </w:r>
      <w:r w:rsidR="00432C20">
        <w:rPr>
          <w:rStyle w:val="Emphasis"/>
          <w:rFonts w:eastAsia="Times New Roman"/>
          <w:b w:val="0"/>
        </w:rPr>
        <w:t> </w:t>
      </w:r>
      <w:proofErr w:type="spellStart"/>
      <w:r w:rsidRPr="00DF12AB">
        <w:rPr>
          <w:rStyle w:val="Emphasis"/>
          <w:rFonts w:eastAsia="Times New Roman"/>
          <w:b w:val="0"/>
        </w:rPr>
        <w:t>melitensis</w:t>
      </w:r>
      <w:proofErr w:type="spellEnd"/>
      <w:r w:rsidRPr="00AE2F1B">
        <w:rPr>
          <w:rFonts w:eastAsia="Times New Roman"/>
        </w:rPr>
        <w:t xml:space="preserve"> has never been reported in Australian sheep or goats.</w:t>
      </w:r>
      <w:r w:rsidRPr="00AE2F1B">
        <w:rPr>
          <w:rFonts w:eastAsia="Times New Roman"/>
          <w:vertAlign w:val="superscript"/>
        </w:rPr>
        <w:t>169</w:t>
      </w:r>
      <w:r w:rsidRPr="00AE2F1B">
        <w:rPr>
          <w:rFonts w:eastAsia="Times New Roman"/>
        </w:rPr>
        <w:t xml:space="preserve"> Therefore, all cases of </w:t>
      </w:r>
      <w:r w:rsidRPr="00DF12AB">
        <w:rPr>
          <w:rStyle w:val="Emphasis"/>
          <w:rFonts w:eastAsia="Times New Roman"/>
          <w:b w:val="0"/>
        </w:rPr>
        <w:t xml:space="preserve">B. </w:t>
      </w:r>
      <w:proofErr w:type="spellStart"/>
      <w:r w:rsidRPr="00DF12AB">
        <w:rPr>
          <w:rStyle w:val="Emphasis"/>
          <w:rFonts w:eastAsia="Times New Roman"/>
          <w:b w:val="0"/>
        </w:rPr>
        <w:t>melitensis</w:t>
      </w:r>
      <w:proofErr w:type="spellEnd"/>
      <w:r w:rsidRPr="00AE2F1B">
        <w:rPr>
          <w:rFonts w:eastAsia="Times New Roman"/>
        </w:rPr>
        <w:t xml:space="preserve"> or </w:t>
      </w:r>
      <w:r w:rsidRPr="00DF12AB">
        <w:rPr>
          <w:rStyle w:val="Emphasis"/>
          <w:rFonts w:eastAsia="Times New Roman"/>
          <w:b w:val="0"/>
        </w:rPr>
        <w:t>B.</w:t>
      </w:r>
      <w:r w:rsidR="00432C20">
        <w:rPr>
          <w:rStyle w:val="Emphasis"/>
          <w:rFonts w:eastAsia="Times New Roman"/>
          <w:b w:val="0"/>
        </w:rPr>
        <w:t> </w:t>
      </w:r>
      <w:r w:rsidRPr="00DF12AB">
        <w:rPr>
          <w:rStyle w:val="Emphasis"/>
          <w:rFonts w:eastAsia="Times New Roman"/>
          <w:b w:val="0"/>
        </w:rPr>
        <w:t>abortus</w:t>
      </w:r>
      <w:r w:rsidRPr="00AE2F1B">
        <w:rPr>
          <w:rFonts w:eastAsia="Times New Roman"/>
        </w:rPr>
        <w:t xml:space="preserve"> in Australia are related to overseas travel. Eales et al (2010)</w:t>
      </w:r>
      <w:r w:rsidRPr="00AE2F1B">
        <w:rPr>
          <w:rFonts w:eastAsia="Times New Roman"/>
          <w:vertAlign w:val="superscript"/>
        </w:rPr>
        <w:t>170</w:t>
      </w:r>
      <w:r w:rsidRPr="00AE2F1B">
        <w:rPr>
          <w:rFonts w:eastAsia="Times New Roman"/>
        </w:rPr>
        <w:t xml:space="preserve"> found that feral pig hunting was the most common risk factor for brucellosis in Townsville during 1996 to 2009. </w:t>
      </w:r>
    </w:p>
    <w:p w14:paraId="6D4675FC" w14:textId="77777777" w:rsidR="00BE61A2" w:rsidRPr="00AE2F1B" w:rsidRDefault="00BE61A2" w:rsidP="00924A50">
      <w:pPr>
        <w:pStyle w:val="Heading3"/>
        <w:rPr>
          <w:rFonts w:eastAsiaTheme="minorEastAsia"/>
        </w:rPr>
      </w:pPr>
      <w:bookmarkStart w:id="230" w:name="_Toc1747384"/>
      <w:r w:rsidRPr="00924A50">
        <w:rPr>
          <w:bCs w:val="0"/>
        </w:rPr>
        <w:t>Epidemiological situation in 2015</w:t>
      </w:r>
      <w:bookmarkEnd w:id="230"/>
    </w:p>
    <w:p w14:paraId="43294486" w14:textId="77777777" w:rsidR="00BE61A2" w:rsidRPr="00AE2F1B" w:rsidRDefault="00BE61A2" w:rsidP="00AE2F1B">
      <w:r w:rsidRPr="00AE2F1B">
        <w:t xml:space="preserve">In 2015, there were 19 notified cases of brucellosis in Australia (0.1 per 100,000), a 21% decrease compared to the 5-year (2010 to 2014) mean (n=24). </w:t>
      </w:r>
    </w:p>
    <w:p w14:paraId="2136ABD0" w14:textId="77777777" w:rsidR="00BE61A2" w:rsidRPr="00AE2F1B" w:rsidRDefault="00BE61A2" w:rsidP="00924A50">
      <w:pPr>
        <w:pStyle w:val="Heading3"/>
      </w:pPr>
      <w:bookmarkStart w:id="231" w:name="_Toc1747385"/>
      <w:r w:rsidRPr="00924A50">
        <w:rPr>
          <w:bCs w:val="0"/>
        </w:rPr>
        <w:t>Geographical distribution</w:t>
      </w:r>
      <w:bookmarkEnd w:id="231"/>
    </w:p>
    <w:p w14:paraId="496A09F4" w14:textId="77777777" w:rsidR="00BE61A2" w:rsidRDefault="00BE61A2" w:rsidP="00AE2F1B">
      <w:r w:rsidRPr="00AE2F1B">
        <w:t>In 2015, over half of the notified brucellosis cases were in New South Wales residents (58%, 11/19) (Figure 101), 37% of cases were in Queensland residents (7/19) and 1 in a Northern Territory resident.</w:t>
      </w:r>
    </w:p>
    <w:p w14:paraId="040CA2BF" w14:textId="77777777" w:rsidR="00F64270" w:rsidRDefault="00F64270" w:rsidP="00F64270">
      <w:pPr>
        <w:pStyle w:val="CDIFigures"/>
      </w:pPr>
      <w:r w:rsidRPr="00F64270">
        <w:t>Figure 101: Notifications of brucellosis, Australia, 2010 to 2015, by month and year of diagnosis and state or</w:t>
      </w:r>
      <w:r w:rsidR="00026DC9">
        <w:t> </w:t>
      </w:r>
      <w:r w:rsidRPr="00F64270">
        <w:t>territory</w:t>
      </w:r>
    </w:p>
    <w:p w14:paraId="73CC2957" w14:textId="77777777" w:rsidR="00241D02" w:rsidRPr="00F64270" w:rsidRDefault="0021477A" w:rsidP="00F64270">
      <w:pPr>
        <w:pStyle w:val="CDIFigures"/>
      </w:pPr>
      <w:r>
        <w:pict w14:anchorId="0E6ED234">
          <v:shape id="_x0000_i1122" type="#_x0000_t75" alt="This figure shows notifications of brucellosis in Australia between 2010 and 2015 by state and territory. National brucellosis notifications in 2015 decreased by 21% compared to the 5 year mean (n=24)." style="width:522.6pt;height:351.6pt">
            <v:imagedata r:id="rId120" o:title="7-Zoos chapter figures _101 to 109_Page_1"/>
          </v:shape>
        </w:pict>
      </w:r>
    </w:p>
    <w:p w14:paraId="7A5AD208" w14:textId="77777777" w:rsidR="00BE61A2" w:rsidRPr="00AE2F1B" w:rsidRDefault="00BE61A2" w:rsidP="00AE2F1B">
      <w:r w:rsidRPr="00AE2F1B">
        <w:lastRenderedPageBreak/>
        <w:t>Since 1991, 81% of cases have been notified in Queensland residents and 12% of cases have been notified in New South Wales residents. In 2015, New South Wales had the highest proportion of cases and the highest number of cases of brucellosis on record for the state.</w:t>
      </w:r>
      <w:r w:rsidRPr="00AE2F1B">
        <w:rPr>
          <w:vertAlign w:val="superscript"/>
        </w:rPr>
        <w:t>171</w:t>
      </w:r>
      <w:r w:rsidRPr="00AE2F1B">
        <w:t xml:space="preserve"> </w:t>
      </w:r>
    </w:p>
    <w:p w14:paraId="09387E9C" w14:textId="77777777" w:rsidR="00BE61A2" w:rsidRPr="00AE2F1B" w:rsidRDefault="00BE61A2" w:rsidP="00AE2F1B">
      <w:r w:rsidRPr="00AE2F1B">
        <w:t>Of the 11 cases reported in New South Wales residents, 5 were acquired overseas in Middle Eastern countries from consuming unpasteurised dairy or animal exposures, and 6 cases were acquired locally, of which 4 had reported hunting feral pigs.</w:t>
      </w:r>
    </w:p>
    <w:p w14:paraId="575DEA55" w14:textId="77777777" w:rsidR="00BE61A2" w:rsidRPr="00AE2F1B" w:rsidRDefault="00BE61A2" w:rsidP="00AE2F1B">
      <w:r w:rsidRPr="00AE2F1B">
        <w:t xml:space="preserve">Both New South Wales and Queensland have a state-specific notification rate of 0.1 per 100,000 and the Northern Territory has a rate of 0.4 per 100,000. </w:t>
      </w:r>
    </w:p>
    <w:p w14:paraId="48F3998B" w14:textId="77777777" w:rsidR="00BE61A2" w:rsidRPr="00AE2F1B" w:rsidRDefault="00BE61A2" w:rsidP="00E37A5F">
      <w:pPr>
        <w:pStyle w:val="Heading3"/>
      </w:pPr>
      <w:bookmarkStart w:id="232" w:name="_Toc1747386"/>
      <w:r w:rsidRPr="00AE2F1B">
        <w:t>Age and sex distribution</w:t>
      </w:r>
      <w:bookmarkEnd w:id="232"/>
    </w:p>
    <w:p w14:paraId="44563B18" w14:textId="77777777" w:rsidR="00BE61A2" w:rsidRDefault="00BE61A2" w:rsidP="00AE2F1B">
      <w:r w:rsidRPr="00AE2F1B">
        <w:t>In 2015, the median age of notified brucellosis cases was 36 years (range: 14 to 66 years), and 89% (17/19) were male (Figure 102).</w:t>
      </w:r>
    </w:p>
    <w:p w14:paraId="3B25DA24" w14:textId="77777777" w:rsidR="00683B83" w:rsidRDefault="00683B83" w:rsidP="00683B83">
      <w:pPr>
        <w:pStyle w:val="CDIFigures"/>
      </w:pPr>
      <w:r w:rsidRPr="00683B83">
        <w:t>Figure 102: Notifications of brucellosis, Australia, 2015, by age group and sex</w:t>
      </w:r>
    </w:p>
    <w:p w14:paraId="362E696D" w14:textId="77777777" w:rsidR="00241D02" w:rsidRPr="00683B83" w:rsidRDefault="0021477A" w:rsidP="00683B83">
      <w:pPr>
        <w:pStyle w:val="CDIFigures"/>
      </w:pPr>
      <w:r>
        <w:pict w14:anchorId="4C82BB7A">
          <v:shape id="_x0000_i1123" type="#_x0000_t75" alt="This figure shows notifications of brucellosis in 2015 by age group and sex. In 2015, the median age of notified brucellosis cases was 36 years (range 14 to 66 years) and 89% (17/19) were male." style="width:522.6pt;height:351.6pt">
            <v:imagedata r:id="rId121" o:title="7-Zoos chapter figures _101 to 109_Page_2"/>
          </v:shape>
        </w:pict>
      </w:r>
    </w:p>
    <w:p w14:paraId="2D8F45FA" w14:textId="77777777" w:rsidR="00BE61A2" w:rsidRPr="00AE2F1B" w:rsidRDefault="00BE61A2" w:rsidP="00E37A5F">
      <w:pPr>
        <w:pStyle w:val="Heading3"/>
      </w:pPr>
      <w:bookmarkStart w:id="233" w:name="_Toc1747387"/>
      <w:r w:rsidRPr="00AE2F1B">
        <w:t>Microbiological trends</w:t>
      </w:r>
      <w:bookmarkEnd w:id="233"/>
    </w:p>
    <w:p w14:paraId="6C7C5751" w14:textId="77777777" w:rsidR="00BE61A2" w:rsidRPr="00AE2F1B" w:rsidRDefault="00BE61A2" w:rsidP="00AE2F1B">
      <w:r w:rsidRPr="00AE2F1B">
        <w:t xml:space="preserve">The species of the infecting organism was available for 53% (10/19) of notified cases in 2015. There were 6 cases of </w:t>
      </w:r>
      <w:r w:rsidRPr="00DF12AB">
        <w:rPr>
          <w:rStyle w:val="Emphasis"/>
          <w:b w:val="0"/>
        </w:rPr>
        <w:t>B. suis,</w:t>
      </w:r>
      <w:r w:rsidRPr="00AE2F1B">
        <w:t xml:space="preserve"> 2 from New South Wales and 4 from Queensland; all cases were male. There were 4 cases of </w:t>
      </w:r>
      <w:r w:rsidRPr="00DF12AB">
        <w:rPr>
          <w:rStyle w:val="Emphasis"/>
          <w:b w:val="0"/>
        </w:rPr>
        <w:t>B. </w:t>
      </w:r>
      <w:proofErr w:type="spellStart"/>
      <w:r w:rsidR="00E76B22" w:rsidRPr="00DF12AB">
        <w:rPr>
          <w:rStyle w:val="Emphasis"/>
          <w:b w:val="0"/>
        </w:rPr>
        <w:t>melitensis</w:t>
      </w:r>
      <w:proofErr w:type="spellEnd"/>
      <w:r w:rsidR="00E76B22" w:rsidRPr="00AE2F1B">
        <w:t>,</w:t>
      </w:r>
      <w:r w:rsidRPr="00AE2F1B">
        <w:t xml:space="preserve"> with the countries of acquisition listed as Iraq, Lebanon, </w:t>
      </w:r>
      <w:proofErr w:type="gramStart"/>
      <w:r w:rsidRPr="00AE2F1B">
        <w:t>Jordan</w:t>
      </w:r>
      <w:proofErr w:type="gramEnd"/>
      <w:r w:rsidRPr="00AE2F1B">
        <w:t xml:space="preserve"> and Saudi Arabia. The 9 remaining cases, where the infecting organism was not specified, were acquired in Australia (n=7), Lebanon (n=1) and an overseas unknown country (n=1). </w:t>
      </w:r>
    </w:p>
    <w:p w14:paraId="792EB3E9" w14:textId="77777777" w:rsidR="00BE61A2" w:rsidRPr="004E056D" w:rsidRDefault="00BE61A2" w:rsidP="004E056D">
      <w:pPr>
        <w:pStyle w:val="Heading2"/>
      </w:pPr>
      <w:bookmarkStart w:id="234" w:name="_Toc1747388"/>
      <w:r w:rsidRPr="004E056D">
        <w:rPr>
          <w:bCs w:val="0"/>
          <w:sz w:val="27"/>
          <w:szCs w:val="27"/>
        </w:rPr>
        <w:lastRenderedPageBreak/>
        <w:t>Leptospirosis</w:t>
      </w:r>
      <w:bookmarkEnd w:id="234"/>
    </w:p>
    <w:p w14:paraId="0FB8EAA8" w14:textId="77777777" w:rsidR="00BE61A2" w:rsidRPr="000B3EFC" w:rsidRDefault="00BE61A2" w:rsidP="000B3EFC">
      <w:pPr>
        <w:pStyle w:val="ListParagraph"/>
        <w:numPr>
          <w:ilvl w:val="0"/>
          <w:numId w:val="16"/>
        </w:numPr>
        <w:rPr>
          <w:rFonts w:eastAsia="Times New Roman"/>
        </w:rPr>
      </w:pPr>
      <w:r w:rsidRPr="000B3EFC">
        <w:rPr>
          <w:rFonts w:eastAsia="Times New Roman"/>
        </w:rPr>
        <w:t xml:space="preserve">There were 74 cases of leptospirosis notified in 2015. </w:t>
      </w:r>
    </w:p>
    <w:p w14:paraId="440EEFFF" w14:textId="77777777" w:rsidR="000B3EFC" w:rsidRPr="000B3EFC" w:rsidRDefault="00BE61A2" w:rsidP="000B3EFC">
      <w:pPr>
        <w:pStyle w:val="ListParagraph"/>
        <w:numPr>
          <w:ilvl w:val="0"/>
          <w:numId w:val="16"/>
        </w:numPr>
        <w:rPr>
          <w:rFonts w:eastAsia="Times New Roman"/>
        </w:rPr>
      </w:pPr>
      <w:r w:rsidRPr="000B3EFC">
        <w:rPr>
          <w:rFonts w:eastAsia="Times New Roman"/>
        </w:rPr>
        <w:t>The highest numbers of cases were observed in males ag</w:t>
      </w:r>
      <w:r w:rsidR="000B3EFC" w:rsidRPr="000B3EFC">
        <w:rPr>
          <w:rFonts w:eastAsia="Times New Roman"/>
        </w:rPr>
        <w:t>ed 15-19 years and 25-29 years.</w:t>
      </w:r>
    </w:p>
    <w:p w14:paraId="0C19CFA0" w14:textId="77777777" w:rsidR="00BE61A2" w:rsidRPr="00AE2F1B" w:rsidRDefault="00BE61A2" w:rsidP="00AE2F1B">
      <w:pPr>
        <w:rPr>
          <w:rFonts w:eastAsia="Times New Roman"/>
        </w:rPr>
      </w:pPr>
      <w:r w:rsidRPr="00AE2F1B">
        <w:rPr>
          <w:rFonts w:eastAsia="Times New Roman"/>
        </w:rPr>
        <w:t>Leptospirosis can cause a variety of illnesses varying in severity from a mild influenza-like illness to Weil’s syndrome, meningitis or pulmonary haemorrhage with respiratory failure possibly leading to death.</w:t>
      </w:r>
      <w:r w:rsidRPr="00AE2F1B">
        <w:rPr>
          <w:rFonts w:eastAsia="Times New Roman"/>
          <w:vertAlign w:val="superscript"/>
        </w:rPr>
        <w:t>21</w:t>
      </w:r>
      <w:r w:rsidRPr="00AE2F1B">
        <w:rPr>
          <w:rFonts w:eastAsia="Times New Roman"/>
        </w:rPr>
        <w:t xml:space="preserve"> Leptospirosis is caused by spirochaetes of the genus </w:t>
      </w:r>
      <w:r w:rsidRPr="00DF12AB">
        <w:rPr>
          <w:rStyle w:val="Emphasis"/>
          <w:rFonts w:eastAsia="Times New Roman"/>
          <w:b w:val="0"/>
        </w:rPr>
        <w:t>Leptospira,</w:t>
      </w:r>
      <w:r w:rsidRPr="00AE2F1B">
        <w:rPr>
          <w:rFonts w:eastAsia="Times New Roman"/>
        </w:rPr>
        <w:t xml:space="preserve"> which is found in the genital tract and renal tubules of domestic and wild animals. In affected areas, where there is exposure to infected urine of domestic and wild animals, this disease can be an occupational and recreational hazard (such as in certain agricultural sectors and from swimming or wading in contaminated water).</w:t>
      </w:r>
      <w:r w:rsidRPr="00AE2F1B">
        <w:rPr>
          <w:rFonts w:eastAsia="Times New Roman"/>
          <w:vertAlign w:val="superscript"/>
        </w:rPr>
        <w:t>172, 173</w:t>
      </w:r>
      <w:r w:rsidRPr="00AE2F1B">
        <w:rPr>
          <w:rFonts w:eastAsia="Times New Roman"/>
        </w:rPr>
        <w:t xml:space="preserve"> The last reported death in Australia attributed to leptospirosis was in </w:t>
      </w:r>
      <w:proofErr w:type="gramStart"/>
      <w:r w:rsidRPr="00AE2F1B">
        <w:rPr>
          <w:rFonts w:eastAsia="Times New Roman"/>
        </w:rPr>
        <w:t>2002.</w:t>
      </w:r>
      <w:r w:rsidRPr="00AE2F1B">
        <w:rPr>
          <w:rFonts w:eastAsia="Times New Roman"/>
          <w:vertAlign w:val="superscript"/>
        </w:rPr>
        <w:t>174</w:t>
      </w:r>
      <w:proofErr w:type="gramEnd"/>
      <w:r w:rsidRPr="00AE2F1B">
        <w:rPr>
          <w:rFonts w:eastAsia="Times New Roman"/>
        </w:rPr>
        <w:t xml:space="preserve"> </w:t>
      </w:r>
    </w:p>
    <w:p w14:paraId="553ED343" w14:textId="77777777" w:rsidR="00BE61A2" w:rsidRPr="00AE2F1B" w:rsidRDefault="00BE61A2" w:rsidP="00924A50">
      <w:pPr>
        <w:pStyle w:val="Heading3"/>
        <w:rPr>
          <w:rFonts w:eastAsiaTheme="minorEastAsia"/>
        </w:rPr>
      </w:pPr>
      <w:bookmarkStart w:id="235" w:name="_Toc1747389"/>
      <w:r w:rsidRPr="00924A50">
        <w:rPr>
          <w:bCs w:val="0"/>
        </w:rPr>
        <w:t>Epidemiological situation in 2015</w:t>
      </w:r>
      <w:bookmarkEnd w:id="235"/>
    </w:p>
    <w:p w14:paraId="663B9CA3" w14:textId="77777777" w:rsidR="00BE61A2" w:rsidRPr="00AE2F1B" w:rsidRDefault="00BE61A2" w:rsidP="00AE2F1B">
      <w:r w:rsidRPr="00AE2F1B">
        <w:t>In 2015, there were 74 notified cases of leptospirosis in Australia (0.3 per 100,000), a 42% decrease compared with the 5-year (2010 to 2014) mean (n=127).</w:t>
      </w:r>
    </w:p>
    <w:p w14:paraId="17F4F741" w14:textId="77777777" w:rsidR="00BE61A2" w:rsidRPr="00AE2F1B" w:rsidRDefault="00BE61A2" w:rsidP="00924A50">
      <w:pPr>
        <w:pStyle w:val="Heading3"/>
      </w:pPr>
      <w:bookmarkStart w:id="236" w:name="_Toc1747390"/>
      <w:r w:rsidRPr="00924A50">
        <w:rPr>
          <w:bCs w:val="0"/>
        </w:rPr>
        <w:t>Geographical distribution</w:t>
      </w:r>
      <w:bookmarkEnd w:id="236"/>
    </w:p>
    <w:p w14:paraId="2BBE2A84" w14:textId="77777777" w:rsidR="00BE61A2" w:rsidRDefault="00BE61A2" w:rsidP="00AE2F1B">
      <w:r w:rsidRPr="00AE2F1B">
        <w:t>Over half (57%, 42/74) of notified cases were Queensland residents (Figure 103), with a state-specific notification rate of 0.9 per 100,000.</w:t>
      </w:r>
    </w:p>
    <w:p w14:paraId="3971E2BE" w14:textId="77777777" w:rsidR="00B80950" w:rsidRDefault="00B80950" w:rsidP="00B80950">
      <w:pPr>
        <w:pStyle w:val="CDIFigures"/>
      </w:pPr>
      <w:r w:rsidRPr="00B80950">
        <w:t>Figure 103: Notifications of leptospirosis, Australia, 2010 to 2015, by month and year of diagnosis and state or</w:t>
      </w:r>
      <w:r w:rsidR="00241D02">
        <w:t> </w:t>
      </w:r>
      <w:r w:rsidRPr="00B80950">
        <w:t>territory</w:t>
      </w:r>
    </w:p>
    <w:p w14:paraId="6114763A" w14:textId="77777777" w:rsidR="00241D02" w:rsidRPr="00B80950" w:rsidRDefault="0021477A" w:rsidP="00B80950">
      <w:pPr>
        <w:pStyle w:val="CDIFigures"/>
      </w:pPr>
      <w:r>
        <w:pict w14:anchorId="4E5F2610">
          <v:shape id="_x0000_i1124" type="#_x0000_t75" alt="This figure shows the notifications of leptospirosis in Australia between 2010 and 2015 by state and territory." style="width:522.6pt;height:351.6pt">
            <v:imagedata r:id="rId122" o:title="7-Zoos chapter figures _101 to 109_Page_3"/>
          </v:shape>
        </w:pict>
      </w:r>
    </w:p>
    <w:p w14:paraId="69087BCA" w14:textId="77777777" w:rsidR="00087E2C" w:rsidRDefault="00087E2C">
      <w:pPr>
        <w:rPr>
          <w:rFonts w:asciiTheme="majorHAnsi" w:eastAsiaTheme="majorEastAsia" w:hAnsiTheme="majorHAnsi" w:cstheme="majorBidi"/>
          <w:b/>
          <w:bCs/>
          <w:i/>
          <w:iCs/>
        </w:rPr>
      </w:pPr>
      <w:r>
        <w:br w:type="page"/>
      </w:r>
    </w:p>
    <w:p w14:paraId="0581E3BB" w14:textId="77777777" w:rsidR="00BE61A2" w:rsidRPr="00AE2F1B" w:rsidRDefault="00BE61A2" w:rsidP="000B3EFC">
      <w:pPr>
        <w:pStyle w:val="Heading4"/>
      </w:pPr>
      <w:r w:rsidRPr="00AE2F1B">
        <w:lastRenderedPageBreak/>
        <w:t>Age and sex distribution</w:t>
      </w:r>
    </w:p>
    <w:p w14:paraId="630A2D43" w14:textId="77777777" w:rsidR="00BE61A2" w:rsidRDefault="00BE61A2" w:rsidP="00AE2F1B">
      <w:r w:rsidRPr="00AE2F1B">
        <w:t>The highest number of cases were observed in 15–19 years old males (n=8) and 25–29 years old males (n=8) (Figure 104). In 2015, the median age of notified leptospirosis cases was 42 years (range: 13 to 79 years), and 85% (63/74) were male.</w:t>
      </w:r>
    </w:p>
    <w:p w14:paraId="18774340" w14:textId="77777777" w:rsidR="000A0261" w:rsidRDefault="000A0261" w:rsidP="000A0261">
      <w:pPr>
        <w:pStyle w:val="CDIFigures"/>
      </w:pPr>
      <w:r>
        <w:t>Figure 104: Notifications of leptospirosis, Australia, 2015, by age group and sex</w:t>
      </w:r>
    </w:p>
    <w:p w14:paraId="325BB4E9" w14:textId="77777777" w:rsidR="00087E2C" w:rsidRPr="00AE2F1B" w:rsidRDefault="0021477A" w:rsidP="000A0261">
      <w:pPr>
        <w:pStyle w:val="CDIFigures"/>
      </w:pPr>
      <w:r>
        <w:pict w14:anchorId="33441F7C">
          <v:shape id="_x0000_i1125" type="#_x0000_t75" alt="This figure shows notifications of leptospirosis in 2015 by age group and sex. The highest counts were observed in15-19 year old males (n=8) and 25-29 year old males (n=8)." style="width:522.6pt;height:337.8pt">
            <v:imagedata r:id="rId123" o:title="7-Zoos chapter figures _101 to 109_Page_4"/>
          </v:shape>
        </w:pict>
      </w:r>
    </w:p>
    <w:p w14:paraId="03380D24" w14:textId="77777777" w:rsidR="00BE61A2" w:rsidRPr="00AE2F1B" w:rsidRDefault="00BE61A2" w:rsidP="000B3EFC">
      <w:pPr>
        <w:pStyle w:val="Heading4"/>
      </w:pPr>
      <w:r w:rsidRPr="00AE2F1B">
        <w:t>Microbiological trends</w:t>
      </w:r>
    </w:p>
    <w:p w14:paraId="185CBDED" w14:textId="77777777" w:rsidR="00BE61A2" w:rsidRPr="00AE2F1B" w:rsidRDefault="00BE61A2" w:rsidP="00AE2F1B">
      <w:r w:rsidRPr="00AE2F1B">
        <w:t>The WHO/Food and Agriculture Organization / World Organisation for Animal Health Collaborating Centre for Reference and Research on Leptospirosis (Leptospirosis Reference Laboratory, Queensland) routinely conducts PCR-based serotyping for leptospirosis cases from Queensland (whence the majority of cases are reported</w:t>
      </w:r>
      <w:proofErr w:type="gramStart"/>
      <w:r w:rsidRPr="00AE2F1B">
        <w:t>), and</w:t>
      </w:r>
      <w:proofErr w:type="gramEnd"/>
      <w:r w:rsidRPr="00AE2F1B">
        <w:t xml:space="preserve"> collates national data that may be submitted to the laboratory from other states or territories. At the time of compiling this report, data for 2015 were not publicly available. </w:t>
      </w:r>
    </w:p>
    <w:p w14:paraId="38EEE825" w14:textId="77777777" w:rsidR="00BE61A2" w:rsidRPr="00AE2F1B" w:rsidRDefault="00BE61A2" w:rsidP="00AE2F1B">
      <w:r w:rsidRPr="00AE2F1B">
        <w:t xml:space="preserve">In Australia, serotyping is only conducted on pathogenic </w:t>
      </w:r>
      <w:r w:rsidRPr="00DF12AB">
        <w:rPr>
          <w:rStyle w:val="Emphasis"/>
          <w:b w:val="0"/>
        </w:rPr>
        <w:t>Leptospira</w:t>
      </w:r>
      <w:r w:rsidRPr="00AE2F1B">
        <w:t xml:space="preserve"> species typing information was available for 87% (55/63) of these cases. In 2015, the most frequently reported serovars were </w:t>
      </w:r>
      <w:r w:rsidRPr="00DF12AB">
        <w:rPr>
          <w:rStyle w:val="Emphasis"/>
          <w:b w:val="0"/>
        </w:rPr>
        <w:t>L. </w:t>
      </w:r>
      <w:proofErr w:type="spellStart"/>
      <w:r w:rsidRPr="00DF12AB">
        <w:rPr>
          <w:rStyle w:val="Emphasis"/>
          <w:b w:val="0"/>
        </w:rPr>
        <w:t>borgpetersenii</w:t>
      </w:r>
      <w:proofErr w:type="spellEnd"/>
      <w:r w:rsidRPr="00AE2F1B">
        <w:t xml:space="preserve"> serovar Arborea (24%, 13/55), </w:t>
      </w:r>
      <w:r w:rsidRPr="00DF12AB">
        <w:rPr>
          <w:rStyle w:val="Emphasis"/>
          <w:b w:val="0"/>
        </w:rPr>
        <w:t xml:space="preserve">L. </w:t>
      </w:r>
      <w:proofErr w:type="spellStart"/>
      <w:r w:rsidRPr="00DF12AB">
        <w:rPr>
          <w:rStyle w:val="Emphasis"/>
          <w:b w:val="0"/>
        </w:rPr>
        <w:t>interrogans</w:t>
      </w:r>
      <w:proofErr w:type="spellEnd"/>
      <w:r w:rsidRPr="00AE2F1B">
        <w:t xml:space="preserve"> serovar Australis (20%, 11/55) and </w:t>
      </w:r>
      <w:r w:rsidRPr="00DF12AB">
        <w:rPr>
          <w:rStyle w:val="Emphasis"/>
          <w:b w:val="0"/>
        </w:rPr>
        <w:t>L. </w:t>
      </w:r>
      <w:proofErr w:type="spellStart"/>
      <w:r w:rsidRPr="00DF12AB">
        <w:rPr>
          <w:rStyle w:val="Emphasis"/>
          <w:b w:val="0"/>
        </w:rPr>
        <w:t>interrogans</w:t>
      </w:r>
      <w:proofErr w:type="spellEnd"/>
      <w:r w:rsidRPr="00AE2F1B">
        <w:t xml:space="preserve"> serovar </w:t>
      </w:r>
      <w:proofErr w:type="spellStart"/>
      <w:r w:rsidRPr="00AE2F1B">
        <w:t>Zanoni</w:t>
      </w:r>
      <w:proofErr w:type="spellEnd"/>
      <w:r w:rsidRPr="00AE2F1B">
        <w:t xml:space="preserve"> (20%, 11/55). In 2014, </w:t>
      </w:r>
      <w:r w:rsidRPr="00DF12AB">
        <w:rPr>
          <w:rStyle w:val="Emphasis"/>
          <w:b w:val="0"/>
        </w:rPr>
        <w:t>L. </w:t>
      </w:r>
      <w:proofErr w:type="spellStart"/>
      <w:r w:rsidRPr="00DF12AB">
        <w:rPr>
          <w:rStyle w:val="Emphasis"/>
          <w:b w:val="0"/>
        </w:rPr>
        <w:t>interrogans</w:t>
      </w:r>
      <w:proofErr w:type="spellEnd"/>
      <w:r w:rsidRPr="00AE2F1B">
        <w:t xml:space="preserve"> serovar </w:t>
      </w:r>
      <w:proofErr w:type="spellStart"/>
      <w:r w:rsidRPr="00AE2F1B">
        <w:t>Zanoni</w:t>
      </w:r>
      <w:proofErr w:type="spellEnd"/>
      <w:r w:rsidRPr="00AE2F1B">
        <w:t xml:space="preserve"> was the most frequently reported serovar of those available (18/78).</w:t>
      </w:r>
    </w:p>
    <w:p w14:paraId="404CA304" w14:textId="77777777" w:rsidR="00BE61A2" w:rsidRDefault="00BE61A2" w:rsidP="00EC719C">
      <w:r w:rsidRPr="00AE2F1B">
        <w:t xml:space="preserve">In 2015, 47% (35/74) of reported leptospirosis cases were acquired locally, 16% (12/74) were acquired overseas and 36% (27/74) were acquired in </w:t>
      </w:r>
      <w:r w:rsidR="00EC719C">
        <w:t>an unknown location (Table 26).</w:t>
      </w:r>
    </w:p>
    <w:p w14:paraId="5716A68B" w14:textId="77777777" w:rsidR="00087E2C" w:rsidRDefault="00087E2C">
      <w:pPr>
        <w:rPr>
          <w:b/>
        </w:rPr>
      </w:pPr>
      <w:r>
        <w:br w:type="page"/>
      </w:r>
    </w:p>
    <w:p w14:paraId="1B001763" w14:textId="77777777" w:rsidR="00AC4B21" w:rsidRDefault="00AC4B21" w:rsidP="00AC4B21">
      <w:pPr>
        <w:pStyle w:val="CDIFigures"/>
      </w:pPr>
      <w:r w:rsidRPr="00AC4B21">
        <w:lastRenderedPageBreak/>
        <w:t>Table 26: Notifications of leptospirosis, Australia, 2015, by serovar</w:t>
      </w:r>
    </w:p>
    <w:tbl>
      <w:tblPr>
        <w:tblStyle w:val="CDI-StandardTable"/>
        <w:tblW w:w="0" w:type="auto"/>
        <w:tblCellMar>
          <w:top w:w="142" w:type="dxa"/>
          <w:left w:w="142" w:type="dxa"/>
          <w:bottom w:w="142" w:type="dxa"/>
        </w:tblCellMar>
        <w:tblLook w:val="04A0" w:firstRow="1" w:lastRow="0" w:firstColumn="1" w:lastColumn="0" w:noHBand="0" w:noVBand="1"/>
        <w:tblCaption w:val="Table 26: Notifications of leptospirosis, Australia, 2015, by serovar"/>
        <w:tblDescription w:val="This table shows the notifications of leptospirosis in 2015 by place of acquisition and serovar. Most cases (35/72) were locally acquired."/>
      </w:tblPr>
      <w:tblGrid>
        <w:gridCol w:w="2989"/>
        <w:gridCol w:w="2483"/>
        <w:gridCol w:w="2484"/>
        <w:gridCol w:w="2484"/>
      </w:tblGrid>
      <w:tr w:rsidR="004B770F" w:rsidRPr="004B770F" w14:paraId="26DFC580" w14:textId="77777777" w:rsidTr="00F9706F">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6D8DF23A"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Leptospira serovars</w:t>
            </w:r>
          </w:p>
        </w:tc>
        <w:tc>
          <w:tcPr>
            <w:tcW w:w="2483" w:type="dxa"/>
            <w:hideMark/>
          </w:tcPr>
          <w:p w14:paraId="79927CEC"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Locally acquired</w:t>
            </w:r>
          </w:p>
        </w:tc>
        <w:tc>
          <w:tcPr>
            <w:tcW w:w="2484" w:type="dxa"/>
            <w:hideMark/>
          </w:tcPr>
          <w:p w14:paraId="03CF72A2"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Overseas acquired</w:t>
            </w:r>
          </w:p>
        </w:tc>
        <w:tc>
          <w:tcPr>
            <w:tcW w:w="2484" w:type="dxa"/>
            <w:hideMark/>
          </w:tcPr>
          <w:p w14:paraId="486D5EEF"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Place of acquisition unknown</w:t>
            </w:r>
          </w:p>
        </w:tc>
      </w:tr>
      <w:tr w:rsidR="00BE61A2" w:rsidRPr="00374CC9" w14:paraId="11D4097B" w14:textId="77777777" w:rsidTr="00F9706F">
        <w:tblPrEx>
          <w:tblCellMar>
            <w:right w:w="108" w:type="dxa"/>
          </w:tblCellMar>
        </w:tblPrEx>
        <w:tc>
          <w:tcPr>
            <w:tcW w:w="0" w:type="auto"/>
            <w:hideMark/>
          </w:tcPr>
          <w:p w14:paraId="71A88EB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 xml:space="preserve">L. </w:t>
            </w:r>
            <w:proofErr w:type="spellStart"/>
            <w:r w:rsidRPr="00374CC9">
              <w:rPr>
                <w:rFonts w:asciiTheme="minorHAnsi" w:eastAsia="Times New Roman" w:hAnsiTheme="minorHAnsi"/>
                <w:sz w:val="18"/>
                <w:szCs w:val="18"/>
              </w:rPr>
              <w:t>borgpetersenii</w:t>
            </w:r>
            <w:proofErr w:type="spellEnd"/>
            <w:r w:rsidRPr="00374CC9">
              <w:rPr>
                <w:rFonts w:asciiTheme="minorHAnsi" w:eastAsia="Times New Roman" w:hAnsiTheme="minorHAnsi"/>
                <w:sz w:val="18"/>
                <w:szCs w:val="18"/>
              </w:rPr>
              <w:t xml:space="preserve"> serovar Arborea</w:t>
            </w:r>
          </w:p>
        </w:tc>
        <w:tc>
          <w:tcPr>
            <w:tcW w:w="2483" w:type="dxa"/>
            <w:hideMark/>
          </w:tcPr>
          <w:p w14:paraId="6A7742A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w:t>
            </w:r>
          </w:p>
        </w:tc>
        <w:tc>
          <w:tcPr>
            <w:tcW w:w="2484" w:type="dxa"/>
            <w:hideMark/>
          </w:tcPr>
          <w:p w14:paraId="7C4470B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2484" w:type="dxa"/>
            <w:hideMark/>
          </w:tcPr>
          <w:p w14:paraId="68A4B58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w:t>
            </w:r>
          </w:p>
        </w:tc>
      </w:tr>
      <w:tr w:rsidR="00BE61A2" w:rsidRPr="00374CC9" w14:paraId="6C5AF675" w14:textId="77777777" w:rsidTr="00F9706F">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E7C719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 xml:space="preserve">L. </w:t>
            </w:r>
            <w:proofErr w:type="spellStart"/>
            <w:r w:rsidRPr="00374CC9">
              <w:rPr>
                <w:rFonts w:asciiTheme="minorHAnsi" w:eastAsia="Times New Roman" w:hAnsiTheme="minorHAnsi"/>
                <w:sz w:val="18"/>
                <w:szCs w:val="18"/>
              </w:rPr>
              <w:t>borgpetersenii</w:t>
            </w:r>
            <w:proofErr w:type="spellEnd"/>
            <w:r w:rsidRPr="00374CC9">
              <w:rPr>
                <w:rFonts w:asciiTheme="minorHAnsi" w:eastAsia="Times New Roman" w:hAnsiTheme="minorHAnsi"/>
                <w:sz w:val="18"/>
                <w:szCs w:val="18"/>
              </w:rPr>
              <w:t xml:space="preserve"> serovar </w:t>
            </w:r>
            <w:proofErr w:type="spellStart"/>
            <w:r w:rsidRPr="00374CC9">
              <w:rPr>
                <w:rFonts w:asciiTheme="minorHAnsi" w:eastAsia="Times New Roman" w:hAnsiTheme="minorHAnsi"/>
                <w:sz w:val="18"/>
                <w:szCs w:val="18"/>
              </w:rPr>
              <w:t>Hardjobovis</w:t>
            </w:r>
            <w:proofErr w:type="spellEnd"/>
          </w:p>
        </w:tc>
        <w:tc>
          <w:tcPr>
            <w:tcW w:w="2483" w:type="dxa"/>
            <w:hideMark/>
          </w:tcPr>
          <w:p w14:paraId="571DEF9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2484" w:type="dxa"/>
            <w:hideMark/>
          </w:tcPr>
          <w:p w14:paraId="327D4FD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2484" w:type="dxa"/>
            <w:hideMark/>
          </w:tcPr>
          <w:p w14:paraId="0C6DD39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r>
      <w:tr w:rsidR="00BE61A2" w:rsidRPr="00374CC9" w14:paraId="768ACBDE" w14:textId="77777777" w:rsidTr="00F9706F">
        <w:tblPrEx>
          <w:tblCellMar>
            <w:right w:w="108" w:type="dxa"/>
          </w:tblCellMar>
        </w:tblPrEx>
        <w:tc>
          <w:tcPr>
            <w:tcW w:w="0" w:type="auto"/>
            <w:hideMark/>
          </w:tcPr>
          <w:p w14:paraId="78ADE5F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 xml:space="preserve">L. </w:t>
            </w:r>
            <w:proofErr w:type="spellStart"/>
            <w:r w:rsidRPr="00374CC9">
              <w:rPr>
                <w:rFonts w:asciiTheme="minorHAnsi" w:eastAsia="Times New Roman" w:hAnsiTheme="minorHAnsi"/>
                <w:sz w:val="18"/>
                <w:szCs w:val="18"/>
              </w:rPr>
              <w:t>borgpetersenii</w:t>
            </w:r>
            <w:proofErr w:type="spellEnd"/>
            <w:r w:rsidRPr="00374CC9">
              <w:rPr>
                <w:rFonts w:asciiTheme="minorHAnsi" w:eastAsia="Times New Roman" w:hAnsiTheme="minorHAnsi"/>
                <w:sz w:val="18"/>
                <w:szCs w:val="18"/>
              </w:rPr>
              <w:t xml:space="preserve"> serovar </w:t>
            </w:r>
            <w:proofErr w:type="spellStart"/>
            <w:r w:rsidRPr="00374CC9">
              <w:rPr>
                <w:rFonts w:asciiTheme="minorHAnsi" w:eastAsia="Times New Roman" w:hAnsiTheme="minorHAnsi"/>
                <w:sz w:val="18"/>
                <w:szCs w:val="18"/>
              </w:rPr>
              <w:t>Tarassovi</w:t>
            </w:r>
            <w:proofErr w:type="spellEnd"/>
          </w:p>
        </w:tc>
        <w:tc>
          <w:tcPr>
            <w:tcW w:w="2483" w:type="dxa"/>
            <w:hideMark/>
          </w:tcPr>
          <w:p w14:paraId="425BC0C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2484" w:type="dxa"/>
            <w:hideMark/>
          </w:tcPr>
          <w:p w14:paraId="55000F0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2484" w:type="dxa"/>
            <w:hideMark/>
          </w:tcPr>
          <w:p w14:paraId="7E4D4CD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r>
      <w:tr w:rsidR="00BE61A2" w:rsidRPr="00374CC9" w14:paraId="214E3098" w14:textId="77777777" w:rsidTr="00F9706F">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5BC012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 xml:space="preserve">L. </w:t>
            </w:r>
            <w:proofErr w:type="spellStart"/>
            <w:r w:rsidRPr="00374CC9">
              <w:rPr>
                <w:rFonts w:asciiTheme="minorHAnsi" w:eastAsia="Times New Roman" w:hAnsiTheme="minorHAnsi"/>
                <w:sz w:val="18"/>
                <w:szCs w:val="18"/>
              </w:rPr>
              <w:t>interrogans</w:t>
            </w:r>
            <w:proofErr w:type="spellEnd"/>
            <w:r w:rsidRPr="00374CC9">
              <w:rPr>
                <w:rFonts w:asciiTheme="minorHAnsi" w:eastAsia="Times New Roman" w:hAnsiTheme="minorHAnsi"/>
                <w:sz w:val="18"/>
                <w:szCs w:val="18"/>
              </w:rPr>
              <w:t xml:space="preserve"> serovar Australis</w:t>
            </w:r>
          </w:p>
        </w:tc>
        <w:tc>
          <w:tcPr>
            <w:tcW w:w="2483" w:type="dxa"/>
            <w:hideMark/>
          </w:tcPr>
          <w:p w14:paraId="5885189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w:t>
            </w:r>
          </w:p>
        </w:tc>
        <w:tc>
          <w:tcPr>
            <w:tcW w:w="2484" w:type="dxa"/>
            <w:hideMark/>
          </w:tcPr>
          <w:p w14:paraId="050D80D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2484" w:type="dxa"/>
            <w:hideMark/>
          </w:tcPr>
          <w:p w14:paraId="7214C17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w:t>
            </w:r>
          </w:p>
        </w:tc>
      </w:tr>
      <w:tr w:rsidR="00BE61A2" w:rsidRPr="00374CC9" w14:paraId="028AAAAE" w14:textId="77777777" w:rsidTr="00F9706F">
        <w:tblPrEx>
          <w:tblCellMar>
            <w:right w:w="108" w:type="dxa"/>
          </w:tblCellMar>
        </w:tblPrEx>
        <w:tc>
          <w:tcPr>
            <w:tcW w:w="0" w:type="auto"/>
            <w:hideMark/>
          </w:tcPr>
          <w:p w14:paraId="4FAB0C9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 xml:space="preserve">L. </w:t>
            </w:r>
            <w:proofErr w:type="spellStart"/>
            <w:r w:rsidRPr="00374CC9">
              <w:rPr>
                <w:rFonts w:asciiTheme="minorHAnsi" w:eastAsia="Times New Roman" w:hAnsiTheme="minorHAnsi"/>
                <w:sz w:val="18"/>
                <w:szCs w:val="18"/>
              </w:rPr>
              <w:t>interrogans</w:t>
            </w:r>
            <w:proofErr w:type="spellEnd"/>
            <w:r w:rsidRPr="00374CC9">
              <w:rPr>
                <w:rFonts w:asciiTheme="minorHAnsi" w:eastAsia="Times New Roman" w:hAnsiTheme="minorHAnsi"/>
                <w:sz w:val="18"/>
                <w:szCs w:val="18"/>
              </w:rPr>
              <w:t xml:space="preserve"> serovar </w:t>
            </w:r>
            <w:proofErr w:type="spellStart"/>
            <w:r w:rsidRPr="00374CC9">
              <w:rPr>
                <w:rFonts w:asciiTheme="minorHAnsi" w:eastAsia="Times New Roman" w:hAnsiTheme="minorHAnsi"/>
                <w:sz w:val="18"/>
                <w:szCs w:val="18"/>
              </w:rPr>
              <w:t>Canicola</w:t>
            </w:r>
            <w:proofErr w:type="spellEnd"/>
          </w:p>
        </w:tc>
        <w:tc>
          <w:tcPr>
            <w:tcW w:w="2483" w:type="dxa"/>
            <w:hideMark/>
          </w:tcPr>
          <w:p w14:paraId="700DC5E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2484" w:type="dxa"/>
            <w:hideMark/>
          </w:tcPr>
          <w:p w14:paraId="5B6D333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2484" w:type="dxa"/>
            <w:hideMark/>
          </w:tcPr>
          <w:p w14:paraId="07527CC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r>
      <w:tr w:rsidR="00BE61A2" w:rsidRPr="00374CC9" w14:paraId="56AD6110" w14:textId="77777777" w:rsidTr="00F9706F">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CC27F6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 xml:space="preserve">L. </w:t>
            </w:r>
            <w:proofErr w:type="spellStart"/>
            <w:r w:rsidRPr="00374CC9">
              <w:rPr>
                <w:rFonts w:asciiTheme="minorHAnsi" w:eastAsia="Times New Roman" w:hAnsiTheme="minorHAnsi"/>
                <w:sz w:val="18"/>
                <w:szCs w:val="18"/>
              </w:rPr>
              <w:t>interrogans</w:t>
            </w:r>
            <w:proofErr w:type="spellEnd"/>
            <w:r w:rsidRPr="00374CC9">
              <w:rPr>
                <w:rFonts w:asciiTheme="minorHAnsi" w:eastAsia="Times New Roman" w:hAnsiTheme="minorHAnsi"/>
                <w:sz w:val="18"/>
                <w:szCs w:val="18"/>
              </w:rPr>
              <w:t xml:space="preserve"> serovar </w:t>
            </w:r>
            <w:proofErr w:type="spellStart"/>
            <w:r w:rsidRPr="00374CC9">
              <w:rPr>
                <w:rFonts w:asciiTheme="minorHAnsi" w:eastAsia="Times New Roman" w:hAnsiTheme="minorHAnsi"/>
                <w:sz w:val="18"/>
                <w:szCs w:val="18"/>
              </w:rPr>
              <w:t>Copenhageni</w:t>
            </w:r>
            <w:proofErr w:type="spellEnd"/>
          </w:p>
        </w:tc>
        <w:tc>
          <w:tcPr>
            <w:tcW w:w="2483" w:type="dxa"/>
            <w:hideMark/>
          </w:tcPr>
          <w:p w14:paraId="6C9E29A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2484" w:type="dxa"/>
            <w:hideMark/>
          </w:tcPr>
          <w:p w14:paraId="0AB09BA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2484" w:type="dxa"/>
            <w:hideMark/>
          </w:tcPr>
          <w:p w14:paraId="344F063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r>
      <w:tr w:rsidR="00BE61A2" w:rsidRPr="00374CC9" w14:paraId="7328E70D" w14:textId="77777777" w:rsidTr="00F9706F">
        <w:tblPrEx>
          <w:tblCellMar>
            <w:right w:w="108" w:type="dxa"/>
          </w:tblCellMar>
        </w:tblPrEx>
        <w:tc>
          <w:tcPr>
            <w:tcW w:w="0" w:type="auto"/>
            <w:hideMark/>
          </w:tcPr>
          <w:p w14:paraId="547185C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 xml:space="preserve">L. </w:t>
            </w:r>
            <w:proofErr w:type="spellStart"/>
            <w:r w:rsidRPr="00374CC9">
              <w:rPr>
                <w:rFonts w:asciiTheme="minorHAnsi" w:eastAsia="Times New Roman" w:hAnsiTheme="minorHAnsi"/>
                <w:sz w:val="18"/>
                <w:szCs w:val="18"/>
              </w:rPr>
              <w:t>interrogans</w:t>
            </w:r>
            <w:proofErr w:type="spellEnd"/>
            <w:r w:rsidRPr="00374CC9">
              <w:rPr>
                <w:rFonts w:asciiTheme="minorHAnsi" w:eastAsia="Times New Roman" w:hAnsiTheme="minorHAnsi"/>
                <w:sz w:val="18"/>
                <w:szCs w:val="18"/>
              </w:rPr>
              <w:t xml:space="preserve"> serovar </w:t>
            </w:r>
            <w:proofErr w:type="spellStart"/>
            <w:r w:rsidRPr="00374CC9">
              <w:rPr>
                <w:rFonts w:asciiTheme="minorHAnsi" w:eastAsia="Times New Roman" w:hAnsiTheme="minorHAnsi"/>
                <w:sz w:val="18"/>
                <w:szCs w:val="18"/>
              </w:rPr>
              <w:t>Kremastos</w:t>
            </w:r>
            <w:proofErr w:type="spellEnd"/>
          </w:p>
        </w:tc>
        <w:tc>
          <w:tcPr>
            <w:tcW w:w="2483" w:type="dxa"/>
            <w:hideMark/>
          </w:tcPr>
          <w:p w14:paraId="2226949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2484" w:type="dxa"/>
            <w:hideMark/>
          </w:tcPr>
          <w:p w14:paraId="3D1E2DA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2484" w:type="dxa"/>
            <w:hideMark/>
          </w:tcPr>
          <w:p w14:paraId="49CA5B9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r>
      <w:tr w:rsidR="00BE61A2" w:rsidRPr="00374CC9" w14:paraId="6D2A4483" w14:textId="77777777" w:rsidTr="00F9706F">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334E23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 xml:space="preserve">L. </w:t>
            </w:r>
            <w:proofErr w:type="spellStart"/>
            <w:r w:rsidRPr="00374CC9">
              <w:rPr>
                <w:rFonts w:asciiTheme="minorHAnsi" w:eastAsia="Times New Roman" w:hAnsiTheme="minorHAnsi"/>
                <w:sz w:val="18"/>
                <w:szCs w:val="18"/>
              </w:rPr>
              <w:t>interrogans</w:t>
            </w:r>
            <w:proofErr w:type="spellEnd"/>
            <w:r w:rsidRPr="00374CC9">
              <w:rPr>
                <w:rFonts w:asciiTheme="minorHAnsi" w:eastAsia="Times New Roman" w:hAnsiTheme="minorHAnsi"/>
                <w:sz w:val="18"/>
                <w:szCs w:val="18"/>
              </w:rPr>
              <w:t xml:space="preserve"> serovar Pomona</w:t>
            </w:r>
          </w:p>
        </w:tc>
        <w:tc>
          <w:tcPr>
            <w:tcW w:w="2483" w:type="dxa"/>
            <w:hideMark/>
          </w:tcPr>
          <w:p w14:paraId="1ED6776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2484" w:type="dxa"/>
            <w:hideMark/>
          </w:tcPr>
          <w:p w14:paraId="24AF58B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2484" w:type="dxa"/>
            <w:hideMark/>
          </w:tcPr>
          <w:p w14:paraId="75EBABC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r>
      <w:tr w:rsidR="00BE61A2" w:rsidRPr="00374CC9" w14:paraId="0268474F" w14:textId="77777777" w:rsidTr="00F9706F">
        <w:tblPrEx>
          <w:tblCellMar>
            <w:right w:w="108" w:type="dxa"/>
          </w:tblCellMar>
        </w:tblPrEx>
        <w:tc>
          <w:tcPr>
            <w:tcW w:w="0" w:type="auto"/>
            <w:hideMark/>
          </w:tcPr>
          <w:p w14:paraId="0993579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 xml:space="preserve">L. </w:t>
            </w:r>
            <w:proofErr w:type="spellStart"/>
            <w:r w:rsidRPr="00374CC9">
              <w:rPr>
                <w:rFonts w:asciiTheme="minorHAnsi" w:eastAsia="Times New Roman" w:hAnsiTheme="minorHAnsi"/>
                <w:sz w:val="18"/>
                <w:szCs w:val="18"/>
              </w:rPr>
              <w:t>interrogans</w:t>
            </w:r>
            <w:proofErr w:type="spellEnd"/>
            <w:r w:rsidRPr="00374CC9">
              <w:rPr>
                <w:rFonts w:asciiTheme="minorHAnsi" w:eastAsia="Times New Roman" w:hAnsiTheme="minorHAnsi"/>
                <w:sz w:val="18"/>
                <w:szCs w:val="18"/>
              </w:rPr>
              <w:t xml:space="preserve"> serovar </w:t>
            </w:r>
            <w:proofErr w:type="spellStart"/>
            <w:r w:rsidRPr="00374CC9">
              <w:rPr>
                <w:rFonts w:asciiTheme="minorHAnsi" w:eastAsia="Times New Roman" w:hAnsiTheme="minorHAnsi"/>
                <w:sz w:val="18"/>
                <w:szCs w:val="18"/>
              </w:rPr>
              <w:t>Szwajizak</w:t>
            </w:r>
            <w:proofErr w:type="spellEnd"/>
          </w:p>
        </w:tc>
        <w:tc>
          <w:tcPr>
            <w:tcW w:w="2483" w:type="dxa"/>
            <w:hideMark/>
          </w:tcPr>
          <w:p w14:paraId="74941B6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2484" w:type="dxa"/>
            <w:hideMark/>
          </w:tcPr>
          <w:p w14:paraId="70EB958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2484" w:type="dxa"/>
            <w:hideMark/>
          </w:tcPr>
          <w:p w14:paraId="18D36F7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r>
      <w:tr w:rsidR="00BE61A2" w:rsidRPr="00374CC9" w14:paraId="02F47187" w14:textId="77777777" w:rsidTr="00F9706F">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58446B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 xml:space="preserve">L. </w:t>
            </w:r>
            <w:proofErr w:type="spellStart"/>
            <w:r w:rsidRPr="00374CC9">
              <w:rPr>
                <w:rFonts w:asciiTheme="minorHAnsi" w:eastAsia="Times New Roman" w:hAnsiTheme="minorHAnsi"/>
                <w:sz w:val="18"/>
                <w:szCs w:val="18"/>
              </w:rPr>
              <w:t>interrogans</w:t>
            </w:r>
            <w:proofErr w:type="spellEnd"/>
            <w:r w:rsidRPr="00374CC9">
              <w:rPr>
                <w:rFonts w:asciiTheme="minorHAnsi" w:eastAsia="Times New Roman" w:hAnsiTheme="minorHAnsi"/>
                <w:sz w:val="18"/>
                <w:szCs w:val="18"/>
              </w:rPr>
              <w:t xml:space="preserve"> serovar </w:t>
            </w:r>
            <w:proofErr w:type="spellStart"/>
            <w:r w:rsidRPr="00374CC9">
              <w:rPr>
                <w:rFonts w:asciiTheme="minorHAnsi" w:eastAsia="Times New Roman" w:hAnsiTheme="minorHAnsi"/>
                <w:sz w:val="18"/>
                <w:szCs w:val="18"/>
              </w:rPr>
              <w:t>Zanoni</w:t>
            </w:r>
            <w:proofErr w:type="spellEnd"/>
          </w:p>
        </w:tc>
        <w:tc>
          <w:tcPr>
            <w:tcW w:w="2483" w:type="dxa"/>
            <w:hideMark/>
          </w:tcPr>
          <w:p w14:paraId="6E99A9F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w:t>
            </w:r>
          </w:p>
        </w:tc>
        <w:tc>
          <w:tcPr>
            <w:tcW w:w="2484" w:type="dxa"/>
            <w:hideMark/>
          </w:tcPr>
          <w:p w14:paraId="181AE85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2484" w:type="dxa"/>
            <w:hideMark/>
          </w:tcPr>
          <w:p w14:paraId="5B4F0EB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w:t>
            </w:r>
          </w:p>
        </w:tc>
      </w:tr>
      <w:tr w:rsidR="00BE61A2" w:rsidRPr="00374CC9" w14:paraId="54E3E1A3" w14:textId="77777777" w:rsidTr="00F9706F">
        <w:tblPrEx>
          <w:tblCellMar>
            <w:right w:w="108" w:type="dxa"/>
          </w:tblCellMar>
        </w:tblPrEx>
        <w:tc>
          <w:tcPr>
            <w:tcW w:w="0" w:type="auto"/>
            <w:hideMark/>
          </w:tcPr>
          <w:p w14:paraId="76B402D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 xml:space="preserve">L. </w:t>
            </w:r>
            <w:proofErr w:type="spellStart"/>
            <w:r w:rsidRPr="00374CC9">
              <w:rPr>
                <w:rFonts w:asciiTheme="minorHAnsi" w:eastAsia="Times New Roman" w:hAnsiTheme="minorHAnsi"/>
                <w:sz w:val="18"/>
                <w:szCs w:val="18"/>
              </w:rPr>
              <w:t>kirschneri</w:t>
            </w:r>
            <w:proofErr w:type="spellEnd"/>
            <w:r w:rsidRPr="00374CC9">
              <w:rPr>
                <w:rFonts w:asciiTheme="minorHAnsi" w:eastAsia="Times New Roman" w:hAnsiTheme="minorHAnsi"/>
                <w:sz w:val="18"/>
                <w:szCs w:val="18"/>
              </w:rPr>
              <w:t xml:space="preserve"> serovar </w:t>
            </w:r>
            <w:proofErr w:type="spellStart"/>
            <w:r w:rsidRPr="00374CC9">
              <w:rPr>
                <w:rFonts w:asciiTheme="minorHAnsi" w:eastAsia="Times New Roman" w:hAnsiTheme="minorHAnsi"/>
                <w:sz w:val="18"/>
                <w:szCs w:val="18"/>
              </w:rPr>
              <w:t>Grippotyphosa</w:t>
            </w:r>
            <w:proofErr w:type="spellEnd"/>
          </w:p>
        </w:tc>
        <w:tc>
          <w:tcPr>
            <w:tcW w:w="2483" w:type="dxa"/>
            <w:hideMark/>
          </w:tcPr>
          <w:p w14:paraId="72DEA25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2484" w:type="dxa"/>
            <w:hideMark/>
          </w:tcPr>
          <w:p w14:paraId="6205D9A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2484" w:type="dxa"/>
            <w:hideMark/>
          </w:tcPr>
          <w:p w14:paraId="157C195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r>
      <w:tr w:rsidR="00BE61A2" w:rsidRPr="00374CC9" w14:paraId="14E32FAE" w14:textId="77777777" w:rsidTr="00F9706F">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554004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 xml:space="preserve">L. </w:t>
            </w:r>
            <w:proofErr w:type="spellStart"/>
            <w:r w:rsidRPr="00374CC9">
              <w:rPr>
                <w:rFonts w:asciiTheme="minorHAnsi" w:eastAsia="Times New Roman" w:hAnsiTheme="minorHAnsi"/>
                <w:sz w:val="18"/>
                <w:szCs w:val="18"/>
              </w:rPr>
              <w:t>weilii</w:t>
            </w:r>
            <w:proofErr w:type="spellEnd"/>
            <w:r w:rsidRPr="00374CC9">
              <w:rPr>
                <w:rFonts w:asciiTheme="minorHAnsi" w:eastAsia="Times New Roman" w:hAnsiTheme="minorHAnsi"/>
                <w:sz w:val="18"/>
                <w:szCs w:val="18"/>
              </w:rPr>
              <w:t xml:space="preserve"> serovar Topaz</w:t>
            </w:r>
          </w:p>
        </w:tc>
        <w:tc>
          <w:tcPr>
            <w:tcW w:w="2483" w:type="dxa"/>
            <w:hideMark/>
          </w:tcPr>
          <w:p w14:paraId="429CA53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2484" w:type="dxa"/>
            <w:hideMark/>
          </w:tcPr>
          <w:p w14:paraId="0E7B635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2484" w:type="dxa"/>
            <w:hideMark/>
          </w:tcPr>
          <w:p w14:paraId="2E9E95B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r>
      <w:tr w:rsidR="00BE61A2" w:rsidRPr="00374CC9" w14:paraId="3EBE6F7C" w14:textId="77777777" w:rsidTr="00F9706F">
        <w:tblPrEx>
          <w:tblCellMar>
            <w:right w:w="108" w:type="dxa"/>
          </w:tblCellMar>
        </w:tblPrEx>
        <w:tc>
          <w:tcPr>
            <w:tcW w:w="0" w:type="auto"/>
            <w:hideMark/>
          </w:tcPr>
          <w:p w14:paraId="6AA8ECA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Serotype unknown</w:t>
            </w:r>
          </w:p>
        </w:tc>
        <w:tc>
          <w:tcPr>
            <w:tcW w:w="2483" w:type="dxa"/>
            <w:hideMark/>
          </w:tcPr>
          <w:p w14:paraId="6D8B45E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11</w:t>
            </w:r>
          </w:p>
        </w:tc>
        <w:tc>
          <w:tcPr>
            <w:tcW w:w="2484" w:type="dxa"/>
            <w:hideMark/>
          </w:tcPr>
          <w:p w14:paraId="13050E6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2484" w:type="dxa"/>
            <w:hideMark/>
          </w:tcPr>
          <w:p w14:paraId="44063F7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w:t>
            </w:r>
          </w:p>
        </w:tc>
      </w:tr>
      <w:tr w:rsidR="00BE61A2" w:rsidRPr="00F9706F" w14:paraId="38C3B45A" w14:textId="77777777" w:rsidTr="00F9706F">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2AC7B00E" w14:textId="77777777" w:rsidR="00BE61A2" w:rsidRPr="00F9706F" w:rsidRDefault="00BE61A2">
            <w:pPr>
              <w:rPr>
                <w:rFonts w:asciiTheme="minorHAnsi" w:eastAsia="Times New Roman" w:hAnsiTheme="minorHAnsi"/>
                <w:b/>
                <w:sz w:val="18"/>
                <w:szCs w:val="18"/>
              </w:rPr>
            </w:pPr>
            <w:r w:rsidRPr="00F9706F">
              <w:rPr>
                <w:rFonts w:asciiTheme="minorHAnsi" w:eastAsia="Times New Roman" w:hAnsiTheme="minorHAnsi"/>
                <w:b/>
                <w:sz w:val="18"/>
                <w:szCs w:val="18"/>
              </w:rPr>
              <w:t>Total</w:t>
            </w:r>
          </w:p>
        </w:tc>
        <w:tc>
          <w:tcPr>
            <w:tcW w:w="2483" w:type="dxa"/>
            <w:shd w:val="clear" w:color="auto" w:fill="FDE9D9" w:themeFill="accent6" w:themeFillTint="33"/>
            <w:hideMark/>
          </w:tcPr>
          <w:p w14:paraId="49B9D1EA" w14:textId="77777777" w:rsidR="00BE61A2" w:rsidRPr="00F9706F" w:rsidRDefault="00BE61A2">
            <w:pPr>
              <w:rPr>
                <w:rFonts w:asciiTheme="minorHAnsi" w:eastAsia="Times New Roman" w:hAnsiTheme="minorHAnsi"/>
                <w:b/>
                <w:sz w:val="18"/>
                <w:szCs w:val="18"/>
              </w:rPr>
            </w:pPr>
            <w:r w:rsidRPr="00F9706F">
              <w:rPr>
                <w:rFonts w:asciiTheme="minorHAnsi" w:eastAsia="Times New Roman" w:hAnsiTheme="minorHAnsi"/>
                <w:b/>
                <w:sz w:val="18"/>
                <w:szCs w:val="18"/>
              </w:rPr>
              <w:t>35</w:t>
            </w:r>
          </w:p>
        </w:tc>
        <w:tc>
          <w:tcPr>
            <w:tcW w:w="2484" w:type="dxa"/>
            <w:shd w:val="clear" w:color="auto" w:fill="FDE9D9" w:themeFill="accent6" w:themeFillTint="33"/>
            <w:hideMark/>
          </w:tcPr>
          <w:p w14:paraId="78B6ED20" w14:textId="77777777" w:rsidR="00BE61A2" w:rsidRPr="00F9706F" w:rsidRDefault="00BE61A2">
            <w:pPr>
              <w:rPr>
                <w:rFonts w:asciiTheme="minorHAnsi" w:eastAsia="Times New Roman" w:hAnsiTheme="minorHAnsi"/>
                <w:b/>
                <w:sz w:val="18"/>
                <w:szCs w:val="18"/>
              </w:rPr>
            </w:pPr>
            <w:r w:rsidRPr="00F9706F">
              <w:rPr>
                <w:rFonts w:asciiTheme="minorHAnsi" w:eastAsia="Times New Roman" w:hAnsiTheme="minorHAnsi"/>
                <w:b/>
                <w:sz w:val="18"/>
                <w:szCs w:val="18"/>
              </w:rPr>
              <w:t>12</w:t>
            </w:r>
          </w:p>
        </w:tc>
        <w:tc>
          <w:tcPr>
            <w:tcW w:w="2484" w:type="dxa"/>
            <w:shd w:val="clear" w:color="auto" w:fill="FDE9D9" w:themeFill="accent6" w:themeFillTint="33"/>
            <w:hideMark/>
          </w:tcPr>
          <w:p w14:paraId="1CB3CCC7" w14:textId="77777777" w:rsidR="00BE61A2" w:rsidRPr="00F9706F" w:rsidRDefault="00BE61A2">
            <w:pPr>
              <w:rPr>
                <w:rFonts w:asciiTheme="minorHAnsi" w:eastAsia="Times New Roman" w:hAnsiTheme="minorHAnsi"/>
                <w:b/>
                <w:sz w:val="18"/>
                <w:szCs w:val="18"/>
              </w:rPr>
            </w:pPr>
            <w:r w:rsidRPr="00F9706F">
              <w:rPr>
                <w:rFonts w:asciiTheme="minorHAnsi" w:eastAsia="Times New Roman" w:hAnsiTheme="minorHAnsi"/>
                <w:b/>
                <w:sz w:val="18"/>
                <w:szCs w:val="18"/>
              </w:rPr>
              <w:t>27</w:t>
            </w:r>
          </w:p>
        </w:tc>
      </w:tr>
    </w:tbl>
    <w:p w14:paraId="46EAB42A" w14:textId="77777777" w:rsidR="00BE61A2" w:rsidRPr="004E056D" w:rsidRDefault="00BE61A2" w:rsidP="004E056D">
      <w:pPr>
        <w:pStyle w:val="Heading2"/>
        <w:rPr>
          <w:rFonts w:eastAsiaTheme="minorEastAsia"/>
        </w:rPr>
      </w:pPr>
      <w:bookmarkStart w:id="237" w:name="_Toc1747391"/>
      <w:r w:rsidRPr="004E056D">
        <w:rPr>
          <w:bCs w:val="0"/>
          <w:sz w:val="27"/>
          <w:szCs w:val="27"/>
        </w:rPr>
        <w:t>Ornithosis</w:t>
      </w:r>
      <w:bookmarkEnd w:id="237"/>
    </w:p>
    <w:p w14:paraId="350E966F" w14:textId="77777777" w:rsidR="00BE61A2" w:rsidRPr="00EB430E" w:rsidRDefault="00BE61A2" w:rsidP="00EB430E">
      <w:pPr>
        <w:pStyle w:val="ListParagraph"/>
        <w:numPr>
          <w:ilvl w:val="0"/>
          <w:numId w:val="20"/>
        </w:numPr>
        <w:rPr>
          <w:rFonts w:eastAsia="Times New Roman"/>
        </w:rPr>
      </w:pPr>
      <w:r w:rsidRPr="00EB430E">
        <w:rPr>
          <w:rFonts w:eastAsia="Times New Roman"/>
        </w:rPr>
        <w:t xml:space="preserve">There were 16 cases of ornithosis notified in 2015, a 74% decrease compared with the 5-year mean. </w:t>
      </w:r>
    </w:p>
    <w:p w14:paraId="0BADFEBD" w14:textId="77777777" w:rsidR="00BE61A2" w:rsidRPr="00EB430E" w:rsidRDefault="00BE61A2" w:rsidP="00EB430E">
      <w:pPr>
        <w:pStyle w:val="ListParagraph"/>
        <w:numPr>
          <w:ilvl w:val="0"/>
          <w:numId w:val="20"/>
        </w:numPr>
        <w:rPr>
          <w:rFonts w:eastAsia="Times New Roman"/>
        </w:rPr>
      </w:pPr>
      <w:r w:rsidRPr="00EB430E">
        <w:rPr>
          <w:rFonts w:eastAsia="Times New Roman"/>
        </w:rPr>
        <w:t xml:space="preserve">As in previous years, the majority of notifications in 2015 were residents of Victoria. </w:t>
      </w:r>
    </w:p>
    <w:p w14:paraId="2D12470B" w14:textId="77777777" w:rsidR="00BE61A2" w:rsidRPr="00EB430E" w:rsidRDefault="00BE61A2" w:rsidP="00EB430E">
      <w:pPr>
        <w:pStyle w:val="ListParagraph"/>
        <w:numPr>
          <w:ilvl w:val="0"/>
          <w:numId w:val="20"/>
        </w:numPr>
        <w:rPr>
          <w:rFonts w:eastAsia="Times New Roman"/>
        </w:rPr>
      </w:pPr>
      <w:r w:rsidRPr="00EB430E">
        <w:rPr>
          <w:rFonts w:eastAsia="Times New Roman"/>
        </w:rPr>
        <w:t xml:space="preserve">Seventy-five per cent of cases reported in 2015 were male. </w:t>
      </w:r>
    </w:p>
    <w:p w14:paraId="313C352F" w14:textId="77777777" w:rsidR="00BE61A2" w:rsidRPr="00AE2F1B" w:rsidRDefault="00BE61A2" w:rsidP="00AE2F1B">
      <w:r w:rsidRPr="00AE2F1B">
        <w:t xml:space="preserve">Ornithosis (or psittacosis) is a pneumonia-like illness caused by infection with the bacterium </w:t>
      </w:r>
      <w:r w:rsidRPr="00DF12AB">
        <w:rPr>
          <w:rStyle w:val="Emphasis"/>
          <w:b w:val="0"/>
        </w:rPr>
        <w:t>Chlamydophila psittaci</w:t>
      </w:r>
      <w:r w:rsidRPr="00AE2F1B">
        <w:t>.</w:t>
      </w:r>
      <w:r w:rsidRPr="00AE2F1B">
        <w:rPr>
          <w:vertAlign w:val="superscript"/>
        </w:rPr>
        <w:t>21</w:t>
      </w:r>
      <w:r w:rsidRPr="00AE2F1B">
        <w:t xml:space="preserve"> It is transmitted to humans primarily from infected parrots, but transmission to humans has also been known to occur from poultry and a range of other birds.</w:t>
      </w:r>
      <w:r w:rsidRPr="00AE2F1B">
        <w:rPr>
          <w:vertAlign w:val="superscript"/>
        </w:rPr>
        <w:t>175</w:t>
      </w:r>
      <w:r w:rsidRPr="00AE2F1B">
        <w:t xml:space="preserve"> Transmission to humans occurs via the inhalation of contaminated dried faeces, nasal or eye secretions and dust from the feathers. Individuals at risk of contracting ornithosis include bird owners and those with occupational exposure to birds.</w:t>
      </w:r>
      <w:r w:rsidRPr="00AE2F1B">
        <w:rPr>
          <w:vertAlign w:val="superscript"/>
        </w:rPr>
        <w:t>176</w:t>
      </w:r>
      <w:r w:rsidRPr="00AE2F1B">
        <w:t xml:space="preserve"> </w:t>
      </w:r>
    </w:p>
    <w:p w14:paraId="6DD10AC9" w14:textId="77777777" w:rsidR="00BE61A2" w:rsidRPr="00AE2F1B" w:rsidRDefault="00BE61A2" w:rsidP="00924A50">
      <w:pPr>
        <w:pStyle w:val="Heading3"/>
      </w:pPr>
      <w:bookmarkStart w:id="238" w:name="_Toc1747392"/>
      <w:r w:rsidRPr="00924A50">
        <w:rPr>
          <w:bCs w:val="0"/>
        </w:rPr>
        <w:t>Epidemiological situation in 2015</w:t>
      </w:r>
      <w:bookmarkEnd w:id="238"/>
    </w:p>
    <w:p w14:paraId="0797C280" w14:textId="77777777" w:rsidR="00BE61A2" w:rsidRPr="00AE2F1B" w:rsidRDefault="00BE61A2" w:rsidP="00AE2F1B">
      <w:r w:rsidRPr="00AE2F1B">
        <w:t>In 2015, there were 16 notified cases of ornithosis in Australia (0.1 per 100,000), a 74% decrease compared with the 5-year mean (n=62).</w:t>
      </w:r>
    </w:p>
    <w:p w14:paraId="640D572E" w14:textId="77777777" w:rsidR="00BE61A2" w:rsidRPr="00AE2F1B" w:rsidRDefault="00BE61A2" w:rsidP="00924A50">
      <w:pPr>
        <w:pStyle w:val="Heading3"/>
      </w:pPr>
      <w:bookmarkStart w:id="239" w:name="_Toc1747393"/>
      <w:r w:rsidRPr="00924A50">
        <w:rPr>
          <w:bCs w:val="0"/>
        </w:rPr>
        <w:t>Geographical distribution</w:t>
      </w:r>
      <w:bookmarkEnd w:id="239"/>
    </w:p>
    <w:p w14:paraId="6ED65FC4" w14:textId="77777777" w:rsidR="00BE61A2" w:rsidRPr="00AE2F1B" w:rsidRDefault="00BE61A2" w:rsidP="00AE2F1B">
      <w:r w:rsidRPr="00AE2F1B">
        <w:t>As in previous years, more than two-thirds of the 2015 notifications were residents of Victoria (69%, 11/16) (Figure</w:t>
      </w:r>
      <w:r w:rsidR="004D0E44">
        <w:t> </w:t>
      </w:r>
      <w:r w:rsidRPr="00AE2F1B">
        <w:t>105).</w:t>
      </w:r>
    </w:p>
    <w:p w14:paraId="3124DD29" w14:textId="77777777" w:rsidR="00087E2C" w:rsidRDefault="00087E2C">
      <w:pPr>
        <w:rPr>
          <w:rFonts w:asciiTheme="majorHAnsi" w:eastAsiaTheme="majorEastAsia" w:hAnsiTheme="majorHAnsi" w:cstheme="majorBidi"/>
          <w:b/>
          <w:bCs/>
          <w:i/>
          <w:iCs/>
        </w:rPr>
      </w:pPr>
      <w:r>
        <w:br w:type="page"/>
      </w:r>
    </w:p>
    <w:p w14:paraId="6E454A94" w14:textId="77777777" w:rsidR="00624FB5" w:rsidRDefault="00624FB5" w:rsidP="00624FB5">
      <w:pPr>
        <w:pStyle w:val="CDIFigures"/>
      </w:pPr>
      <w:r>
        <w:lastRenderedPageBreak/>
        <w:t>Figure 105: Notifications of ornithosis, Australia, 2010 to 2015, by month and year of diagnosis and state or territory</w:t>
      </w:r>
    </w:p>
    <w:p w14:paraId="734B040D" w14:textId="77777777" w:rsidR="00624FB5" w:rsidRDefault="0021477A" w:rsidP="00624FB5">
      <w:pPr>
        <w:pStyle w:val="CDIFigures"/>
      </w:pPr>
      <w:r>
        <w:pict w14:anchorId="5778B28F">
          <v:shape id="_x0000_i1126" type="#_x0000_t75" alt="This figure shows the notifications of ornithosis in Australia between 2010 and 2015 by state and territory. National ornithosis notifications in 2015 decreased by 74% compared to the 5 year mean (n=62)." style="width:522.6pt;height:333.6pt;mso-position-vertical:absolute">
            <v:imagedata r:id="rId124" o:title="7-Zoos chapter figures _101 to 109_Page_5"/>
          </v:shape>
        </w:pict>
      </w:r>
    </w:p>
    <w:p w14:paraId="1FE76355" w14:textId="77777777" w:rsidR="00BE61A2" w:rsidRPr="00AE2F1B" w:rsidRDefault="00BE61A2" w:rsidP="008338E2">
      <w:pPr>
        <w:pStyle w:val="Heading4"/>
      </w:pPr>
      <w:r w:rsidRPr="00AE2F1B">
        <w:t>Age and sex distribution</w:t>
      </w:r>
    </w:p>
    <w:p w14:paraId="0ADA6A0E" w14:textId="77777777" w:rsidR="00BE61A2" w:rsidRDefault="00BE61A2" w:rsidP="00AE2F1B">
      <w:r w:rsidRPr="00AE2F1B">
        <w:t xml:space="preserve">In 2015, the median age of ornithosis notifications was 61 years (range: 18 to 80 years), and 75% </w:t>
      </w:r>
      <w:r w:rsidR="00184BAD">
        <w:t>(12/16) were male (Figure 106).</w:t>
      </w:r>
    </w:p>
    <w:p w14:paraId="78235B12" w14:textId="77777777" w:rsidR="006626B3" w:rsidRDefault="006626B3">
      <w:pPr>
        <w:rPr>
          <w:b/>
        </w:rPr>
      </w:pPr>
      <w:r>
        <w:br w:type="page"/>
      </w:r>
    </w:p>
    <w:p w14:paraId="7F69C662" w14:textId="77777777" w:rsidR="00184BAD" w:rsidRDefault="00184BAD" w:rsidP="00184BAD">
      <w:pPr>
        <w:pStyle w:val="CDIFigures"/>
      </w:pPr>
      <w:r w:rsidRPr="00184BAD">
        <w:lastRenderedPageBreak/>
        <w:t>Figure 106: Notifications of ornithosis, Australia, 2015, by age group and sex</w:t>
      </w:r>
    </w:p>
    <w:p w14:paraId="17EC9FC1" w14:textId="77777777" w:rsidR="006626B3" w:rsidRPr="00184BAD" w:rsidRDefault="0021477A" w:rsidP="00184BAD">
      <w:pPr>
        <w:pStyle w:val="CDIFigures"/>
      </w:pPr>
      <w:r>
        <w:pict w14:anchorId="4C6701F9">
          <v:shape id="_x0000_i1127" type="#_x0000_t75" alt="This figure shows notifications of ornithosis in 2015 by age group and sex. 75% of cases (12/16) were male.&#10;" style="width:522.6pt;height:337.2pt">
            <v:imagedata r:id="rId125" o:title="7-Zoos chapter figures _101 to 109_Page_6"/>
          </v:shape>
        </w:pict>
      </w:r>
    </w:p>
    <w:p w14:paraId="6BB97638" w14:textId="77777777" w:rsidR="00BE61A2" w:rsidRPr="004E056D" w:rsidRDefault="00BE61A2" w:rsidP="004E056D">
      <w:pPr>
        <w:pStyle w:val="Heading2"/>
      </w:pPr>
      <w:bookmarkStart w:id="240" w:name="_Toc1747394"/>
      <w:r w:rsidRPr="004E056D">
        <w:rPr>
          <w:bCs w:val="0"/>
          <w:sz w:val="27"/>
          <w:szCs w:val="27"/>
        </w:rPr>
        <w:t>Q fever</w:t>
      </w:r>
      <w:bookmarkEnd w:id="240"/>
    </w:p>
    <w:p w14:paraId="44F92AA5" w14:textId="77777777" w:rsidR="00BE61A2" w:rsidRPr="008338E2" w:rsidRDefault="00BE61A2" w:rsidP="008338E2">
      <w:pPr>
        <w:pStyle w:val="ListParagraph"/>
        <w:numPr>
          <w:ilvl w:val="0"/>
          <w:numId w:val="21"/>
        </w:numPr>
        <w:rPr>
          <w:rFonts w:eastAsia="Times New Roman"/>
        </w:rPr>
      </w:pPr>
      <w:r w:rsidRPr="008338E2">
        <w:rPr>
          <w:rFonts w:eastAsia="Times New Roman"/>
        </w:rPr>
        <w:t xml:space="preserve">Cases of Q fever </w:t>
      </w:r>
      <w:proofErr w:type="gramStart"/>
      <w:r w:rsidRPr="008338E2">
        <w:rPr>
          <w:rFonts w:eastAsia="Times New Roman"/>
        </w:rPr>
        <w:t>were</w:t>
      </w:r>
      <w:proofErr w:type="gramEnd"/>
      <w:r w:rsidRPr="008338E2">
        <w:rPr>
          <w:rFonts w:eastAsia="Times New Roman"/>
        </w:rPr>
        <w:t xml:space="preserve"> reported in all jurisdictions except Tasmania and the Australian Capital Territory. The highest notification rate was in Queensland, at 5.3 per 100,000. </w:t>
      </w:r>
    </w:p>
    <w:p w14:paraId="25E5CFCA" w14:textId="77777777" w:rsidR="00BE61A2" w:rsidRPr="008338E2" w:rsidRDefault="00BE61A2" w:rsidP="008338E2">
      <w:pPr>
        <w:pStyle w:val="ListParagraph"/>
        <w:numPr>
          <w:ilvl w:val="0"/>
          <w:numId w:val="21"/>
        </w:numPr>
        <w:rPr>
          <w:rFonts w:eastAsia="Times New Roman"/>
        </w:rPr>
      </w:pPr>
      <w:r w:rsidRPr="008338E2">
        <w:rPr>
          <w:rFonts w:eastAsia="Times New Roman"/>
        </w:rPr>
        <w:t xml:space="preserve">Seventy-six per cent cases reported in 2015 were male. </w:t>
      </w:r>
    </w:p>
    <w:p w14:paraId="7C6135AC" w14:textId="77777777" w:rsidR="00BE61A2" w:rsidRPr="00AE2F1B" w:rsidRDefault="00BE61A2" w:rsidP="008338E2">
      <w:pPr>
        <w:pStyle w:val="ListParagraph"/>
        <w:numPr>
          <w:ilvl w:val="0"/>
          <w:numId w:val="21"/>
        </w:numPr>
      </w:pPr>
      <w:r w:rsidRPr="00AE2F1B">
        <w:t>There were 601 cases of Q fever notified in 2015.</w:t>
      </w:r>
    </w:p>
    <w:p w14:paraId="3854F7A7" w14:textId="77777777" w:rsidR="00BE61A2" w:rsidRPr="00AE2F1B" w:rsidRDefault="00BE61A2" w:rsidP="00AE2F1B">
      <w:r w:rsidRPr="00AE2F1B">
        <w:t xml:space="preserve">Q fever is caused by infection with the bacterium </w:t>
      </w:r>
      <w:r w:rsidRPr="00DF12AB">
        <w:rPr>
          <w:rStyle w:val="Emphasis"/>
          <w:b w:val="0"/>
        </w:rPr>
        <w:t xml:space="preserve">Coxiella </w:t>
      </w:r>
      <w:proofErr w:type="spellStart"/>
      <w:r w:rsidRPr="00DF12AB">
        <w:rPr>
          <w:rStyle w:val="Emphasis"/>
          <w:b w:val="0"/>
        </w:rPr>
        <w:t>burnetii</w:t>
      </w:r>
      <w:proofErr w:type="spellEnd"/>
      <w:r w:rsidRPr="00DF12AB">
        <w:rPr>
          <w:rStyle w:val="Emphasis"/>
          <w:b w:val="0"/>
        </w:rPr>
        <w:t>.</w:t>
      </w:r>
      <w:r w:rsidRPr="00AE2F1B">
        <w:t xml:space="preserve"> The primary reservoirs of these bacteria are cattle, </w:t>
      </w:r>
      <w:proofErr w:type="gramStart"/>
      <w:r w:rsidRPr="00AE2F1B">
        <w:t>sheep</w:t>
      </w:r>
      <w:proofErr w:type="gramEnd"/>
      <w:r w:rsidRPr="00AE2F1B">
        <w:t xml:space="preserve"> and goats. </w:t>
      </w:r>
      <w:r w:rsidRPr="00DF12AB">
        <w:rPr>
          <w:rStyle w:val="Emphasis"/>
          <w:b w:val="0"/>
        </w:rPr>
        <w:t xml:space="preserve">C. </w:t>
      </w:r>
      <w:proofErr w:type="spellStart"/>
      <w:r w:rsidRPr="00DF12AB">
        <w:rPr>
          <w:rStyle w:val="Emphasis"/>
          <w:b w:val="0"/>
        </w:rPr>
        <w:t>burnetii</w:t>
      </w:r>
      <w:proofErr w:type="spellEnd"/>
      <w:r w:rsidRPr="00AE2F1B">
        <w:t xml:space="preserve"> is resistant to environmental conditions and many common disinfectants.</w:t>
      </w:r>
      <w:r w:rsidRPr="00AE2F1B">
        <w:rPr>
          <w:vertAlign w:val="superscript"/>
        </w:rPr>
        <w:t>177</w:t>
      </w:r>
      <w:r w:rsidRPr="00AE2F1B">
        <w:t xml:space="preserve"> Q</w:t>
      </w:r>
      <w:r w:rsidR="00E76B22">
        <w:t> </w:t>
      </w:r>
      <w:r w:rsidRPr="00AE2F1B">
        <w:t>fever is most commonly transmitted via the airborne route, where the organism is carried in dust contaminated with tissue, birth fluids or excreta from infected animals.</w:t>
      </w:r>
      <w:r w:rsidRPr="00AE2F1B">
        <w:rPr>
          <w:vertAlign w:val="superscript"/>
        </w:rPr>
        <w:t>178</w:t>
      </w:r>
      <w:r w:rsidRPr="00AE2F1B">
        <w:t xml:space="preserve"> Prior to the commencement of immunisation programs in Australia, approximately half of all cases in New South Wales, Queensland and Victoria were among abattoir</w:t>
      </w:r>
      <w:r w:rsidR="006035DA">
        <w:t> </w:t>
      </w:r>
      <w:r w:rsidRPr="00AE2F1B">
        <w:t>workers.</w:t>
      </w:r>
      <w:r w:rsidRPr="00AE2F1B">
        <w:rPr>
          <w:vertAlign w:val="superscript"/>
        </w:rPr>
        <w:t>179,180</w:t>
      </w:r>
      <w:r w:rsidRPr="00AE2F1B">
        <w:t xml:space="preserve"> </w:t>
      </w:r>
    </w:p>
    <w:p w14:paraId="2EAD985D" w14:textId="77777777" w:rsidR="00BE61A2" w:rsidRPr="00AE2F1B" w:rsidRDefault="00BE61A2" w:rsidP="00AE2F1B">
      <w:r w:rsidRPr="00AE2F1B">
        <w:t>The Australian Government funded the National Q Fever Management Program (NQFMP) between 2001 and 2006 for states and territories to provide free vaccine to at risk occupational groups (such as abattoir workers)</w:t>
      </w:r>
      <w:proofErr w:type="gramStart"/>
      <w:r w:rsidRPr="00AE2F1B">
        <w:t>.</w:t>
      </w:r>
      <w:r w:rsidRPr="00AE2F1B">
        <w:rPr>
          <w:vertAlign w:val="superscript"/>
        </w:rPr>
        <w:t>181</w:t>
      </w:r>
      <w:proofErr w:type="gramEnd"/>
      <w:r w:rsidRPr="00AE2F1B">
        <w:t xml:space="preserve"> </w:t>
      </w:r>
    </w:p>
    <w:p w14:paraId="54BAE154" w14:textId="77777777" w:rsidR="00BE61A2" w:rsidRPr="00AE2F1B" w:rsidRDefault="00BE61A2" w:rsidP="00AE2F1B">
      <w:r w:rsidRPr="00AE2F1B">
        <w:t xml:space="preserve">Adults at risk of Q fever infection, including abattoir workers, farmers, veterinarians, stockyard workers, </w:t>
      </w:r>
      <w:proofErr w:type="gramStart"/>
      <w:r w:rsidRPr="00AE2F1B">
        <w:t>shearers</w:t>
      </w:r>
      <w:proofErr w:type="gramEnd"/>
      <w:r w:rsidRPr="00AE2F1B">
        <w:t xml:space="preserve"> and animal transporters, should be considered for immunisation. The administration of the Q fever vaccine requires a pre-immunisation screening test to exclude those recipients with a previous (possibly unrecognised) exposure to the organism, including previous immunisation. Q fever vaccine may cause an adverse reaction in a person who has already been exposed to the bacterium. Immunisation is not recommended for children under 15 years of age or pregnant females.</w:t>
      </w:r>
      <w:r w:rsidRPr="00AE2F1B">
        <w:rPr>
          <w:vertAlign w:val="superscript"/>
        </w:rPr>
        <w:t>29</w:t>
      </w:r>
      <w:r w:rsidRPr="00AE2F1B">
        <w:t xml:space="preserve"> </w:t>
      </w:r>
    </w:p>
    <w:p w14:paraId="2063408A" w14:textId="77777777" w:rsidR="00BE61A2" w:rsidRPr="00AE2F1B" w:rsidRDefault="00BE61A2" w:rsidP="00924A50">
      <w:pPr>
        <w:pStyle w:val="Heading3"/>
      </w:pPr>
      <w:bookmarkStart w:id="241" w:name="_Toc1747395"/>
      <w:r w:rsidRPr="00924A50">
        <w:rPr>
          <w:bCs w:val="0"/>
        </w:rPr>
        <w:lastRenderedPageBreak/>
        <w:t>Epidemiological situation in 2015</w:t>
      </w:r>
      <w:bookmarkEnd w:id="241"/>
    </w:p>
    <w:p w14:paraId="1AAFACA0" w14:textId="77777777" w:rsidR="00BE61A2" w:rsidRPr="00AE2F1B" w:rsidRDefault="00BE61A2" w:rsidP="00AE2F1B">
      <w:r w:rsidRPr="00AE2F1B">
        <w:t>In 2015, there were 601 notified cases of Q fever in Australia (2.5 per 100,000), a 48% increase compared with the 5-year (2010 to 2014) mean (n=405). Between 1991 and 2001, and prior to the introduction of the NQFMP, Q fever notification rates ranged between 2.5 and 4.9 cases per 100,000.</w:t>
      </w:r>
      <w:r w:rsidRPr="00AE2F1B">
        <w:rPr>
          <w:vertAlign w:val="superscript"/>
        </w:rPr>
        <w:t>181</w:t>
      </w:r>
      <w:r w:rsidRPr="00AE2F1B">
        <w:t xml:space="preserve"> There has been an increase in the national Q fever notification rate since 2009 (1.4 per 100,000), with the notification rate in 2015 (2.5 per 100,000) being the highest since 2003 (2.8 per 100,000).</w:t>
      </w:r>
    </w:p>
    <w:p w14:paraId="607E3C55" w14:textId="77777777" w:rsidR="00BE61A2" w:rsidRPr="00AE2F1B" w:rsidRDefault="00BE61A2" w:rsidP="00924A50">
      <w:pPr>
        <w:pStyle w:val="Heading3"/>
      </w:pPr>
      <w:bookmarkStart w:id="242" w:name="_Toc1747396"/>
      <w:r w:rsidRPr="00924A50">
        <w:rPr>
          <w:bCs w:val="0"/>
        </w:rPr>
        <w:t>Geographical distribution</w:t>
      </w:r>
      <w:bookmarkEnd w:id="242"/>
    </w:p>
    <w:p w14:paraId="65DD6A49" w14:textId="77777777" w:rsidR="00BE61A2" w:rsidRDefault="00BE61A2" w:rsidP="00AE2F1B">
      <w:r w:rsidRPr="00AE2F1B">
        <w:t>The highest notification rate was in Queensland (5.3 per 100,000, n=255). Cases were reported in all jurisdictions except Tasmania and the Australian Capital Territory (Figure 107).</w:t>
      </w:r>
    </w:p>
    <w:p w14:paraId="7A435173" w14:textId="77777777" w:rsidR="00B67A8D" w:rsidRPr="00AE2F1B" w:rsidRDefault="00B303AC" w:rsidP="00B303AC">
      <w:pPr>
        <w:pStyle w:val="CDIFigures"/>
      </w:pPr>
      <w:r>
        <w:t>Figure 107: Notifications of Q fever, Australia, 2010 to 2015, by month and year of diagnosis and state or territory</w:t>
      </w:r>
      <w:r w:rsidR="0021477A">
        <w:pict w14:anchorId="26C3881F">
          <v:shape id="_x0000_i1128" type="#_x0000_t75" alt="This figure shows the notifications of Q fever in Australia between 2010 and 2015 by state and territory. National Q fever notifications exceeded the five year mean in 2015 by 48% (n=405)." style="width:522.6pt;height:333pt">
            <v:imagedata r:id="rId126" o:title="7-Zoos chapter figures _101 to 109_Page_7"/>
          </v:shape>
        </w:pict>
      </w:r>
    </w:p>
    <w:p w14:paraId="0398AE4E" w14:textId="77777777" w:rsidR="005859A6" w:rsidRDefault="00BE61A2" w:rsidP="00AE2F1B">
      <w:pPr>
        <w:sectPr w:rsidR="005859A6" w:rsidSect="00D21CF0">
          <w:pgSz w:w="11906" w:h="16838"/>
          <w:pgMar w:top="720" w:right="720" w:bottom="1134" w:left="720" w:header="709" w:footer="284" w:gutter="0"/>
          <w:cols w:space="708"/>
          <w:titlePg/>
          <w:docGrid w:linePitch="360"/>
        </w:sectPr>
      </w:pPr>
      <w:r w:rsidRPr="00AE2F1B">
        <w:t>‘Hot spots’ for Q fever occur in central Queensland and in the areas that border Queensland and New South Wales (Figure 108). The Statistical Area of Outback South in south-west Queensland had the highest notification rate in 2015, with 135 cases per 100,000 (n=27), which is a decrease from 2014 (142 cases per 100,000; n=29). The Statistical Area of Bourke Cobar Coonamble in northern New South Wales had a large increase in the notification rate in 2015 (102 per 100,000; n=27) compared to 2014 (37 per 100,000; n=10) and the 5-year mean notification rate of 31 per 100,000 (n=8).</w:t>
      </w:r>
    </w:p>
    <w:p w14:paraId="13638DD4" w14:textId="77777777" w:rsidR="005A7F04" w:rsidRDefault="005A7F04" w:rsidP="005A7F04">
      <w:pPr>
        <w:pStyle w:val="CDIFigures"/>
      </w:pPr>
      <w:r w:rsidRPr="005A7F04">
        <w:lastRenderedPageBreak/>
        <w:t>Figure 108: Notification rate for Q fever, Australia, 2015, by Statistical Area Level 3</w:t>
      </w:r>
    </w:p>
    <w:p w14:paraId="6D44A6ED" w14:textId="77777777" w:rsidR="00C60C78" w:rsidRPr="005A7F04" w:rsidRDefault="0021477A" w:rsidP="005A7F04">
      <w:pPr>
        <w:pStyle w:val="CDIFigures"/>
      </w:pPr>
      <w:r>
        <w:pict w14:anchorId="3649DEDC">
          <v:shape id="_x0000_i1129" type="#_x0000_t75" alt="This figure depicts the geographic distribution of Q fever in Australia in 2015. ‘Hot spots’ for Q fever occur in central Queensland and in the areas that border Queensland and New South Wales." style="width:654.6pt;height:475.8pt">
            <v:imagedata r:id="rId127" o:title="f108-re-arranged"/>
          </v:shape>
        </w:pict>
      </w:r>
    </w:p>
    <w:p w14:paraId="7DC4B2AD" w14:textId="77777777" w:rsidR="005859A6" w:rsidRDefault="005859A6" w:rsidP="005859A6">
      <w:pPr>
        <w:sectPr w:rsidR="005859A6" w:rsidSect="005859A6">
          <w:pgSz w:w="16838" w:h="11906" w:orient="landscape"/>
          <w:pgMar w:top="720" w:right="720" w:bottom="720" w:left="1134" w:header="709" w:footer="284" w:gutter="0"/>
          <w:cols w:space="708"/>
          <w:titlePg/>
          <w:docGrid w:linePitch="360"/>
        </w:sectPr>
      </w:pPr>
    </w:p>
    <w:p w14:paraId="7E079C4B" w14:textId="77777777" w:rsidR="00BE61A2" w:rsidRPr="00AE2F1B" w:rsidRDefault="00BE61A2" w:rsidP="00565441">
      <w:pPr>
        <w:pStyle w:val="Heading4"/>
      </w:pPr>
      <w:r w:rsidRPr="00AE2F1B">
        <w:lastRenderedPageBreak/>
        <w:t>Age and sex distribution</w:t>
      </w:r>
    </w:p>
    <w:p w14:paraId="0503D66C" w14:textId="77777777" w:rsidR="00BE61A2" w:rsidRDefault="00BE61A2" w:rsidP="00AE2F1B">
      <w:r w:rsidRPr="00AE2F1B">
        <w:t>The median age of Q fever cases was 47 years (range: 1 to 85 years), and 76% (454/601) were male. More than a third (34%, 205/601) of notified cases were males aged between 45 and 64 years (Figure 109). This is consistent with a report that found higher rates of Q fever in men aged 50 to 59 years, and that agriculture-related occupations (including farming) are the most commonly reported occupation.</w:t>
      </w:r>
      <w:r w:rsidRPr="00AE2F1B">
        <w:rPr>
          <w:vertAlign w:val="superscript"/>
        </w:rPr>
        <w:t>178</w:t>
      </w:r>
      <w:r w:rsidRPr="00AE2F1B">
        <w:t xml:space="preserve"> </w:t>
      </w:r>
    </w:p>
    <w:p w14:paraId="7F45935F" w14:textId="77777777" w:rsidR="007B2DA9" w:rsidRDefault="007B2DA9" w:rsidP="007B2DA9">
      <w:pPr>
        <w:pStyle w:val="CDIFigures"/>
      </w:pPr>
      <w:r w:rsidRPr="007B2DA9">
        <w:t>Figure 109: Notifications of Q fever, Australia, 2015, by age group and sex</w:t>
      </w:r>
    </w:p>
    <w:p w14:paraId="2B338ED0" w14:textId="77777777" w:rsidR="00D13BDA" w:rsidRPr="007B2DA9" w:rsidRDefault="0021477A" w:rsidP="007B2DA9">
      <w:pPr>
        <w:pStyle w:val="CDIFigures"/>
      </w:pPr>
      <w:r>
        <w:pict w14:anchorId="4AF77058">
          <v:shape id="_x0000_i1130" type="#_x0000_t75" alt="This figure shows notifications of Q fever in 2015 by age group and sex. The majority of cases (76%) were male. &#10;" style="width:522.6pt;height:330.6pt">
            <v:imagedata r:id="rId128" o:title="7-Zoos chapter figures _101 to 109_Page_8"/>
          </v:shape>
        </w:pict>
      </w:r>
    </w:p>
    <w:p w14:paraId="73FA793B" w14:textId="77777777" w:rsidR="00BE61A2" w:rsidRPr="004E056D" w:rsidRDefault="00BE61A2" w:rsidP="004E056D">
      <w:pPr>
        <w:pStyle w:val="Heading2"/>
      </w:pPr>
      <w:bookmarkStart w:id="243" w:name="_Toc1747397"/>
      <w:proofErr w:type="spellStart"/>
      <w:r w:rsidRPr="004E056D">
        <w:rPr>
          <w:bCs w:val="0"/>
          <w:sz w:val="27"/>
          <w:szCs w:val="27"/>
        </w:rPr>
        <w:t>Tularemia</w:t>
      </w:r>
      <w:bookmarkEnd w:id="243"/>
      <w:proofErr w:type="spellEnd"/>
    </w:p>
    <w:p w14:paraId="6B09CB0F" w14:textId="77777777" w:rsidR="00BE61A2" w:rsidRPr="00565441" w:rsidRDefault="00BE61A2" w:rsidP="00565441">
      <w:pPr>
        <w:pStyle w:val="ListParagraph"/>
        <w:numPr>
          <w:ilvl w:val="0"/>
          <w:numId w:val="22"/>
        </w:numPr>
        <w:rPr>
          <w:rFonts w:eastAsia="Times New Roman"/>
        </w:rPr>
      </w:pPr>
      <w:r w:rsidRPr="00565441">
        <w:rPr>
          <w:rFonts w:eastAsia="Times New Roman"/>
        </w:rPr>
        <w:t xml:space="preserve">There were no cases of tularaemia </w:t>
      </w:r>
      <w:r w:rsidR="00732EBA" w:rsidRPr="00565441">
        <w:rPr>
          <w:rFonts w:eastAsia="Times New Roman"/>
        </w:rPr>
        <w:t>notified</w:t>
      </w:r>
      <w:r w:rsidRPr="00565441">
        <w:rPr>
          <w:rFonts w:eastAsia="Times New Roman"/>
        </w:rPr>
        <w:t xml:space="preserve"> in 2015. </w:t>
      </w:r>
    </w:p>
    <w:p w14:paraId="71BFFDC0" w14:textId="77777777" w:rsidR="00BE61A2" w:rsidRPr="00565441" w:rsidRDefault="00BE61A2" w:rsidP="00565441">
      <w:pPr>
        <w:pStyle w:val="ListParagraph"/>
        <w:numPr>
          <w:ilvl w:val="0"/>
          <w:numId w:val="22"/>
        </w:numPr>
        <w:rPr>
          <w:rFonts w:eastAsia="Times New Roman"/>
        </w:rPr>
      </w:pPr>
      <w:r w:rsidRPr="00565441">
        <w:rPr>
          <w:rFonts w:eastAsia="Times New Roman"/>
        </w:rPr>
        <w:t xml:space="preserve">The last case of tularaemia reported in Australia was in 2011. </w:t>
      </w:r>
    </w:p>
    <w:p w14:paraId="6D769FF7" w14:textId="77777777" w:rsidR="00BE61A2" w:rsidRPr="00AE2F1B" w:rsidRDefault="00BE61A2" w:rsidP="00AE2F1B">
      <w:r w:rsidRPr="00AE2F1B">
        <w:t xml:space="preserve">Tularaemia is a non-specific disease with diverse manifestations, often with an influenza-like onset, caused by infection with the bacterium </w:t>
      </w:r>
      <w:proofErr w:type="spellStart"/>
      <w:r w:rsidRPr="00DF12AB">
        <w:rPr>
          <w:rStyle w:val="Emphasis"/>
          <w:b w:val="0"/>
        </w:rPr>
        <w:t>Francisella</w:t>
      </w:r>
      <w:proofErr w:type="spellEnd"/>
      <w:r w:rsidRPr="00DF12AB">
        <w:rPr>
          <w:rStyle w:val="Emphasis"/>
          <w:b w:val="0"/>
        </w:rPr>
        <w:t xml:space="preserve"> tularensis</w:t>
      </w:r>
      <w:r w:rsidRPr="00AE2F1B">
        <w:t xml:space="preserve"> .</w:t>
      </w:r>
      <w:r w:rsidRPr="00AE2F1B">
        <w:rPr>
          <w:vertAlign w:val="superscript"/>
        </w:rPr>
        <w:t>21</w:t>
      </w:r>
      <w:r w:rsidRPr="00AE2F1B">
        <w:t xml:space="preserve"> The most common modes of transmission are through arthropod bites, handling infected animals, inhalation of infectious aerosols or exposure to contaminated food or water. Small mammals such as rodents, rabbits and hares are often the reservoir.</w:t>
      </w:r>
      <w:r w:rsidRPr="00AE2F1B">
        <w:rPr>
          <w:vertAlign w:val="superscript"/>
        </w:rPr>
        <w:t>182</w:t>
      </w:r>
      <w:r w:rsidRPr="00AE2F1B">
        <w:t xml:space="preserve"> </w:t>
      </w:r>
    </w:p>
    <w:p w14:paraId="7AE3B240" w14:textId="77777777" w:rsidR="00BE61A2" w:rsidRPr="00AE2F1B" w:rsidRDefault="00BE61A2" w:rsidP="00924A50">
      <w:pPr>
        <w:pStyle w:val="Heading3"/>
      </w:pPr>
      <w:bookmarkStart w:id="244" w:name="_Toc1747398"/>
      <w:r w:rsidRPr="00924A50">
        <w:rPr>
          <w:bCs w:val="0"/>
        </w:rPr>
        <w:t>Epidemiological situation in 2015</w:t>
      </w:r>
      <w:bookmarkEnd w:id="244"/>
    </w:p>
    <w:p w14:paraId="0C3A3445" w14:textId="77777777" w:rsidR="00BE61A2" w:rsidRPr="00AE2F1B" w:rsidRDefault="00BE61A2" w:rsidP="00AE2F1B">
      <w:r w:rsidRPr="00AE2F1B">
        <w:t xml:space="preserve">In 2015, there were no notified cases of tularaemia in Australia. Tularaemia was last notified in 2011, with 2 cases in Tasmanian residents. This was the first time </w:t>
      </w:r>
      <w:r w:rsidRPr="00DF12AB">
        <w:rPr>
          <w:rStyle w:val="Emphasis"/>
          <w:b w:val="0"/>
        </w:rPr>
        <w:t>F. tularensis</w:t>
      </w:r>
      <w:r w:rsidRPr="00AE2F1B">
        <w:t xml:space="preserve"> type B had been detected in the Southern Hemisphere.</w:t>
      </w:r>
      <w:r w:rsidRPr="00AE2F1B">
        <w:rPr>
          <w:vertAlign w:val="superscript"/>
        </w:rPr>
        <w:t>183,184,185</w:t>
      </w:r>
      <w:r w:rsidRPr="00AE2F1B">
        <w:t xml:space="preserve"> </w:t>
      </w:r>
    </w:p>
    <w:p w14:paraId="2FF3E7A6" w14:textId="77777777" w:rsidR="00BE61A2" w:rsidRPr="00095AA3" w:rsidRDefault="00BE61A2" w:rsidP="00095AA3">
      <w:pPr>
        <w:pStyle w:val="Heading1"/>
      </w:pPr>
      <w:bookmarkStart w:id="245" w:name="_Toc1747399"/>
      <w:r w:rsidRPr="00095AA3">
        <w:rPr>
          <w:rStyle w:val="Heading1Char"/>
          <w:b/>
        </w:rPr>
        <w:t>Other Bacterial Infections</w:t>
      </w:r>
      <w:bookmarkEnd w:id="245"/>
    </w:p>
    <w:p w14:paraId="3B0AA811" w14:textId="77777777" w:rsidR="00BE61A2" w:rsidRPr="00AE2F1B" w:rsidRDefault="00BE61A2" w:rsidP="00AE2F1B">
      <w:r w:rsidRPr="00AE2F1B">
        <w:t xml:space="preserve">Other bacterial diseases in the national notifiable disease list are legionellosis, leprosy, invasive meningococcal </w:t>
      </w:r>
      <w:proofErr w:type="gramStart"/>
      <w:r w:rsidRPr="00AE2F1B">
        <w:t>disease</w:t>
      </w:r>
      <w:proofErr w:type="gramEnd"/>
      <w:r w:rsidRPr="00AE2F1B">
        <w:t xml:space="preserve"> and tuberculosis. In 2015, there were 1,815 cases of other bacterial infections notified to the NNDSS, </w:t>
      </w:r>
      <w:r w:rsidRPr="00AE2F1B">
        <w:lastRenderedPageBreak/>
        <w:t xml:space="preserve">representing 1% of all reported cases and less than the number notified in 2014 (n=1,947). Common objectives for the surveillance of diseases in this section are to monitor their epidemiology and to identify risk groups to accurately target control strategies. </w:t>
      </w:r>
    </w:p>
    <w:p w14:paraId="22DE6912" w14:textId="77777777" w:rsidR="00BE61A2" w:rsidRPr="004E056D" w:rsidRDefault="00BE61A2" w:rsidP="004E056D">
      <w:pPr>
        <w:pStyle w:val="Heading2"/>
      </w:pPr>
      <w:bookmarkStart w:id="246" w:name="_Toc1747400"/>
      <w:r w:rsidRPr="004E056D">
        <w:rPr>
          <w:bCs w:val="0"/>
          <w:sz w:val="27"/>
          <w:szCs w:val="27"/>
        </w:rPr>
        <w:t>Legionellosis</w:t>
      </w:r>
      <w:bookmarkEnd w:id="246"/>
    </w:p>
    <w:p w14:paraId="4971A9A9" w14:textId="77777777" w:rsidR="00BE61A2" w:rsidRPr="00565441" w:rsidRDefault="00BE61A2" w:rsidP="00565441">
      <w:pPr>
        <w:pStyle w:val="ListParagraph"/>
        <w:numPr>
          <w:ilvl w:val="0"/>
          <w:numId w:val="23"/>
        </w:numPr>
        <w:rPr>
          <w:rStyle w:val="Emphasis"/>
          <w:rFonts w:eastAsia="Times New Roman"/>
          <w:b w:val="0"/>
          <w:bCs w:val="0"/>
          <w:i w:val="0"/>
          <w:sz w:val="24"/>
          <w:szCs w:val="24"/>
        </w:rPr>
      </w:pPr>
      <w:r w:rsidRPr="00565441">
        <w:rPr>
          <w:rStyle w:val="Emphasis"/>
          <w:rFonts w:eastAsia="Times New Roman"/>
          <w:b w:val="0"/>
          <w:i w:val="0"/>
        </w:rPr>
        <w:t xml:space="preserve">There were 365 cases of legionellosis notified in 2015. </w:t>
      </w:r>
    </w:p>
    <w:p w14:paraId="2886953C" w14:textId="77777777" w:rsidR="00BE61A2" w:rsidRPr="00565441" w:rsidRDefault="00BE61A2" w:rsidP="00565441">
      <w:pPr>
        <w:pStyle w:val="ListParagraph"/>
        <w:numPr>
          <w:ilvl w:val="0"/>
          <w:numId w:val="23"/>
        </w:numPr>
        <w:rPr>
          <w:rStyle w:val="Emphasis"/>
          <w:rFonts w:eastAsia="Times New Roman"/>
          <w:b w:val="0"/>
          <w:i w:val="0"/>
        </w:rPr>
      </w:pPr>
      <w:r w:rsidRPr="00565441">
        <w:rPr>
          <w:rStyle w:val="Emphasis"/>
          <w:rFonts w:eastAsia="Times New Roman"/>
          <w:b w:val="0"/>
          <w:i w:val="0"/>
        </w:rPr>
        <w:t xml:space="preserve">Compared with 2014, notifications of legionellosis declined by 14% in 2015. </w:t>
      </w:r>
    </w:p>
    <w:p w14:paraId="4E17D44C" w14:textId="77777777" w:rsidR="00BE61A2" w:rsidRPr="00565441" w:rsidRDefault="00BE61A2" w:rsidP="00565441">
      <w:pPr>
        <w:pStyle w:val="ListParagraph"/>
        <w:numPr>
          <w:ilvl w:val="0"/>
          <w:numId w:val="23"/>
        </w:numPr>
        <w:rPr>
          <w:b/>
        </w:rPr>
      </w:pPr>
      <w:r w:rsidRPr="00565441">
        <w:rPr>
          <w:rStyle w:val="Emphasis"/>
          <w:rFonts w:eastAsia="Times New Roman"/>
          <w:b w:val="0"/>
          <w:i w:val="0"/>
        </w:rPr>
        <w:t xml:space="preserve">Legionella </w:t>
      </w:r>
      <w:r w:rsidR="00D0653E" w:rsidRPr="00565441">
        <w:rPr>
          <w:rStyle w:val="Emphasis"/>
          <w:rFonts w:eastAsia="Times New Roman"/>
          <w:b w:val="0"/>
          <w:i w:val="0"/>
        </w:rPr>
        <w:t>pneumophila,</w:t>
      </w:r>
      <w:r w:rsidRPr="00565441">
        <w:rPr>
          <w:rStyle w:val="Emphasis"/>
          <w:rFonts w:eastAsia="Times New Roman"/>
          <w:b w:val="0"/>
          <w:i w:val="0"/>
        </w:rPr>
        <w:t xml:space="preserve"> commonly associated with man-made water systems, was the most frequently reported causative species in 2015. </w:t>
      </w:r>
    </w:p>
    <w:p w14:paraId="0338359D" w14:textId="77777777" w:rsidR="00BE61A2" w:rsidRPr="00AE2F1B" w:rsidRDefault="00BE61A2" w:rsidP="00AE2F1B">
      <w:r w:rsidRPr="00AE2F1B">
        <w:t xml:space="preserve">Legionellosis is an environmentally acquired pneumonia caused by the bacteria </w:t>
      </w:r>
      <w:r w:rsidR="001F29F2" w:rsidRPr="00DF12AB">
        <w:rPr>
          <w:rStyle w:val="Emphasis"/>
          <w:b w:val="0"/>
        </w:rPr>
        <w:t>Legionella</w:t>
      </w:r>
      <w:r w:rsidR="001F29F2" w:rsidRPr="00AE2F1B">
        <w:t xml:space="preserve">. </w:t>
      </w:r>
      <w:r w:rsidRPr="00AE2F1B">
        <w:t>It can take the form of either legionnaire’s disease, a severe form of infection of the lungs, or Pontiac fever, a milder influenza-like illness.</w:t>
      </w:r>
      <w:r w:rsidRPr="00AE2F1B">
        <w:rPr>
          <w:vertAlign w:val="superscript"/>
        </w:rPr>
        <w:t>21</w:t>
      </w:r>
      <w:r w:rsidRPr="00AE2F1B">
        <w:t xml:space="preserve"> The species most commonly associated with human disease in Australia are </w:t>
      </w:r>
      <w:r w:rsidRPr="00DF12AB">
        <w:rPr>
          <w:rStyle w:val="Emphasis"/>
          <w:b w:val="0"/>
        </w:rPr>
        <w:t>Legionella pneumophila</w:t>
      </w:r>
      <w:r w:rsidRPr="00AE2F1B">
        <w:t xml:space="preserve"> and </w:t>
      </w:r>
      <w:r w:rsidRPr="00DF12AB">
        <w:rPr>
          <w:rStyle w:val="Emphasis"/>
          <w:b w:val="0"/>
        </w:rPr>
        <w:t xml:space="preserve">Legionella </w:t>
      </w:r>
      <w:r w:rsidR="001F29F2" w:rsidRPr="00DF12AB">
        <w:rPr>
          <w:rStyle w:val="Emphasis"/>
          <w:b w:val="0"/>
        </w:rPr>
        <w:t>longbeachae</w:t>
      </w:r>
      <w:r w:rsidR="001F29F2" w:rsidRPr="00AE2F1B">
        <w:t xml:space="preserve">. </w:t>
      </w:r>
      <w:r w:rsidRPr="00DF12AB">
        <w:rPr>
          <w:rStyle w:val="Emphasis"/>
          <w:b w:val="0"/>
        </w:rPr>
        <w:t>Legionella</w:t>
      </w:r>
      <w:r w:rsidRPr="00AE2F1B">
        <w:t xml:space="preserve"> bacteria are found naturally in low levels in the environment. In the absence of effective environmental treatments, </w:t>
      </w:r>
      <w:r w:rsidRPr="00DF12AB">
        <w:rPr>
          <w:rStyle w:val="Emphasis"/>
          <w:b w:val="0"/>
        </w:rPr>
        <w:t>Legionella</w:t>
      </w:r>
      <w:r w:rsidRPr="00AE2F1B">
        <w:t xml:space="preserve"> organisms can proliferate in air conditioning cooling towers, hot water systems, showerheads, spa pools, fountains, commercial potting mix and other decomposing material such as bark and sawdust.</w:t>
      </w:r>
      <w:r w:rsidRPr="00AE2F1B">
        <w:rPr>
          <w:vertAlign w:val="superscript"/>
        </w:rPr>
        <w:t>186,187,188,189</w:t>
      </w:r>
      <w:r w:rsidRPr="00AE2F1B">
        <w:t xml:space="preserve"> </w:t>
      </w:r>
      <w:r w:rsidRPr="00DF12AB">
        <w:rPr>
          <w:rStyle w:val="Emphasis"/>
          <w:b w:val="0"/>
        </w:rPr>
        <w:t>Legionella</w:t>
      </w:r>
      <w:r w:rsidRPr="00AE2F1B">
        <w:t xml:space="preserve"> is generally transmitted to humans through contaminated water or dust</w:t>
      </w:r>
      <w:r w:rsidR="001F29F2">
        <w:t> </w:t>
      </w:r>
      <w:r w:rsidRPr="00AE2F1B">
        <w:t xml:space="preserve">aerosols. </w:t>
      </w:r>
    </w:p>
    <w:p w14:paraId="1E6D7EE3" w14:textId="77777777" w:rsidR="00BE61A2" w:rsidRPr="00AE2F1B" w:rsidRDefault="00BE61A2" w:rsidP="00924A50">
      <w:pPr>
        <w:pStyle w:val="Heading3"/>
      </w:pPr>
      <w:bookmarkStart w:id="247" w:name="_Toc1747401"/>
      <w:r w:rsidRPr="00924A50">
        <w:rPr>
          <w:bCs w:val="0"/>
        </w:rPr>
        <w:t>Epidemiological situation in 2015</w:t>
      </w:r>
      <w:bookmarkEnd w:id="247"/>
    </w:p>
    <w:p w14:paraId="69A97C71" w14:textId="77777777" w:rsidR="00BE61A2" w:rsidRDefault="00BE61A2" w:rsidP="00AE2F1B">
      <w:r w:rsidRPr="00AE2F1B">
        <w:t xml:space="preserve">In 2015, there were 365 notifications of legionellosis, representing a notification rate of 1.5 per 100,000. This was a 14% decline in the number of notifications reported in 2014 (n=425) (Figure 110). </w:t>
      </w:r>
    </w:p>
    <w:p w14:paraId="2617F1D0" w14:textId="77777777" w:rsidR="00A52C97" w:rsidRDefault="00A52C97">
      <w:pPr>
        <w:rPr>
          <w:b/>
        </w:rPr>
      </w:pPr>
      <w:r>
        <w:br w:type="page"/>
      </w:r>
    </w:p>
    <w:p w14:paraId="7FA48E94" w14:textId="77777777" w:rsidR="00D809F7" w:rsidRDefault="00D809F7" w:rsidP="00D809F7">
      <w:pPr>
        <w:pStyle w:val="CDIFigures"/>
      </w:pPr>
      <w:r w:rsidRPr="00D809F7">
        <w:lastRenderedPageBreak/>
        <w:t>Figure 110: Notifications of legionellosis, Australia, 2010-2015, by species and year</w:t>
      </w:r>
    </w:p>
    <w:p w14:paraId="66FEB1AF" w14:textId="77777777" w:rsidR="00D13BDA" w:rsidRPr="00D809F7" w:rsidRDefault="00D13BDA" w:rsidP="00A52C97">
      <w:pPr>
        <w:pStyle w:val="CDIFigures"/>
        <w:jc w:val="center"/>
      </w:pPr>
      <w:r>
        <w:rPr>
          <w:noProof/>
        </w:rPr>
        <w:drawing>
          <wp:inline distT="0" distB="0" distL="0" distR="0" wp14:anchorId="119DB251" wp14:editId="760AA9E9">
            <wp:extent cx="4619707" cy="6085257"/>
            <wp:effectExtent l="0" t="0" r="9525" b="0"/>
            <wp:docPr id="6" name="Picture 6" descr="This figure shows the number of notified cases of Legionella longbeachae, Legionella pneumophila and other/unknown species in Australia from 2010 to 2015. Over the period of 2010 to 2015, the number of notified cases of L. pneumophila ranged from 136 to 228 per annum, whilst notified cases of L. longbeachae ranged from 146 to 216 per annu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8-Other bacterial chapter figures 110 to 119_Page_01.jpg"/>
                    <pic:cNvPicPr/>
                  </pic:nvPicPr>
                  <pic:blipFill rotWithShape="1">
                    <a:blip r:embed="rId129" cstate="print">
                      <a:extLst>
                        <a:ext uri="{28A0092B-C50C-407E-A947-70E740481C1C}">
                          <a14:useLocalDpi xmlns:a14="http://schemas.microsoft.com/office/drawing/2010/main"/>
                        </a:ext>
                      </a:extLst>
                    </a:blip>
                    <a:srcRect/>
                    <a:stretch/>
                  </pic:blipFill>
                  <pic:spPr bwMode="auto">
                    <a:xfrm>
                      <a:off x="0" y="0"/>
                      <a:ext cx="4647103" cy="6121345"/>
                    </a:xfrm>
                    <a:prstGeom prst="rect">
                      <a:avLst/>
                    </a:prstGeom>
                    <a:ln>
                      <a:noFill/>
                    </a:ln>
                    <a:extLst>
                      <a:ext uri="{53640926-AAD7-44D8-BBD7-CCE9431645EC}">
                        <a14:shadowObscured xmlns:a14="http://schemas.microsoft.com/office/drawing/2010/main"/>
                      </a:ext>
                    </a:extLst>
                  </pic:spPr>
                </pic:pic>
              </a:graphicData>
            </a:graphic>
          </wp:inline>
        </w:drawing>
      </w:r>
    </w:p>
    <w:p w14:paraId="53F37265" w14:textId="77777777" w:rsidR="00BE61A2" w:rsidRPr="00AE2F1B" w:rsidRDefault="00BE61A2" w:rsidP="00AE2F1B">
      <w:r w:rsidRPr="00AE2F1B">
        <w:t xml:space="preserve">In 2015, data on the causative species were available for 97% (n=354) of notifications reported. Of these cases, the most frequently reported causative species were </w:t>
      </w:r>
      <w:r w:rsidRPr="00DF12AB">
        <w:rPr>
          <w:rStyle w:val="Emphasis"/>
          <w:b w:val="0"/>
        </w:rPr>
        <w:t>L. pneumophila</w:t>
      </w:r>
      <w:r w:rsidRPr="00AE2F1B">
        <w:t xml:space="preserve"> (53%, 188/354), followed by </w:t>
      </w:r>
      <w:r w:rsidRPr="00DF12AB">
        <w:rPr>
          <w:rStyle w:val="Emphasis"/>
          <w:b w:val="0"/>
        </w:rPr>
        <w:t>L. longbeachae</w:t>
      </w:r>
      <w:r w:rsidRPr="00AE2F1B">
        <w:t xml:space="preserve"> (47%, 165/354). A single notification of </w:t>
      </w:r>
      <w:r w:rsidRPr="00DF12AB">
        <w:rPr>
          <w:rStyle w:val="Emphasis"/>
          <w:b w:val="0"/>
        </w:rPr>
        <w:t xml:space="preserve">Legionella </w:t>
      </w:r>
      <w:proofErr w:type="spellStart"/>
      <w:r w:rsidRPr="00DF12AB">
        <w:rPr>
          <w:rStyle w:val="Emphasis"/>
          <w:b w:val="0"/>
        </w:rPr>
        <w:t>bozemanii</w:t>
      </w:r>
      <w:proofErr w:type="spellEnd"/>
      <w:r w:rsidRPr="00AE2F1B">
        <w:t xml:space="preserve"> was also reported (Table 27). Serogroup information was reported for 70% (132/188) of </w:t>
      </w:r>
      <w:r w:rsidRPr="00DF12AB">
        <w:rPr>
          <w:rStyle w:val="Emphasis"/>
          <w:b w:val="0"/>
        </w:rPr>
        <w:t>L. pneumophila</w:t>
      </w:r>
      <w:r w:rsidRPr="00AE2F1B">
        <w:t xml:space="preserve"> notifications. The majority of these were serogroup 1 infections, with one case reported as having a mixed serogroup infection. For </w:t>
      </w:r>
      <w:r w:rsidRPr="00DF12AB">
        <w:rPr>
          <w:rStyle w:val="Emphasis"/>
          <w:b w:val="0"/>
        </w:rPr>
        <w:t>L. longbeachae</w:t>
      </w:r>
      <w:r w:rsidRPr="00AE2F1B">
        <w:t xml:space="preserve"> notifications, serogroup information was provided for 7% (12/165) of cases, and all of these were serogroup 1 infections.</w:t>
      </w:r>
    </w:p>
    <w:p w14:paraId="3D787524" w14:textId="77777777" w:rsidR="00A52C97" w:rsidRDefault="00A52C97">
      <w:pPr>
        <w:rPr>
          <w:b/>
        </w:rPr>
      </w:pPr>
      <w:r>
        <w:br w:type="page"/>
      </w:r>
    </w:p>
    <w:p w14:paraId="5132C7DC" w14:textId="77777777" w:rsidR="00BE61A2" w:rsidRPr="00AE2F1B" w:rsidRDefault="00BE61A2" w:rsidP="001E3D81">
      <w:pPr>
        <w:pStyle w:val="CDIFigures"/>
      </w:pPr>
      <w:r w:rsidRPr="00AE2F1B">
        <w:lastRenderedPageBreak/>
        <w:t>Table 27: Notifications, notification rates and deaths for legionellosis, Australia, 2015, by species and state or</w:t>
      </w:r>
      <w:r w:rsidR="00D13BDA">
        <w:t> </w:t>
      </w:r>
      <w:r w:rsidRPr="00AE2F1B">
        <w:t xml:space="preserve">territory </w:t>
      </w:r>
    </w:p>
    <w:tbl>
      <w:tblPr>
        <w:tblStyle w:val="CDI-StandardTable"/>
        <w:tblW w:w="0" w:type="auto"/>
        <w:tblCellMar>
          <w:top w:w="142" w:type="dxa"/>
          <w:left w:w="142" w:type="dxa"/>
          <w:bottom w:w="142" w:type="dxa"/>
        </w:tblCellMar>
        <w:tblLook w:val="04A0" w:firstRow="1" w:lastRow="0" w:firstColumn="1" w:lastColumn="0" w:noHBand="0" w:noVBand="1"/>
        <w:tblDescription w:val="This table shows the number of legionellosis notifications in each state and territory by legionella species and the number of deaths due to legionella in 2015. In 2015, L. pneumophila was the most notified causative species in New South Wales and Victoria, while L. longbeachae was more frequently notified in the Northern Territory and Western Australia. Queensland, South Australia and Tasmania reported either equal or similar proportions of both species. &#10;"/>
      </w:tblPr>
      <w:tblGrid>
        <w:gridCol w:w="1614"/>
        <w:gridCol w:w="556"/>
        <w:gridCol w:w="629"/>
        <w:gridCol w:w="478"/>
        <w:gridCol w:w="527"/>
        <w:gridCol w:w="478"/>
        <w:gridCol w:w="560"/>
        <w:gridCol w:w="537"/>
        <w:gridCol w:w="535"/>
        <w:gridCol w:w="932"/>
        <w:gridCol w:w="3594"/>
      </w:tblGrid>
      <w:tr w:rsidR="004B770F" w:rsidRPr="004B770F" w14:paraId="655FA963" w14:textId="77777777" w:rsidTr="002849B9">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242A1E56" w14:textId="77777777" w:rsidR="00BE61A2" w:rsidRPr="004B770F" w:rsidRDefault="00BE61A2">
            <w:pPr>
              <w:rPr>
                <w:color w:val="FFFFFF" w:themeColor="background1"/>
                <w:sz w:val="18"/>
                <w:szCs w:val="18"/>
              </w:rPr>
            </w:pPr>
          </w:p>
        </w:tc>
        <w:tc>
          <w:tcPr>
            <w:tcW w:w="0" w:type="auto"/>
            <w:gridSpan w:val="8"/>
            <w:hideMark/>
          </w:tcPr>
          <w:p w14:paraId="7EDA93CB" w14:textId="77777777" w:rsidR="00BE61A2" w:rsidRPr="004B770F" w:rsidRDefault="00BE61A2" w:rsidP="00C82C38">
            <w:pPr>
              <w:jc w:val="center"/>
              <w:rPr>
                <w:rFonts w:eastAsia="Times New Roman"/>
                <w:color w:val="FFFFFF" w:themeColor="background1"/>
                <w:sz w:val="18"/>
                <w:szCs w:val="18"/>
              </w:rPr>
            </w:pPr>
            <w:r w:rsidRPr="004B770F">
              <w:rPr>
                <w:rFonts w:eastAsia="Times New Roman"/>
                <w:color w:val="FFFFFF" w:themeColor="background1"/>
                <w:sz w:val="18"/>
                <w:szCs w:val="18"/>
              </w:rPr>
              <w:t>State or territory</w:t>
            </w:r>
          </w:p>
        </w:tc>
        <w:tc>
          <w:tcPr>
            <w:tcW w:w="0" w:type="auto"/>
            <w:vMerge w:val="restart"/>
            <w:hideMark/>
          </w:tcPr>
          <w:p w14:paraId="2264C8AF"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Australia</w:t>
            </w:r>
          </w:p>
        </w:tc>
        <w:tc>
          <w:tcPr>
            <w:tcW w:w="3594" w:type="dxa"/>
            <w:vMerge w:val="restart"/>
            <w:hideMark/>
          </w:tcPr>
          <w:p w14:paraId="0F73B7D2"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Deaths due to legionellosis</w:t>
            </w:r>
          </w:p>
        </w:tc>
      </w:tr>
      <w:tr w:rsidR="00EE19C2" w:rsidRPr="00374CC9" w14:paraId="042BEBC2" w14:textId="77777777" w:rsidTr="002849B9">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21F21A5A"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Species</w:t>
            </w:r>
          </w:p>
        </w:tc>
        <w:tc>
          <w:tcPr>
            <w:tcW w:w="0" w:type="auto"/>
            <w:hideMark/>
          </w:tcPr>
          <w:p w14:paraId="5FE9AAF0" w14:textId="77777777" w:rsidR="00BE61A2" w:rsidRPr="004B770F" w:rsidRDefault="00BE61A2" w:rsidP="00C82C38">
            <w:pPr>
              <w:jc w:val="center"/>
              <w:rPr>
                <w:rFonts w:eastAsia="Times New Roman"/>
                <w:color w:val="FFFFFF" w:themeColor="background1"/>
                <w:sz w:val="18"/>
                <w:szCs w:val="18"/>
              </w:rPr>
            </w:pPr>
            <w:r w:rsidRPr="004B770F">
              <w:rPr>
                <w:rFonts w:eastAsia="Times New Roman"/>
                <w:color w:val="FFFFFF" w:themeColor="background1"/>
                <w:sz w:val="18"/>
                <w:szCs w:val="18"/>
              </w:rPr>
              <w:t>ACT</w:t>
            </w:r>
          </w:p>
        </w:tc>
        <w:tc>
          <w:tcPr>
            <w:tcW w:w="0" w:type="auto"/>
            <w:hideMark/>
          </w:tcPr>
          <w:p w14:paraId="224F9487" w14:textId="77777777" w:rsidR="00BE61A2" w:rsidRPr="004B770F" w:rsidRDefault="00BE61A2" w:rsidP="00C82C38">
            <w:pPr>
              <w:jc w:val="center"/>
              <w:rPr>
                <w:rFonts w:eastAsia="Times New Roman"/>
                <w:color w:val="FFFFFF" w:themeColor="background1"/>
                <w:sz w:val="18"/>
                <w:szCs w:val="18"/>
              </w:rPr>
            </w:pPr>
            <w:r w:rsidRPr="004B770F">
              <w:rPr>
                <w:rFonts w:eastAsia="Times New Roman"/>
                <w:color w:val="FFFFFF" w:themeColor="background1"/>
                <w:sz w:val="18"/>
                <w:szCs w:val="18"/>
              </w:rPr>
              <w:t>NSW</w:t>
            </w:r>
          </w:p>
        </w:tc>
        <w:tc>
          <w:tcPr>
            <w:tcW w:w="0" w:type="auto"/>
            <w:hideMark/>
          </w:tcPr>
          <w:p w14:paraId="6201C2A0" w14:textId="77777777" w:rsidR="00BE61A2" w:rsidRPr="004B770F" w:rsidRDefault="00BE61A2" w:rsidP="00C82C38">
            <w:pPr>
              <w:jc w:val="center"/>
              <w:rPr>
                <w:rFonts w:eastAsia="Times New Roman"/>
                <w:color w:val="FFFFFF" w:themeColor="background1"/>
                <w:sz w:val="18"/>
                <w:szCs w:val="18"/>
              </w:rPr>
            </w:pPr>
            <w:r w:rsidRPr="004B770F">
              <w:rPr>
                <w:rFonts w:eastAsia="Times New Roman"/>
                <w:color w:val="FFFFFF" w:themeColor="background1"/>
                <w:sz w:val="18"/>
                <w:szCs w:val="18"/>
              </w:rPr>
              <w:t>NT</w:t>
            </w:r>
          </w:p>
        </w:tc>
        <w:tc>
          <w:tcPr>
            <w:tcW w:w="0" w:type="auto"/>
            <w:hideMark/>
          </w:tcPr>
          <w:p w14:paraId="78946E2E" w14:textId="77777777" w:rsidR="00BE61A2" w:rsidRPr="004B770F" w:rsidRDefault="00BE61A2" w:rsidP="00C82C38">
            <w:pPr>
              <w:jc w:val="center"/>
              <w:rPr>
                <w:rFonts w:eastAsia="Times New Roman"/>
                <w:color w:val="FFFFFF" w:themeColor="background1"/>
                <w:sz w:val="18"/>
                <w:szCs w:val="18"/>
              </w:rPr>
            </w:pPr>
            <w:r w:rsidRPr="004B770F">
              <w:rPr>
                <w:rFonts w:eastAsia="Times New Roman"/>
                <w:color w:val="FFFFFF" w:themeColor="background1"/>
                <w:sz w:val="18"/>
                <w:szCs w:val="18"/>
              </w:rPr>
              <w:t>Qld</w:t>
            </w:r>
          </w:p>
        </w:tc>
        <w:tc>
          <w:tcPr>
            <w:tcW w:w="0" w:type="auto"/>
            <w:hideMark/>
          </w:tcPr>
          <w:p w14:paraId="7153D6CA" w14:textId="77777777" w:rsidR="00BE61A2" w:rsidRPr="004B770F" w:rsidRDefault="00BE61A2" w:rsidP="00C82C38">
            <w:pPr>
              <w:jc w:val="center"/>
              <w:rPr>
                <w:rFonts w:eastAsia="Times New Roman"/>
                <w:color w:val="FFFFFF" w:themeColor="background1"/>
                <w:sz w:val="18"/>
                <w:szCs w:val="18"/>
              </w:rPr>
            </w:pPr>
            <w:r w:rsidRPr="004B770F">
              <w:rPr>
                <w:rFonts w:eastAsia="Times New Roman"/>
                <w:color w:val="FFFFFF" w:themeColor="background1"/>
                <w:sz w:val="18"/>
                <w:szCs w:val="18"/>
              </w:rPr>
              <w:t>SA</w:t>
            </w:r>
          </w:p>
        </w:tc>
        <w:tc>
          <w:tcPr>
            <w:tcW w:w="0" w:type="auto"/>
            <w:hideMark/>
          </w:tcPr>
          <w:p w14:paraId="3863FBCB" w14:textId="77777777" w:rsidR="00BE61A2" w:rsidRPr="004B770F" w:rsidRDefault="00BE61A2" w:rsidP="00C82C38">
            <w:pPr>
              <w:jc w:val="center"/>
              <w:rPr>
                <w:rFonts w:eastAsia="Times New Roman"/>
                <w:color w:val="FFFFFF" w:themeColor="background1"/>
                <w:sz w:val="18"/>
                <w:szCs w:val="18"/>
              </w:rPr>
            </w:pPr>
            <w:r w:rsidRPr="004B770F">
              <w:rPr>
                <w:rFonts w:eastAsia="Times New Roman"/>
                <w:color w:val="FFFFFF" w:themeColor="background1"/>
                <w:sz w:val="18"/>
                <w:szCs w:val="18"/>
              </w:rPr>
              <w:t>Tas.</w:t>
            </w:r>
          </w:p>
        </w:tc>
        <w:tc>
          <w:tcPr>
            <w:tcW w:w="0" w:type="auto"/>
            <w:hideMark/>
          </w:tcPr>
          <w:p w14:paraId="6EBF70B0" w14:textId="77777777" w:rsidR="00BE61A2" w:rsidRPr="004B770F" w:rsidRDefault="00BE61A2" w:rsidP="00C82C38">
            <w:pPr>
              <w:jc w:val="center"/>
              <w:rPr>
                <w:rFonts w:eastAsia="Times New Roman"/>
                <w:color w:val="FFFFFF" w:themeColor="background1"/>
                <w:sz w:val="18"/>
                <w:szCs w:val="18"/>
              </w:rPr>
            </w:pPr>
            <w:r w:rsidRPr="004B770F">
              <w:rPr>
                <w:rFonts w:eastAsia="Times New Roman"/>
                <w:color w:val="FFFFFF" w:themeColor="background1"/>
                <w:sz w:val="18"/>
                <w:szCs w:val="18"/>
              </w:rPr>
              <w:t>Vic.</w:t>
            </w:r>
          </w:p>
        </w:tc>
        <w:tc>
          <w:tcPr>
            <w:tcW w:w="0" w:type="auto"/>
            <w:hideMark/>
          </w:tcPr>
          <w:p w14:paraId="4152F6E4" w14:textId="77777777" w:rsidR="00BE61A2" w:rsidRPr="004B770F" w:rsidRDefault="00BE61A2" w:rsidP="00C82C38">
            <w:pPr>
              <w:jc w:val="center"/>
              <w:rPr>
                <w:rFonts w:eastAsia="Times New Roman"/>
                <w:color w:val="FFFFFF" w:themeColor="background1"/>
                <w:sz w:val="18"/>
                <w:szCs w:val="18"/>
              </w:rPr>
            </w:pPr>
            <w:r w:rsidRPr="004B770F">
              <w:rPr>
                <w:rFonts w:eastAsia="Times New Roman"/>
                <w:color w:val="FFFFFF" w:themeColor="background1"/>
                <w:sz w:val="18"/>
                <w:szCs w:val="18"/>
              </w:rPr>
              <w:t>WA</w:t>
            </w:r>
          </w:p>
        </w:tc>
        <w:tc>
          <w:tcPr>
            <w:tcW w:w="0" w:type="auto"/>
            <w:vMerge/>
            <w:hideMark/>
          </w:tcPr>
          <w:p w14:paraId="26D6527C" w14:textId="77777777" w:rsidR="00BE61A2" w:rsidRPr="00374CC9" w:rsidRDefault="00BE61A2">
            <w:pPr>
              <w:rPr>
                <w:rFonts w:eastAsia="Times New Roman"/>
                <w:sz w:val="18"/>
                <w:szCs w:val="18"/>
              </w:rPr>
            </w:pPr>
          </w:p>
        </w:tc>
        <w:tc>
          <w:tcPr>
            <w:tcW w:w="3594" w:type="dxa"/>
            <w:vMerge/>
            <w:hideMark/>
          </w:tcPr>
          <w:p w14:paraId="072727BB" w14:textId="77777777" w:rsidR="00BE61A2" w:rsidRPr="00374CC9" w:rsidRDefault="00BE61A2">
            <w:pPr>
              <w:rPr>
                <w:rFonts w:eastAsia="Times New Roman"/>
                <w:sz w:val="18"/>
                <w:szCs w:val="18"/>
              </w:rPr>
            </w:pPr>
          </w:p>
        </w:tc>
      </w:tr>
      <w:tr w:rsidR="00EE19C2" w:rsidRPr="00374CC9" w14:paraId="16449C7E" w14:textId="77777777" w:rsidTr="002849B9">
        <w:tblPrEx>
          <w:tblCellMar>
            <w:right w:w="108" w:type="dxa"/>
          </w:tblCellMar>
        </w:tblPrEx>
        <w:tc>
          <w:tcPr>
            <w:tcW w:w="0" w:type="auto"/>
            <w:hideMark/>
          </w:tcPr>
          <w:p w14:paraId="2400152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 pneumophila</w:t>
            </w:r>
          </w:p>
        </w:tc>
        <w:tc>
          <w:tcPr>
            <w:tcW w:w="0" w:type="auto"/>
            <w:hideMark/>
          </w:tcPr>
          <w:p w14:paraId="3237F19A" w14:textId="77777777" w:rsidR="00BE61A2" w:rsidRPr="00374CC9" w:rsidRDefault="00BE61A2" w:rsidP="00C82C38">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273C6D86" w14:textId="77777777" w:rsidR="00BE61A2" w:rsidRPr="00374CC9" w:rsidRDefault="00BE61A2" w:rsidP="00C82C38">
            <w:pPr>
              <w:jc w:val="center"/>
              <w:rPr>
                <w:rFonts w:asciiTheme="minorHAnsi" w:eastAsia="Times New Roman" w:hAnsiTheme="minorHAnsi"/>
                <w:sz w:val="18"/>
                <w:szCs w:val="18"/>
              </w:rPr>
            </w:pPr>
            <w:r w:rsidRPr="00374CC9">
              <w:rPr>
                <w:rFonts w:asciiTheme="minorHAnsi" w:eastAsia="Times New Roman" w:hAnsiTheme="minorHAnsi"/>
                <w:sz w:val="18"/>
                <w:szCs w:val="18"/>
              </w:rPr>
              <w:t>67</w:t>
            </w:r>
          </w:p>
        </w:tc>
        <w:tc>
          <w:tcPr>
            <w:tcW w:w="0" w:type="auto"/>
            <w:hideMark/>
          </w:tcPr>
          <w:p w14:paraId="54427995" w14:textId="77777777" w:rsidR="00BE61A2" w:rsidRPr="00374CC9" w:rsidRDefault="00BE61A2" w:rsidP="00C82C38">
            <w:pPr>
              <w:jc w:val="cente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153F230C" w14:textId="77777777" w:rsidR="00BE61A2" w:rsidRPr="00374CC9" w:rsidRDefault="00BE61A2" w:rsidP="00C82C38">
            <w:pPr>
              <w:jc w:val="center"/>
              <w:rPr>
                <w:rFonts w:asciiTheme="minorHAnsi" w:eastAsia="Times New Roman" w:hAnsiTheme="minorHAnsi"/>
                <w:sz w:val="18"/>
                <w:szCs w:val="18"/>
              </w:rPr>
            </w:pPr>
            <w:r w:rsidRPr="00374CC9">
              <w:rPr>
                <w:rFonts w:asciiTheme="minorHAnsi" w:eastAsia="Times New Roman" w:hAnsiTheme="minorHAnsi"/>
                <w:sz w:val="18"/>
                <w:szCs w:val="18"/>
              </w:rPr>
              <w:t>37</w:t>
            </w:r>
          </w:p>
        </w:tc>
        <w:tc>
          <w:tcPr>
            <w:tcW w:w="0" w:type="auto"/>
            <w:hideMark/>
          </w:tcPr>
          <w:p w14:paraId="323035A3" w14:textId="77777777" w:rsidR="00BE61A2" w:rsidRPr="00374CC9" w:rsidRDefault="00BE61A2" w:rsidP="00C82C38">
            <w:pPr>
              <w:jc w:val="center"/>
              <w:rPr>
                <w:rFonts w:asciiTheme="minorHAnsi" w:eastAsia="Times New Roman" w:hAnsiTheme="minorHAnsi"/>
                <w:sz w:val="18"/>
                <w:szCs w:val="18"/>
              </w:rPr>
            </w:pPr>
            <w:r w:rsidRPr="00374CC9">
              <w:rPr>
                <w:rFonts w:asciiTheme="minorHAnsi" w:eastAsia="Times New Roman" w:hAnsiTheme="minorHAnsi"/>
                <w:sz w:val="18"/>
                <w:szCs w:val="18"/>
              </w:rPr>
              <w:t>13</w:t>
            </w:r>
          </w:p>
        </w:tc>
        <w:tc>
          <w:tcPr>
            <w:tcW w:w="0" w:type="auto"/>
            <w:hideMark/>
          </w:tcPr>
          <w:p w14:paraId="7E86837B" w14:textId="77777777" w:rsidR="00BE61A2" w:rsidRPr="00374CC9" w:rsidRDefault="00BE61A2" w:rsidP="00C82C38">
            <w:pPr>
              <w:jc w:val="center"/>
              <w:rPr>
                <w:rFonts w:asciiTheme="minorHAnsi" w:eastAsia="Times New Roman" w:hAnsiTheme="minorHAnsi"/>
                <w:sz w:val="18"/>
                <w:szCs w:val="18"/>
              </w:rPr>
            </w:pPr>
            <w:r w:rsidRPr="00374CC9">
              <w:rPr>
                <w:rFonts w:asciiTheme="minorHAnsi" w:eastAsia="Times New Roman" w:hAnsiTheme="minorHAnsi"/>
                <w:sz w:val="18"/>
                <w:szCs w:val="18"/>
              </w:rPr>
              <w:t>4</w:t>
            </w:r>
          </w:p>
        </w:tc>
        <w:tc>
          <w:tcPr>
            <w:tcW w:w="0" w:type="auto"/>
            <w:hideMark/>
          </w:tcPr>
          <w:p w14:paraId="096EFAA6" w14:textId="77777777" w:rsidR="00BE61A2" w:rsidRPr="00374CC9" w:rsidRDefault="00BE61A2" w:rsidP="00C82C38">
            <w:pPr>
              <w:jc w:val="center"/>
              <w:rPr>
                <w:rFonts w:asciiTheme="minorHAnsi" w:eastAsia="Times New Roman" w:hAnsiTheme="minorHAnsi"/>
                <w:sz w:val="18"/>
                <w:szCs w:val="18"/>
              </w:rPr>
            </w:pPr>
            <w:r w:rsidRPr="00374CC9">
              <w:rPr>
                <w:rFonts w:asciiTheme="minorHAnsi" w:eastAsia="Times New Roman" w:hAnsiTheme="minorHAnsi"/>
                <w:sz w:val="18"/>
                <w:szCs w:val="18"/>
              </w:rPr>
              <w:t>52</w:t>
            </w:r>
          </w:p>
        </w:tc>
        <w:tc>
          <w:tcPr>
            <w:tcW w:w="0" w:type="auto"/>
            <w:hideMark/>
          </w:tcPr>
          <w:p w14:paraId="01927A9D" w14:textId="77777777" w:rsidR="00BE61A2" w:rsidRPr="00374CC9" w:rsidRDefault="00BE61A2" w:rsidP="00C82C38">
            <w:pPr>
              <w:jc w:val="center"/>
              <w:rPr>
                <w:rFonts w:asciiTheme="minorHAnsi" w:eastAsia="Times New Roman" w:hAnsiTheme="minorHAnsi"/>
                <w:sz w:val="18"/>
                <w:szCs w:val="18"/>
              </w:rPr>
            </w:pPr>
            <w:r w:rsidRPr="00374CC9">
              <w:rPr>
                <w:rFonts w:asciiTheme="minorHAnsi" w:eastAsia="Times New Roman" w:hAnsiTheme="minorHAnsi"/>
                <w:sz w:val="18"/>
                <w:szCs w:val="18"/>
              </w:rPr>
              <w:t>13</w:t>
            </w:r>
          </w:p>
        </w:tc>
        <w:tc>
          <w:tcPr>
            <w:tcW w:w="0" w:type="auto"/>
            <w:hideMark/>
          </w:tcPr>
          <w:p w14:paraId="6B76976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188</w:t>
            </w:r>
          </w:p>
        </w:tc>
        <w:tc>
          <w:tcPr>
            <w:tcW w:w="3594" w:type="dxa"/>
            <w:hideMark/>
          </w:tcPr>
          <w:p w14:paraId="3F9A1C8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w:t>
            </w:r>
          </w:p>
        </w:tc>
      </w:tr>
      <w:tr w:rsidR="00EE19C2" w:rsidRPr="00374CC9" w14:paraId="39DEC611" w14:textId="77777777" w:rsidTr="002849B9">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1344B8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 longbeachae</w:t>
            </w:r>
          </w:p>
        </w:tc>
        <w:tc>
          <w:tcPr>
            <w:tcW w:w="0" w:type="auto"/>
            <w:hideMark/>
          </w:tcPr>
          <w:p w14:paraId="2E41D435" w14:textId="77777777" w:rsidR="00BE61A2" w:rsidRPr="00374CC9" w:rsidRDefault="00BE61A2" w:rsidP="00C82C38">
            <w:pPr>
              <w:jc w:val="cente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2E76B325" w14:textId="77777777" w:rsidR="00BE61A2" w:rsidRPr="00374CC9" w:rsidRDefault="00BE61A2" w:rsidP="00C82C38">
            <w:pPr>
              <w:jc w:val="center"/>
              <w:rPr>
                <w:rFonts w:asciiTheme="minorHAnsi" w:eastAsia="Times New Roman" w:hAnsiTheme="minorHAnsi"/>
                <w:sz w:val="18"/>
                <w:szCs w:val="18"/>
              </w:rPr>
            </w:pPr>
            <w:r w:rsidRPr="00374CC9">
              <w:rPr>
                <w:rFonts w:asciiTheme="minorHAnsi" w:eastAsia="Times New Roman" w:hAnsiTheme="minorHAnsi"/>
                <w:sz w:val="18"/>
                <w:szCs w:val="18"/>
              </w:rPr>
              <w:t>30</w:t>
            </w:r>
          </w:p>
        </w:tc>
        <w:tc>
          <w:tcPr>
            <w:tcW w:w="0" w:type="auto"/>
            <w:hideMark/>
          </w:tcPr>
          <w:p w14:paraId="1AC36DA2" w14:textId="77777777" w:rsidR="00BE61A2" w:rsidRPr="00374CC9" w:rsidRDefault="00BE61A2" w:rsidP="00C82C38">
            <w:pPr>
              <w:jc w:val="center"/>
              <w:rPr>
                <w:rFonts w:asciiTheme="minorHAnsi" w:eastAsia="Times New Roman" w:hAnsiTheme="minorHAnsi"/>
                <w:sz w:val="18"/>
                <w:szCs w:val="18"/>
              </w:rPr>
            </w:pPr>
            <w:r w:rsidRPr="00374CC9">
              <w:rPr>
                <w:rFonts w:asciiTheme="minorHAnsi" w:eastAsia="Times New Roman" w:hAnsiTheme="minorHAnsi"/>
                <w:sz w:val="18"/>
                <w:szCs w:val="18"/>
              </w:rPr>
              <w:t>5</w:t>
            </w:r>
          </w:p>
        </w:tc>
        <w:tc>
          <w:tcPr>
            <w:tcW w:w="0" w:type="auto"/>
            <w:hideMark/>
          </w:tcPr>
          <w:p w14:paraId="56519580" w14:textId="77777777" w:rsidR="00BE61A2" w:rsidRPr="00374CC9" w:rsidRDefault="00BE61A2" w:rsidP="00C82C38">
            <w:pPr>
              <w:jc w:val="center"/>
              <w:rPr>
                <w:rFonts w:asciiTheme="minorHAnsi" w:eastAsia="Times New Roman" w:hAnsiTheme="minorHAnsi"/>
                <w:sz w:val="18"/>
                <w:szCs w:val="18"/>
              </w:rPr>
            </w:pPr>
            <w:r w:rsidRPr="00374CC9">
              <w:rPr>
                <w:rFonts w:asciiTheme="minorHAnsi" w:eastAsia="Times New Roman" w:hAnsiTheme="minorHAnsi"/>
                <w:sz w:val="18"/>
                <w:szCs w:val="18"/>
              </w:rPr>
              <w:t>39</w:t>
            </w:r>
          </w:p>
        </w:tc>
        <w:tc>
          <w:tcPr>
            <w:tcW w:w="0" w:type="auto"/>
            <w:hideMark/>
          </w:tcPr>
          <w:p w14:paraId="12E12B71" w14:textId="77777777" w:rsidR="00BE61A2" w:rsidRPr="00374CC9" w:rsidRDefault="00BE61A2" w:rsidP="00C82C38">
            <w:pPr>
              <w:jc w:val="center"/>
              <w:rPr>
                <w:rFonts w:asciiTheme="minorHAnsi" w:eastAsia="Times New Roman" w:hAnsiTheme="minorHAnsi"/>
                <w:sz w:val="18"/>
                <w:szCs w:val="18"/>
              </w:rPr>
            </w:pPr>
            <w:r w:rsidRPr="00374CC9">
              <w:rPr>
                <w:rFonts w:asciiTheme="minorHAnsi" w:eastAsia="Times New Roman" w:hAnsiTheme="minorHAnsi"/>
                <w:sz w:val="18"/>
                <w:szCs w:val="18"/>
              </w:rPr>
              <w:t>13</w:t>
            </w:r>
          </w:p>
        </w:tc>
        <w:tc>
          <w:tcPr>
            <w:tcW w:w="0" w:type="auto"/>
            <w:hideMark/>
          </w:tcPr>
          <w:p w14:paraId="634C3CA8" w14:textId="77777777" w:rsidR="00BE61A2" w:rsidRPr="00374CC9" w:rsidRDefault="00BE61A2" w:rsidP="00C82C38">
            <w:pPr>
              <w:jc w:val="cente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0" w:type="auto"/>
            <w:hideMark/>
          </w:tcPr>
          <w:p w14:paraId="7EBFD21E" w14:textId="77777777" w:rsidR="00BE61A2" w:rsidRPr="00374CC9" w:rsidRDefault="00BE61A2" w:rsidP="00C82C38">
            <w:pPr>
              <w:jc w:val="center"/>
              <w:rPr>
                <w:rFonts w:asciiTheme="minorHAnsi" w:eastAsia="Times New Roman" w:hAnsiTheme="minorHAnsi"/>
                <w:sz w:val="18"/>
                <w:szCs w:val="18"/>
              </w:rPr>
            </w:pPr>
            <w:r w:rsidRPr="00374CC9">
              <w:rPr>
                <w:rFonts w:asciiTheme="minorHAnsi" w:eastAsia="Times New Roman" w:hAnsiTheme="minorHAnsi"/>
                <w:sz w:val="18"/>
                <w:szCs w:val="18"/>
              </w:rPr>
              <w:t>13</w:t>
            </w:r>
          </w:p>
        </w:tc>
        <w:tc>
          <w:tcPr>
            <w:tcW w:w="0" w:type="auto"/>
            <w:hideMark/>
          </w:tcPr>
          <w:p w14:paraId="1FECC7FB" w14:textId="77777777" w:rsidR="00BE61A2" w:rsidRPr="00374CC9" w:rsidRDefault="00BE61A2" w:rsidP="00C82C38">
            <w:pPr>
              <w:jc w:val="center"/>
              <w:rPr>
                <w:rFonts w:asciiTheme="minorHAnsi" w:eastAsia="Times New Roman" w:hAnsiTheme="minorHAnsi"/>
                <w:sz w:val="18"/>
                <w:szCs w:val="18"/>
              </w:rPr>
            </w:pPr>
            <w:r w:rsidRPr="00374CC9">
              <w:rPr>
                <w:rFonts w:asciiTheme="minorHAnsi" w:eastAsia="Times New Roman" w:hAnsiTheme="minorHAnsi"/>
                <w:sz w:val="18"/>
                <w:szCs w:val="18"/>
              </w:rPr>
              <w:t>61</w:t>
            </w:r>
          </w:p>
        </w:tc>
        <w:tc>
          <w:tcPr>
            <w:tcW w:w="0" w:type="auto"/>
            <w:hideMark/>
          </w:tcPr>
          <w:p w14:paraId="59C09E0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165</w:t>
            </w:r>
          </w:p>
        </w:tc>
        <w:tc>
          <w:tcPr>
            <w:tcW w:w="3594" w:type="dxa"/>
            <w:hideMark/>
          </w:tcPr>
          <w:p w14:paraId="4D7C6FE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r>
      <w:tr w:rsidR="00EE19C2" w:rsidRPr="00374CC9" w14:paraId="070A1D6D" w14:textId="77777777" w:rsidTr="002849B9">
        <w:tblPrEx>
          <w:tblCellMar>
            <w:right w:w="108" w:type="dxa"/>
          </w:tblCellMar>
        </w:tblPrEx>
        <w:tc>
          <w:tcPr>
            <w:tcW w:w="0" w:type="auto"/>
            <w:hideMark/>
          </w:tcPr>
          <w:p w14:paraId="3261546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 xml:space="preserve">L. </w:t>
            </w:r>
            <w:proofErr w:type="spellStart"/>
            <w:r w:rsidRPr="00374CC9">
              <w:rPr>
                <w:rFonts w:asciiTheme="minorHAnsi" w:eastAsia="Times New Roman" w:hAnsiTheme="minorHAnsi"/>
                <w:sz w:val="18"/>
                <w:szCs w:val="18"/>
              </w:rPr>
              <w:t>bozemanii</w:t>
            </w:r>
            <w:proofErr w:type="spellEnd"/>
          </w:p>
        </w:tc>
        <w:tc>
          <w:tcPr>
            <w:tcW w:w="0" w:type="auto"/>
            <w:hideMark/>
          </w:tcPr>
          <w:p w14:paraId="5AEF4E7A" w14:textId="77777777" w:rsidR="00BE61A2" w:rsidRPr="00374CC9" w:rsidRDefault="00BE61A2" w:rsidP="00C82C38">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29A28978" w14:textId="77777777" w:rsidR="00BE61A2" w:rsidRPr="00374CC9" w:rsidRDefault="00BE61A2" w:rsidP="00C82C38">
            <w:pPr>
              <w:jc w:val="cente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5B8090B1" w14:textId="77777777" w:rsidR="00BE61A2" w:rsidRPr="00374CC9" w:rsidRDefault="00BE61A2" w:rsidP="00C82C38">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E3BB6CE" w14:textId="77777777" w:rsidR="00BE61A2" w:rsidRPr="00374CC9" w:rsidRDefault="00BE61A2" w:rsidP="00C82C38">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03E0FB3E" w14:textId="77777777" w:rsidR="00BE61A2" w:rsidRPr="00374CC9" w:rsidRDefault="00BE61A2" w:rsidP="00C82C38">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9133D7B" w14:textId="77777777" w:rsidR="00BE61A2" w:rsidRPr="00374CC9" w:rsidRDefault="00BE61A2" w:rsidP="00C82C38">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222A8E39" w14:textId="77777777" w:rsidR="00BE61A2" w:rsidRPr="00374CC9" w:rsidRDefault="00BE61A2" w:rsidP="00C82C38">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559EE1D2" w14:textId="77777777" w:rsidR="00BE61A2" w:rsidRPr="00374CC9" w:rsidRDefault="00BE61A2" w:rsidP="00C82C38">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B4A093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3594" w:type="dxa"/>
            <w:hideMark/>
          </w:tcPr>
          <w:p w14:paraId="725020E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r>
      <w:tr w:rsidR="00EE19C2" w:rsidRPr="00374CC9" w14:paraId="6FAC796A" w14:textId="77777777" w:rsidTr="002849B9">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A178F6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Unknown species</w:t>
            </w:r>
          </w:p>
        </w:tc>
        <w:tc>
          <w:tcPr>
            <w:tcW w:w="0" w:type="auto"/>
            <w:hideMark/>
          </w:tcPr>
          <w:p w14:paraId="64E4393A" w14:textId="77777777" w:rsidR="00BE61A2" w:rsidRPr="00374CC9" w:rsidRDefault="00BE61A2" w:rsidP="00C82C38">
            <w:pPr>
              <w:jc w:val="cente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227460BB" w14:textId="77777777" w:rsidR="00BE61A2" w:rsidRPr="00374CC9" w:rsidRDefault="00BE61A2" w:rsidP="00C82C38">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5AFA6AB" w14:textId="77777777" w:rsidR="00BE61A2" w:rsidRPr="00374CC9" w:rsidRDefault="00BE61A2" w:rsidP="00C82C38">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1E99EBEE" w14:textId="77777777" w:rsidR="00BE61A2" w:rsidRPr="00374CC9" w:rsidRDefault="00BE61A2" w:rsidP="00C82C38">
            <w:pPr>
              <w:jc w:val="center"/>
              <w:rPr>
                <w:rFonts w:asciiTheme="minorHAnsi" w:eastAsia="Times New Roman" w:hAnsiTheme="minorHAnsi"/>
                <w:sz w:val="18"/>
                <w:szCs w:val="18"/>
              </w:rPr>
            </w:pPr>
            <w:r w:rsidRPr="00374CC9">
              <w:rPr>
                <w:rFonts w:asciiTheme="minorHAnsi" w:eastAsia="Times New Roman" w:hAnsiTheme="minorHAnsi"/>
                <w:sz w:val="18"/>
                <w:szCs w:val="18"/>
              </w:rPr>
              <w:t>4</w:t>
            </w:r>
          </w:p>
        </w:tc>
        <w:tc>
          <w:tcPr>
            <w:tcW w:w="0" w:type="auto"/>
            <w:hideMark/>
          </w:tcPr>
          <w:p w14:paraId="11FCBBF7" w14:textId="77777777" w:rsidR="00BE61A2" w:rsidRPr="00374CC9" w:rsidRDefault="00BE61A2" w:rsidP="00C82C38">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27C3B68B" w14:textId="77777777" w:rsidR="00BE61A2" w:rsidRPr="00374CC9" w:rsidRDefault="00BE61A2" w:rsidP="00C82C38">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1A3EB4BC" w14:textId="77777777" w:rsidR="00BE61A2" w:rsidRPr="00374CC9" w:rsidRDefault="00BE61A2" w:rsidP="00C82C38">
            <w:pPr>
              <w:jc w:val="center"/>
              <w:rPr>
                <w:rFonts w:asciiTheme="minorHAnsi" w:eastAsia="Times New Roman" w:hAnsiTheme="minorHAnsi"/>
                <w:sz w:val="18"/>
                <w:szCs w:val="18"/>
              </w:rPr>
            </w:pPr>
            <w:r w:rsidRPr="00374CC9">
              <w:rPr>
                <w:rFonts w:asciiTheme="minorHAnsi" w:eastAsia="Times New Roman" w:hAnsiTheme="minorHAnsi"/>
                <w:sz w:val="18"/>
                <w:szCs w:val="18"/>
              </w:rPr>
              <w:t>6</w:t>
            </w:r>
          </w:p>
        </w:tc>
        <w:tc>
          <w:tcPr>
            <w:tcW w:w="0" w:type="auto"/>
            <w:hideMark/>
          </w:tcPr>
          <w:p w14:paraId="72A859A6" w14:textId="77777777" w:rsidR="00BE61A2" w:rsidRPr="00374CC9" w:rsidRDefault="00BE61A2" w:rsidP="00C82C38">
            <w:pPr>
              <w:jc w:val="cente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3F842ED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11</w:t>
            </w:r>
          </w:p>
        </w:tc>
        <w:tc>
          <w:tcPr>
            <w:tcW w:w="3594" w:type="dxa"/>
            <w:hideMark/>
          </w:tcPr>
          <w:p w14:paraId="4D05B98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r>
      <w:tr w:rsidR="00EE19C2" w:rsidRPr="002849B9" w14:paraId="3D6416D8" w14:textId="77777777" w:rsidTr="002849B9">
        <w:tblPrEx>
          <w:tblCellMar>
            <w:right w:w="108" w:type="dxa"/>
          </w:tblCellMar>
        </w:tblPrEx>
        <w:tc>
          <w:tcPr>
            <w:tcW w:w="0" w:type="auto"/>
            <w:shd w:val="clear" w:color="auto" w:fill="FDE9D9" w:themeFill="accent6" w:themeFillTint="33"/>
            <w:hideMark/>
          </w:tcPr>
          <w:p w14:paraId="46BAC8E0" w14:textId="77777777" w:rsidR="00BE61A2" w:rsidRPr="002849B9" w:rsidRDefault="00BE61A2">
            <w:pPr>
              <w:rPr>
                <w:rFonts w:asciiTheme="minorHAnsi" w:eastAsia="Times New Roman" w:hAnsiTheme="minorHAnsi"/>
                <w:b/>
                <w:sz w:val="18"/>
                <w:szCs w:val="18"/>
              </w:rPr>
            </w:pPr>
            <w:r w:rsidRPr="002849B9">
              <w:rPr>
                <w:rFonts w:asciiTheme="minorHAnsi" w:eastAsia="Times New Roman" w:hAnsiTheme="minorHAnsi"/>
                <w:b/>
                <w:sz w:val="18"/>
                <w:szCs w:val="18"/>
              </w:rPr>
              <w:t>Total</w:t>
            </w:r>
          </w:p>
        </w:tc>
        <w:tc>
          <w:tcPr>
            <w:tcW w:w="0" w:type="auto"/>
            <w:shd w:val="clear" w:color="auto" w:fill="FDE9D9" w:themeFill="accent6" w:themeFillTint="33"/>
            <w:hideMark/>
          </w:tcPr>
          <w:p w14:paraId="06B90C79" w14:textId="77777777" w:rsidR="00BE61A2" w:rsidRPr="002849B9" w:rsidRDefault="00BE61A2" w:rsidP="00C82C38">
            <w:pPr>
              <w:jc w:val="center"/>
              <w:rPr>
                <w:rFonts w:asciiTheme="minorHAnsi" w:eastAsia="Times New Roman" w:hAnsiTheme="minorHAnsi"/>
                <w:b/>
                <w:sz w:val="18"/>
                <w:szCs w:val="18"/>
              </w:rPr>
            </w:pPr>
            <w:r w:rsidRPr="002849B9">
              <w:rPr>
                <w:rFonts w:asciiTheme="minorHAnsi" w:eastAsia="Times New Roman" w:hAnsiTheme="minorHAnsi"/>
                <w:b/>
                <w:sz w:val="18"/>
                <w:szCs w:val="18"/>
              </w:rPr>
              <w:t>2</w:t>
            </w:r>
          </w:p>
        </w:tc>
        <w:tc>
          <w:tcPr>
            <w:tcW w:w="0" w:type="auto"/>
            <w:shd w:val="clear" w:color="auto" w:fill="FDE9D9" w:themeFill="accent6" w:themeFillTint="33"/>
            <w:hideMark/>
          </w:tcPr>
          <w:p w14:paraId="0420424C" w14:textId="77777777" w:rsidR="00BE61A2" w:rsidRPr="002849B9" w:rsidRDefault="00BE61A2" w:rsidP="00C82C38">
            <w:pPr>
              <w:jc w:val="center"/>
              <w:rPr>
                <w:rFonts w:asciiTheme="minorHAnsi" w:eastAsia="Times New Roman" w:hAnsiTheme="minorHAnsi"/>
                <w:b/>
                <w:sz w:val="18"/>
                <w:szCs w:val="18"/>
              </w:rPr>
            </w:pPr>
            <w:r w:rsidRPr="002849B9">
              <w:rPr>
                <w:rFonts w:asciiTheme="minorHAnsi" w:eastAsia="Times New Roman" w:hAnsiTheme="minorHAnsi"/>
                <w:b/>
                <w:sz w:val="18"/>
                <w:szCs w:val="18"/>
              </w:rPr>
              <w:t>98</w:t>
            </w:r>
          </w:p>
        </w:tc>
        <w:tc>
          <w:tcPr>
            <w:tcW w:w="0" w:type="auto"/>
            <w:shd w:val="clear" w:color="auto" w:fill="FDE9D9" w:themeFill="accent6" w:themeFillTint="33"/>
            <w:hideMark/>
          </w:tcPr>
          <w:p w14:paraId="649C03E5" w14:textId="77777777" w:rsidR="00BE61A2" w:rsidRPr="002849B9" w:rsidRDefault="00BE61A2" w:rsidP="00C82C38">
            <w:pPr>
              <w:jc w:val="center"/>
              <w:rPr>
                <w:rFonts w:asciiTheme="minorHAnsi" w:eastAsia="Times New Roman" w:hAnsiTheme="minorHAnsi"/>
                <w:b/>
                <w:sz w:val="18"/>
                <w:szCs w:val="18"/>
              </w:rPr>
            </w:pPr>
            <w:r w:rsidRPr="002849B9">
              <w:rPr>
                <w:rFonts w:asciiTheme="minorHAnsi" w:eastAsia="Times New Roman" w:hAnsiTheme="minorHAnsi"/>
                <w:b/>
                <w:sz w:val="18"/>
                <w:szCs w:val="18"/>
              </w:rPr>
              <w:t>7</w:t>
            </w:r>
          </w:p>
        </w:tc>
        <w:tc>
          <w:tcPr>
            <w:tcW w:w="0" w:type="auto"/>
            <w:shd w:val="clear" w:color="auto" w:fill="FDE9D9" w:themeFill="accent6" w:themeFillTint="33"/>
            <w:hideMark/>
          </w:tcPr>
          <w:p w14:paraId="504E616D" w14:textId="77777777" w:rsidR="00BE61A2" w:rsidRPr="002849B9" w:rsidRDefault="00BE61A2" w:rsidP="00C82C38">
            <w:pPr>
              <w:jc w:val="center"/>
              <w:rPr>
                <w:rFonts w:asciiTheme="minorHAnsi" w:eastAsia="Times New Roman" w:hAnsiTheme="minorHAnsi"/>
                <w:b/>
                <w:sz w:val="18"/>
                <w:szCs w:val="18"/>
              </w:rPr>
            </w:pPr>
            <w:r w:rsidRPr="002849B9">
              <w:rPr>
                <w:rFonts w:asciiTheme="minorHAnsi" w:eastAsia="Times New Roman" w:hAnsiTheme="minorHAnsi"/>
                <w:b/>
                <w:sz w:val="18"/>
                <w:szCs w:val="18"/>
              </w:rPr>
              <w:t>80</w:t>
            </w:r>
          </w:p>
        </w:tc>
        <w:tc>
          <w:tcPr>
            <w:tcW w:w="0" w:type="auto"/>
            <w:shd w:val="clear" w:color="auto" w:fill="FDE9D9" w:themeFill="accent6" w:themeFillTint="33"/>
            <w:hideMark/>
          </w:tcPr>
          <w:p w14:paraId="69FC6863" w14:textId="77777777" w:rsidR="00BE61A2" w:rsidRPr="002849B9" w:rsidRDefault="00BE61A2" w:rsidP="00C82C38">
            <w:pPr>
              <w:jc w:val="center"/>
              <w:rPr>
                <w:rFonts w:asciiTheme="minorHAnsi" w:eastAsia="Times New Roman" w:hAnsiTheme="minorHAnsi"/>
                <w:b/>
                <w:sz w:val="18"/>
                <w:szCs w:val="18"/>
              </w:rPr>
            </w:pPr>
            <w:r w:rsidRPr="002849B9">
              <w:rPr>
                <w:rFonts w:asciiTheme="minorHAnsi" w:eastAsia="Times New Roman" w:hAnsiTheme="minorHAnsi"/>
                <w:b/>
                <w:sz w:val="18"/>
                <w:szCs w:val="18"/>
              </w:rPr>
              <w:t>26</w:t>
            </w:r>
          </w:p>
        </w:tc>
        <w:tc>
          <w:tcPr>
            <w:tcW w:w="0" w:type="auto"/>
            <w:shd w:val="clear" w:color="auto" w:fill="FDE9D9" w:themeFill="accent6" w:themeFillTint="33"/>
            <w:hideMark/>
          </w:tcPr>
          <w:p w14:paraId="133D9D59" w14:textId="77777777" w:rsidR="00BE61A2" w:rsidRPr="002849B9" w:rsidRDefault="00BE61A2" w:rsidP="00C82C38">
            <w:pPr>
              <w:jc w:val="center"/>
              <w:rPr>
                <w:rFonts w:asciiTheme="minorHAnsi" w:eastAsia="Times New Roman" w:hAnsiTheme="minorHAnsi"/>
                <w:b/>
                <w:sz w:val="18"/>
                <w:szCs w:val="18"/>
              </w:rPr>
            </w:pPr>
            <w:r w:rsidRPr="002849B9">
              <w:rPr>
                <w:rFonts w:asciiTheme="minorHAnsi" w:eastAsia="Times New Roman" w:hAnsiTheme="minorHAnsi"/>
                <w:b/>
                <w:sz w:val="18"/>
                <w:szCs w:val="18"/>
              </w:rPr>
              <w:t>7</w:t>
            </w:r>
          </w:p>
        </w:tc>
        <w:tc>
          <w:tcPr>
            <w:tcW w:w="0" w:type="auto"/>
            <w:shd w:val="clear" w:color="auto" w:fill="FDE9D9" w:themeFill="accent6" w:themeFillTint="33"/>
            <w:hideMark/>
          </w:tcPr>
          <w:p w14:paraId="3DCA0AB7" w14:textId="77777777" w:rsidR="00BE61A2" w:rsidRPr="002849B9" w:rsidRDefault="00BE61A2" w:rsidP="00C82C38">
            <w:pPr>
              <w:jc w:val="center"/>
              <w:rPr>
                <w:rFonts w:asciiTheme="minorHAnsi" w:eastAsia="Times New Roman" w:hAnsiTheme="minorHAnsi"/>
                <w:b/>
                <w:sz w:val="18"/>
                <w:szCs w:val="18"/>
              </w:rPr>
            </w:pPr>
            <w:r w:rsidRPr="002849B9">
              <w:rPr>
                <w:rFonts w:asciiTheme="minorHAnsi" w:eastAsia="Times New Roman" w:hAnsiTheme="minorHAnsi"/>
                <w:b/>
                <w:sz w:val="18"/>
                <w:szCs w:val="18"/>
              </w:rPr>
              <w:t>71</w:t>
            </w:r>
          </w:p>
        </w:tc>
        <w:tc>
          <w:tcPr>
            <w:tcW w:w="0" w:type="auto"/>
            <w:shd w:val="clear" w:color="auto" w:fill="FDE9D9" w:themeFill="accent6" w:themeFillTint="33"/>
            <w:hideMark/>
          </w:tcPr>
          <w:p w14:paraId="0B09EED8" w14:textId="77777777" w:rsidR="00BE61A2" w:rsidRPr="002849B9" w:rsidRDefault="00BE61A2" w:rsidP="00C82C38">
            <w:pPr>
              <w:jc w:val="center"/>
              <w:rPr>
                <w:rFonts w:asciiTheme="minorHAnsi" w:eastAsia="Times New Roman" w:hAnsiTheme="minorHAnsi"/>
                <w:b/>
                <w:sz w:val="18"/>
                <w:szCs w:val="18"/>
              </w:rPr>
            </w:pPr>
            <w:r w:rsidRPr="002849B9">
              <w:rPr>
                <w:rFonts w:asciiTheme="minorHAnsi" w:eastAsia="Times New Roman" w:hAnsiTheme="minorHAnsi"/>
                <w:b/>
                <w:sz w:val="18"/>
                <w:szCs w:val="18"/>
              </w:rPr>
              <w:t>74</w:t>
            </w:r>
          </w:p>
        </w:tc>
        <w:tc>
          <w:tcPr>
            <w:tcW w:w="0" w:type="auto"/>
            <w:shd w:val="clear" w:color="auto" w:fill="FDE9D9" w:themeFill="accent6" w:themeFillTint="33"/>
            <w:hideMark/>
          </w:tcPr>
          <w:p w14:paraId="171C7836" w14:textId="77777777" w:rsidR="00BE61A2" w:rsidRPr="002849B9" w:rsidRDefault="00BE61A2">
            <w:pPr>
              <w:rPr>
                <w:rFonts w:asciiTheme="minorHAnsi" w:eastAsia="Times New Roman" w:hAnsiTheme="minorHAnsi"/>
                <w:b/>
                <w:sz w:val="18"/>
                <w:szCs w:val="18"/>
              </w:rPr>
            </w:pPr>
            <w:r w:rsidRPr="002849B9">
              <w:rPr>
                <w:rFonts w:asciiTheme="minorHAnsi" w:eastAsia="Times New Roman" w:hAnsiTheme="minorHAnsi"/>
                <w:b/>
                <w:sz w:val="18"/>
                <w:szCs w:val="18"/>
              </w:rPr>
              <w:t>365</w:t>
            </w:r>
          </w:p>
        </w:tc>
        <w:tc>
          <w:tcPr>
            <w:tcW w:w="3594" w:type="dxa"/>
            <w:shd w:val="clear" w:color="auto" w:fill="FDE9D9" w:themeFill="accent6" w:themeFillTint="33"/>
            <w:hideMark/>
          </w:tcPr>
          <w:p w14:paraId="3A3C7BBF" w14:textId="77777777" w:rsidR="00BE61A2" w:rsidRPr="002849B9" w:rsidRDefault="00BE61A2">
            <w:pPr>
              <w:rPr>
                <w:rFonts w:asciiTheme="minorHAnsi" w:eastAsia="Times New Roman" w:hAnsiTheme="minorHAnsi"/>
                <w:b/>
                <w:sz w:val="18"/>
                <w:szCs w:val="18"/>
              </w:rPr>
            </w:pPr>
            <w:r w:rsidRPr="002849B9">
              <w:rPr>
                <w:rFonts w:asciiTheme="minorHAnsi" w:eastAsia="Times New Roman" w:hAnsiTheme="minorHAnsi"/>
                <w:b/>
                <w:sz w:val="18"/>
                <w:szCs w:val="18"/>
              </w:rPr>
              <w:t>7</w:t>
            </w:r>
          </w:p>
        </w:tc>
      </w:tr>
      <w:tr w:rsidR="00EE19C2" w:rsidRPr="00374CC9" w14:paraId="249C8F12" w14:textId="77777777" w:rsidTr="002849B9">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3CD28B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Rate (per 100,000)</w:t>
            </w:r>
          </w:p>
        </w:tc>
        <w:tc>
          <w:tcPr>
            <w:tcW w:w="0" w:type="auto"/>
            <w:hideMark/>
          </w:tcPr>
          <w:p w14:paraId="30A0FDC8" w14:textId="77777777" w:rsidR="00BE61A2" w:rsidRPr="00374CC9" w:rsidRDefault="00BE61A2" w:rsidP="00C82C38">
            <w:pPr>
              <w:jc w:val="center"/>
              <w:rPr>
                <w:rFonts w:asciiTheme="minorHAnsi" w:eastAsia="Times New Roman" w:hAnsiTheme="minorHAnsi"/>
                <w:sz w:val="18"/>
                <w:szCs w:val="18"/>
              </w:rPr>
            </w:pPr>
            <w:r w:rsidRPr="00374CC9">
              <w:rPr>
                <w:rFonts w:asciiTheme="minorHAnsi" w:eastAsia="Times New Roman" w:hAnsiTheme="minorHAnsi"/>
                <w:sz w:val="18"/>
                <w:szCs w:val="18"/>
              </w:rPr>
              <w:t>0.5</w:t>
            </w:r>
          </w:p>
        </w:tc>
        <w:tc>
          <w:tcPr>
            <w:tcW w:w="0" w:type="auto"/>
            <w:hideMark/>
          </w:tcPr>
          <w:p w14:paraId="2B34A5B1" w14:textId="77777777" w:rsidR="00BE61A2" w:rsidRPr="00374CC9" w:rsidRDefault="00BE61A2" w:rsidP="00C82C38">
            <w:pPr>
              <w:jc w:val="center"/>
              <w:rPr>
                <w:rFonts w:asciiTheme="minorHAnsi" w:eastAsia="Times New Roman" w:hAnsiTheme="minorHAnsi"/>
                <w:sz w:val="18"/>
                <w:szCs w:val="18"/>
              </w:rPr>
            </w:pPr>
            <w:r w:rsidRPr="00374CC9">
              <w:rPr>
                <w:rFonts w:asciiTheme="minorHAnsi" w:eastAsia="Times New Roman" w:hAnsiTheme="minorHAnsi"/>
                <w:sz w:val="18"/>
                <w:szCs w:val="18"/>
              </w:rPr>
              <w:t>1.3</w:t>
            </w:r>
          </w:p>
        </w:tc>
        <w:tc>
          <w:tcPr>
            <w:tcW w:w="0" w:type="auto"/>
            <w:hideMark/>
          </w:tcPr>
          <w:p w14:paraId="1DC54E72" w14:textId="77777777" w:rsidR="00BE61A2" w:rsidRPr="00374CC9" w:rsidRDefault="00BE61A2" w:rsidP="00C82C38">
            <w:pPr>
              <w:jc w:val="center"/>
              <w:rPr>
                <w:rFonts w:asciiTheme="minorHAnsi" w:eastAsia="Times New Roman" w:hAnsiTheme="minorHAnsi"/>
                <w:sz w:val="18"/>
                <w:szCs w:val="18"/>
              </w:rPr>
            </w:pPr>
            <w:r w:rsidRPr="00374CC9">
              <w:rPr>
                <w:rFonts w:asciiTheme="minorHAnsi" w:eastAsia="Times New Roman" w:hAnsiTheme="minorHAnsi"/>
                <w:sz w:val="18"/>
                <w:szCs w:val="18"/>
              </w:rPr>
              <w:t>2.9</w:t>
            </w:r>
          </w:p>
        </w:tc>
        <w:tc>
          <w:tcPr>
            <w:tcW w:w="0" w:type="auto"/>
            <w:hideMark/>
          </w:tcPr>
          <w:p w14:paraId="355F2868" w14:textId="77777777" w:rsidR="00BE61A2" w:rsidRPr="00374CC9" w:rsidRDefault="00BE61A2" w:rsidP="00C82C38">
            <w:pPr>
              <w:jc w:val="center"/>
              <w:rPr>
                <w:rFonts w:asciiTheme="minorHAnsi" w:eastAsia="Times New Roman" w:hAnsiTheme="minorHAnsi"/>
                <w:sz w:val="18"/>
                <w:szCs w:val="18"/>
              </w:rPr>
            </w:pPr>
            <w:r w:rsidRPr="00374CC9">
              <w:rPr>
                <w:rFonts w:asciiTheme="minorHAnsi" w:eastAsia="Times New Roman" w:hAnsiTheme="minorHAnsi"/>
                <w:sz w:val="18"/>
                <w:szCs w:val="18"/>
              </w:rPr>
              <w:t>1.7</w:t>
            </w:r>
          </w:p>
        </w:tc>
        <w:tc>
          <w:tcPr>
            <w:tcW w:w="0" w:type="auto"/>
            <w:hideMark/>
          </w:tcPr>
          <w:p w14:paraId="1E9DF214" w14:textId="77777777" w:rsidR="00BE61A2" w:rsidRPr="00374CC9" w:rsidRDefault="00BE61A2" w:rsidP="00C82C38">
            <w:pPr>
              <w:jc w:val="center"/>
              <w:rPr>
                <w:rFonts w:asciiTheme="minorHAnsi" w:eastAsia="Times New Roman" w:hAnsiTheme="minorHAnsi"/>
                <w:sz w:val="18"/>
                <w:szCs w:val="18"/>
              </w:rPr>
            </w:pPr>
            <w:r w:rsidRPr="00374CC9">
              <w:rPr>
                <w:rFonts w:asciiTheme="minorHAnsi" w:eastAsia="Times New Roman" w:hAnsiTheme="minorHAnsi"/>
                <w:sz w:val="18"/>
                <w:szCs w:val="18"/>
              </w:rPr>
              <w:t>1.5</w:t>
            </w:r>
          </w:p>
        </w:tc>
        <w:tc>
          <w:tcPr>
            <w:tcW w:w="0" w:type="auto"/>
            <w:hideMark/>
          </w:tcPr>
          <w:p w14:paraId="2C5CAA01" w14:textId="77777777" w:rsidR="00BE61A2" w:rsidRPr="00374CC9" w:rsidRDefault="00BE61A2" w:rsidP="00C82C38">
            <w:pPr>
              <w:jc w:val="center"/>
              <w:rPr>
                <w:rFonts w:asciiTheme="minorHAnsi" w:eastAsia="Times New Roman" w:hAnsiTheme="minorHAnsi"/>
                <w:sz w:val="18"/>
                <w:szCs w:val="18"/>
              </w:rPr>
            </w:pPr>
            <w:r w:rsidRPr="00374CC9">
              <w:rPr>
                <w:rFonts w:asciiTheme="minorHAnsi" w:eastAsia="Times New Roman" w:hAnsiTheme="minorHAnsi"/>
                <w:sz w:val="18"/>
                <w:szCs w:val="18"/>
              </w:rPr>
              <w:t>1.4</w:t>
            </w:r>
          </w:p>
        </w:tc>
        <w:tc>
          <w:tcPr>
            <w:tcW w:w="0" w:type="auto"/>
            <w:hideMark/>
          </w:tcPr>
          <w:p w14:paraId="79F2BFCD" w14:textId="77777777" w:rsidR="00BE61A2" w:rsidRPr="00374CC9" w:rsidRDefault="00BE61A2" w:rsidP="00C82C38">
            <w:pPr>
              <w:jc w:val="center"/>
              <w:rPr>
                <w:rFonts w:asciiTheme="minorHAnsi" w:eastAsia="Times New Roman" w:hAnsiTheme="minorHAnsi"/>
                <w:sz w:val="18"/>
                <w:szCs w:val="18"/>
              </w:rPr>
            </w:pPr>
            <w:r w:rsidRPr="00374CC9">
              <w:rPr>
                <w:rFonts w:asciiTheme="minorHAnsi" w:eastAsia="Times New Roman" w:hAnsiTheme="minorHAnsi"/>
                <w:sz w:val="18"/>
                <w:szCs w:val="18"/>
              </w:rPr>
              <w:t>1.2</w:t>
            </w:r>
          </w:p>
        </w:tc>
        <w:tc>
          <w:tcPr>
            <w:tcW w:w="0" w:type="auto"/>
            <w:hideMark/>
          </w:tcPr>
          <w:p w14:paraId="70B51AB3" w14:textId="77777777" w:rsidR="00BE61A2" w:rsidRPr="00374CC9" w:rsidRDefault="00BE61A2" w:rsidP="00C82C38">
            <w:pPr>
              <w:jc w:val="center"/>
              <w:rPr>
                <w:rFonts w:asciiTheme="minorHAnsi" w:eastAsia="Times New Roman" w:hAnsiTheme="minorHAnsi"/>
                <w:sz w:val="18"/>
                <w:szCs w:val="18"/>
              </w:rPr>
            </w:pPr>
            <w:r w:rsidRPr="00374CC9">
              <w:rPr>
                <w:rFonts w:asciiTheme="minorHAnsi" w:eastAsia="Times New Roman" w:hAnsiTheme="minorHAnsi"/>
                <w:sz w:val="18"/>
                <w:szCs w:val="18"/>
              </w:rPr>
              <w:t>2.9</w:t>
            </w:r>
          </w:p>
        </w:tc>
        <w:tc>
          <w:tcPr>
            <w:tcW w:w="0" w:type="auto"/>
            <w:hideMark/>
          </w:tcPr>
          <w:p w14:paraId="6ECE2F5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1.5</w:t>
            </w:r>
          </w:p>
        </w:tc>
        <w:tc>
          <w:tcPr>
            <w:tcW w:w="3594" w:type="dxa"/>
            <w:hideMark/>
          </w:tcPr>
          <w:p w14:paraId="76FB5FF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r>
    </w:tbl>
    <w:p w14:paraId="25297C62" w14:textId="77777777" w:rsidR="00B42171" w:rsidRDefault="00B42171" w:rsidP="00AE2F1B"/>
    <w:p w14:paraId="43958315" w14:textId="77777777" w:rsidR="00BE61A2" w:rsidRPr="00AE2F1B" w:rsidRDefault="00BE61A2" w:rsidP="00AE2F1B">
      <w:r w:rsidRPr="00AE2F1B">
        <w:t xml:space="preserve">Over the period of 2010 to 2015, the number of notified cases of </w:t>
      </w:r>
      <w:r w:rsidRPr="00DF12AB">
        <w:rPr>
          <w:rStyle w:val="Emphasis"/>
          <w:b w:val="0"/>
        </w:rPr>
        <w:t>L. pneumophila</w:t>
      </w:r>
      <w:r w:rsidRPr="00AE2F1B">
        <w:t xml:space="preserve"> ranged from 136 to 228 per annum, </w:t>
      </w:r>
      <w:proofErr w:type="gramStart"/>
      <w:r w:rsidRPr="00AE2F1B">
        <w:t>While</w:t>
      </w:r>
      <w:proofErr w:type="gramEnd"/>
      <w:r w:rsidRPr="00AE2F1B">
        <w:t xml:space="preserve"> notified cases of L. longbeachae ranged from 146 to 216 per annum (Figure 110). Compared with 2014, notifications of </w:t>
      </w:r>
      <w:r w:rsidRPr="00DF12AB">
        <w:rPr>
          <w:rStyle w:val="Emphasis"/>
          <w:b w:val="0"/>
        </w:rPr>
        <w:t>L. pneumophila</w:t>
      </w:r>
      <w:r w:rsidRPr="00AE2F1B">
        <w:t xml:space="preserve"> declined by 5% and there were a similar number of notifications for </w:t>
      </w:r>
      <w:r w:rsidRPr="00DF12AB">
        <w:rPr>
          <w:rStyle w:val="Emphasis"/>
          <w:b w:val="0"/>
        </w:rPr>
        <w:t>L.</w:t>
      </w:r>
      <w:r w:rsidR="00A532A6">
        <w:rPr>
          <w:rStyle w:val="Emphasis"/>
          <w:b w:val="0"/>
        </w:rPr>
        <w:t> </w:t>
      </w:r>
      <w:r w:rsidRPr="00DF12AB">
        <w:rPr>
          <w:rStyle w:val="Emphasis"/>
          <w:b w:val="0"/>
        </w:rPr>
        <w:t>longbeachae.</w:t>
      </w:r>
      <w:r w:rsidRPr="00AE2F1B">
        <w:t xml:space="preserve"> </w:t>
      </w:r>
    </w:p>
    <w:p w14:paraId="59D2A168" w14:textId="77777777" w:rsidR="00BE61A2" w:rsidRPr="00AE2F1B" w:rsidRDefault="00BE61A2" w:rsidP="00AE2F1B">
      <w:r w:rsidRPr="00AE2F1B">
        <w:t xml:space="preserve">In 2015, mortality data were available for 67% (246/365) of notifications. Of these, 3% (7/246) were reported to have died due to legionellosis. This was similar to the number of deaths reported in previous years. The majority of deaths were attributed to infection with </w:t>
      </w:r>
      <w:r w:rsidRPr="00DF12AB">
        <w:rPr>
          <w:rStyle w:val="Emphasis"/>
          <w:b w:val="0"/>
        </w:rPr>
        <w:t>L. pneumophila</w:t>
      </w:r>
      <w:r w:rsidRPr="00AE2F1B">
        <w:t xml:space="preserve"> (71%, 5/7) (Table 27). Over the last 6 years (2010 to 2015) the mortality data completeness for legionellosis notifications has improved with the proportion of notifications with mortality information increasing from 58% in 2010.</w:t>
      </w:r>
    </w:p>
    <w:p w14:paraId="0086F863" w14:textId="77777777" w:rsidR="00BE61A2" w:rsidRPr="00AE2F1B" w:rsidRDefault="00BE61A2" w:rsidP="00A52F61">
      <w:pPr>
        <w:pStyle w:val="Heading4"/>
      </w:pPr>
      <w:r w:rsidRPr="00924A50">
        <w:rPr>
          <w:bCs w:val="0"/>
        </w:rPr>
        <w:t>Geographic distribution</w:t>
      </w:r>
    </w:p>
    <w:p w14:paraId="54F3AD21" w14:textId="77777777" w:rsidR="00BE61A2" w:rsidRPr="00AE2F1B" w:rsidRDefault="00BE61A2" w:rsidP="00A52F61">
      <w:r w:rsidRPr="00AE2F1B">
        <w:t>In 2015, jurisdiction specific rates of legionellosis varied from 0.5 per 100,000 in the Australian Capital Territory to 2.9 per 100,000 in both Western Australia and the Northern Territory (Table 27).</w:t>
      </w:r>
    </w:p>
    <w:p w14:paraId="2345A98D" w14:textId="77777777" w:rsidR="00BE61A2" w:rsidRPr="00AE2F1B" w:rsidRDefault="00BE61A2" w:rsidP="00A52F61">
      <w:r w:rsidRPr="00AE2F1B">
        <w:t xml:space="preserve">In 2015, </w:t>
      </w:r>
      <w:r w:rsidRPr="00DF12AB">
        <w:rPr>
          <w:rStyle w:val="Emphasis"/>
          <w:b w:val="0"/>
        </w:rPr>
        <w:t>L. pneumophila</w:t>
      </w:r>
      <w:r w:rsidRPr="00AE2F1B">
        <w:t xml:space="preserve"> was the most notified causative species in New South Wales and Victoria, while </w:t>
      </w:r>
      <w:r w:rsidRPr="00DF12AB">
        <w:rPr>
          <w:rStyle w:val="Emphasis"/>
          <w:b w:val="0"/>
        </w:rPr>
        <w:t>L. longbeachae</w:t>
      </w:r>
      <w:r w:rsidRPr="00AE2F1B">
        <w:t xml:space="preserve"> was more frequently notified in the Northern Territory and Western Australia. Queensland, South </w:t>
      </w:r>
      <w:proofErr w:type="gramStart"/>
      <w:r w:rsidRPr="00AE2F1B">
        <w:t>Australia</w:t>
      </w:r>
      <w:proofErr w:type="gramEnd"/>
      <w:r w:rsidRPr="00AE2F1B">
        <w:t xml:space="preserve"> and Tasmania reported either equal or similar proportions of both species. The most frequent species annually reported by each jurisdiction can vary between </w:t>
      </w:r>
      <w:r w:rsidRPr="00DF12AB">
        <w:rPr>
          <w:rStyle w:val="Emphasis"/>
          <w:b w:val="0"/>
        </w:rPr>
        <w:t>L. pneumophila</w:t>
      </w:r>
      <w:r w:rsidRPr="00AE2F1B">
        <w:t xml:space="preserve"> and </w:t>
      </w:r>
      <w:r w:rsidRPr="00DF12AB">
        <w:rPr>
          <w:rStyle w:val="Emphasis"/>
          <w:b w:val="0"/>
        </w:rPr>
        <w:t>L. longbeachae.</w:t>
      </w:r>
      <w:r w:rsidRPr="00AE2F1B">
        <w:t xml:space="preserve"> However, generally Western Australia and the Northern Territory tend to report more </w:t>
      </w:r>
      <w:r w:rsidRPr="00DF12AB">
        <w:rPr>
          <w:rStyle w:val="Emphasis"/>
          <w:b w:val="0"/>
        </w:rPr>
        <w:t>L.</w:t>
      </w:r>
      <w:r w:rsidR="00C23453">
        <w:rPr>
          <w:rStyle w:val="Emphasis"/>
          <w:b w:val="0"/>
        </w:rPr>
        <w:t xml:space="preserve"> </w:t>
      </w:r>
      <w:r w:rsidRPr="00DF12AB">
        <w:rPr>
          <w:rStyle w:val="Emphasis"/>
          <w:b w:val="0"/>
        </w:rPr>
        <w:t> longbeachae</w:t>
      </w:r>
      <w:r w:rsidRPr="00AE2F1B">
        <w:t xml:space="preserve"> notifications, while New South Wales, South Australia and Victoria tend to report more </w:t>
      </w:r>
      <w:r w:rsidRPr="00DF12AB">
        <w:rPr>
          <w:rStyle w:val="Emphasis"/>
          <w:b w:val="0"/>
        </w:rPr>
        <w:t>L. pneumophila</w:t>
      </w:r>
      <w:r w:rsidRPr="00AE2F1B">
        <w:t xml:space="preserve"> notifications. Queensland reported an approximately equal proportion of </w:t>
      </w:r>
      <w:r w:rsidRPr="00DF12AB">
        <w:rPr>
          <w:rStyle w:val="Emphasis"/>
          <w:b w:val="0"/>
        </w:rPr>
        <w:t>L.</w:t>
      </w:r>
      <w:r w:rsidR="00C23453">
        <w:rPr>
          <w:rStyle w:val="Emphasis"/>
          <w:b w:val="0"/>
        </w:rPr>
        <w:t xml:space="preserve"> </w:t>
      </w:r>
      <w:r w:rsidRPr="00DF12AB">
        <w:rPr>
          <w:rStyle w:val="Emphasis"/>
          <w:b w:val="0"/>
        </w:rPr>
        <w:t> longbeachae</w:t>
      </w:r>
      <w:r w:rsidRPr="00AE2F1B">
        <w:t xml:space="preserve"> and </w:t>
      </w:r>
      <w:r w:rsidRPr="00DF12AB">
        <w:rPr>
          <w:rStyle w:val="Emphasis"/>
          <w:b w:val="0"/>
        </w:rPr>
        <w:t>L. pneumophila</w:t>
      </w:r>
      <w:r w:rsidRPr="00AE2F1B">
        <w:t xml:space="preserve"> notifications. The Australian Capital Territory and Tasmania tend to report only a small number of notifications each year with no clear species predominance.</w:t>
      </w:r>
    </w:p>
    <w:p w14:paraId="42864E01" w14:textId="77777777" w:rsidR="00BE61A2" w:rsidRPr="00AE2F1B" w:rsidRDefault="00BE61A2" w:rsidP="00A52F61">
      <w:pPr>
        <w:pStyle w:val="Heading4"/>
      </w:pPr>
      <w:r w:rsidRPr="00924A50">
        <w:rPr>
          <w:bCs w:val="0"/>
        </w:rPr>
        <w:t>Age and sex distribution</w:t>
      </w:r>
    </w:p>
    <w:p w14:paraId="356B56A7" w14:textId="77777777" w:rsidR="00BE61A2" w:rsidRDefault="00BE61A2" w:rsidP="00A52F61">
      <w:r w:rsidRPr="00AE2F1B">
        <w:t xml:space="preserve">In 2015, males accounted for a higher proportion (64%) of the notifications compared to females; representing a male to female ratio of 1.7:1. While the age range of cases in 2015 was between 6 and 97 years, cases tended to be among adults aged 45 years and over, peaking among those aged 75–79 years. In males, notifications were highest in </w:t>
      </w:r>
      <w:r w:rsidRPr="00AE2F1B">
        <w:lastRenderedPageBreak/>
        <w:t xml:space="preserve">the 75–79 years age group (11.2 per 100,000); </w:t>
      </w:r>
      <w:proofErr w:type="gramStart"/>
      <w:r w:rsidRPr="00AE2F1B">
        <w:t>however</w:t>
      </w:r>
      <w:proofErr w:type="gramEnd"/>
      <w:r w:rsidRPr="00AE2F1B">
        <w:t xml:space="preserve"> for females notifications peaked among cases aged 85 years and over (4.3 per 100,000) (Figure 111).</w:t>
      </w:r>
    </w:p>
    <w:p w14:paraId="71E819C9" w14:textId="77777777" w:rsidR="00EE31CA" w:rsidRDefault="00EE31CA" w:rsidP="00EE31CA">
      <w:pPr>
        <w:pStyle w:val="CDIFigures"/>
      </w:pPr>
      <w:r w:rsidRPr="00EE31CA">
        <w:t xml:space="preserve">Figure 111: Notification rate for legionellosis, Australia, 2015, by age group, </w:t>
      </w:r>
      <w:proofErr w:type="gramStart"/>
      <w:r w:rsidRPr="00EE31CA">
        <w:t>sex</w:t>
      </w:r>
      <w:proofErr w:type="gramEnd"/>
      <w:r w:rsidRPr="00EE31CA">
        <w:t xml:space="preserve"> and species</w:t>
      </w:r>
    </w:p>
    <w:p w14:paraId="70321B0B" w14:textId="77777777" w:rsidR="00895390" w:rsidRPr="00EE31CA" w:rsidRDefault="0021477A" w:rsidP="00EE31CA">
      <w:pPr>
        <w:pStyle w:val="CDIFigures"/>
      </w:pPr>
      <w:r>
        <w:pict w14:anchorId="69CE98CD">
          <v:shape id="_x0000_i1131" type="#_x0000_t75" alt="This figure shows the age and sex distribution of legionellosis in 2015 by rates per 100,000 population. In 2015, males accounted for a higher proportion (64%) of the notifications compared to females; representing a male to female ratio of 1.7:1. Whilst the age range of cases in 2015 was between 6 and 97 years, cases tended to be among adults aged 45 years and over, peaking amongst those aged 75-79 years. In males, notifications were highest in the 75-79 years age group (11.2 per 100,000), however for females notifications peaked among cases aged 85 years and over (4.3 per 100,000).&#10;" style="width:522.6pt;height:335.4pt">
            <v:imagedata r:id="rId130" o:title="8-Other bacterial chapter figures 110 to 119_Page_02"/>
          </v:shape>
        </w:pict>
      </w:r>
    </w:p>
    <w:p w14:paraId="4D446BE8" w14:textId="77777777" w:rsidR="00BE61A2" w:rsidRPr="00AE2F1B" w:rsidRDefault="00BE61A2" w:rsidP="00A52F61">
      <w:r w:rsidRPr="00AE2F1B">
        <w:t>Of the 7 cases reported to have died due to legionellosis in 2015, their ages ranged between 60 and 86 years (median: 78 years); 3 deaths were in males and 4 were in females.</w:t>
      </w:r>
    </w:p>
    <w:p w14:paraId="54EC874F" w14:textId="77777777" w:rsidR="00BE61A2" w:rsidRPr="00AE2F1B" w:rsidRDefault="00BE61A2" w:rsidP="00A52F61">
      <w:r w:rsidRPr="00AE2F1B">
        <w:t>In 2015, the demographic profile of legionellosis remained consistent with the recognised epidemiology of the disease.</w:t>
      </w:r>
      <w:r w:rsidRPr="00AE2F1B">
        <w:rPr>
          <w:vertAlign w:val="superscript"/>
        </w:rPr>
        <w:t>21,190,191</w:t>
      </w:r>
      <w:r w:rsidRPr="00AE2F1B">
        <w:t xml:space="preserve"> </w:t>
      </w:r>
    </w:p>
    <w:p w14:paraId="110FCE59" w14:textId="77777777" w:rsidR="00BE61A2" w:rsidRPr="00AE2F1B" w:rsidRDefault="00BE61A2" w:rsidP="00A52F61">
      <w:pPr>
        <w:pStyle w:val="Heading4"/>
      </w:pPr>
      <w:r w:rsidRPr="00924A50">
        <w:rPr>
          <w:bCs w:val="0"/>
        </w:rPr>
        <w:t>Seasonality</w:t>
      </w:r>
    </w:p>
    <w:p w14:paraId="266BEE59" w14:textId="77777777" w:rsidR="00BE61A2" w:rsidRDefault="00BE61A2" w:rsidP="00A52F61">
      <w:r w:rsidRPr="00AE2F1B">
        <w:t xml:space="preserve">In 2015, diagnoses of legionellosis were highest in April and October, with 44 and 40 notified cases for these months respectively. The diagnosis of </w:t>
      </w:r>
      <w:r w:rsidRPr="00DF12AB">
        <w:rPr>
          <w:rStyle w:val="Emphasis"/>
          <w:b w:val="0"/>
        </w:rPr>
        <w:t>L. pneumophila</w:t>
      </w:r>
      <w:r w:rsidRPr="00AE2F1B">
        <w:t xml:space="preserve"> peaked in April (n=25) and the diagnosis of </w:t>
      </w:r>
      <w:r w:rsidRPr="00DF12AB">
        <w:rPr>
          <w:rStyle w:val="Emphasis"/>
          <w:b w:val="0"/>
        </w:rPr>
        <w:t>L. longbeachae</w:t>
      </w:r>
      <w:r w:rsidRPr="00AE2F1B">
        <w:t xml:space="preserve"> peaked across September and October (n=22 and n=23, respectively). Between 2010 and 2015, the diagnosis of </w:t>
      </w:r>
      <w:r w:rsidRPr="00DF12AB">
        <w:rPr>
          <w:rStyle w:val="Emphasis"/>
          <w:b w:val="0"/>
        </w:rPr>
        <w:t>L. longbeachae</w:t>
      </w:r>
      <w:r w:rsidRPr="00AE2F1B">
        <w:t xml:space="preserve"> more commonly occurred in winter and spring. In the same period, the diagnosis of </w:t>
      </w:r>
      <w:r w:rsidRPr="00DF12AB">
        <w:rPr>
          <w:rStyle w:val="Emphasis"/>
          <w:b w:val="0"/>
        </w:rPr>
        <w:t>L. pneumophila</w:t>
      </w:r>
      <w:r w:rsidRPr="00AE2F1B">
        <w:t xml:space="preserve"> commonly occurred in the late summer and autumn months, except for 2013, when diagnoses peaked at the end of winter (Figure 112). This winter 2013 peak is not likely to be a seasonal-related rise, as the increase was most likely associated with increased testing in Queensland that occurred following a legionellosis outbreak at a hospital.</w:t>
      </w:r>
    </w:p>
    <w:p w14:paraId="15A380C9" w14:textId="77777777" w:rsidR="00A52C97" w:rsidRDefault="00A52C97">
      <w:pPr>
        <w:rPr>
          <w:b/>
        </w:rPr>
      </w:pPr>
      <w:r>
        <w:br w:type="page"/>
      </w:r>
    </w:p>
    <w:p w14:paraId="3C905831" w14:textId="77777777" w:rsidR="00D13579" w:rsidRDefault="00D13579" w:rsidP="00D13579">
      <w:pPr>
        <w:pStyle w:val="CDIFigures"/>
      </w:pPr>
      <w:r>
        <w:lastRenderedPageBreak/>
        <w:t>Figure 112: Notifications of legionellosis, Australia, 2010 to 2015, by month and year of diagnosis and species</w:t>
      </w:r>
    </w:p>
    <w:p w14:paraId="089419FC" w14:textId="77777777" w:rsidR="00C56F14" w:rsidRPr="00AE2F1B" w:rsidRDefault="0021477A" w:rsidP="00D13579">
      <w:pPr>
        <w:pStyle w:val="CDIFigures"/>
      </w:pPr>
      <w:r>
        <w:pict w14:anchorId="35C8E656">
          <v:shape id="_x0000_i1132" type="#_x0000_t75" alt="This figure shows the seasonal pattern of legionellosis, by month of diagnosis and species from 2009 to 2015. In 2015, diagnoses of legionellosis were highest in April and October with 44 and 40 notified cases for these months respectively. The diagnosis of L. pneumophila peaked in April (n= 25 cases) and the diagnosis of L. longbeachae peaked across September and October (22 and 23 cases, respectively). Between 2010 and 2015, the diagnosis of L. longbeachae more commonly occurred in winter and spring. In the same period, the diagnosis of L. pneumophila commonly occurred in the late summer and autumn months, except for 2013 when diagnoses peaked at the end of winter." style="width:522.6pt;height:351.6pt">
            <v:imagedata r:id="rId131" o:title="8-Other bacterial chapter figures 110 to 119_Page_03"/>
          </v:shape>
        </w:pict>
      </w:r>
    </w:p>
    <w:p w14:paraId="34B58548" w14:textId="77777777" w:rsidR="00BE61A2" w:rsidRPr="00AE2F1B" w:rsidRDefault="00BE61A2" w:rsidP="00A52F61">
      <w:pPr>
        <w:pStyle w:val="Heading4"/>
      </w:pPr>
      <w:r w:rsidRPr="00924A50">
        <w:rPr>
          <w:bCs w:val="0"/>
        </w:rPr>
        <w:t>Place of acquisition</w:t>
      </w:r>
    </w:p>
    <w:p w14:paraId="32C6DF7E" w14:textId="77777777" w:rsidR="00BE61A2" w:rsidRPr="00AE2F1B" w:rsidRDefault="00BE61A2" w:rsidP="00A52F61">
      <w:r w:rsidRPr="00AE2F1B">
        <w:t>In 2015, a place of acquisition was reported in 94% (n=343) of legionellosis notifications. Of these, 91% (311/343) were reported to be acquired within Australia and 9% (32/343) were reported to be acquired overseas. Of the overseas acquired notifications, the United States of America (22%; 7/32) and both Singapore and Fiji (each 13%; 4/32), were the most commonly reported places of acquisition.</w:t>
      </w:r>
    </w:p>
    <w:p w14:paraId="1278B16E" w14:textId="77777777" w:rsidR="00BE61A2" w:rsidRPr="00AE2F1B" w:rsidRDefault="00BE61A2" w:rsidP="00A52F61">
      <w:pPr>
        <w:pStyle w:val="Heading4"/>
      </w:pPr>
      <w:r w:rsidRPr="00924A50">
        <w:rPr>
          <w:bCs w:val="0"/>
        </w:rPr>
        <w:t>Outbreaks</w:t>
      </w:r>
    </w:p>
    <w:p w14:paraId="3B3B7578" w14:textId="77777777" w:rsidR="00BE61A2" w:rsidRPr="00AE2F1B" w:rsidRDefault="00BE61A2" w:rsidP="00A52F61">
      <w:r w:rsidRPr="00AE2F1B">
        <w:t xml:space="preserve">In 2015, 4 outbreaks of legionellosis were identified, 1 in Western Australia and 3 in Victoria. In Western Australia, 2 confirmed cases of Legionnaire’s disease and 1 confirmed case of Pontiac fever were identified among crew members of a seismic survey vessel operating in the seas of northern Western Australia. The cases were residents of Queensland, New South </w:t>
      </w:r>
      <w:proofErr w:type="gramStart"/>
      <w:r w:rsidRPr="00AE2F1B">
        <w:t>Wales</w:t>
      </w:r>
      <w:proofErr w:type="gramEnd"/>
      <w:r w:rsidRPr="00AE2F1B">
        <w:t xml:space="preserve"> and Tasmania. Following environmental investigations, </w:t>
      </w:r>
      <w:r w:rsidRPr="00DF12AB">
        <w:rPr>
          <w:rStyle w:val="Emphasis"/>
          <w:b w:val="0"/>
        </w:rPr>
        <w:t>Legionella</w:t>
      </w:r>
      <w:r w:rsidRPr="00AE2F1B">
        <w:t xml:space="preserve"> bacteria were detected in shower heads and hand basin mixing tap aerators in cabins, with a higher number of positive samples in the cabins of cases. Disinfection and other remediation measures were undertaken, with no further cases reported. (Email communication, C. </w:t>
      </w:r>
      <w:proofErr w:type="spellStart"/>
      <w:r w:rsidRPr="00AE2F1B">
        <w:t>Giele</w:t>
      </w:r>
      <w:proofErr w:type="spellEnd"/>
      <w:r w:rsidRPr="00AE2F1B">
        <w:t>, Department of Health Western Australia, December 2016)</w:t>
      </w:r>
    </w:p>
    <w:p w14:paraId="73165262" w14:textId="77777777" w:rsidR="00BE61A2" w:rsidRPr="00AE2F1B" w:rsidRDefault="00BE61A2" w:rsidP="00A52F61">
      <w:r w:rsidRPr="00AE2F1B">
        <w:t xml:space="preserve">In Victoria there were 3 outbreaks of legionellosis reported in 2015, involving a total of 8 cases. All 3 outbreaks were due to </w:t>
      </w:r>
      <w:r w:rsidRPr="00DF12AB">
        <w:rPr>
          <w:rStyle w:val="Emphasis"/>
          <w:b w:val="0"/>
        </w:rPr>
        <w:t>L. pneumophila</w:t>
      </w:r>
      <w:r w:rsidRPr="00AE2F1B">
        <w:t xml:space="preserve"> serogroup 1, and there were no positive environmental detections associated with the investigations. Outbreak cases were aged from 46 to 73 years with a median age of 55 years. All but 1 of the cases were male. All 3 outbreaks occurred in the greater Melbourne metropolitan area, in April, June and October. The settings where the outbreaks occurred were the airport, a residential apartment carwash, and a shopping complex. Of the 4 cases linked to the airport outbreak, all cases reported overseas travel exposures, in Thailand, Indonesia and China. As a result of this outbreak, Victoria’s protocol was updated to recognise that overseas travel is a much more </w:t>
      </w:r>
      <w:r w:rsidRPr="00AE2F1B">
        <w:lastRenderedPageBreak/>
        <w:t xml:space="preserve">likely exposure source for cases related to airports. (Email communication, L. Franklin, Vic. Department of Health and Human Services, November 2016) </w:t>
      </w:r>
    </w:p>
    <w:p w14:paraId="3A6378FB" w14:textId="77777777" w:rsidR="00BE61A2" w:rsidRPr="004E056D" w:rsidRDefault="00BE61A2" w:rsidP="004E056D">
      <w:pPr>
        <w:pStyle w:val="Heading2"/>
      </w:pPr>
      <w:bookmarkStart w:id="248" w:name="_Toc1747402"/>
      <w:r w:rsidRPr="004E056D">
        <w:rPr>
          <w:bCs w:val="0"/>
          <w:sz w:val="27"/>
          <w:szCs w:val="27"/>
        </w:rPr>
        <w:t>Leprosy</w:t>
      </w:r>
      <w:bookmarkEnd w:id="248"/>
    </w:p>
    <w:p w14:paraId="152506EF" w14:textId="77777777" w:rsidR="00BE61A2" w:rsidRPr="00DD07E9" w:rsidRDefault="00BE61A2" w:rsidP="00DD07E9">
      <w:pPr>
        <w:pStyle w:val="ListParagraph"/>
        <w:numPr>
          <w:ilvl w:val="0"/>
          <w:numId w:val="24"/>
        </w:numPr>
        <w:rPr>
          <w:rFonts w:eastAsia="Times New Roman"/>
        </w:rPr>
      </w:pPr>
      <w:r w:rsidRPr="00DD07E9">
        <w:rPr>
          <w:rFonts w:eastAsia="Times New Roman"/>
        </w:rPr>
        <w:t xml:space="preserve">There were 13 cases of leprosy notified in 2015, maintaining a notification rate of less than 0.1 per 100,000. </w:t>
      </w:r>
    </w:p>
    <w:p w14:paraId="4887B8D2" w14:textId="77777777" w:rsidR="007D2DDC" w:rsidRPr="00DD07E9" w:rsidRDefault="00BE61A2" w:rsidP="00DD07E9">
      <w:pPr>
        <w:pStyle w:val="ListParagraph"/>
        <w:numPr>
          <w:ilvl w:val="0"/>
          <w:numId w:val="24"/>
        </w:numPr>
        <w:rPr>
          <w:rFonts w:eastAsia="Times New Roman"/>
        </w:rPr>
      </w:pPr>
      <w:r w:rsidRPr="00DD07E9">
        <w:rPr>
          <w:rFonts w:eastAsia="Times New Roman"/>
        </w:rPr>
        <w:t xml:space="preserve">All cases of leprosy notified </w:t>
      </w:r>
      <w:r w:rsidR="007D2DDC" w:rsidRPr="00DD07E9">
        <w:rPr>
          <w:rFonts w:eastAsia="Times New Roman"/>
        </w:rPr>
        <w:t>in 2015 were acquired overseas.</w:t>
      </w:r>
    </w:p>
    <w:p w14:paraId="19CA1A65" w14:textId="77777777" w:rsidR="00BE61A2" w:rsidRPr="00AE2F1B" w:rsidRDefault="00BE61A2" w:rsidP="00AE2F1B">
      <w:pPr>
        <w:rPr>
          <w:rFonts w:eastAsia="Times New Roman"/>
        </w:rPr>
      </w:pPr>
      <w:r w:rsidRPr="00AE2F1B">
        <w:rPr>
          <w:rFonts w:eastAsia="Times New Roman"/>
        </w:rPr>
        <w:t xml:space="preserve">Leprosy is a chronic infection of the skin and peripheral nerves with the bacterium </w:t>
      </w:r>
      <w:r w:rsidRPr="00DF12AB">
        <w:rPr>
          <w:rStyle w:val="Emphasis"/>
          <w:rFonts w:eastAsia="Times New Roman"/>
          <w:b w:val="0"/>
        </w:rPr>
        <w:t xml:space="preserve">Mycobacterium </w:t>
      </w:r>
      <w:r w:rsidR="007D2DDC" w:rsidRPr="00DF12AB">
        <w:rPr>
          <w:rStyle w:val="Emphasis"/>
          <w:rFonts w:eastAsia="Times New Roman"/>
          <w:b w:val="0"/>
        </w:rPr>
        <w:t>leprae</w:t>
      </w:r>
      <w:r w:rsidR="007D2DDC" w:rsidRPr="00AE2F1B">
        <w:rPr>
          <w:rFonts w:eastAsia="Times New Roman"/>
        </w:rPr>
        <w:t xml:space="preserve">. </w:t>
      </w:r>
      <w:r w:rsidRPr="00AE2F1B">
        <w:rPr>
          <w:rFonts w:eastAsia="Times New Roman"/>
        </w:rPr>
        <w:t xml:space="preserve">Leprosy is an uncommon disease in Australia with the majority of cases occurring in migrants from leprosy-endemic countries and Indigenous populations. The incidence of leprosy worldwide is declining due to various factors including economic development, bacille </w:t>
      </w:r>
      <w:r w:rsidR="007D2DDC" w:rsidRPr="00AE2F1B">
        <w:rPr>
          <w:rFonts w:eastAsia="Times New Roman"/>
        </w:rPr>
        <w:t>Calmette-</w:t>
      </w:r>
      <w:r w:rsidR="00A90BAA" w:rsidRPr="00AE2F1B">
        <w:rPr>
          <w:rFonts w:eastAsia="Times New Roman"/>
        </w:rPr>
        <w:t>Guérin (</w:t>
      </w:r>
      <w:r w:rsidRPr="00AE2F1B">
        <w:rPr>
          <w:rFonts w:eastAsia="Times New Roman"/>
        </w:rPr>
        <w:t>BCG) immunisation and high coverage with multidrug therapy.</w:t>
      </w:r>
      <w:r w:rsidRPr="00AE2F1B">
        <w:rPr>
          <w:rFonts w:eastAsia="Times New Roman"/>
          <w:vertAlign w:val="superscript"/>
        </w:rPr>
        <w:t>21</w:t>
      </w:r>
      <w:r w:rsidRPr="00AE2F1B">
        <w:rPr>
          <w:rFonts w:eastAsia="Times New Roman"/>
        </w:rPr>
        <w:t xml:space="preserve"> Leprosy is not a highly infectious disease and is typically slow to progress to a symptomatic stage. The incubation period for leprosy is about 5 years; however, it can take as long as 20 years for symptoms to appear.</w:t>
      </w:r>
      <w:r w:rsidRPr="00AE2F1B">
        <w:rPr>
          <w:rFonts w:eastAsia="Times New Roman"/>
          <w:vertAlign w:val="superscript"/>
        </w:rPr>
        <w:t>192</w:t>
      </w:r>
      <w:r w:rsidRPr="00AE2F1B">
        <w:rPr>
          <w:rFonts w:eastAsia="Times New Roman"/>
        </w:rPr>
        <w:t xml:space="preserve"> People at risk are generally in close and frequent contact with leprosy patients or living in countries where the disease is more common. Leprosy is curable and once a person with leprosy begins appropriate treatment, they quickly become</w:t>
      </w:r>
      <w:r w:rsidR="00847D58">
        <w:rPr>
          <w:rFonts w:eastAsia="Times New Roman"/>
        </w:rPr>
        <w:t xml:space="preserve"> </w:t>
      </w:r>
      <w:r w:rsidRPr="00AE2F1B">
        <w:rPr>
          <w:rFonts w:eastAsia="Times New Roman"/>
        </w:rPr>
        <w:t xml:space="preserve">non-infectious. </w:t>
      </w:r>
    </w:p>
    <w:p w14:paraId="796360D1" w14:textId="77777777" w:rsidR="00BE61A2" w:rsidRPr="00AE2F1B" w:rsidRDefault="00BE61A2" w:rsidP="00924A50">
      <w:pPr>
        <w:pStyle w:val="Heading3"/>
        <w:rPr>
          <w:rFonts w:eastAsiaTheme="minorEastAsia"/>
        </w:rPr>
      </w:pPr>
      <w:bookmarkStart w:id="249" w:name="_Toc1747403"/>
      <w:r w:rsidRPr="00924A50">
        <w:rPr>
          <w:bCs w:val="0"/>
        </w:rPr>
        <w:t>Epidemiological situation in 2015</w:t>
      </w:r>
      <w:bookmarkEnd w:id="249"/>
    </w:p>
    <w:p w14:paraId="748620BE" w14:textId="77777777" w:rsidR="00BE61A2" w:rsidRDefault="00BE61A2" w:rsidP="00AE2F1B">
      <w:r w:rsidRPr="00AE2F1B">
        <w:t xml:space="preserve">In 2015, a total of 13 cases of leprosy (8 male, 5 female), representing a rate of less than 0.1 per 100,000. There were 5 cases notified in Victoria, 3 in New South Wales, 2 each in Western Australia and Queensland and 1 in the Northern Territory. Cases ranged in age from 22 to 71 years of age, with a median age of 39 years. All cases were reported as being non-Indigenous and as having acquired their infection overseas: Sri Lanka (n=3), Afghanistan (n=1), Bangladesh (n=1), China (n=1), Guinea (n=1), India (n=1), the Philippines (n=1), Samoa (n=1), South Africa (n=1), Vietnam (n=1) and </w:t>
      </w:r>
      <w:proofErr w:type="spellStart"/>
      <w:r w:rsidRPr="00AE2F1B">
        <w:t>unknown</w:t>
      </w:r>
      <w:r w:rsidR="003B4EC2" w:rsidRPr="003B4EC2">
        <w:rPr>
          <w:vertAlign w:val="superscript"/>
        </w:rPr>
        <w:t>iv</w:t>
      </w:r>
      <w:proofErr w:type="spellEnd"/>
      <w:r w:rsidRPr="00AE2F1B">
        <w:t xml:space="preserve"> (n=1). Since 1996, annual notifications of leprosy have ranged from 2 to </w:t>
      </w:r>
      <w:r w:rsidR="00695818">
        <w:t>15 cases per year (Figure</w:t>
      </w:r>
      <w:r w:rsidR="00C56F14">
        <w:t> </w:t>
      </w:r>
      <w:r w:rsidR="00695818">
        <w:t>113).</w:t>
      </w:r>
    </w:p>
    <w:p w14:paraId="58A30BBD" w14:textId="77777777" w:rsidR="00EC1826" w:rsidRPr="00EC1826" w:rsidRDefault="006D792D" w:rsidP="00EC1826">
      <w:pPr>
        <w:pStyle w:val="CDIfootnotes"/>
      </w:pPr>
      <w:r>
        <w:t>i</w:t>
      </w:r>
      <w:r w:rsidR="00EC1826">
        <w:t>v</w:t>
      </w:r>
      <w:r w:rsidR="00EC1826">
        <w:tab/>
      </w:r>
      <w:proofErr w:type="gramStart"/>
      <w:r w:rsidR="00EC1826" w:rsidRPr="00EC1826">
        <w:t>The</w:t>
      </w:r>
      <w:proofErr w:type="gramEnd"/>
      <w:r w:rsidR="00EC1826" w:rsidRPr="00EC1826">
        <w:t xml:space="preserve"> infection is known to be acquired overseas; however, the country in which the infection was acquired is unknown.</w:t>
      </w:r>
    </w:p>
    <w:p w14:paraId="02062F1A" w14:textId="77777777" w:rsidR="00C56F14" w:rsidRDefault="00C56F14">
      <w:pPr>
        <w:rPr>
          <w:b/>
        </w:rPr>
      </w:pPr>
      <w:r>
        <w:br w:type="page"/>
      </w:r>
    </w:p>
    <w:p w14:paraId="424998F7" w14:textId="77777777" w:rsidR="00695818" w:rsidRDefault="00695818" w:rsidP="00695818">
      <w:pPr>
        <w:pStyle w:val="CDIFigures"/>
      </w:pPr>
      <w:r w:rsidRPr="00695818">
        <w:lastRenderedPageBreak/>
        <w:t>Figure 113: Notifications of leprosy, Australia, 1996 to 2015, by year and Indigenous status</w:t>
      </w:r>
    </w:p>
    <w:p w14:paraId="1C7E0F21" w14:textId="77777777" w:rsidR="00C56F14" w:rsidRPr="00695818" w:rsidRDefault="0021477A" w:rsidP="00695818">
      <w:pPr>
        <w:pStyle w:val="CDIFigures"/>
      </w:pPr>
      <w:r>
        <w:pict w14:anchorId="7739405D">
          <v:shape id="_x0000_i1133" type="#_x0000_t75" alt="This figure shows the number of leprosy notifications in Australia from 1996 to 2015 by year of diagnosis and Indigenous status.  This figure demonstrates that since 1996 annual notifications of leprosy have ranged from 2 to 15 cases per year, with 13 cases being reported in 2015." style="width:522.6pt;height:351.6pt">
            <v:imagedata r:id="rId132" o:title="8-Other bacterial chapter figures 110 to 119_Page_04"/>
          </v:shape>
        </w:pict>
      </w:r>
    </w:p>
    <w:p w14:paraId="2B1735D6" w14:textId="77777777" w:rsidR="00BE61A2" w:rsidRPr="004E056D" w:rsidRDefault="00BE61A2" w:rsidP="004E056D">
      <w:pPr>
        <w:pStyle w:val="Heading2"/>
      </w:pPr>
      <w:bookmarkStart w:id="250" w:name="_Toc1747404"/>
      <w:r w:rsidRPr="004E056D">
        <w:rPr>
          <w:bCs w:val="0"/>
          <w:sz w:val="27"/>
          <w:szCs w:val="27"/>
        </w:rPr>
        <w:t>Meningococcal Disease (invasive)</w:t>
      </w:r>
      <w:bookmarkEnd w:id="250"/>
    </w:p>
    <w:p w14:paraId="34792C35" w14:textId="77777777" w:rsidR="00BE61A2" w:rsidRPr="00DD07E9" w:rsidRDefault="00BE61A2" w:rsidP="00DD07E9">
      <w:pPr>
        <w:pStyle w:val="ListParagraph"/>
        <w:numPr>
          <w:ilvl w:val="0"/>
          <w:numId w:val="25"/>
        </w:numPr>
        <w:rPr>
          <w:rFonts w:eastAsia="Times New Roman"/>
        </w:rPr>
      </w:pPr>
      <w:r w:rsidRPr="00DD07E9">
        <w:rPr>
          <w:rFonts w:eastAsia="Times New Roman"/>
        </w:rPr>
        <w:t xml:space="preserve">There were 182 cases and 12 deaths related to invasive meningococcal disease (IMD) notified in 2015. </w:t>
      </w:r>
    </w:p>
    <w:p w14:paraId="27A1C273" w14:textId="77777777" w:rsidR="00BE61A2" w:rsidRPr="00DD07E9" w:rsidRDefault="00BE61A2" w:rsidP="00DD07E9">
      <w:pPr>
        <w:pStyle w:val="ListParagraph"/>
        <w:numPr>
          <w:ilvl w:val="0"/>
          <w:numId w:val="25"/>
        </w:numPr>
        <w:rPr>
          <w:rFonts w:eastAsia="Times New Roman"/>
        </w:rPr>
      </w:pPr>
      <w:r w:rsidRPr="00DD07E9">
        <w:rPr>
          <w:rFonts w:eastAsia="Times New Roman"/>
        </w:rPr>
        <w:t xml:space="preserve">The majority (66%) of IMD cases were caused by serogroup B infections. </w:t>
      </w:r>
    </w:p>
    <w:p w14:paraId="03AD7D6A" w14:textId="77777777" w:rsidR="00BE61A2" w:rsidRPr="00DD07E9" w:rsidRDefault="00BE61A2" w:rsidP="00DD07E9">
      <w:pPr>
        <w:pStyle w:val="ListParagraph"/>
        <w:numPr>
          <w:ilvl w:val="0"/>
          <w:numId w:val="25"/>
        </w:numPr>
        <w:rPr>
          <w:rFonts w:eastAsia="Times New Roman"/>
        </w:rPr>
      </w:pPr>
      <w:r w:rsidRPr="00DD07E9">
        <w:rPr>
          <w:rFonts w:eastAsia="Times New Roman"/>
        </w:rPr>
        <w:t xml:space="preserve">Infections with serogroup W represented an increasing proportion of IMD notifications. </w:t>
      </w:r>
    </w:p>
    <w:p w14:paraId="31B0F17F" w14:textId="77777777" w:rsidR="00BE61A2" w:rsidRPr="00DD07E9" w:rsidRDefault="00BE61A2" w:rsidP="00DD07E9">
      <w:pPr>
        <w:pStyle w:val="ListParagraph"/>
        <w:numPr>
          <w:ilvl w:val="0"/>
          <w:numId w:val="25"/>
        </w:numPr>
        <w:rPr>
          <w:rFonts w:eastAsia="Times New Roman"/>
        </w:rPr>
      </w:pPr>
      <w:r w:rsidRPr="00DD07E9">
        <w:rPr>
          <w:rFonts w:eastAsia="Times New Roman"/>
        </w:rPr>
        <w:t xml:space="preserve">Sixty per cent of IMD cases notified in 2015 were less than 25 years of age. </w:t>
      </w:r>
    </w:p>
    <w:p w14:paraId="6C2D727F" w14:textId="77777777" w:rsidR="00BE61A2" w:rsidRPr="00AE2F1B" w:rsidRDefault="00BE61A2" w:rsidP="00AE2F1B">
      <w:r w:rsidRPr="00AE2F1B">
        <w:t xml:space="preserve">Invasive meningococcal disease (IMD) is caused when the bacterium </w:t>
      </w:r>
      <w:r w:rsidRPr="00DF12AB">
        <w:rPr>
          <w:rStyle w:val="Emphasis"/>
          <w:b w:val="0"/>
        </w:rPr>
        <w:t>Neisseria meningitidis</w:t>
      </w:r>
      <w:r w:rsidRPr="00AE2F1B">
        <w:t xml:space="preserve"> enters a normally sterile site, usually the blood (septicaemia), cerebrospinal fluid (meningitis) or both. Asymptomatic respiratory tract carriage of meningococci is present in around 10% of the population, and prevalence may be higher when groups of people occupy confined living space.</w:t>
      </w:r>
      <w:r w:rsidRPr="00AE2F1B">
        <w:rPr>
          <w:vertAlign w:val="superscript"/>
        </w:rPr>
        <w:t>21,29</w:t>
      </w:r>
      <w:r w:rsidRPr="00AE2F1B">
        <w:t xml:space="preserve"> The disease is transmitted via respiratory droplets and has an incubation period of between 1 and 10 days, commonly 3 to 4 days.</w:t>
      </w:r>
      <w:r w:rsidRPr="00AE2F1B">
        <w:rPr>
          <w:vertAlign w:val="superscript"/>
        </w:rPr>
        <w:t>21,193</w:t>
      </w:r>
      <w:r w:rsidRPr="00AE2F1B">
        <w:t xml:space="preserve"> It can rapidly progress to serious illness, most commonly occurring in previously healthy children and young adults. While there are 13 known serogroups globally, serogroups A, B, C, X, W and Y commonly cause invasive disease.</w:t>
      </w:r>
      <w:r w:rsidRPr="00AE2F1B">
        <w:rPr>
          <w:vertAlign w:val="superscript"/>
        </w:rPr>
        <w:t>194</w:t>
      </w:r>
      <w:r w:rsidRPr="00AE2F1B">
        <w:t xml:space="preserve"> Historically, </w:t>
      </w:r>
      <w:r w:rsidRPr="00DF12AB">
        <w:rPr>
          <w:rStyle w:val="Emphasis"/>
          <w:b w:val="0"/>
        </w:rPr>
        <w:t>N. meningitidis</w:t>
      </w:r>
      <w:r w:rsidRPr="00AE2F1B">
        <w:t xml:space="preserve"> serogroups B and C have been the major cause of IMD in Australia in recent decades. </w:t>
      </w:r>
      <w:proofErr w:type="gramStart"/>
      <w:r w:rsidRPr="00AE2F1B">
        <w:t>However</w:t>
      </w:r>
      <w:proofErr w:type="gramEnd"/>
      <w:r w:rsidRPr="00AE2F1B">
        <w:t xml:space="preserve"> since 2013, there has been a rise in the cases associated with serogroup W and Y organisms.</w:t>
      </w:r>
    </w:p>
    <w:p w14:paraId="268E586A" w14:textId="77777777" w:rsidR="00BE61A2" w:rsidRPr="00AE2F1B" w:rsidRDefault="00BE61A2" w:rsidP="00924A50">
      <w:pPr>
        <w:pStyle w:val="Heading3"/>
      </w:pPr>
      <w:bookmarkStart w:id="251" w:name="_Toc1747405"/>
      <w:r w:rsidRPr="00924A50">
        <w:rPr>
          <w:bCs w:val="0"/>
        </w:rPr>
        <w:t>Epidemiological situation in 2015</w:t>
      </w:r>
      <w:bookmarkEnd w:id="251"/>
    </w:p>
    <w:p w14:paraId="3DE2B219" w14:textId="77777777" w:rsidR="00BE61A2" w:rsidRDefault="00BE61A2" w:rsidP="00AE2F1B">
      <w:r w:rsidRPr="00AE2F1B">
        <w:t>In 2015, there were 182 notified cases of IMD representing a rate of 0.8 per 100,000. This was an increase of 8% compared with 2014 (n=169) but less than the number of cases notified between 2003 and 2012 (range: 556 to 223 cases) (Figure 114</w:t>
      </w:r>
      <w:r w:rsidR="00DD07E9" w:rsidRPr="00AE2F1B">
        <w:t xml:space="preserve">). </w:t>
      </w:r>
      <w:r w:rsidRPr="00AE2F1B">
        <w:t xml:space="preserve">While numbers in 2015 remained low, this was the second consecutive year in which </w:t>
      </w:r>
      <w:r w:rsidRPr="00AE2F1B">
        <w:lastRenderedPageBreak/>
        <w:t>notifications of IMD have increased. This rise is due to an increase in the number of infections caused by serogroup W and serogroup Y organisms.</w:t>
      </w:r>
    </w:p>
    <w:p w14:paraId="3CD74FE2" w14:textId="77777777" w:rsidR="007F2E34" w:rsidRDefault="007F2E34" w:rsidP="007F2E34">
      <w:pPr>
        <w:pStyle w:val="CDIFigures"/>
      </w:pPr>
      <w:r>
        <w:t>Figure 114: Notifications of invasive meningococcal disease by selected serogroup, Australia, 2003 to 2015</w:t>
      </w:r>
    </w:p>
    <w:p w14:paraId="2B207309" w14:textId="77777777" w:rsidR="00C56F14" w:rsidRPr="00AE2F1B" w:rsidRDefault="0021477A" w:rsidP="007F2E34">
      <w:pPr>
        <w:pStyle w:val="CDIFigures"/>
      </w:pPr>
      <w:r>
        <w:pict w14:anchorId="6A6728CB">
          <v:shape id="_x0000_i1134" type="#_x0000_t75" alt="This figure shows the number of notifications of invasive meningococcal disease in Australia from 2003 to 2015 and by serogroup. This figure demonstrates a decrease in notifications of invasive meningococcal disease caused by all serogroups from 2003 to 2013. In 2014, the number of invasive meningococcal disease cases increased and continued to rise in 2015. This rise in notifications due to an increase infections caused by serogroup W and Y organisms. &#10;" style="width:522.6pt;height:351.6pt">
            <v:imagedata r:id="rId133" o:title="8-Other bacterial chapter figures 110 to 119_Page_05"/>
          </v:shape>
        </w:pict>
      </w:r>
    </w:p>
    <w:p w14:paraId="16E9E342" w14:textId="77777777" w:rsidR="00BE61A2" w:rsidRPr="00AE2F1B" w:rsidRDefault="00BE61A2" w:rsidP="00AE2F1B">
      <w:r w:rsidRPr="00AE2F1B">
        <w:t>The majority of cases reported in 2015 (97%, n=176) met the case definition as a confirmed case being diagnosed based on laboratory definitive evidence, or laboratory suggestive evidence and clinical evidence.</w:t>
      </w:r>
      <w:r w:rsidRPr="00AE2F1B">
        <w:rPr>
          <w:vertAlign w:val="superscript"/>
        </w:rPr>
        <w:t>193</w:t>
      </w:r>
      <w:r w:rsidRPr="00AE2F1B">
        <w:t xml:space="preserve"> A small number of cases (n=6) were reported as probable and diagnosed based on clinical evidence only.</w:t>
      </w:r>
    </w:p>
    <w:p w14:paraId="25C01D4A" w14:textId="77777777" w:rsidR="00BE61A2" w:rsidRPr="00AE2F1B" w:rsidRDefault="00BE61A2" w:rsidP="00AE2F1B">
      <w:r w:rsidRPr="00AE2F1B">
        <w:t>In 2015, all states and territories reported cases of IMD (Table 28), with notification rates ranging from 0.4 per 100,000 in the Northern Territory and Tasmania to 1.7 per 100,000 in South Australia (Table 28). Mortality data were available for 79% (n=144) of cases. Of these, 12 cases were reported as having died from IMD, including 7 from infection with serogroup W organisms, 4 from infection with serogroup B organisms and 1 from infection with serogroup Y organisms (Table 28). All deaths reported in 2015 occurred in adolescents and adults (age range: 17 to 88 years). Of the deaths associated with serogroup W organisms, 4 were less than 30 years of age and 3 were between the ages 65 and 80 years. Of the deaths associated with IMD infection caused by serogroup B organisms, 1 case occurred in an adolescent aged 17 years and 3 occurred in adults aged between 35 and 69 years. The 1 death caused by serogroup Y organisms occurred in an adult aged 88 years.</w:t>
      </w:r>
    </w:p>
    <w:p w14:paraId="56307034" w14:textId="77777777" w:rsidR="00871011" w:rsidRDefault="00871011">
      <w:pPr>
        <w:rPr>
          <w:b/>
        </w:rPr>
      </w:pPr>
      <w:r>
        <w:br w:type="page"/>
      </w:r>
    </w:p>
    <w:p w14:paraId="1B4D704E" w14:textId="77777777" w:rsidR="00BE61A2" w:rsidRPr="00AE2F1B" w:rsidRDefault="00BE61A2" w:rsidP="0094578E">
      <w:pPr>
        <w:pStyle w:val="CDIFigures"/>
      </w:pPr>
      <w:r w:rsidRPr="00AE2F1B">
        <w:lastRenderedPageBreak/>
        <w:t xml:space="preserve">Table 28: Notifications and notification rates of invasive meningococcal disease and deaths due to invasive meningococcal disease, Australia, 2015, by serogroup and state or territory </w:t>
      </w:r>
    </w:p>
    <w:tbl>
      <w:tblPr>
        <w:tblStyle w:val="CDI-StandardTable"/>
        <w:tblW w:w="0" w:type="auto"/>
        <w:tblCellMar>
          <w:top w:w="142" w:type="dxa"/>
          <w:left w:w="142" w:type="dxa"/>
          <w:bottom w:w="142" w:type="dxa"/>
        </w:tblCellMar>
        <w:tblLook w:val="04A0" w:firstRow="1" w:lastRow="0" w:firstColumn="1" w:lastColumn="0" w:noHBand="0" w:noVBand="1"/>
        <w:tblDescription w:val="This table shows the number of notifications and associated deaths of invasive meningococcal disease in Australia by serogroup and state or territory in 2015. The table demonstrates with the highest notification rate for invasive meningococcal disease occurred in South Australia followed by the Victoria and Western Australia. The table describes there were 12 deaths from invasive meningococcal disease, seven of which were caused by serogroup W organism, four of which were caused by serogroup B organisms and one by serogroup Y organisms.&#10;"/>
      </w:tblPr>
      <w:tblGrid>
        <w:gridCol w:w="1651"/>
        <w:gridCol w:w="604"/>
        <w:gridCol w:w="677"/>
        <w:gridCol w:w="478"/>
        <w:gridCol w:w="515"/>
        <w:gridCol w:w="478"/>
        <w:gridCol w:w="500"/>
        <w:gridCol w:w="478"/>
        <w:gridCol w:w="523"/>
        <w:gridCol w:w="920"/>
        <w:gridCol w:w="3642"/>
      </w:tblGrid>
      <w:tr w:rsidR="00BE61A2" w:rsidRPr="00374CC9" w14:paraId="0BA35029" w14:textId="77777777" w:rsidTr="00655B2A">
        <w:trPr>
          <w:cnfStyle w:val="100000000000" w:firstRow="1" w:lastRow="0" w:firstColumn="0" w:lastColumn="0" w:oddVBand="0" w:evenVBand="0" w:oddHBand="0" w:evenHBand="0" w:firstRowFirstColumn="0" w:firstRowLastColumn="0" w:lastRowFirstColumn="0" w:lastRowLastColumn="0"/>
          <w:tblHeader/>
        </w:trPr>
        <w:tc>
          <w:tcPr>
            <w:tcW w:w="1701" w:type="dxa"/>
            <w:hideMark/>
          </w:tcPr>
          <w:p w14:paraId="04DA2C04" w14:textId="77777777" w:rsidR="00BE61A2" w:rsidRPr="004B770F" w:rsidRDefault="00BE61A2">
            <w:pPr>
              <w:rPr>
                <w:color w:val="FFFFFF" w:themeColor="background1"/>
                <w:sz w:val="18"/>
                <w:szCs w:val="18"/>
              </w:rPr>
            </w:pPr>
          </w:p>
        </w:tc>
        <w:tc>
          <w:tcPr>
            <w:tcW w:w="4946" w:type="dxa"/>
            <w:gridSpan w:val="9"/>
            <w:hideMark/>
          </w:tcPr>
          <w:p w14:paraId="40D75A76"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State or territory</w:t>
            </w:r>
          </w:p>
        </w:tc>
        <w:tc>
          <w:tcPr>
            <w:tcW w:w="3819" w:type="dxa"/>
            <w:hideMark/>
          </w:tcPr>
          <w:p w14:paraId="20B645DF" w14:textId="77777777" w:rsidR="00BE61A2" w:rsidRPr="00374CC9" w:rsidRDefault="00BE61A2">
            <w:pPr>
              <w:rPr>
                <w:rFonts w:eastAsia="Times New Roman"/>
                <w:sz w:val="18"/>
                <w:szCs w:val="18"/>
              </w:rPr>
            </w:pPr>
          </w:p>
        </w:tc>
      </w:tr>
      <w:tr w:rsidR="00BE61A2" w:rsidRPr="00655B2A" w14:paraId="3BE0EA89" w14:textId="77777777" w:rsidTr="00655B2A">
        <w:tblPrEx>
          <w:tblCellMar>
            <w:right w:w="108" w:type="dxa"/>
          </w:tblCellMar>
        </w:tblPrEx>
        <w:tc>
          <w:tcPr>
            <w:tcW w:w="1701" w:type="dxa"/>
            <w:shd w:val="clear" w:color="auto" w:fill="BFBFBF" w:themeFill="background1" w:themeFillShade="BF"/>
            <w:hideMark/>
          </w:tcPr>
          <w:p w14:paraId="1346E7B3" w14:textId="77777777" w:rsidR="00BE61A2" w:rsidRPr="00655B2A" w:rsidRDefault="00BE61A2">
            <w:pPr>
              <w:rPr>
                <w:rFonts w:asciiTheme="minorHAnsi" w:eastAsia="Times New Roman" w:hAnsiTheme="minorHAnsi"/>
                <w:b/>
                <w:sz w:val="18"/>
                <w:szCs w:val="18"/>
              </w:rPr>
            </w:pPr>
          </w:p>
        </w:tc>
        <w:tc>
          <w:tcPr>
            <w:tcW w:w="377" w:type="dxa"/>
            <w:shd w:val="clear" w:color="auto" w:fill="BFBFBF" w:themeFill="background1" w:themeFillShade="BF"/>
            <w:hideMark/>
          </w:tcPr>
          <w:p w14:paraId="2233775A" w14:textId="77777777" w:rsidR="00BE61A2" w:rsidRPr="00655B2A" w:rsidRDefault="00BE61A2">
            <w:pPr>
              <w:rPr>
                <w:rFonts w:asciiTheme="minorHAnsi" w:eastAsia="Times New Roman" w:hAnsiTheme="minorHAnsi"/>
                <w:b/>
                <w:sz w:val="18"/>
                <w:szCs w:val="18"/>
              </w:rPr>
            </w:pPr>
            <w:r w:rsidRPr="00655B2A">
              <w:rPr>
                <w:rFonts w:asciiTheme="minorHAnsi" w:eastAsia="Times New Roman" w:hAnsiTheme="minorHAnsi"/>
                <w:b/>
                <w:sz w:val="18"/>
                <w:szCs w:val="18"/>
              </w:rPr>
              <w:t>ACT</w:t>
            </w:r>
            <w:r w:rsidRPr="00655B2A">
              <w:rPr>
                <w:rFonts w:asciiTheme="minorHAnsi" w:eastAsia="Times New Roman" w:hAnsiTheme="minorHAnsi"/>
                <w:b/>
                <w:sz w:val="18"/>
                <w:szCs w:val="18"/>
                <w:vertAlign w:val="superscript"/>
              </w:rPr>
              <w:t>#</w:t>
            </w:r>
          </w:p>
        </w:tc>
        <w:tc>
          <w:tcPr>
            <w:tcW w:w="0" w:type="auto"/>
            <w:shd w:val="clear" w:color="auto" w:fill="BFBFBF" w:themeFill="background1" w:themeFillShade="BF"/>
            <w:hideMark/>
          </w:tcPr>
          <w:p w14:paraId="2B766973" w14:textId="77777777" w:rsidR="00BE61A2" w:rsidRPr="00655B2A" w:rsidRDefault="00BE61A2">
            <w:pPr>
              <w:rPr>
                <w:rFonts w:asciiTheme="minorHAnsi" w:eastAsia="Times New Roman" w:hAnsiTheme="minorHAnsi"/>
                <w:b/>
                <w:sz w:val="18"/>
                <w:szCs w:val="18"/>
              </w:rPr>
            </w:pPr>
            <w:r w:rsidRPr="00655B2A">
              <w:rPr>
                <w:rFonts w:asciiTheme="minorHAnsi" w:eastAsia="Times New Roman" w:hAnsiTheme="minorHAnsi"/>
                <w:b/>
                <w:sz w:val="18"/>
                <w:szCs w:val="18"/>
              </w:rPr>
              <w:t>NSW</w:t>
            </w:r>
            <w:r w:rsidRPr="00655B2A">
              <w:rPr>
                <w:rFonts w:asciiTheme="minorHAnsi" w:eastAsia="Times New Roman" w:hAnsiTheme="minorHAnsi"/>
                <w:b/>
                <w:sz w:val="18"/>
                <w:szCs w:val="18"/>
                <w:vertAlign w:val="superscript"/>
              </w:rPr>
              <w:t>#</w:t>
            </w:r>
          </w:p>
        </w:tc>
        <w:tc>
          <w:tcPr>
            <w:tcW w:w="0" w:type="auto"/>
            <w:shd w:val="clear" w:color="auto" w:fill="BFBFBF" w:themeFill="background1" w:themeFillShade="BF"/>
            <w:hideMark/>
          </w:tcPr>
          <w:p w14:paraId="78B82BA1" w14:textId="77777777" w:rsidR="00BE61A2" w:rsidRPr="00655B2A" w:rsidRDefault="00BE61A2">
            <w:pPr>
              <w:rPr>
                <w:rFonts w:asciiTheme="minorHAnsi" w:eastAsia="Times New Roman" w:hAnsiTheme="minorHAnsi"/>
                <w:b/>
                <w:sz w:val="18"/>
                <w:szCs w:val="18"/>
              </w:rPr>
            </w:pPr>
            <w:r w:rsidRPr="00655B2A">
              <w:rPr>
                <w:rFonts w:asciiTheme="minorHAnsi" w:eastAsia="Times New Roman" w:hAnsiTheme="minorHAnsi"/>
                <w:b/>
                <w:sz w:val="18"/>
                <w:szCs w:val="18"/>
              </w:rPr>
              <w:t>NT</w:t>
            </w:r>
          </w:p>
        </w:tc>
        <w:tc>
          <w:tcPr>
            <w:tcW w:w="0" w:type="auto"/>
            <w:shd w:val="clear" w:color="auto" w:fill="BFBFBF" w:themeFill="background1" w:themeFillShade="BF"/>
            <w:hideMark/>
          </w:tcPr>
          <w:p w14:paraId="4C6EAAEF" w14:textId="77777777" w:rsidR="00BE61A2" w:rsidRPr="00655B2A" w:rsidRDefault="00BE61A2">
            <w:pPr>
              <w:rPr>
                <w:rFonts w:asciiTheme="minorHAnsi" w:eastAsia="Times New Roman" w:hAnsiTheme="minorHAnsi"/>
                <w:b/>
                <w:sz w:val="18"/>
                <w:szCs w:val="18"/>
              </w:rPr>
            </w:pPr>
            <w:r w:rsidRPr="00655B2A">
              <w:rPr>
                <w:rFonts w:asciiTheme="minorHAnsi" w:eastAsia="Times New Roman" w:hAnsiTheme="minorHAnsi"/>
                <w:b/>
                <w:sz w:val="18"/>
                <w:szCs w:val="18"/>
              </w:rPr>
              <w:t>Qld</w:t>
            </w:r>
          </w:p>
        </w:tc>
        <w:tc>
          <w:tcPr>
            <w:tcW w:w="0" w:type="auto"/>
            <w:shd w:val="clear" w:color="auto" w:fill="BFBFBF" w:themeFill="background1" w:themeFillShade="BF"/>
            <w:hideMark/>
          </w:tcPr>
          <w:p w14:paraId="4CA07EF2" w14:textId="77777777" w:rsidR="00BE61A2" w:rsidRPr="00655B2A" w:rsidRDefault="00BE61A2">
            <w:pPr>
              <w:rPr>
                <w:rFonts w:asciiTheme="minorHAnsi" w:eastAsia="Times New Roman" w:hAnsiTheme="minorHAnsi"/>
                <w:b/>
                <w:sz w:val="18"/>
                <w:szCs w:val="18"/>
              </w:rPr>
            </w:pPr>
            <w:r w:rsidRPr="00655B2A">
              <w:rPr>
                <w:rFonts w:asciiTheme="minorHAnsi" w:eastAsia="Times New Roman" w:hAnsiTheme="minorHAnsi"/>
                <w:b/>
                <w:sz w:val="18"/>
                <w:szCs w:val="18"/>
              </w:rPr>
              <w:t>SA</w:t>
            </w:r>
          </w:p>
        </w:tc>
        <w:tc>
          <w:tcPr>
            <w:tcW w:w="0" w:type="auto"/>
            <w:shd w:val="clear" w:color="auto" w:fill="BFBFBF" w:themeFill="background1" w:themeFillShade="BF"/>
            <w:hideMark/>
          </w:tcPr>
          <w:p w14:paraId="4432E7E0" w14:textId="77777777" w:rsidR="00BE61A2" w:rsidRPr="00655B2A" w:rsidRDefault="00BE61A2">
            <w:pPr>
              <w:rPr>
                <w:rFonts w:asciiTheme="minorHAnsi" w:eastAsia="Times New Roman" w:hAnsiTheme="minorHAnsi"/>
                <w:b/>
                <w:sz w:val="18"/>
                <w:szCs w:val="18"/>
              </w:rPr>
            </w:pPr>
            <w:r w:rsidRPr="00655B2A">
              <w:rPr>
                <w:rFonts w:asciiTheme="minorHAnsi" w:eastAsia="Times New Roman" w:hAnsiTheme="minorHAnsi"/>
                <w:b/>
                <w:sz w:val="18"/>
                <w:szCs w:val="18"/>
              </w:rPr>
              <w:t>Tas</w:t>
            </w:r>
          </w:p>
        </w:tc>
        <w:tc>
          <w:tcPr>
            <w:tcW w:w="0" w:type="auto"/>
            <w:shd w:val="clear" w:color="auto" w:fill="BFBFBF" w:themeFill="background1" w:themeFillShade="BF"/>
            <w:hideMark/>
          </w:tcPr>
          <w:p w14:paraId="6FF64DAB" w14:textId="77777777" w:rsidR="00BE61A2" w:rsidRPr="00655B2A" w:rsidRDefault="00BE61A2">
            <w:pPr>
              <w:rPr>
                <w:rFonts w:asciiTheme="minorHAnsi" w:eastAsia="Times New Roman" w:hAnsiTheme="minorHAnsi"/>
                <w:b/>
                <w:sz w:val="18"/>
                <w:szCs w:val="18"/>
              </w:rPr>
            </w:pPr>
            <w:r w:rsidRPr="00655B2A">
              <w:rPr>
                <w:rFonts w:asciiTheme="minorHAnsi" w:eastAsia="Times New Roman" w:hAnsiTheme="minorHAnsi"/>
                <w:b/>
                <w:sz w:val="18"/>
                <w:szCs w:val="18"/>
              </w:rPr>
              <w:t>Vic</w:t>
            </w:r>
          </w:p>
        </w:tc>
        <w:tc>
          <w:tcPr>
            <w:tcW w:w="0" w:type="auto"/>
            <w:shd w:val="clear" w:color="auto" w:fill="BFBFBF" w:themeFill="background1" w:themeFillShade="BF"/>
            <w:hideMark/>
          </w:tcPr>
          <w:p w14:paraId="570E9C65" w14:textId="77777777" w:rsidR="00BE61A2" w:rsidRPr="00655B2A" w:rsidRDefault="00BE61A2">
            <w:pPr>
              <w:rPr>
                <w:rFonts w:asciiTheme="minorHAnsi" w:eastAsia="Times New Roman" w:hAnsiTheme="minorHAnsi"/>
                <w:b/>
                <w:sz w:val="18"/>
                <w:szCs w:val="18"/>
              </w:rPr>
            </w:pPr>
            <w:r w:rsidRPr="00655B2A">
              <w:rPr>
                <w:rFonts w:asciiTheme="minorHAnsi" w:eastAsia="Times New Roman" w:hAnsiTheme="minorHAnsi"/>
                <w:b/>
                <w:sz w:val="18"/>
                <w:szCs w:val="18"/>
              </w:rPr>
              <w:t>WA</w:t>
            </w:r>
          </w:p>
        </w:tc>
        <w:tc>
          <w:tcPr>
            <w:tcW w:w="0" w:type="auto"/>
            <w:shd w:val="clear" w:color="auto" w:fill="BFBFBF" w:themeFill="background1" w:themeFillShade="BF"/>
            <w:hideMark/>
          </w:tcPr>
          <w:p w14:paraId="6692B185" w14:textId="77777777" w:rsidR="00BE61A2" w:rsidRPr="00655B2A" w:rsidRDefault="00BE61A2">
            <w:pPr>
              <w:rPr>
                <w:rFonts w:asciiTheme="minorHAnsi" w:eastAsia="Times New Roman" w:hAnsiTheme="minorHAnsi"/>
                <w:b/>
                <w:sz w:val="18"/>
                <w:szCs w:val="18"/>
              </w:rPr>
            </w:pPr>
            <w:r w:rsidRPr="00655B2A">
              <w:rPr>
                <w:rFonts w:asciiTheme="minorHAnsi" w:eastAsia="Times New Roman" w:hAnsiTheme="minorHAnsi"/>
                <w:b/>
                <w:sz w:val="18"/>
                <w:szCs w:val="18"/>
              </w:rPr>
              <w:t>Australia</w:t>
            </w:r>
          </w:p>
        </w:tc>
        <w:tc>
          <w:tcPr>
            <w:tcW w:w="3819" w:type="dxa"/>
            <w:shd w:val="clear" w:color="auto" w:fill="BFBFBF" w:themeFill="background1" w:themeFillShade="BF"/>
            <w:hideMark/>
          </w:tcPr>
          <w:p w14:paraId="24B12B90" w14:textId="77777777" w:rsidR="00BE61A2" w:rsidRPr="00655B2A" w:rsidRDefault="00BE61A2">
            <w:pPr>
              <w:rPr>
                <w:rFonts w:asciiTheme="minorHAnsi" w:eastAsia="Times New Roman" w:hAnsiTheme="minorHAnsi"/>
                <w:b/>
                <w:sz w:val="18"/>
                <w:szCs w:val="18"/>
              </w:rPr>
            </w:pPr>
            <w:r w:rsidRPr="00655B2A">
              <w:rPr>
                <w:rFonts w:asciiTheme="minorHAnsi" w:eastAsia="Times New Roman" w:hAnsiTheme="minorHAnsi"/>
                <w:b/>
                <w:sz w:val="18"/>
                <w:szCs w:val="18"/>
              </w:rPr>
              <w:t>Deaths</w:t>
            </w:r>
          </w:p>
        </w:tc>
      </w:tr>
      <w:tr w:rsidR="000A4FFE" w:rsidRPr="00374CC9" w14:paraId="5E4BE496" w14:textId="77777777" w:rsidTr="00655B2A">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1701" w:type="dxa"/>
            <w:hideMark/>
          </w:tcPr>
          <w:p w14:paraId="3E925E9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B</w:t>
            </w:r>
          </w:p>
        </w:tc>
        <w:tc>
          <w:tcPr>
            <w:tcW w:w="377" w:type="dxa"/>
            <w:hideMark/>
          </w:tcPr>
          <w:p w14:paraId="1043920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0B4537B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23</w:t>
            </w:r>
          </w:p>
        </w:tc>
        <w:tc>
          <w:tcPr>
            <w:tcW w:w="0" w:type="auto"/>
            <w:hideMark/>
          </w:tcPr>
          <w:p w14:paraId="7976100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4153075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19</w:t>
            </w:r>
          </w:p>
        </w:tc>
        <w:tc>
          <w:tcPr>
            <w:tcW w:w="0" w:type="auto"/>
            <w:hideMark/>
          </w:tcPr>
          <w:p w14:paraId="294D39B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28</w:t>
            </w:r>
          </w:p>
        </w:tc>
        <w:tc>
          <w:tcPr>
            <w:tcW w:w="0" w:type="auto"/>
            <w:hideMark/>
          </w:tcPr>
          <w:p w14:paraId="12AB382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4D953B5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29</w:t>
            </w:r>
          </w:p>
        </w:tc>
        <w:tc>
          <w:tcPr>
            <w:tcW w:w="0" w:type="auto"/>
            <w:hideMark/>
          </w:tcPr>
          <w:p w14:paraId="7112E51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w:t>
            </w:r>
          </w:p>
        </w:tc>
        <w:tc>
          <w:tcPr>
            <w:tcW w:w="0" w:type="auto"/>
            <w:hideMark/>
          </w:tcPr>
          <w:p w14:paraId="7CEB13F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111</w:t>
            </w:r>
          </w:p>
        </w:tc>
        <w:tc>
          <w:tcPr>
            <w:tcW w:w="3819" w:type="dxa"/>
            <w:hideMark/>
          </w:tcPr>
          <w:p w14:paraId="616AEE7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w:t>
            </w:r>
          </w:p>
        </w:tc>
      </w:tr>
      <w:tr w:rsidR="00BE61A2" w:rsidRPr="00374CC9" w14:paraId="525059BF" w14:textId="77777777" w:rsidTr="00655B2A">
        <w:tblPrEx>
          <w:tblCellMar>
            <w:right w:w="108" w:type="dxa"/>
          </w:tblCellMar>
        </w:tblPrEx>
        <w:tc>
          <w:tcPr>
            <w:tcW w:w="1701" w:type="dxa"/>
            <w:hideMark/>
          </w:tcPr>
          <w:p w14:paraId="208D2AA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C</w:t>
            </w:r>
          </w:p>
        </w:tc>
        <w:tc>
          <w:tcPr>
            <w:tcW w:w="377" w:type="dxa"/>
            <w:hideMark/>
          </w:tcPr>
          <w:p w14:paraId="62AA328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3661CB3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60BE238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7966838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CD0D1C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220D4D6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735F87F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32EEF76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1494FB0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3819" w:type="dxa"/>
            <w:hideMark/>
          </w:tcPr>
          <w:p w14:paraId="326E737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r>
      <w:tr w:rsidR="000A4FFE" w:rsidRPr="00374CC9" w14:paraId="19000548" w14:textId="77777777" w:rsidTr="00655B2A">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1701" w:type="dxa"/>
            <w:hideMark/>
          </w:tcPr>
          <w:p w14:paraId="6F8FD31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W</w:t>
            </w:r>
          </w:p>
        </w:tc>
        <w:tc>
          <w:tcPr>
            <w:tcW w:w="377" w:type="dxa"/>
            <w:hideMark/>
          </w:tcPr>
          <w:p w14:paraId="7BA2305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18252D6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w:t>
            </w:r>
          </w:p>
        </w:tc>
        <w:tc>
          <w:tcPr>
            <w:tcW w:w="0" w:type="auto"/>
            <w:hideMark/>
          </w:tcPr>
          <w:p w14:paraId="654ACFD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0214FAC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w:t>
            </w:r>
          </w:p>
        </w:tc>
        <w:tc>
          <w:tcPr>
            <w:tcW w:w="0" w:type="auto"/>
            <w:hideMark/>
          </w:tcPr>
          <w:p w14:paraId="79E62FB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0EC13D8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2662178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17</w:t>
            </w:r>
          </w:p>
        </w:tc>
        <w:tc>
          <w:tcPr>
            <w:tcW w:w="0" w:type="auto"/>
            <w:hideMark/>
          </w:tcPr>
          <w:p w14:paraId="1C2D1AF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w:t>
            </w:r>
          </w:p>
        </w:tc>
        <w:tc>
          <w:tcPr>
            <w:tcW w:w="0" w:type="auto"/>
            <w:hideMark/>
          </w:tcPr>
          <w:p w14:paraId="0971354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34</w:t>
            </w:r>
          </w:p>
        </w:tc>
        <w:tc>
          <w:tcPr>
            <w:tcW w:w="3819" w:type="dxa"/>
            <w:hideMark/>
          </w:tcPr>
          <w:p w14:paraId="5716993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w:t>
            </w:r>
          </w:p>
        </w:tc>
      </w:tr>
      <w:tr w:rsidR="00BE61A2" w:rsidRPr="00374CC9" w14:paraId="22DA6250" w14:textId="77777777" w:rsidTr="00655B2A">
        <w:tblPrEx>
          <w:tblCellMar>
            <w:right w:w="108" w:type="dxa"/>
          </w:tblCellMar>
        </w:tblPrEx>
        <w:tc>
          <w:tcPr>
            <w:tcW w:w="1701" w:type="dxa"/>
            <w:hideMark/>
          </w:tcPr>
          <w:p w14:paraId="30D7672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Y</w:t>
            </w:r>
          </w:p>
        </w:tc>
        <w:tc>
          <w:tcPr>
            <w:tcW w:w="377" w:type="dxa"/>
            <w:hideMark/>
          </w:tcPr>
          <w:p w14:paraId="529C643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54BE265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w:t>
            </w:r>
          </w:p>
        </w:tc>
        <w:tc>
          <w:tcPr>
            <w:tcW w:w="0" w:type="auto"/>
            <w:hideMark/>
          </w:tcPr>
          <w:p w14:paraId="1DD0C71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D71C89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412A2F6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0A68C8A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70E6606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w:t>
            </w:r>
          </w:p>
        </w:tc>
        <w:tc>
          <w:tcPr>
            <w:tcW w:w="0" w:type="auto"/>
            <w:hideMark/>
          </w:tcPr>
          <w:p w14:paraId="510DDA1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1B74698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22</w:t>
            </w:r>
          </w:p>
        </w:tc>
        <w:tc>
          <w:tcPr>
            <w:tcW w:w="3819" w:type="dxa"/>
            <w:hideMark/>
          </w:tcPr>
          <w:p w14:paraId="5C00B98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r>
      <w:tr w:rsidR="000A4FFE" w:rsidRPr="00374CC9" w14:paraId="6558C89C" w14:textId="77777777" w:rsidTr="00655B2A">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1701" w:type="dxa"/>
            <w:hideMark/>
          </w:tcPr>
          <w:p w14:paraId="2EFA4A9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Other</w:t>
            </w:r>
            <w:r w:rsidRPr="00374CC9">
              <w:rPr>
                <w:rFonts w:asciiTheme="minorHAnsi" w:eastAsia="Times New Roman" w:hAnsiTheme="minorHAnsi"/>
                <w:sz w:val="18"/>
                <w:szCs w:val="18"/>
                <w:vertAlign w:val="superscript"/>
              </w:rPr>
              <w:t>*</w:t>
            </w:r>
          </w:p>
        </w:tc>
        <w:tc>
          <w:tcPr>
            <w:tcW w:w="377" w:type="dxa"/>
            <w:hideMark/>
          </w:tcPr>
          <w:p w14:paraId="530D41A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3E9D5F1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w:t>
            </w:r>
          </w:p>
        </w:tc>
        <w:tc>
          <w:tcPr>
            <w:tcW w:w="0" w:type="auto"/>
            <w:hideMark/>
          </w:tcPr>
          <w:p w14:paraId="3656D08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3B8986B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w:t>
            </w:r>
          </w:p>
        </w:tc>
        <w:tc>
          <w:tcPr>
            <w:tcW w:w="0" w:type="auto"/>
            <w:hideMark/>
          </w:tcPr>
          <w:p w14:paraId="260291A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B9B2FE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1B888DA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60AEFB0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33E0768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13</w:t>
            </w:r>
          </w:p>
        </w:tc>
        <w:tc>
          <w:tcPr>
            <w:tcW w:w="3819" w:type="dxa"/>
            <w:hideMark/>
          </w:tcPr>
          <w:p w14:paraId="4530347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r>
      <w:tr w:rsidR="00BE61A2" w:rsidRPr="00655B2A" w14:paraId="5C136370" w14:textId="77777777" w:rsidTr="00655B2A">
        <w:tblPrEx>
          <w:tblCellMar>
            <w:right w:w="108" w:type="dxa"/>
          </w:tblCellMar>
        </w:tblPrEx>
        <w:tc>
          <w:tcPr>
            <w:tcW w:w="1701" w:type="dxa"/>
            <w:shd w:val="clear" w:color="auto" w:fill="FDE9D9" w:themeFill="accent6" w:themeFillTint="33"/>
            <w:hideMark/>
          </w:tcPr>
          <w:p w14:paraId="1A1508A7" w14:textId="77777777" w:rsidR="00BE61A2" w:rsidRPr="00655B2A" w:rsidRDefault="00BE61A2">
            <w:pPr>
              <w:rPr>
                <w:rFonts w:asciiTheme="minorHAnsi" w:eastAsia="Times New Roman" w:hAnsiTheme="minorHAnsi"/>
                <w:b/>
                <w:sz w:val="18"/>
                <w:szCs w:val="18"/>
              </w:rPr>
            </w:pPr>
            <w:r w:rsidRPr="00655B2A">
              <w:rPr>
                <w:rFonts w:asciiTheme="minorHAnsi" w:eastAsia="Times New Roman" w:hAnsiTheme="minorHAnsi"/>
                <w:b/>
                <w:sz w:val="18"/>
                <w:szCs w:val="18"/>
              </w:rPr>
              <w:t>Total</w:t>
            </w:r>
          </w:p>
        </w:tc>
        <w:tc>
          <w:tcPr>
            <w:tcW w:w="377" w:type="dxa"/>
            <w:shd w:val="clear" w:color="auto" w:fill="FDE9D9" w:themeFill="accent6" w:themeFillTint="33"/>
            <w:hideMark/>
          </w:tcPr>
          <w:p w14:paraId="33F9AB70" w14:textId="77777777" w:rsidR="00BE61A2" w:rsidRPr="00655B2A" w:rsidRDefault="00BE61A2">
            <w:pPr>
              <w:rPr>
                <w:rFonts w:asciiTheme="minorHAnsi" w:eastAsia="Times New Roman" w:hAnsiTheme="minorHAnsi"/>
                <w:b/>
                <w:sz w:val="18"/>
                <w:szCs w:val="18"/>
              </w:rPr>
            </w:pPr>
            <w:r w:rsidRPr="00655B2A">
              <w:rPr>
                <w:rFonts w:asciiTheme="minorHAnsi" w:eastAsia="Times New Roman" w:hAnsiTheme="minorHAnsi"/>
                <w:b/>
                <w:sz w:val="18"/>
                <w:szCs w:val="18"/>
              </w:rPr>
              <w:t>2</w:t>
            </w:r>
          </w:p>
        </w:tc>
        <w:tc>
          <w:tcPr>
            <w:tcW w:w="0" w:type="auto"/>
            <w:shd w:val="clear" w:color="auto" w:fill="FDE9D9" w:themeFill="accent6" w:themeFillTint="33"/>
            <w:hideMark/>
          </w:tcPr>
          <w:p w14:paraId="0C32A715" w14:textId="77777777" w:rsidR="00BE61A2" w:rsidRPr="00655B2A" w:rsidRDefault="00BE61A2">
            <w:pPr>
              <w:rPr>
                <w:rFonts w:asciiTheme="minorHAnsi" w:eastAsia="Times New Roman" w:hAnsiTheme="minorHAnsi"/>
                <w:b/>
                <w:sz w:val="18"/>
                <w:szCs w:val="18"/>
              </w:rPr>
            </w:pPr>
            <w:r w:rsidRPr="00655B2A">
              <w:rPr>
                <w:rFonts w:asciiTheme="minorHAnsi" w:eastAsia="Times New Roman" w:hAnsiTheme="minorHAnsi"/>
                <w:b/>
                <w:sz w:val="18"/>
                <w:szCs w:val="18"/>
              </w:rPr>
              <w:t>45</w:t>
            </w:r>
          </w:p>
        </w:tc>
        <w:tc>
          <w:tcPr>
            <w:tcW w:w="0" w:type="auto"/>
            <w:shd w:val="clear" w:color="auto" w:fill="FDE9D9" w:themeFill="accent6" w:themeFillTint="33"/>
            <w:hideMark/>
          </w:tcPr>
          <w:p w14:paraId="0E40775F" w14:textId="77777777" w:rsidR="00BE61A2" w:rsidRPr="00655B2A" w:rsidRDefault="00BE61A2">
            <w:pPr>
              <w:rPr>
                <w:rFonts w:asciiTheme="minorHAnsi" w:eastAsia="Times New Roman" w:hAnsiTheme="minorHAnsi"/>
                <w:b/>
                <w:sz w:val="18"/>
                <w:szCs w:val="18"/>
              </w:rPr>
            </w:pPr>
            <w:r w:rsidRPr="00655B2A">
              <w:rPr>
                <w:rFonts w:asciiTheme="minorHAnsi" w:eastAsia="Times New Roman" w:hAnsiTheme="minorHAnsi"/>
                <w:b/>
                <w:sz w:val="18"/>
                <w:szCs w:val="18"/>
              </w:rPr>
              <w:t>1</w:t>
            </w:r>
          </w:p>
        </w:tc>
        <w:tc>
          <w:tcPr>
            <w:tcW w:w="0" w:type="auto"/>
            <w:shd w:val="clear" w:color="auto" w:fill="FDE9D9" w:themeFill="accent6" w:themeFillTint="33"/>
            <w:hideMark/>
          </w:tcPr>
          <w:p w14:paraId="5A302777" w14:textId="77777777" w:rsidR="00BE61A2" w:rsidRPr="00655B2A" w:rsidRDefault="00BE61A2">
            <w:pPr>
              <w:rPr>
                <w:rFonts w:asciiTheme="minorHAnsi" w:eastAsia="Times New Roman" w:hAnsiTheme="minorHAnsi"/>
                <w:b/>
                <w:sz w:val="18"/>
                <w:szCs w:val="18"/>
              </w:rPr>
            </w:pPr>
            <w:r w:rsidRPr="00655B2A">
              <w:rPr>
                <w:rFonts w:asciiTheme="minorHAnsi" w:eastAsia="Times New Roman" w:hAnsiTheme="minorHAnsi"/>
                <w:b/>
                <w:sz w:val="18"/>
                <w:szCs w:val="18"/>
              </w:rPr>
              <w:t>30</w:t>
            </w:r>
          </w:p>
        </w:tc>
        <w:tc>
          <w:tcPr>
            <w:tcW w:w="0" w:type="auto"/>
            <w:shd w:val="clear" w:color="auto" w:fill="FDE9D9" w:themeFill="accent6" w:themeFillTint="33"/>
            <w:hideMark/>
          </w:tcPr>
          <w:p w14:paraId="0466E3AA" w14:textId="77777777" w:rsidR="00BE61A2" w:rsidRPr="00655B2A" w:rsidRDefault="00BE61A2">
            <w:pPr>
              <w:rPr>
                <w:rFonts w:asciiTheme="minorHAnsi" w:eastAsia="Times New Roman" w:hAnsiTheme="minorHAnsi"/>
                <w:b/>
                <w:sz w:val="18"/>
                <w:szCs w:val="18"/>
              </w:rPr>
            </w:pPr>
            <w:r w:rsidRPr="00655B2A">
              <w:rPr>
                <w:rFonts w:asciiTheme="minorHAnsi" w:eastAsia="Times New Roman" w:hAnsiTheme="minorHAnsi"/>
                <w:b/>
                <w:sz w:val="18"/>
                <w:szCs w:val="18"/>
              </w:rPr>
              <w:t>29</w:t>
            </w:r>
          </w:p>
        </w:tc>
        <w:tc>
          <w:tcPr>
            <w:tcW w:w="0" w:type="auto"/>
            <w:shd w:val="clear" w:color="auto" w:fill="FDE9D9" w:themeFill="accent6" w:themeFillTint="33"/>
            <w:hideMark/>
          </w:tcPr>
          <w:p w14:paraId="7A38A5A7" w14:textId="77777777" w:rsidR="00BE61A2" w:rsidRPr="00655B2A" w:rsidRDefault="00BE61A2">
            <w:pPr>
              <w:rPr>
                <w:rFonts w:asciiTheme="minorHAnsi" w:eastAsia="Times New Roman" w:hAnsiTheme="minorHAnsi"/>
                <w:b/>
                <w:sz w:val="18"/>
                <w:szCs w:val="18"/>
              </w:rPr>
            </w:pPr>
            <w:r w:rsidRPr="00655B2A">
              <w:rPr>
                <w:rFonts w:asciiTheme="minorHAnsi" w:eastAsia="Times New Roman" w:hAnsiTheme="minorHAnsi"/>
                <w:b/>
                <w:sz w:val="18"/>
                <w:szCs w:val="18"/>
              </w:rPr>
              <w:t>2</w:t>
            </w:r>
          </w:p>
        </w:tc>
        <w:tc>
          <w:tcPr>
            <w:tcW w:w="0" w:type="auto"/>
            <w:shd w:val="clear" w:color="auto" w:fill="FDE9D9" w:themeFill="accent6" w:themeFillTint="33"/>
            <w:hideMark/>
          </w:tcPr>
          <w:p w14:paraId="6A380102" w14:textId="77777777" w:rsidR="00BE61A2" w:rsidRPr="00655B2A" w:rsidRDefault="00BE61A2">
            <w:pPr>
              <w:rPr>
                <w:rFonts w:asciiTheme="minorHAnsi" w:eastAsia="Times New Roman" w:hAnsiTheme="minorHAnsi"/>
                <w:b/>
                <w:sz w:val="18"/>
                <w:szCs w:val="18"/>
              </w:rPr>
            </w:pPr>
            <w:r w:rsidRPr="00655B2A">
              <w:rPr>
                <w:rFonts w:asciiTheme="minorHAnsi" w:eastAsia="Times New Roman" w:hAnsiTheme="minorHAnsi"/>
                <w:b/>
                <w:sz w:val="18"/>
                <w:szCs w:val="18"/>
              </w:rPr>
              <w:t>56</w:t>
            </w:r>
          </w:p>
        </w:tc>
        <w:tc>
          <w:tcPr>
            <w:tcW w:w="0" w:type="auto"/>
            <w:shd w:val="clear" w:color="auto" w:fill="FDE9D9" w:themeFill="accent6" w:themeFillTint="33"/>
            <w:hideMark/>
          </w:tcPr>
          <w:p w14:paraId="018BA7FC" w14:textId="77777777" w:rsidR="00BE61A2" w:rsidRPr="00655B2A" w:rsidRDefault="00BE61A2">
            <w:pPr>
              <w:rPr>
                <w:rFonts w:asciiTheme="minorHAnsi" w:eastAsia="Times New Roman" w:hAnsiTheme="minorHAnsi"/>
                <w:b/>
                <w:sz w:val="18"/>
                <w:szCs w:val="18"/>
              </w:rPr>
            </w:pPr>
            <w:r w:rsidRPr="00655B2A">
              <w:rPr>
                <w:rFonts w:asciiTheme="minorHAnsi" w:eastAsia="Times New Roman" w:hAnsiTheme="minorHAnsi"/>
                <w:b/>
                <w:sz w:val="18"/>
                <w:szCs w:val="18"/>
              </w:rPr>
              <w:t>17</w:t>
            </w:r>
          </w:p>
        </w:tc>
        <w:tc>
          <w:tcPr>
            <w:tcW w:w="0" w:type="auto"/>
            <w:shd w:val="clear" w:color="auto" w:fill="FDE9D9" w:themeFill="accent6" w:themeFillTint="33"/>
            <w:hideMark/>
          </w:tcPr>
          <w:p w14:paraId="65B8247E" w14:textId="77777777" w:rsidR="00BE61A2" w:rsidRPr="00655B2A" w:rsidRDefault="00BE61A2">
            <w:pPr>
              <w:rPr>
                <w:rFonts w:asciiTheme="minorHAnsi" w:eastAsia="Times New Roman" w:hAnsiTheme="minorHAnsi"/>
                <w:b/>
                <w:sz w:val="18"/>
                <w:szCs w:val="18"/>
              </w:rPr>
            </w:pPr>
            <w:r w:rsidRPr="00655B2A">
              <w:rPr>
                <w:rFonts w:asciiTheme="minorHAnsi" w:eastAsia="Times New Roman" w:hAnsiTheme="minorHAnsi"/>
                <w:b/>
                <w:sz w:val="18"/>
                <w:szCs w:val="18"/>
              </w:rPr>
              <w:t>182</w:t>
            </w:r>
          </w:p>
        </w:tc>
        <w:tc>
          <w:tcPr>
            <w:tcW w:w="3819" w:type="dxa"/>
            <w:shd w:val="clear" w:color="auto" w:fill="FDE9D9" w:themeFill="accent6" w:themeFillTint="33"/>
            <w:hideMark/>
          </w:tcPr>
          <w:p w14:paraId="645CED95" w14:textId="77777777" w:rsidR="00BE61A2" w:rsidRPr="00655B2A" w:rsidRDefault="00BE61A2">
            <w:pPr>
              <w:rPr>
                <w:rFonts w:asciiTheme="minorHAnsi" w:eastAsia="Times New Roman" w:hAnsiTheme="minorHAnsi"/>
                <w:b/>
                <w:sz w:val="18"/>
                <w:szCs w:val="18"/>
              </w:rPr>
            </w:pPr>
            <w:r w:rsidRPr="00655B2A">
              <w:rPr>
                <w:rFonts w:asciiTheme="minorHAnsi" w:eastAsia="Times New Roman" w:hAnsiTheme="minorHAnsi"/>
                <w:b/>
                <w:sz w:val="18"/>
                <w:szCs w:val="18"/>
              </w:rPr>
              <w:t>12</w:t>
            </w:r>
          </w:p>
        </w:tc>
      </w:tr>
      <w:tr w:rsidR="000A4FFE" w:rsidRPr="00374CC9" w14:paraId="7DAC232A" w14:textId="77777777" w:rsidTr="00655B2A">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1701" w:type="dxa"/>
            <w:hideMark/>
          </w:tcPr>
          <w:p w14:paraId="6EDAB89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Rate per 100,000</w:t>
            </w:r>
          </w:p>
        </w:tc>
        <w:tc>
          <w:tcPr>
            <w:tcW w:w="377" w:type="dxa"/>
            <w:hideMark/>
          </w:tcPr>
          <w:p w14:paraId="57E98C0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0.5</w:t>
            </w:r>
          </w:p>
        </w:tc>
        <w:tc>
          <w:tcPr>
            <w:tcW w:w="0" w:type="auto"/>
            <w:hideMark/>
          </w:tcPr>
          <w:p w14:paraId="35AE6B9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0.6</w:t>
            </w:r>
          </w:p>
        </w:tc>
        <w:tc>
          <w:tcPr>
            <w:tcW w:w="0" w:type="auto"/>
            <w:hideMark/>
          </w:tcPr>
          <w:p w14:paraId="7F61974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0.4</w:t>
            </w:r>
          </w:p>
        </w:tc>
        <w:tc>
          <w:tcPr>
            <w:tcW w:w="0" w:type="auto"/>
            <w:hideMark/>
          </w:tcPr>
          <w:p w14:paraId="5DF482E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0.6</w:t>
            </w:r>
          </w:p>
        </w:tc>
        <w:tc>
          <w:tcPr>
            <w:tcW w:w="0" w:type="auto"/>
            <w:hideMark/>
          </w:tcPr>
          <w:p w14:paraId="0850017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1.7</w:t>
            </w:r>
          </w:p>
        </w:tc>
        <w:tc>
          <w:tcPr>
            <w:tcW w:w="0" w:type="auto"/>
            <w:hideMark/>
          </w:tcPr>
          <w:p w14:paraId="0053EDC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0.4</w:t>
            </w:r>
          </w:p>
        </w:tc>
        <w:tc>
          <w:tcPr>
            <w:tcW w:w="0" w:type="auto"/>
            <w:hideMark/>
          </w:tcPr>
          <w:p w14:paraId="2ED56E5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0.9</w:t>
            </w:r>
          </w:p>
        </w:tc>
        <w:tc>
          <w:tcPr>
            <w:tcW w:w="0" w:type="auto"/>
            <w:hideMark/>
          </w:tcPr>
          <w:p w14:paraId="4CF7D0C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0.7</w:t>
            </w:r>
          </w:p>
        </w:tc>
        <w:tc>
          <w:tcPr>
            <w:tcW w:w="0" w:type="auto"/>
            <w:hideMark/>
          </w:tcPr>
          <w:p w14:paraId="5A117F9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0.8</w:t>
            </w:r>
          </w:p>
        </w:tc>
        <w:tc>
          <w:tcPr>
            <w:tcW w:w="3819" w:type="dxa"/>
            <w:hideMark/>
          </w:tcPr>
          <w:p w14:paraId="6C57C1A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r>
    </w:tbl>
    <w:p w14:paraId="4FCDEED4" w14:textId="77777777" w:rsidR="004B69AD" w:rsidRDefault="00BE61A2" w:rsidP="004B69AD">
      <w:pPr>
        <w:pStyle w:val="CDIfootnotes"/>
        <w:ind w:left="720" w:hanging="720"/>
        <w:rPr>
          <w:rFonts w:eastAsia="Times New Roman"/>
        </w:rPr>
      </w:pPr>
      <w:r w:rsidRPr="00AE2F1B">
        <w:rPr>
          <w:rFonts w:eastAsia="Times New Roman"/>
          <w:vertAlign w:val="superscript"/>
        </w:rPr>
        <w:t>*</w:t>
      </w:r>
      <w:r w:rsidRPr="00AE2F1B">
        <w:rPr>
          <w:rFonts w:eastAsia="Times New Roman"/>
        </w:rPr>
        <w:tab/>
        <w:t xml:space="preserve">Includes notifications where serogroup was reported as non-groupable or not </w:t>
      </w:r>
      <w:proofErr w:type="spellStart"/>
      <w:r w:rsidRPr="00AE2F1B">
        <w:rPr>
          <w:rFonts w:eastAsia="Times New Roman"/>
        </w:rPr>
        <w:t>grouped.</w:t>
      </w:r>
      <w:r w:rsidRPr="0094578E">
        <w:rPr>
          <w:rFonts w:eastAsia="Times New Roman"/>
          <w:vertAlign w:val="superscript"/>
        </w:rPr>
        <w:t>i</w:t>
      </w:r>
      <w:proofErr w:type="spellEnd"/>
      <w:r w:rsidRPr="00AE2F1B">
        <w:rPr>
          <w:rFonts w:eastAsia="Times New Roman"/>
        </w:rPr>
        <w:t xml:space="preserve"> </w:t>
      </w:r>
    </w:p>
    <w:p w14:paraId="2A501C80" w14:textId="77777777" w:rsidR="004B69AD" w:rsidRDefault="00BE61A2" w:rsidP="004B69AD">
      <w:pPr>
        <w:pStyle w:val="CDIfootnotes"/>
        <w:ind w:left="720" w:hanging="720"/>
        <w:rPr>
          <w:rFonts w:eastAsia="Times New Roman"/>
        </w:rPr>
      </w:pPr>
      <w:r w:rsidRPr="00AE2F1B">
        <w:rPr>
          <w:rFonts w:eastAsia="Times New Roman"/>
        </w:rPr>
        <w:t>#</w:t>
      </w:r>
      <w:r w:rsidRPr="00AE2F1B">
        <w:rPr>
          <w:rFonts w:eastAsia="Times New Roman"/>
        </w:rPr>
        <w:tab/>
        <w:t xml:space="preserve">Cases of conjunctival meningococcal infection are also reported under the local case </w:t>
      </w:r>
      <w:proofErr w:type="gramStart"/>
      <w:r w:rsidRPr="00AE2F1B">
        <w:rPr>
          <w:rFonts w:eastAsia="Times New Roman"/>
        </w:rPr>
        <w:t>definition, and</w:t>
      </w:r>
      <w:proofErr w:type="gramEnd"/>
      <w:r w:rsidRPr="00AE2F1B">
        <w:rPr>
          <w:rFonts w:eastAsia="Times New Roman"/>
        </w:rPr>
        <w:t xml:space="preserve"> reported to the national dataset by the jurisdiction. Conjunctival cases cannot be distinguished from invasive cases in the national dataset. </w:t>
      </w:r>
    </w:p>
    <w:p w14:paraId="5E621A0A" w14:textId="77777777" w:rsidR="00BE61A2" w:rsidRPr="00AE2F1B" w:rsidRDefault="0094578E" w:rsidP="004B69AD">
      <w:pPr>
        <w:pStyle w:val="CDIfootnotes"/>
        <w:ind w:left="720" w:hanging="720"/>
        <w:rPr>
          <w:rFonts w:eastAsia="Times New Roman"/>
        </w:rPr>
      </w:pPr>
      <w:proofErr w:type="spellStart"/>
      <w:r>
        <w:rPr>
          <w:rStyle w:val="CDIfootnotesChar"/>
        </w:rPr>
        <w:t>i</w:t>
      </w:r>
      <w:proofErr w:type="spellEnd"/>
      <w:r>
        <w:rPr>
          <w:rStyle w:val="CDIfootnotesChar"/>
        </w:rPr>
        <w:tab/>
      </w:r>
      <w:r w:rsidR="00BE61A2" w:rsidRPr="0094578E">
        <w:rPr>
          <w:rStyle w:val="CDIfootnotesChar"/>
        </w:rPr>
        <w:t>Not grouped is where no serogroup is available; non-groupable is where the serogroup is reported by the reference laboratory as a non-groupable strain</w:t>
      </w:r>
      <w:r w:rsidR="00BE61A2" w:rsidRPr="00AE2F1B">
        <w:rPr>
          <w:rFonts w:eastAsia="Times New Roman"/>
        </w:rPr>
        <w:t xml:space="preserve">. </w:t>
      </w:r>
    </w:p>
    <w:p w14:paraId="748DCCAB" w14:textId="77777777" w:rsidR="00BE61A2" w:rsidRPr="00AE2F1B" w:rsidRDefault="00BE61A2" w:rsidP="00A76FEF">
      <w:pPr>
        <w:pStyle w:val="Heading4"/>
        <w:rPr>
          <w:rFonts w:eastAsiaTheme="minorEastAsia"/>
        </w:rPr>
      </w:pPr>
      <w:r w:rsidRPr="00AE2F1B">
        <w:t>Age and sex distribution</w:t>
      </w:r>
    </w:p>
    <w:p w14:paraId="7EF1B08E" w14:textId="77777777" w:rsidR="00BE61A2" w:rsidRDefault="00BE61A2" w:rsidP="00A76FEF">
      <w:r w:rsidRPr="00AE2F1B">
        <w:t xml:space="preserve">In 2015, approximately the same number of IMD cases were notified in males (51%, n=92) as were notified in females (49%, n=90). Proportionally, 60% (n=110) of all cases reported were less than 25 years of age, of which 42% were children less than 5 years of age (n=46). The highest notification rates in 2015 for both males and females occurred in the 0–4 years age group (3.4 per 100,000 for males and 2.5 per 100,000 for females), with a second peak in adolescents in the 15–19 years age </w:t>
      </w:r>
      <w:r w:rsidRPr="00165BE8">
        <w:t>group (</w:t>
      </w:r>
      <w:r w:rsidR="00165BE8">
        <w:t>Figure 115</w:t>
      </w:r>
      <w:r w:rsidRPr="00165BE8">
        <w:t>).</w:t>
      </w:r>
      <w:r w:rsidRPr="00AE2F1B">
        <w:t xml:space="preserve"> </w:t>
      </w:r>
    </w:p>
    <w:p w14:paraId="190F4248" w14:textId="77777777" w:rsidR="00871011" w:rsidRDefault="00871011">
      <w:pPr>
        <w:rPr>
          <w:b/>
        </w:rPr>
      </w:pPr>
      <w:r>
        <w:br w:type="page"/>
      </w:r>
    </w:p>
    <w:p w14:paraId="796E8005" w14:textId="77777777" w:rsidR="00165BE8" w:rsidRDefault="00165BE8" w:rsidP="00165BE8">
      <w:pPr>
        <w:pStyle w:val="CDIFigures"/>
      </w:pPr>
      <w:r>
        <w:lastRenderedPageBreak/>
        <w:t>Figure 115: Notification rate for invasive meningococcal disease, Australia, 2015, by age and sex</w:t>
      </w:r>
    </w:p>
    <w:p w14:paraId="1F32450B" w14:textId="77777777" w:rsidR="00871011" w:rsidRPr="00AE2F1B" w:rsidRDefault="0021477A" w:rsidP="00165BE8">
      <w:pPr>
        <w:pStyle w:val="CDIFigures"/>
      </w:pPr>
      <w:r>
        <w:pict w14:anchorId="1294DB13">
          <v:shape id="_x0000_i1135" type="#_x0000_t75" alt="This figure shows rates of invasive meningococcal disease in Australia by age and sex in 2015. This figure demonstrates the highest rates are seen in cases less than five years of age and a secondary smaller peak in the 15 to 19 years age group. For females rates increased from 75 years of age with 2.0 per 100,000 population in the 85 years and over age group. " style="width:522.6pt;height:351.6pt">
            <v:imagedata r:id="rId134" o:title="8-Other bacterial chapter figures 110 to 119_Page_06"/>
          </v:shape>
        </w:pict>
      </w:r>
    </w:p>
    <w:p w14:paraId="668F68F9" w14:textId="77777777" w:rsidR="00BE61A2" w:rsidRPr="00AE2F1B" w:rsidRDefault="00BE61A2" w:rsidP="00A76FEF">
      <w:pPr>
        <w:pStyle w:val="Heading4"/>
      </w:pPr>
      <w:r w:rsidRPr="00AE2F1B">
        <w:t>Serogroup analysis</w:t>
      </w:r>
    </w:p>
    <w:p w14:paraId="26BAF838" w14:textId="77777777" w:rsidR="00BE61A2" w:rsidRPr="00AE2F1B" w:rsidRDefault="00BE61A2" w:rsidP="00AE2F1B">
      <w:r w:rsidRPr="00AE2F1B">
        <w:t>Data on serogroup were available for 93% (n=169) of cases in 2015, of which 66% (111/169) were caused by serogroup B organisms, 20% (34/169) by serogroup W organisms, 13% (22/169) by serogroup Y organisms and 1% (2/169) by serogroup C organisms (Table 28). One case was reported as non-groupable. In 2015, cases caused by serogroup Y organisms (n=22) were the highest since reporting began in 1991, and twice the annual average over the previous 10-year period (average=10.7).</w:t>
      </w:r>
    </w:p>
    <w:p w14:paraId="6DD13510" w14:textId="77777777" w:rsidR="00BE61A2" w:rsidRPr="00AE2F1B" w:rsidRDefault="00BE61A2" w:rsidP="00AE2F1B">
      <w:r w:rsidRPr="00AE2F1B">
        <w:t>Cases of IMD caused by serogroup C organisms continue to decrease, with 2 cases notified in 2015 compared with 3 in 2014 and 8 in 2013. This decline represents a 99% decrease in case numbers since the introduction of the meningococcal C vaccine on the NIP in 2003. Of the cases of IMD due to serogroup C organisms reported in 2015, both were under the age of 25 years, with 1 in the 0–4 years age group, and the other in the 20–24 years age group. Age-specific rates of serogroup C infections have remained below 0.2 cases per 100,000 since 2010.</w:t>
      </w:r>
    </w:p>
    <w:p w14:paraId="0DED93E9" w14:textId="77777777" w:rsidR="00BE61A2" w:rsidRDefault="00BE61A2" w:rsidP="00AE2F1B">
      <w:r w:rsidRPr="00AE2F1B">
        <w:t>Serogroup B accounted for the majority of cases across all age groups in 2015, with the exceptions of the 55–59 years, 70–74 years and 75–79 years age groups. Compared with 2014, notification rates for serogroup B declined across all age groups except the 15–19 years age group, which increased from 1.6 per 100,000 in 2014 to 2.2 per 100,000 in 2015 (Figure 116).</w:t>
      </w:r>
    </w:p>
    <w:p w14:paraId="6E50171A" w14:textId="77777777" w:rsidR="00871011" w:rsidRDefault="00871011">
      <w:pPr>
        <w:rPr>
          <w:b/>
        </w:rPr>
      </w:pPr>
      <w:r>
        <w:br w:type="page"/>
      </w:r>
    </w:p>
    <w:p w14:paraId="119328E6" w14:textId="77777777" w:rsidR="00147A28" w:rsidRDefault="00147A28" w:rsidP="00147A28">
      <w:pPr>
        <w:pStyle w:val="CDIFigures"/>
      </w:pPr>
      <w:r w:rsidRPr="00147A28">
        <w:lastRenderedPageBreak/>
        <w:t xml:space="preserve">Figure 116: Notification rate for serogroup B invasive meningococcal disease, Australia, 2010 to 2015, by select age </w:t>
      </w:r>
      <w:proofErr w:type="gramStart"/>
      <w:r w:rsidRPr="00147A28">
        <w:t>groups</w:t>
      </w:r>
      <w:proofErr w:type="gramEnd"/>
    </w:p>
    <w:p w14:paraId="5594BB1F" w14:textId="77777777" w:rsidR="00871011" w:rsidRPr="00147A28" w:rsidRDefault="0021477A" w:rsidP="00147A28">
      <w:pPr>
        <w:pStyle w:val="CDIFigures"/>
      </w:pPr>
      <w:r>
        <w:pict w14:anchorId="73A52DE2">
          <v:shape id="_x0000_i1136" type="#_x0000_t75" alt="This figure shows the rate for serogroup B invasive meningococcal disease in Australia from 2010 to 2015 for selected age groups. This figure demonstrates that while the age-specific rates of serogroup B infection in 2015 remain high compared, they have continued to trend downward across all age groups except the 15 to 19 year age group." style="width:522.6pt;height:351.6pt;mso-position-vertical:absolute">
            <v:imagedata r:id="rId135" o:title="8-Other bacterial chapter figures 110 to 119_Page_07"/>
          </v:shape>
        </w:pict>
      </w:r>
    </w:p>
    <w:p w14:paraId="45DB7D9C" w14:textId="77777777" w:rsidR="00BE61A2" w:rsidRPr="00AE2F1B" w:rsidRDefault="00BE61A2" w:rsidP="00AE2F1B">
      <w:r w:rsidRPr="00AE2F1B">
        <w:t xml:space="preserve">In 2014, an increase in cases due to serogroup W organisms was evident, with numbers almost 2 times higher than the annual average of the previous 5 years. This observed rise continued in 2015, with 34 cases reported compared with 17 cases in 2014, 11 cases in 2013 and 7 cases in 2012. </w:t>
      </w:r>
    </w:p>
    <w:p w14:paraId="106EB25A" w14:textId="77777777" w:rsidR="00BE61A2" w:rsidRPr="00AE2F1B" w:rsidRDefault="00BE61A2" w:rsidP="00A76FEF">
      <w:pPr>
        <w:pStyle w:val="Heading4"/>
      </w:pPr>
      <w:r w:rsidRPr="00AE2F1B">
        <w:t>Seasonality</w:t>
      </w:r>
    </w:p>
    <w:p w14:paraId="01BCD0A9" w14:textId="77777777" w:rsidR="00BE61A2" w:rsidRDefault="00BE61A2" w:rsidP="00AE2F1B">
      <w:r w:rsidRPr="00AE2F1B">
        <w:t xml:space="preserve">In 2015, an average of 15 cases of IMD were reported monthly, with a range of 6 to 27 cases. A clear seasonal pattern was apparent in 2015, with the highest number of notifications reported towards the end of winter (August) and early spring. The 2015 season peaked in August, with 27 cases reported, and was similar to the seasonal pattern displayed from 2010 to 2014 with notifications peaking in mid to late winter (Figure 117). Consistent with the previous 5 </w:t>
      </w:r>
      <w:r w:rsidR="00A76FEF" w:rsidRPr="00AE2F1B">
        <w:t>years,</w:t>
      </w:r>
      <w:r w:rsidRPr="00AE2F1B">
        <w:t xml:space="preserve"> the 2015 seasonal trend was more apparent in cases aged 5 years and older compared with those less than 5 years of age.</w:t>
      </w:r>
    </w:p>
    <w:p w14:paraId="439D8C15" w14:textId="77777777" w:rsidR="00871011" w:rsidRDefault="00871011">
      <w:pPr>
        <w:rPr>
          <w:b/>
        </w:rPr>
      </w:pPr>
      <w:r>
        <w:br w:type="page"/>
      </w:r>
    </w:p>
    <w:p w14:paraId="0E13CD50" w14:textId="77777777" w:rsidR="00147A28" w:rsidRDefault="00147A28" w:rsidP="00147A28">
      <w:pPr>
        <w:pStyle w:val="CDIFigures"/>
      </w:pPr>
      <w:r w:rsidRPr="00147A28">
        <w:lastRenderedPageBreak/>
        <w:t>Figure 117: Notifications of invasive meningococcal disease, Australia, 2010 to 2015, by age group and month and year of diagnosis</w:t>
      </w:r>
    </w:p>
    <w:p w14:paraId="28B82BB7" w14:textId="77777777" w:rsidR="00871011" w:rsidRPr="00147A28" w:rsidRDefault="0021477A" w:rsidP="00147A28">
      <w:pPr>
        <w:pStyle w:val="CDIFigures"/>
      </w:pPr>
      <w:r>
        <w:pict w14:anchorId="22DE29F8">
          <v:shape id="_x0000_i1137" type="#_x0000_t75" alt="This figure shows the number of notifications of invasive meningococcal disease in Australia from 2010 to 2015, by serogroup, month and year of diagnosis for those less than five years of age and more than five years of age. This figure demonstrates a clear seasonal pattern most prominent in the 5 years and older age group, with the highest number of notifications reported in late Autumn and early Spring." style="width:522.6pt;height:351.6pt;mso-position-vertical:absolute">
            <v:imagedata r:id="rId136" o:title="8-Other bacterial chapter figures 110 to 119_Page_08"/>
          </v:shape>
        </w:pict>
      </w:r>
    </w:p>
    <w:p w14:paraId="3C71C10E" w14:textId="77777777" w:rsidR="00BE61A2" w:rsidRPr="00AE2F1B" w:rsidRDefault="00BE61A2" w:rsidP="00A76FEF">
      <w:pPr>
        <w:pStyle w:val="Heading4"/>
      </w:pPr>
      <w:r w:rsidRPr="00AE2F1B">
        <w:t>Immunisation</w:t>
      </w:r>
    </w:p>
    <w:p w14:paraId="73080B0D" w14:textId="77777777" w:rsidR="00BE61A2" w:rsidRPr="00AE2F1B" w:rsidRDefault="00BE61A2" w:rsidP="00AE2F1B">
      <w:r w:rsidRPr="00AE2F1B">
        <w:t>From 2003, the meningococcal C vaccine has been available for infants aged 12 months on the NIP. A catch up program provided access to the meningococcal C vaccine for children and adolescents born between 1984 and 2001.</w:t>
      </w:r>
    </w:p>
    <w:p w14:paraId="169CF12E" w14:textId="77777777" w:rsidR="00BE61A2" w:rsidRPr="00AE2F1B" w:rsidRDefault="00BE61A2" w:rsidP="00AE2F1B">
      <w:r w:rsidRPr="00AE2F1B">
        <w:t xml:space="preserve">Both cases of IMD caused by serogroup C organisms reported in 2015 were in children aged 12 months or </w:t>
      </w:r>
      <w:proofErr w:type="gramStart"/>
      <w:r w:rsidRPr="00AE2F1B">
        <w:t>older, and</w:t>
      </w:r>
      <w:proofErr w:type="gramEnd"/>
      <w:r w:rsidRPr="00AE2F1B">
        <w:t xml:space="preserve"> were therefore eligible for immunisation under the NIP. One case was 1 year of age and was reported to be vaccinated, and the second was 12 years of age and reported as not vaccinated.</w:t>
      </w:r>
    </w:p>
    <w:p w14:paraId="1DDD2424" w14:textId="77777777" w:rsidR="00BE61A2" w:rsidRPr="00A76FEF" w:rsidRDefault="00BE61A2" w:rsidP="00A76FEF">
      <w:pPr>
        <w:pStyle w:val="Heading4"/>
      </w:pPr>
      <w:r w:rsidRPr="00A76FEF">
        <w:t>Susceptibility</w:t>
      </w:r>
    </w:p>
    <w:p w14:paraId="47C035EB" w14:textId="77777777" w:rsidR="00BE61A2" w:rsidRPr="00AE2F1B" w:rsidRDefault="00BE61A2" w:rsidP="00AE2F1B">
      <w:r w:rsidRPr="00AE2F1B">
        <w:t xml:space="preserve">The Australian Meningococcal Surveillance Program (AMSP) was established in 1994 for the purpose of monitoring and analysing isolates of </w:t>
      </w:r>
      <w:r w:rsidRPr="00DF12AB">
        <w:rPr>
          <w:rStyle w:val="Emphasis"/>
          <w:b w:val="0"/>
        </w:rPr>
        <w:t>N. meningitidis</w:t>
      </w:r>
      <w:r w:rsidRPr="00AE2F1B">
        <w:t xml:space="preserve"> from cases of IMD in Australia. The program is undertaken by a network of reference laboratories in each state and territory, using standardised methodology to determine the phenotype (serogroup, serotype and </w:t>
      </w:r>
      <w:proofErr w:type="spellStart"/>
      <w:r w:rsidRPr="00AE2F1B">
        <w:t>serosubtype</w:t>
      </w:r>
      <w:proofErr w:type="spellEnd"/>
      <w:r w:rsidRPr="00AE2F1B">
        <w:t xml:space="preserve">) and the susceptibility of </w:t>
      </w:r>
      <w:r w:rsidRPr="00DF12AB">
        <w:rPr>
          <w:rStyle w:val="Emphasis"/>
          <w:b w:val="0"/>
        </w:rPr>
        <w:t>N. meningitidis</w:t>
      </w:r>
      <w:r w:rsidRPr="00AE2F1B">
        <w:t xml:space="preserve"> to a core group of antibiotics. Annual reports of the AMSP are published in CDI.</w:t>
      </w:r>
    </w:p>
    <w:p w14:paraId="33E16518" w14:textId="77777777" w:rsidR="00BE61A2" w:rsidRPr="00AE2F1B" w:rsidRDefault="00BE61A2" w:rsidP="00AE2F1B">
      <w:r w:rsidRPr="00AE2F1B">
        <w:t>Data from AMSP for 2015, show that 10% of isolates tested were fully sensitive and 86% demonstrated decreased susceptibility to the penicillin group of antibiotics.</w:t>
      </w:r>
      <w:r w:rsidRPr="00AE2F1B">
        <w:rPr>
          <w:vertAlign w:val="superscript"/>
        </w:rPr>
        <w:t>195</w:t>
      </w:r>
      <w:r w:rsidRPr="00AE2F1B">
        <w:t xml:space="preserve"> A very small number of isolates tested in 2015 exhibited resistance to penicillin (n=4, 3.4%). All tested IMD isolates were susceptible to ceftriaxone and ciprofloxacin, and 1 isolate was resistant to rifampicin.</w:t>
      </w:r>
    </w:p>
    <w:p w14:paraId="68F012B2" w14:textId="77777777" w:rsidR="00BF5953" w:rsidRDefault="00BF5953">
      <w:pPr>
        <w:rPr>
          <w:rFonts w:asciiTheme="majorHAnsi" w:eastAsiaTheme="majorEastAsia" w:hAnsiTheme="majorHAnsi" w:cstheme="majorBidi"/>
          <w:b/>
        </w:rPr>
      </w:pPr>
      <w:r>
        <w:rPr>
          <w:bCs/>
        </w:rPr>
        <w:br w:type="page"/>
      </w:r>
    </w:p>
    <w:p w14:paraId="5D0A33B8" w14:textId="77777777" w:rsidR="00BE61A2" w:rsidRPr="00AE2F1B" w:rsidRDefault="00BE61A2" w:rsidP="00924A50">
      <w:pPr>
        <w:pStyle w:val="Heading3"/>
      </w:pPr>
      <w:bookmarkStart w:id="252" w:name="_Toc1747406"/>
      <w:r w:rsidRPr="00924A50">
        <w:rPr>
          <w:bCs w:val="0"/>
        </w:rPr>
        <w:lastRenderedPageBreak/>
        <w:t>Discussion</w:t>
      </w:r>
      <w:bookmarkEnd w:id="252"/>
    </w:p>
    <w:p w14:paraId="6B6EF9C0" w14:textId="77777777" w:rsidR="00BE61A2" w:rsidRPr="00AE2F1B" w:rsidRDefault="00BE61A2" w:rsidP="00AE2F1B">
      <w:r w:rsidRPr="00AE2F1B">
        <w:t>The overall incidence of IMD in Australia is low and has decreased since the introduction of the serogroup C vaccine on the NIP in 2003. However, from 2014 there has been a rise of IMD cases nationally.</w:t>
      </w:r>
    </w:p>
    <w:p w14:paraId="1B7027C6" w14:textId="77777777" w:rsidR="00BE61A2" w:rsidRPr="00AE2F1B" w:rsidRDefault="00BE61A2" w:rsidP="00AE2F1B">
      <w:r w:rsidRPr="00AE2F1B">
        <w:t>Since 2013, serogroup W has accounted for an increasing proportion of IMD cases, with 10% of cases in 2014 attributed to this organism, and 19% in 2015. The situation in Australia with regard to this is evolving and continues to be closely monitored. A national working group was formed in 2014 under the auspices of CNDA to further assess the situation and ensure consistent collection of enhanced data. Lessons learned from the international experience will be important in informing the public health response.</w:t>
      </w:r>
      <w:r w:rsidRPr="00AE2F1B">
        <w:rPr>
          <w:vertAlign w:val="superscript"/>
        </w:rPr>
        <w:t>196</w:t>
      </w:r>
      <w:r w:rsidRPr="00AE2F1B">
        <w:t xml:space="preserve"> </w:t>
      </w:r>
    </w:p>
    <w:p w14:paraId="38B2957F" w14:textId="77777777" w:rsidR="00BE61A2" w:rsidRPr="004E056D" w:rsidRDefault="00BE61A2" w:rsidP="004E056D">
      <w:pPr>
        <w:pStyle w:val="Heading2"/>
      </w:pPr>
      <w:bookmarkStart w:id="253" w:name="_Toc1747407"/>
      <w:r w:rsidRPr="004E056D">
        <w:rPr>
          <w:bCs w:val="0"/>
          <w:sz w:val="27"/>
          <w:szCs w:val="27"/>
        </w:rPr>
        <w:t>Tuberculosis</w:t>
      </w:r>
      <w:bookmarkEnd w:id="253"/>
    </w:p>
    <w:p w14:paraId="361DF650" w14:textId="77777777" w:rsidR="00BE61A2" w:rsidRPr="00A76FEF" w:rsidRDefault="00BE61A2" w:rsidP="00A76FEF">
      <w:pPr>
        <w:pStyle w:val="ListParagraph"/>
        <w:numPr>
          <w:ilvl w:val="0"/>
          <w:numId w:val="26"/>
        </w:numPr>
        <w:rPr>
          <w:rFonts w:eastAsia="Times New Roman"/>
        </w:rPr>
      </w:pPr>
      <w:r w:rsidRPr="00A76FEF">
        <w:rPr>
          <w:rFonts w:eastAsia="Times New Roman"/>
        </w:rPr>
        <w:t xml:space="preserve">There were 1,255 cases of TB notified in 2015. </w:t>
      </w:r>
    </w:p>
    <w:p w14:paraId="367F3859" w14:textId="77777777" w:rsidR="00BE61A2" w:rsidRPr="00A76FEF" w:rsidRDefault="00BE61A2" w:rsidP="00A76FEF">
      <w:pPr>
        <w:pStyle w:val="ListParagraph"/>
        <w:numPr>
          <w:ilvl w:val="0"/>
          <w:numId w:val="26"/>
        </w:numPr>
        <w:rPr>
          <w:rFonts w:eastAsia="Times New Roman"/>
        </w:rPr>
      </w:pPr>
      <w:r w:rsidRPr="00A76FEF">
        <w:rPr>
          <w:rFonts w:eastAsia="Times New Roman"/>
        </w:rPr>
        <w:t xml:space="preserve">In 2015, the notification rate of TB has decreased slightly from 5.7 per 100,000 in 2014 to 5.3 per 100,000. </w:t>
      </w:r>
    </w:p>
    <w:p w14:paraId="49A18DA4" w14:textId="77777777" w:rsidR="00BE61A2" w:rsidRPr="00AE2F1B" w:rsidRDefault="00BE61A2" w:rsidP="00AE2F1B">
      <w:r w:rsidRPr="00AE2F1B">
        <w:t xml:space="preserve">Tuberculosis (TB) is an infection caused by organisms of the </w:t>
      </w:r>
      <w:r w:rsidRPr="00DF12AB">
        <w:rPr>
          <w:rStyle w:val="Emphasis"/>
          <w:b w:val="0"/>
        </w:rPr>
        <w:t>Mycobacterium tuberculosis</w:t>
      </w:r>
      <w:r w:rsidRPr="00AE2F1B">
        <w:t xml:space="preserve"> complex and consists of </w:t>
      </w:r>
      <w:r w:rsidRPr="00DF12AB">
        <w:rPr>
          <w:rStyle w:val="Emphasis"/>
          <w:b w:val="0"/>
        </w:rPr>
        <w:t xml:space="preserve">M. </w:t>
      </w:r>
      <w:r w:rsidR="0003642A" w:rsidRPr="00DF12AB">
        <w:rPr>
          <w:rStyle w:val="Emphasis"/>
          <w:b w:val="0"/>
        </w:rPr>
        <w:t>tuberculosis</w:t>
      </w:r>
      <w:r w:rsidR="0003642A" w:rsidRPr="00AE2F1B">
        <w:t>,</w:t>
      </w:r>
      <w:r w:rsidRPr="00AE2F1B">
        <w:t xml:space="preserve"> </w:t>
      </w:r>
      <w:r w:rsidRPr="00DF12AB">
        <w:rPr>
          <w:rStyle w:val="Emphasis"/>
          <w:b w:val="0"/>
        </w:rPr>
        <w:t xml:space="preserve">M. </w:t>
      </w:r>
      <w:proofErr w:type="spellStart"/>
      <w:r w:rsidR="0003642A" w:rsidRPr="00DF12AB">
        <w:rPr>
          <w:rStyle w:val="Emphasis"/>
          <w:b w:val="0"/>
        </w:rPr>
        <w:t>bovis</w:t>
      </w:r>
      <w:proofErr w:type="spellEnd"/>
      <w:r w:rsidR="0003642A" w:rsidRPr="00AE2F1B">
        <w:t>,</w:t>
      </w:r>
      <w:r w:rsidRPr="00AE2F1B">
        <w:t xml:space="preserve"> </w:t>
      </w:r>
      <w:r w:rsidRPr="00DF12AB">
        <w:rPr>
          <w:rStyle w:val="Emphasis"/>
          <w:b w:val="0"/>
        </w:rPr>
        <w:t xml:space="preserve">M. </w:t>
      </w:r>
      <w:r w:rsidR="0003642A" w:rsidRPr="00DF12AB">
        <w:rPr>
          <w:rStyle w:val="Emphasis"/>
          <w:b w:val="0"/>
        </w:rPr>
        <w:t>microti</w:t>
      </w:r>
      <w:r w:rsidR="0003642A" w:rsidRPr="00AE2F1B">
        <w:t>,</w:t>
      </w:r>
      <w:r w:rsidRPr="00AE2F1B">
        <w:t xml:space="preserve"> </w:t>
      </w:r>
      <w:r w:rsidRPr="00DF12AB">
        <w:rPr>
          <w:rStyle w:val="Emphasis"/>
          <w:b w:val="0"/>
        </w:rPr>
        <w:t xml:space="preserve">M. </w:t>
      </w:r>
      <w:proofErr w:type="spellStart"/>
      <w:r w:rsidR="0003642A" w:rsidRPr="00DF12AB">
        <w:rPr>
          <w:rStyle w:val="Emphasis"/>
          <w:b w:val="0"/>
        </w:rPr>
        <w:t>canetti</w:t>
      </w:r>
      <w:proofErr w:type="spellEnd"/>
      <w:r w:rsidR="0003642A" w:rsidRPr="00AE2F1B">
        <w:t>,</w:t>
      </w:r>
      <w:r w:rsidRPr="00AE2F1B">
        <w:t xml:space="preserve"> </w:t>
      </w:r>
      <w:r w:rsidRPr="00DF12AB">
        <w:rPr>
          <w:rStyle w:val="Emphasis"/>
          <w:b w:val="0"/>
        </w:rPr>
        <w:t xml:space="preserve">M. </w:t>
      </w:r>
      <w:proofErr w:type="spellStart"/>
      <w:r w:rsidR="0003642A" w:rsidRPr="00DF12AB">
        <w:rPr>
          <w:rStyle w:val="Emphasis"/>
          <w:b w:val="0"/>
        </w:rPr>
        <w:t>africanum</w:t>
      </w:r>
      <w:proofErr w:type="spellEnd"/>
      <w:r w:rsidR="0003642A" w:rsidRPr="00AE2F1B">
        <w:t xml:space="preserve">. </w:t>
      </w:r>
      <w:r w:rsidRPr="00DF12AB">
        <w:rPr>
          <w:rStyle w:val="Emphasis"/>
          <w:b w:val="0"/>
        </w:rPr>
        <w:t>M. tuberculosis</w:t>
      </w:r>
      <w:r w:rsidRPr="00AE2F1B">
        <w:t xml:space="preserve"> is the cause of almost all TB in Australia. TB is transmitted by airborne droplets produced by people with pulmonary or respiratory tract TB when coughing or sneezing. While most people infected with TB remain asymptomatic, there is a 10% lifetime risk of developing clinical illness, sometimes many years after the original infection. While Australia has one of the lowest rates of tuberculosis in the world, the disease remains a public health issue, particularly in Australia’s overseas-born population and also Aboriginal and Torres Strait Islander people in the central and northern regions of Australia.</w:t>
      </w:r>
      <w:r w:rsidRPr="00AE2F1B">
        <w:rPr>
          <w:vertAlign w:val="superscript"/>
        </w:rPr>
        <w:t>29,197</w:t>
      </w:r>
      <w:r w:rsidRPr="00AE2F1B">
        <w:t xml:space="preserve"> </w:t>
      </w:r>
    </w:p>
    <w:p w14:paraId="55C3A837" w14:textId="77777777" w:rsidR="00BE61A2" w:rsidRPr="00AE2F1B" w:rsidRDefault="00BE61A2" w:rsidP="00924A50">
      <w:pPr>
        <w:pStyle w:val="Heading3"/>
      </w:pPr>
      <w:bookmarkStart w:id="254" w:name="_Toc1747408"/>
      <w:r w:rsidRPr="00924A50">
        <w:rPr>
          <w:bCs w:val="0"/>
        </w:rPr>
        <w:t>Epidemiological situation in 2015</w:t>
      </w:r>
      <w:bookmarkEnd w:id="254"/>
    </w:p>
    <w:p w14:paraId="4E192570" w14:textId="77777777" w:rsidR="00BE61A2" w:rsidRDefault="00BE61A2" w:rsidP="00C969AD">
      <w:pPr>
        <w:tabs>
          <w:tab w:val="left" w:pos="3402"/>
        </w:tabs>
      </w:pPr>
      <w:r w:rsidRPr="00AE2F1B">
        <w:t xml:space="preserve">In 2015, a total of 1,255 cases of TB were notified to the NNDSS representing a rate of 5.3 per 100,000. This is a decrease on the rate of 5.7 per 100,000 (n=1,343) reported in 2014 and less than the preceding 5-year mean (2010 to 2014) of 5.9 per 100,000. Australia has achieved good TB control and has maintained overall low rates of TB since the </w:t>
      </w:r>
      <w:proofErr w:type="spellStart"/>
      <w:r w:rsidRPr="00AE2F1B">
        <w:t>mid 1980s</w:t>
      </w:r>
      <w:proofErr w:type="spellEnd"/>
      <w:r w:rsidRPr="00AE2F1B">
        <w:t xml:space="preserve"> (Figure 118).</w:t>
      </w:r>
    </w:p>
    <w:p w14:paraId="35BE2343" w14:textId="77777777" w:rsidR="00BF5953" w:rsidRDefault="00BF5953">
      <w:pPr>
        <w:rPr>
          <w:b/>
        </w:rPr>
      </w:pPr>
      <w:r>
        <w:br w:type="page"/>
      </w:r>
    </w:p>
    <w:p w14:paraId="5A5B988E" w14:textId="77777777" w:rsidR="00C969AD" w:rsidRDefault="00C969AD" w:rsidP="00C969AD">
      <w:pPr>
        <w:pStyle w:val="CDIFigures"/>
      </w:pPr>
      <w:r w:rsidRPr="00C969AD">
        <w:lastRenderedPageBreak/>
        <w:t>Figure 118: Notification rate for tuberculosis, Australia, 1960 to 2015, by year</w:t>
      </w:r>
    </w:p>
    <w:p w14:paraId="06F869EA" w14:textId="77777777" w:rsidR="00BF5953" w:rsidRPr="00C969AD" w:rsidRDefault="0021477A" w:rsidP="00C969AD">
      <w:pPr>
        <w:pStyle w:val="CDIFigures"/>
      </w:pPr>
      <w:r>
        <w:pict w14:anchorId="3FFCD41A">
          <v:shape id="_x0000_i1138" type="#_x0000_t75" alt="This figure shows the rate of tuberculosis (TB) in Australia from 1960 to 2015. This figure demonstrates a substantial decline in TB rates from the 1960s to the mid-1980s followed by steady rates up to 2015.  In 2010 and 2011, TB rates reached 6.2 per 100,000 which was the highest rate recorded since the 7 per 100,000 recorded in 1985.  In 2015, the rate of TB was 5.3 per 100,000." style="width:522.6pt;height:332.4pt">
            <v:imagedata r:id="rId137" o:title="8-Other bacterial chapter figures 110 to 119_Page_09"/>
          </v:shape>
        </w:pict>
      </w:r>
    </w:p>
    <w:p w14:paraId="0303DFD2" w14:textId="77777777" w:rsidR="00BE61A2" w:rsidRPr="00AE2F1B" w:rsidRDefault="00BE61A2" w:rsidP="00924A50">
      <w:pPr>
        <w:pStyle w:val="Heading3"/>
      </w:pPr>
      <w:bookmarkStart w:id="255" w:name="_Toc1747409"/>
      <w:r w:rsidRPr="00924A50">
        <w:rPr>
          <w:bCs w:val="0"/>
        </w:rPr>
        <w:t>Geographic distribution</w:t>
      </w:r>
      <w:bookmarkEnd w:id="255"/>
    </w:p>
    <w:p w14:paraId="46AE3C67" w14:textId="77777777" w:rsidR="00BE61A2" w:rsidRPr="00AE2F1B" w:rsidRDefault="00BE61A2" w:rsidP="00AE2F1B">
      <w:r w:rsidRPr="00AE2F1B">
        <w:t>New South Wales (n=445), Victoria (n=352), Queensland (n=183) and Western Australia (n=132) accounted for 89% of all cases of TB diagnosed in Australia (Table 4). The Northern Territory (11.0 per 100,000), Victoria (5.9 per 100,000) and New South Wales (5.8 per 100,000) all reported rates higher than the national notification rate (Table 5). In 2015, Queensland, South Australia and Tasmania reported notification rates higher than the previous year. All the other states and territories reported a decrease compared to the previous year.</w:t>
      </w:r>
    </w:p>
    <w:p w14:paraId="25500F58" w14:textId="77777777" w:rsidR="00BE61A2" w:rsidRPr="00AE2F1B" w:rsidRDefault="00BE61A2" w:rsidP="00A76FEF">
      <w:pPr>
        <w:pStyle w:val="Heading4"/>
      </w:pPr>
      <w:r w:rsidRPr="00AE2F1B">
        <w:t>Age and sex distribution</w:t>
      </w:r>
    </w:p>
    <w:p w14:paraId="0B6957DF" w14:textId="77777777" w:rsidR="00BE61A2" w:rsidRDefault="00BE61A2" w:rsidP="00BD546F">
      <w:pPr>
        <w:rPr>
          <w:rFonts w:eastAsia="Times New Roman"/>
        </w:rPr>
      </w:pPr>
      <w:r w:rsidRPr="00DF12AB">
        <w:rPr>
          <w:rFonts w:eastAsia="Times New Roman"/>
        </w:rPr>
        <w:t>Overall, the age groups with the highest notification rates were the 25–29 and 80–84 years age groups (11.5 and 9.3 per 100,000 respectively), followed by the 30–34 years age group (8.9 per 100,000). The highest age and sex specific rates were observed in men aged 80–84 years (14.6 per 100,000) and women aged 25–29 years (13.5 per 100,000) (Figure 119). Males accounted for 53% of the TB notifications in 2015.</w:t>
      </w:r>
    </w:p>
    <w:p w14:paraId="635CC2A0" w14:textId="77777777" w:rsidR="00BF5953" w:rsidRDefault="00BF5953">
      <w:pPr>
        <w:rPr>
          <w:b/>
        </w:rPr>
      </w:pPr>
      <w:r>
        <w:br w:type="page"/>
      </w:r>
    </w:p>
    <w:p w14:paraId="78A3724D" w14:textId="77777777" w:rsidR="00CC01B3" w:rsidRDefault="00CC01B3" w:rsidP="00CC01B3">
      <w:pPr>
        <w:pStyle w:val="CDIFigures"/>
      </w:pPr>
      <w:r>
        <w:lastRenderedPageBreak/>
        <w:t>Figure 119: Notification rate for tuberculosis, Australia, 2015, by age group and sex</w:t>
      </w:r>
    </w:p>
    <w:p w14:paraId="3164EFAE" w14:textId="77777777" w:rsidR="00BF5953" w:rsidRPr="00DF12AB" w:rsidRDefault="0021477A" w:rsidP="00CC01B3">
      <w:pPr>
        <w:pStyle w:val="CDIFigures"/>
        <w:rPr>
          <w:rFonts w:eastAsia="Times New Roman"/>
        </w:rPr>
      </w:pPr>
      <w:r>
        <w:pict w14:anchorId="6161CE72">
          <v:shape id="_x0000_i1139" type="#_x0000_t75" alt="This figure shows the rate of TB in Australia in 2015 by age group and sex.  Males contributed to just over half of all TB notifications.  Overall, the age groups with the highest notification rates were the 25-29 and 80-84 years age groups (11.5 and 9.3 per 100,000 respectively), followed by the 30-34 years age group (8.9 per 100,000)." style="width:522.6pt;height:351.6pt">
            <v:imagedata r:id="rId138" o:title="8-Other bacterial chapter figures 110 to 119_Page_10"/>
          </v:shape>
        </w:pict>
      </w:r>
    </w:p>
    <w:p w14:paraId="084BBBDC" w14:textId="77777777" w:rsidR="00BE61A2" w:rsidRPr="00AE2F1B" w:rsidRDefault="00BE61A2" w:rsidP="00BD546F">
      <w:pPr>
        <w:pStyle w:val="Heading4"/>
        <w:rPr>
          <w:rFonts w:eastAsiaTheme="minorEastAsia"/>
        </w:rPr>
      </w:pPr>
      <w:r w:rsidRPr="00AE2F1B">
        <w:t>Immunisation</w:t>
      </w:r>
    </w:p>
    <w:p w14:paraId="5C728BA3" w14:textId="77777777" w:rsidR="00BE61A2" w:rsidRPr="00AE2F1B" w:rsidRDefault="00BE61A2" w:rsidP="00AE2F1B">
      <w:r w:rsidRPr="00AE2F1B">
        <w:t>The BCG vaccine was first introduced for protection against tuberculosis in the 1920s and, despite variable evidence on the efficacy of the vaccine, it remains the only vaccine in use for TB today.</w:t>
      </w:r>
      <w:r w:rsidRPr="00AE2F1B">
        <w:rPr>
          <w:vertAlign w:val="superscript"/>
        </w:rPr>
        <w:t>198,199</w:t>
      </w:r>
      <w:r w:rsidRPr="00AE2F1B">
        <w:t xml:space="preserve"> </w:t>
      </w:r>
    </w:p>
    <w:p w14:paraId="3163C634" w14:textId="77777777" w:rsidR="00BE61A2" w:rsidRPr="00AE2F1B" w:rsidRDefault="00BE61A2" w:rsidP="00AE2F1B">
      <w:r w:rsidRPr="00AE2F1B">
        <w:t>According to national guidelines developed by Australia’s National Tuberculosis Advisory Committee,</w:t>
      </w:r>
      <w:r w:rsidRPr="00AE2F1B">
        <w:rPr>
          <w:vertAlign w:val="superscript"/>
        </w:rPr>
        <w:t>29,200</w:t>
      </w:r>
      <w:r w:rsidRPr="00AE2F1B">
        <w:t xml:space="preserve"> BCG immunisation is recommended for Aboriginal and Torres Strait Islander neonates in communities with a high incidence of TB; neonates and children under 5 years of age who will be travelling to or living in countries or areas with a high incidence of TB for extended periods; and neonates born to parents with leprosy or a family history of leprosy. Additionally, BCG immunisation may be considered for: children over 5 years of age who will be travelling to or living in countries or areas with a high prevalence of TB for extended periods; and health care workers who may be at high risk of exposure to drug resistant TB.</w:t>
      </w:r>
    </w:p>
    <w:p w14:paraId="5BB7987F" w14:textId="77777777" w:rsidR="00BE61A2" w:rsidRPr="00AE2F1B" w:rsidRDefault="00BE61A2" w:rsidP="00AE2F1B">
      <w:r w:rsidRPr="00AE2F1B">
        <w:t>BCG immunisation is not recommended for general use in the Australian population, given Australia’s low incidence of TB. The vaccine is contraindicated in HIV-infected people.</w:t>
      </w:r>
      <w:r w:rsidRPr="00AE2F1B">
        <w:rPr>
          <w:vertAlign w:val="superscript"/>
        </w:rPr>
        <w:t>200</w:t>
      </w:r>
      <w:r w:rsidRPr="00AE2F1B">
        <w:t xml:space="preserve"> Note that BCG immunisation practices may vary between states and territories due to differences in jurisdiction-specific TB immunisation policies and population demographics.</w:t>
      </w:r>
    </w:p>
    <w:p w14:paraId="2D6237A6" w14:textId="77777777" w:rsidR="00BE61A2" w:rsidRPr="00AE2F1B" w:rsidRDefault="00BE61A2" w:rsidP="00AE2F1B">
      <w:r w:rsidRPr="00AE2F1B">
        <w:t>While public health follow-up is undertaken for all notifications of TB, completeness of the vaccine fields in the NNDSS dataset is poor.</w:t>
      </w:r>
    </w:p>
    <w:p w14:paraId="2BFDAA48" w14:textId="77777777" w:rsidR="00BF5953" w:rsidRDefault="00BF5953">
      <w:pPr>
        <w:rPr>
          <w:rFonts w:asciiTheme="majorHAnsi" w:eastAsiaTheme="majorEastAsia" w:hAnsiTheme="majorHAnsi" w:cstheme="majorBidi"/>
          <w:b/>
          <w:bCs/>
          <w:i/>
          <w:iCs/>
        </w:rPr>
      </w:pPr>
      <w:r>
        <w:br w:type="page"/>
      </w:r>
    </w:p>
    <w:p w14:paraId="3D7A50DE" w14:textId="77777777" w:rsidR="00BE61A2" w:rsidRPr="00A76FEF" w:rsidRDefault="00BE61A2" w:rsidP="00A76FEF">
      <w:pPr>
        <w:pStyle w:val="Heading4"/>
      </w:pPr>
      <w:r w:rsidRPr="00A76FEF">
        <w:lastRenderedPageBreak/>
        <w:t>Enhanced surveillance</w:t>
      </w:r>
    </w:p>
    <w:p w14:paraId="187D1DC8" w14:textId="77777777" w:rsidR="00BE61A2" w:rsidRPr="00AE2F1B" w:rsidRDefault="00BE61A2" w:rsidP="00AE2F1B">
      <w:r w:rsidRPr="00AE2F1B">
        <w:t xml:space="preserve">Enhanced data are collected on all cases of TB. Further analyses, including identification of risk groups and reporting on treatment outcomes, can be found in the TB annual report series also published in the </w:t>
      </w:r>
      <w:r w:rsidRPr="00DF12AB">
        <w:rPr>
          <w:rStyle w:val="Emphasis"/>
          <w:b w:val="0"/>
        </w:rPr>
        <w:t>Communicable Diseases Intelligence</w:t>
      </w:r>
      <w:r w:rsidRPr="00AE2F1B">
        <w:t xml:space="preserve"> journal.</w:t>
      </w:r>
      <w:r w:rsidRPr="00AE2F1B">
        <w:rPr>
          <w:vertAlign w:val="superscript"/>
        </w:rPr>
        <w:t>201</w:t>
      </w:r>
      <w:r w:rsidRPr="00AE2F1B">
        <w:t xml:space="preserve"> </w:t>
      </w:r>
    </w:p>
    <w:p w14:paraId="12EC3FED" w14:textId="77777777" w:rsidR="00BE61A2" w:rsidRDefault="00BE61A2" w:rsidP="00A76FEF">
      <w:pPr>
        <w:pStyle w:val="Heading1"/>
      </w:pPr>
      <w:bookmarkStart w:id="256" w:name="_Toc1747410"/>
      <w:r>
        <w:t>Appendices</w:t>
      </w:r>
      <w:bookmarkEnd w:id="256"/>
    </w:p>
    <w:p w14:paraId="0C5D1867" w14:textId="77777777" w:rsidR="00BE61A2" w:rsidRPr="00095AA3" w:rsidRDefault="00BE61A2" w:rsidP="00A76FEF">
      <w:pPr>
        <w:pStyle w:val="Heading2"/>
      </w:pPr>
      <w:bookmarkStart w:id="257" w:name="_Toc1747411"/>
      <w:r w:rsidRPr="00095AA3">
        <w:rPr>
          <w:rStyle w:val="Heading1Char"/>
          <w:b/>
          <w:bCs/>
          <w:sz w:val="26"/>
          <w:szCs w:val="26"/>
        </w:rPr>
        <w:t>Appendix</w:t>
      </w:r>
      <w:r w:rsidRPr="00095AA3">
        <w:t xml:space="preserve"> 1</w:t>
      </w:r>
      <w:bookmarkEnd w:id="257"/>
    </w:p>
    <w:p w14:paraId="6A7DEED3" w14:textId="77777777" w:rsidR="00BE61A2" w:rsidRPr="00AE2F1B" w:rsidRDefault="00BE61A2" w:rsidP="00A76FEF">
      <w:pPr>
        <w:pStyle w:val="CDIFigures"/>
      </w:pPr>
      <w:r w:rsidRPr="00AE2F1B">
        <w:t>December estimate of Australian population, 2015, by state or territory</w:t>
      </w:r>
    </w:p>
    <w:tbl>
      <w:tblPr>
        <w:tblStyle w:val="CDI-StandardTable"/>
        <w:tblW w:w="0" w:type="auto"/>
        <w:tblCellMar>
          <w:top w:w="142" w:type="dxa"/>
          <w:left w:w="142" w:type="dxa"/>
          <w:bottom w:w="142" w:type="dxa"/>
        </w:tblCellMar>
        <w:tblLook w:val="04A0" w:firstRow="1" w:lastRow="0" w:firstColumn="1" w:lastColumn="0" w:noHBand="0" w:noVBand="1"/>
        <w:tblDescription w:val="December estimate of Australian population, 2015, by state or territory"/>
      </w:tblPr>
      <w:tblGrid>
        <w:gridCol w:w="854"/>
        <w:gridCol w:w="843"/>
        <w:gridCol w:w="979"/>
        <w:gridCol w:w="843"/>
        <w:gridCol w:w="979"/>
        <w:gridCol w:w="979"/>
        <w:gridCol w:w="843"/>
        <w:gridCol w:w="979"/>
        <w:gridCol w:w="979"/>
        <w:gridCol w:w="1070"/>
      </w:tblGrid>
      <w:tr w:rsidR="00C23453" w:rsidRPr="00374CC9" w14:paraId="51AFC015" w14:textId="77777777" w:rsidTr="00C23453">
        <w:trPr>
          <w:cnfStyle w:val="100000000000" w:firstRow="1" w:lastRow="0" w:firstColumn="0" w:lastColumn="0" w:oddVBand="0" w:evenVBand="0" w:oddHBand="0" w:evenHBand="0" w:firstRowFirstColumn="0" w:firstRowLastColumn="0" w:lastRowFirstColumn="0" w:lastRowLastColumn="0"/>
          <w:tblHeader/>
        </w:trPr>
        <w:tc>
          <w:tcPr>
            <w:tcW w:w="854" w:type="dxa"/>
          </w:tcPr>
          <w:p w14:paraId="7C3FF276" w14:textId="77777777" w:rsidR="00C23453" w:rsidRPr="004B770F" w:rsidRDefault="00C23453" w:rsidP="00C23453">
            <w:pPr>
              <w:rPr>
                <w:rFonts w:eastAsia="Times New Roman"/>
                <w:b w:val="0"/>
                <w:color w:val="FFFFFF" w:themeColor="background1"/>
                <w:sz w:val="18"/>
                <w:szCs w:val="18"/>
              </w:rPr>
            </w:pPr>
          </w:p>
        </w:tc>
        <w:tc>
          <w:tcPr>
            <w:tcW w:w="8495" w:type="dxa"/>
            <w:gridSpan w:val="9"/>
          </w:tcPr>
          <w:p w14:paraId="3C458297" w14:textId="77777777" w:rsidR="00C23453" w:rsidRPr="004B770F" w:rsidRDefault="00C23453" w:rsidP="00C23453">
            <w:pPr>
              <w:rPr>
                <w:rFonts w:eastAsia="Times New Roman"/>
                <w:b w:val="0"/>
                <w:color w:val="FFFFFF" w:themeColor="background1"/>
                <w:sz w:val="18"/>
                <w:szCs w:val="18"/>
              </w:rPr>
            </w:pPr>
            <w:r w:rsidRPr="004B770F">
              <w:rPr>
                <w:rFonts w:eastAsia="Times New Roman"/>
                <w:color w:val="FFFFFF" w:themeColor="background1"/>
                <w:sz w:val="18"/>
                <w:szCs w:val="18"/>
              </w:rPr>
              <w:t>State or Territory</w:t>
            </w:r>
          </w:p>
        </w:tc>
      </w:tr>
      <w:tr w:rsidR="00C23453" w:rsidRPr="00374CC9" w14:paraId="0B650F76" w14:textId="77777777" w:rsidTr="000A4FFE">
        <w:tblPrEx>
          <w:tblCellMar>
            <w:right w:w="108" w:type="dxa"/>
          </w:tblCellMar>
        </w:tblPrEx>
        <w:tc>
          <w:tcPr>
            <w:tcW w:w="0" w:type="auto"/>
            <w:hideMark/>
          </w:tcPr>
          <w:p w14:paraId="5E68CEAD" w14:textId="77777777" w:rsidR="00C23453" w:rsidRPr="00374CC9" w:rsidRDefault="00C23453" w:rsidP="00C23453">
            <w:pPr>
              <w:rPr>
                <w:rFonts w:asciiTheme="minorHAnsi" w:eastAsia="Times New Roman" w:hAnsiTheme="minorHAnsi"/>
                <w:sz w:val="18"/>
                <w:szCs w:val="18"/>
              </w:rPr>
            </w:pPr>
          </w:p>
        </w:tc>
        <w:tc>
          <w:tcPr>
            <w:tcW w:w="0" w:type="auto"/>
            <w:hideMark/>
          </w:tcPr>
          <w:p w14:paraId="75CDB602" w14:textId="77777777" w:rsidR="00C23453" w:rsidRPr="00374CC9" w:rsidRDefault="00C23453" w:rsidP="00C23453">
            <w:pPr>
              <w:rPr>
                <w:rFonts w:asciiTheme="minorHAnsi" w:eastAsia="Times New Roman" w:hAnsiTheme="minorHAnsi"/>
                <w:sz w:val="18"/>
                <w:szCs w:val="18"/>
              </w:rPr>
            </w:pPr>
            <w:r w:rsidRPr="00374CC9">
              <w:rPr>
                <w:rFonts w:asciiTheme="minorHAnsi" w:eastAsia="Times New Roman" w:hAnsiTheme="minorHAnsi"/>
                <w:sz w:val="18"/>
                <w:szCs w:val="18"/>
              </w:rPr>
              <w:t>ACT</w:t>
            </w:r>
          </w:p>
        </w:tc>
        <w:tc>
          <w:tcPr>
            <w:tcW w:w="0" w:type="auto"/>
            <w:hideMark/>
          </w:tcPr>
          <w:p w14:paraId="6FCC71E5" w14:textId="77777777" w:rsidR="00C23453" w:rsidRPr="00374CC9" w:rsidRDefault="00C23453" w:rsidP="00C23453">
            <w:pPr>
              <w:rPr>
                <w:rFonts w:asciiTheme="minorHAnsi" w:eastAsia="Times New Roman" w:hAnsiTheme="minorHAnsi"/>
                <w:sz w:val="18"/>
                <w:szCs w:val="18"/>
              </w:rPr>
            </w:pPr>
            <w:r w:rsidRPr="00374CC9">
              <w:rPr>
                <w:rFonts w:asciiTheme="minorHAnsi" w:eastAsia="Times New Roman" w:hAnsiTheme="minorHAnsi"/>
                <w:sz w:val="18"/>
                <w:szCs w:val="18"/>
              </w:rPr>
              <w:t>NSW</w:t>
            </w:r>
          </w:p>
        </w:tc>
        <w:tc>
          <w:tcPr>
            <w:tcW w:w="0" w:type="auto"/>
            <w:hideMark/>
          </w:tcPr>
          <w:p w14:paraId="113A521C" w14:textId="77777777" w:rsidR="00C23453" w:rsidRPr="00374CC9" w:rsidRDefault="00C23453" w:rsidP="00C23453">
            <w:pPr>
              <w:rPr>
                <w:rFonts w:asciiTheme="minorHAnsi" w:eastAsia="Times New Roman" w:hAnsiTheme="minorHAnsi"/>
                <w:sz w:val="18"/>
                <w:szCs w:val="18"/>
              </w:rPr>
            </w:pPr>
            <w:r w:rsidRPr="00374CC9">
              <w:rPr>
                <w:rFonts w:asciiTheme="minorHAnsi" w:eastAsia="Times New Roman" w:hAnsiTheme="minorHAnsi"/>
                <w:sz w:val="18"/>
                <w:szCs w:val="18"/>
              </w:rPr>
              <w:t>NT</w:t>
            </w:r>
          </w:p>
        </w:tc>
        <w:tc>
          <w:tcPr>
            <w:tcW w:w="0" w:type="auto"/>
            <w:hideMark/>
          </w:tcPr>
          <w:p w14:paraId="056CAFA7" w14:textId="77777777" w:rsidR="00C23453" w:rsidRPr="00374CC9" w:rsidRDefault="00C23453" w:rsidP="00C23453">
            <w:pPr>
              <w:rPr>
                <w:rFonts w:asciiTheme="minorHAnsi" w:eastAsia="Times New Roman" w:hAnsiTheme="minorHAnsi"/>
                <w:sz w:val="18"/>
                <w:szCs w:val="18"/>
              </w:rPr>
            </w:pPr>
            <w:r w:rsidRPr="00374CC9">
              <w:rPr>
                <w:rFonts w:asciiTheme="minorHAnsi" w:eastAsia="Times New Roman" w:hAnsiTheme="minorHAnsi"/>
                <w:sz w:val="18"/>
                <w:szCs w:val="18"/>
              </w:rPr>
              <w:t>Qld</w:t>
            </w:r>
          </w:p>
        </w:tc>
        <w:tc>
          <w:tcPr>
            <w:tcW w:w="0" w:type="auto"/>
            <w:hideMark/>
          </w:tcPr>
          <w:p w14:paraId="359B44FA" w14:textId="77777777" w:rsidR="00C23453" w:rsidRPr="00374CC9" w:rsidRDefault="00C23453" w:rsidP="00C23453">
            <w:pPr>
              <w:rPr>
                <w:rFonts w:asciiTheme="minorHAnsi" w:eastAsia="Times New Roman" w:hAnsiTheme="minorHAnsi"/>
                <w:sz w:val="18"/>
                <w:szCs w:val="18"/>
              </w:rPr>
            </w:pPr>
            <w:r w:rsidRPr="00374CC9">
              <w:rPr>
                <w:rFonts w:asciiTheme="minorHAnsi" w:eastAsia="Times New Roman" w:hAnsiTheme="minorHAnsi"/>
                <w:sz w:val="18"/>
                <w:szCs w:val="18"/>
              </w:rPr>
              <w:t>SA</w:t>
            </w:r>
          </w:p>
        </w:tc>
        <w:tc>
          <w:tcPr>
            <w:tcW w:w="0" w:type="auto"/>
            <w:hideMark/>
          </w:tcPr>
          <w:p w14:paraId="20B20436" w14:textId="77777777" w:rsidR="00C23453" w:rsidRPr="00374CC9" w:rsidRDefault="00C23453" w:rsidP="00C23453">
            <w:pPr>
              <w:rPr>
                <w:rFonts w:asciiTheme="minorHAnsi" w:eastAsia="Times New Roman" w:hAnsiTheme="minorHAnsi"/>
                <w:sz w:val="18"/>
                <w:szCs w:val="18"/>
              </w:rPr>
            </w:pPr>
            <w:r w:rsidRPr="00374CC9">
              <w:rPr>
                <w:rFonts w:asciiTheme="minorHAnsi" w:eastAsia="Times New Roman" w:hAnsiTheme="minorHAnsi"/>
                <w:sz w:val="18"/>
                <w:szCs w:val="18"/>
              </w:rPr>
              <w:t>Tas</w:t>
            </w:r>
          </w:p>
        </w:tc>
        <w:tc>
          <w:tcPr>
            <w:tcW w:w="0" w:type="auto"/>
            <w:hideMark/>
          </w:tcPr>
          <w:p w14:paraId="685859D7" w14:textId="77777777" w:rsidR="00C23453" w:rsidRPr="00374CC9" w:rsidRDefault="00C23453" w:rsidP="00C23453">
            <w:pPr>
              <w:rPr>
                <w:rFonts w:asciiTheme="minorHAnsi" w:eastAsia="Times New Roman" w:hAnsiTheme="minorHAnsi"/>
                <w:sz w:val="18"/>
                <w:szCs w:val="18"/>
              </w:rPr>
            </w:pPr>
            <w:r w:rsidRPr="00374CC9">
              <w:rPr>
                <w:rFonts w:asciiTheme="minorHAnsi" w:eastAsia="Times New Roman" w:hAnsiTheme="minorHAnsi"/>
                <w:sz w:val="18"/>
                <w:szCs w:val="18"/>
              </w:rPr>
              <w:t>Vic</w:t>
            </w:r>
          </w:p>
        </w:tc>
        <w:tc>
          <w:tcPr>
            <w:tcW w:w="0" w:type="auto"/>
            <w:hideMark/>
          </w:tcPr>
          <w:p w14:paraId="207B7F39" w14:textId="77777777" w:rsidR="00C23453" w:rsidRPr="00374CC9" w:rsidRDefault="00C23453" w:rsidP="00C23453">
            <w:pPr>
              <w:rPr>
                <w:rFonts w:asciiTheme="minorHAnsi" w:eastAsia="Times New Roman" w:hAnsiTheme="minorHAnsi"/>
                <w:sz w:val="18"/>
                <w:szCs w:val="18"/>
              </w:rPr>
            </w:pPr>
            <w:r w:rsidRPr="00374CC9">
              <w:rPr>
                <w:rFonts w:asciiTheme="minorHAnsi" w:eastAsia="Times New Roman" w:hAnsiTheme="minorHAnsi"/>
                <w:sz w:val="18"/>
                <w:szCs w:val="18"/>
              </w:rPr>
              <w:t>WA</w:t>
            </w:r>
          </w:p>
        </w:tc>
        <w:tc>
          <w:tcPr>
            <w:tcW w:w="0" w:type="auto"/>
            <w:hideMark/>
          </w:tcPr>
          <w:p w14:paraId="3CCC79AF" w14:textId="77777777" w:rsidR="00C23453" w:rsidRPr="00374CC9" w:rsidRDefault="00C23453" w:rsidP="00C23453">
            <w:pPr>
              <w:rPr>
                <w:rFonts w:asciiTheme="minorHAnsi" w:eastAsia="Times New Roman" w:hAnsiTheme="minorHAnsi"/>
                <w:sz w:val="18"/>
                <w:szCs w:val="18"/>
              </w:rPr>
            </w:pPr>
            <w:r w:rsidRPr="00374CC9">
              <w:rPr>
                <w:rFonts w:asciiTheme="minorHAnsi" w:eastAsia="Times New Roman" w:hAnsiTheme="minorHAnsi"/>
                <w:sz w:val="18"/>
                <w:szCs w:val="18"/>
              </w:rPr>
              <w:t>Aus</w:t>
            </w:r>
          </w:p>
        </w:tc>
      </w:tr>
      <w:tr w:rsidR="00C23453" w:rsidRPr="00374CC9" w14:paraId="033DA480"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F0ED006" w14:textId="77777777" w:rsidR="00C23453" w:rsidRPr="00374CC9" w:rsidRDefault="00C23453" w:rsidP="00C23453">
            <w:pPr>
              <w:rPr>
                <w:rFonts w:asciiTheme="minorHAnsi" w:eastAsia="Times New Roman" w:hAnsiTheme="minorHAnsi"/>
                <w:sz w:val="18"/>
                <w:szCs w:val="18"/>
              </w:rPr>
            </w:pPr>
            <w:r w:rsidRPr="00374CC9">
              <w:rPr>
                <w:rFonts w:asciiTheme="minorHAnsi" w:eastAsia="Times New Roman" w:hAnsiTheme="minorHAnsi"/>
                <w:sz w:val="18"/>
                <w:szCs w:val="18"/>
              </w:rPr>
              <w:t>Males</w:t>
            </w:r>
          </w:p>
        </w:tc>
        <w:tc>
          <w:tcPr>
            <w:tcW w:w="0" w:type="auto"/>
            <w:hideMark/>
          </w:tcPr>
          <w:p w14:paraId="364F4BD3" w14:textId="77777777" w:rsidR="00C23453" w:rsidRPr="00374CC9" w:rsidRDefault="00C23453" w:rsidP="00C23453">
            <w:pPr>
              <w:rPr>
                <w:rFonts w:asciiTheme="minorHAnsi" w:eastAsia="Times New Roman" w:hAnsiTheme="minorHAnsi"/>
                <w:sz w:val="18"/>
                <w:szCs w:val="18"/>
              </w:rPr>
            </w:pPr>
            <w:r w:rsidRPr="00374CC9">
              <w:rPr>
                <w:rFonts w:asciiTheme="minorHAnsi" w:eastAsia="Times New Roman" w:hAnsiTheme="minorHAnsi"/>
                <w:sz w:val="18"/>
                <w:szCs w:val="18"/>
              </w:rPr>
              <w:t>194,077</w:t>
            </w:r>
          </w:p>
        </w:tc>
        <w:tc>
          <w:tcPr>
            <w:tcW w:w="0" w:type="auto"/>
            <w:hideMark/>
          </w:tcPr>
          <w:p w14:paraId="1B1CA8BC" w14:textId="77777777" w:rsidR="00C23453" w:rsidRPr="00374CC9" w:rsidRDefault="00C23453" w:rsidP="00C23453">
            <w:pPr>
              <w:rPr>
                <w:rFonts w:asciiTheme="minorHAnsi" w:eastAsia="Times New Roman" w:hAnsiTheme="minorHAnsi"/>
                <w:sz w:val="18"/>
                <w:szCs w:val="18"/>
              </w:rPr>
            </w:pPr>
            <w:r w:rsidRPr="00374CC9">
              <w:rPr>
                <w:rFonts w:asciiTheme="minorHAnsi" w:eastAsia="Times New Roman" w:hAnsiTheme="minorHAnsi"/>
                <w:sz w:val="18"/>
                <w:szCs w:val="18"/>
              </w:rPr>
              <w:t>3,779,400</w:t>
            </w:r>
          </w:p>
        </w:tc>
        <w:tc>
          <w:tcPr>
            <w:tcW w:w="0" w:type="auto"/>
            <w:hideMark/>
          </w:tcPr>
          <w:p w14:paraId="3581E7EC" w14:textId="77777777" w:rsidR="00C23453" w:rsidRPr="00374CC9" w:rsidRDefault="00C23453" w:rsidP="00C23453">
            <w:pPr>
              <w:rPr>
                <w:rFonts w:asciiTheme="minorHAnsi" w:eastAsia="Times New Roman" w:hAnsiTheme="minorHAnsi"/>
                <w:sz w:val="18"/>
                <w:szCs w:val="18"/>
              </w:rPr>
            </w:pPr>
            <w:r w:rsidRPr="00374CC9">
              <w:rPr>
                <w:rFonts w:asciiTheme="minorHAnsi" w:eastAsia="Times New Roman" w:hAnsiTheme="minorHAnsi"/>
                <w:sz w:val="18"/>
                <w:szCs w:val="18"/>
              </w:rPr>
              <w:t>129,322</w:t>
            </w:r>
          </w:p>
        </w:tc>
        <w:tc>
          <w:tcPr>
            <w:tcW w:w="0" w:type="auto"/>
            <w:hideMark/>
          </w:tcPr>
          <w:p w14:paraId="53AB2858" w14:textId="77777777" w:rsidR="00C23453" w:rsidRPr="00374CC9" w:rsidRDefault="00C23453" w:rsidP="00C23453">
            <w:pPr>
              <w:rPr>
                <w:rFonts w:asciiTheme="minorHAnsi" w:eastAsia="Times New Roman" w:hAnsiTheme="minorHAnsi"/>
                <w:sz w:val="18"/>
                <w:szCs w:val="18"/>
              </w:rPr>
            </w:pPr>
            <w:r w:rsidRPr="00374CC9">
              <w:rPr>
                <w:rFonts w:asciiTheme="minorHAnsi" w:eastAsia="Times New Roman" w:hAnsiTheme="minorHAnsi"/>
                <w:sz w:val="18"/>
                <w:szCs w:val="18"/>
              </w:rPr>
              <w:t>2,379,360</w:t>
            </w:r>
          </w:p>
        </w:tc>
        <w:tc>
          <w:tcPr>
            <w:tcW w:w="0" w:type="auto"/>
            <w:hideMark/>
          </w:tcPr>
          <w:p w14:paraId="6837891D" w14:textId="77777777" w:rsidR="00C23453" w:rsidRPr="00374CC9" w:rsidRDefault="00C23453" w:rsidP="00C23453">
            <w:pPr>
              <w:rPr>
                <w:rFonts w:asciiTheme="minorHAnsi" w:eastAsia="Times New Roman" w:hAnsiTheme="minorHAnsi"/>
                <w:sz w:val="18"/>
                <w:szCs w:val="18"/>
              </w:rPr>
            </w:pPr>
            <w:r w:rsidRPr="00374CC9">
              <w:rPr>
                <w:rFonts w:asciiTheme="minorHAnsi" w:eastAsia="Times New Roman" w:hAnsiTheme="minorHAnsi"/>
                <w:sz w:val="18"/>
                <w:szCs w:val="18"/>
              </w:rPr>
              <w:t>841,627</w:t>
            </w:r>
          </w:p>
        </w:tc>
        <w:tc>
          <w:tcPr>
            <w:tcW w:w="0" w:type="auto"/>
            <w:hideMark/>
          </w:tcPr>
          <w:p w14:paraId="359412E0" w14:textId="77777777" w:rsidR="00C23453" w:rsidRPr="00374CC9" w:rsidRDefault="00C23453" w:rsidP="00C23453">
            <w:pPr>
              <w:rPr>
                <w:rFonts w:asciiTheme="minorHAnsi" w:eastAsia="Times New Roman" w:hAnsiTheme="minorHAnsi"/>
                <w:sz w:val="18"/>
                <w:szCs w:val="18"/>
              </w:rPr>
            </w:pPr>
            <w:r w:rsidRPr="00374CC9">
              <w:rPr>
                <w:rFonts w:asciiTheme="minorHAnsi" w:eastAsia="Times New Roman" w:hAnsiTheme="minorHAnsi"/>
                <w:sz w:val="18"/>
                <w:szCs w:val="18"/>
              </w:rPr>
              <w:t>257,371</w:t>
            </w:r>
          </w:p>
        </w:tc>
        <w:tc>
          <w:tcPr>
            <w:tcW w:w="0" w:type="auto"/>
            <w:hideMark/>
          </w:tcPr>
          <w:p w14:paraId="0CA4E016" w14:textId="77777777" w:rsidR="00C23453" w:rsidRPr="00374CC9" w:rsidRDefault="00C23453" w:rsidP="00C23453">
            <w:pPr>
              <w:rPr>
                <w:rFonts w:asciiTheme="minorHAnsi" w:eastAsia="Times New Roman" w:hAnsiTheme="minorHAnsi"/>
                <w:sz w:val="18"/>
                <w:szCs w:val="18"/>
              </w:rPr>
            </w:pPr>
            <w:r w:rsidRPr="00374CC9">
              <w:rPr>
                <w:rFonts w:asciiTheme="minorHAnsi" w:eastAsia="Times New Roman" w:hAnsiTheme="minorHAnsi"/>
                <w:sz w:val="18"/>
                <w:szCs w:val="18"/>
              </w:rPr>
              <w:t>2,936,956</w:t>
            </w:r>
          </w:p>
        </w:tc>
        <w:tc>
          <w:tcPr>
            <w:tcW w:w="0" w:type="auto"/>
            <w:hideMark/>
          </w:tcPr>
          <w:p w14:paraId="2C357520" w14:textId="77777777" w:rsidR="00C23453" w:rsidRPr="00374CC9" w:rsidRDefault="00C23453" w:rsidP="00C23453">
            <w:pPr>
              <w:rPr>
                <w:rFonts w:asciiTheme="minorHAnsi" w:eastAsia="Times New Roman" w:hAnsiTheme="minorHAnsi"/>
                <w:sz w:val="18"/>
                <w:szCs w:val="18"/>
              </w:rPr>
            </w:pPr>
            <w:r w:rsidRPr="00374CC9">
              <w:rPr>
                <w:rFonts w:asciiTheme="minorHAnsi" w:eastAsia="Times New Roman" w:hAnsiTheme="minorHAnsi"/>
                <w:sz w:val="18"/>
                <w:szCs w:val="18"/>
              </w:rPr>
              <w:t>1,308,102</w:t>
            </w:r>
          </w:p>
        </w:tc>
        <w:tc>
          <w:tcPr>
            <w:tcW w:w="0" w:type="auto"/>
            <w:hideMark/>
          </w:tcPr>
          <w:p w14:paraId="19DB0AE5" w14:textId="77777777" w:rsidR="00C23453" w:rsidRPr="00374CC9" w:rsidRDefault="00C23453" w:rsidP="00C23453">
            <w:pPr>
              <w:rPr>
                <w:rFonts w:asciiTheme="minorHAnsi" w:eastAsia="Times New Roman" w:hAnsiTheme="minorHAnsi"/>
                <w:sz w:val="18"/>
                <w:szCs w:val="18"/>
              </w:rPr>
            </w:pPr>
            <w:r w:rsidRPr="00374CC9">
              <w:rPr>
                <w:rFonts w:asciiTheme="minorHAnsi" w:eastAsia="Times New Roman" w:hAnsiTheme="minorHAnsi"/>
                <w:sz w:val="18"/>
                <w:szCs w:val="18"/>
              </w:rPr>
              <w:t>11,828,330</w:t>
            </w:r>
          </w:p>
        </w:tc>
      </w:tr>
      <w:tr w:rsidR="00C23453" w:rsidRPr="00374CC9" w14:paraId="033AFE8B" w14:textId="77777777" w:rsidTr="000A4FFE">
        <w:tblPrEx>
          <w:tblCellMar>
            <w:right w:w="108" w:type="dxa"/>
          </w:tblCellMar>
        </w:tblPrEx>
        <w:tc>
          <w:tcPr>
            <w:tcW w:w="0" w:type="auto"/>
            <w:hideMark/>
          </w:tcPr>
          <w:p w14:paraId="6EDC638A" w14:textId="77777777" w:rsidR="00C23453" w:rsidRPr="00374CC9" w:rsidRDefault="00C23453" w:rsidP="00C23453">
            <w:pPr>
              <w:rPr>
                <w:rFonts w:asciiTheme="minorHAnsi" w:eastAsia="Times New Roman" w:hAnsiTheme="minorHAnsi"/>
                <w:sz w:val="18"/>
                <w:szCs w:val="18"/>
              </w:rPr>
            </w:pPr>
            <w:r w:rsidRPr="00374CC9">
              <w:rPr>
                <w:rFonts w:asciiTheme="minorHAnsi" w:eastAsia="Times New Roman" w:hAnsiTheme="minorHAnsi"/>
                <w:sz w:val="18"/>
                <w:szCs w:val="18"/>
              </w:rPr>
              <w:t>Females</w:t>
            </w:r>
          </w:p>
        </w:tc>
        <w:tc>
          <w:tcPr>
            <w:tcW w:w="0" w:type="auto"/>
            <w:hideMark/>
          </w:tcPr>
          <w:p w14:paraId="17E3A950" w14:textId="77777777" w:rsidR="00C23453" w:rsidRPr="00374CC9" w:rsidRDefault="00C23453" w:rsidP="00C23453">
            <w:pPr>
              <w:rPr>
                <w:rFonts w:asciiTheme="minorHAnsi" w:eastAsia="Times New Roman" w:hAnsiTheme="minorHAnsi"/>
                <w:sz w:val="18"/>
                <w:szCs w:val="18"/>
              </w:rPr>
            </w:pPr>
            <w:r w:rsidRPr="00374CC9">
              <w:rPr>
                <w:rFonts w:asciiTheme="minorHAnsi" w:eastAsia="Times New Roman" w:hAnsiTheme="minorHAnsi"/>
                <w:sz w:val="18"/>
                <w:szCs w:val="18"/>
              </w:rPr>
              <w:t>196,953</w:t>
            </w:r>
          </w:p>
        </w:tc>
        <w:tc>
          <w:tcPr>
            <w:tcW w:w="0" w:type="auto"/>
            <w:hideMark/>
          </w:tcPr>
          <w:p w14:paraId="13E31624" w14:textId="77777777" w:rsidR="00C23453" w:rsidRPr="00374CC9" w:rsidRDefault="00C23453" w:rsidP="00C23453">
            <w:pPr>
              <w:rPr>
                <w:rFonts w:asciiTheme="minorHAnsi" w:eastAsia="Times New Roman" w:hAnsiTheme="minorHAnsi"/>
                <w:sz w:val="18"/>
                <w:szCs w:val="18"/>
              </w:rPr>
            </w:pPr>
            <w:r w:rsidRPr="00374CC9">
              <w:rPr>
                <w:rFonts w:asciiTheme="minorHAnsi" w:eastAsia="Times New Roman" w:hAnsiTheme="minorHAnsi"/>
                <w:sz w:val="18"/>
                <w:szCs w:val="18"/>
              </w:rPr>
              <w:t>3,840,042</w:t>
            </w:r>
          </w:p>
        </w:tc>
        <w:tc>
          <w:tcPr>
            <w:tcW w:w="0" w:type="auto"/>
            <w:hideMark/>
          </w:tcPr>
          <w:p w14:paraId="09D51FC6" w14:textId="77777777" w:rsidR="00C23453" w:rsidRPr="00374CC9" w:rsidRDefault="00C23453" w:rsidP="00C23453">
            <w:pPr>
              <w:rPr>
                <w:rFonts w:asciiTheme="minorHAnsi" w:eastAsia="Times New Roman" w:hAnsiTheme="minorHAnsi"/>
                <w:sz w:val="18"/>
                <w:szCs w:val="18"/>
              </w:rPr>
            </w:pPr>
            <w:r w:rsidRPr="00374CC9">
              <w:rPr>
                <w:rFonts w:asciiTheme="minorHAnsi" w:eastAsia="Times New Roman" w:hAnsiTheme="minorHAnsi"/>
                <w:sz w:val="18"/>
                <w:szCs w:val="18"/>
              </w:rPr>
              <w:t>115,180</w:t>
            </w:r>
          </w:p>
        </w:tc>
        <w:tc>
          <w:tcPr>
            <w:tcW w:w="0" w:type="auto"/>
            <w:hideMark/>
          </w:tcPr>
          <w:p w14:paraId="5030A75A" w14:textId="77777777" w:rsidR="00C23453" w:rsidRPr="00374CC9" w:rsidRDefault="00C23453" w:rsidP="00C23453">
            <w:pPr>
              <w:rPr>
                <w:rFonts w:asciiTheme="minorHAnsi" w:eastAsia="Times New Roman" w:hAnsiTheme="minorHAnsi"/>
                <w:sz w:val="18"/>
                <w:szCs w:val="18"/>
              </w:rPr>
            </w:pPr>
            <w:r w:rsidRPr="00374CC9">
              <w:rPr>
                <w:rFonts w:asciiTheme="minorHAnsi" w:eastAsia="Times New Roman" w:hAnsiTheme="minorHAnsi"/>
                <w:sz w:val="18"/>
                <w:szCs w:val="18"/>
              </w:rPr>
              <w:t>2,401,339</w:t>
            </w:r>
          </w:p>
        </w:tc>
        <w:tc>
          <w:tcPr>
            <w:tcW w:w="0" w:type="auto"/>
            <w:hideMark/>
          </w:tcPr>
          <w:p w14:paraId="7590F8EA" w14:textId="77777777" w:rsidR="00C23453" w:rsidRPr="00374CC9" w:rsidRDefault="00C23453" w:rsidP="00C23453">
            <w:pPr>
              <w:rPr>
                <w:rFonts w:asciiTheme="minorHAnsi" w:eastAsia="Times New Roman" w:hAnsiTheme="minorHAnsi"/>
                <w:sz w:val="18"/>
                <w:szCs w:val="18"/>
              </w:rPr>
            </w:pPr>
            <w:r w:rsidRPr="00374CC9">
              <w:rPr>
                <w:rFonts w:asciiTheme="minorHAnsi" w:eastAsia="Times New Roman" w:hAnsiTheme="minorHAnsi"/>
                <w:sz w:val="18"/>
                <w:szCs w:val="18"/>
              </w:rPr>
              <w:t>857,393</w:t>
            </w:r>
          </w:p>
        </w:tc>
        <w:tc>
          <w:tcPr>
            <w:tcW w:w="0" w:type="auto"/>
            <w:hideMark/>
          </w:tcPr>
          <w:p w14:paraId="55AA2550" w14:textId="77777777" w:rsidR="00C23453" w:rsidRPr="00374CC9" w:rsidRDefault="00C23453" w:rsidP="00C23453">
            <w:pPr>
              <w:rPr>
                <w:rFonts w:asciiTheme="minorHAnsi" w:eastAsia="Times New Roman" w:hAnsiTheme="minorHAnsi"/>
                <w:sz w:val="18"/>
                <w:szCs w:val="18"/>
              </w:rPr>
            </w:pPr>
            <w:r w:rsidRPr="00374CC9">
              <w:rPr>
                <w:rFonts w:asciiTheme="minorHAnsi" w:eastAsia="Times New Roman" w:hAnsiTheme="minorHAnsi"/>
                <w:sz w:val="18"/>
                <w:szCs w:val="18"/>
              </w:rPr>
              <w:t>259,316</w:t>
            </w:r>
          </w:p>
        </w:tc>
        <w:tc>
          <w:tcPr>
            <w:tcW w:w="0" w:type="auto"/>
            <w:hideMark/>
          </w:tcPr>
          <w:p w14:paraId="7B665516" w14:textId="77777777" w:rsidR="00C23453" w:rsidRPr="00374CC9" w:rsidRDefault="00C23453" w:rsidP="00C23453">
            <w:pPr>
              <w:rPr>
                <w:rFonts w:asciiTheme="minorHAnsi" w:eastAsia="Times New Roman" w:hAnsiTheme="minorHAnsi"/>
                <w:sz w:val="18"/>
                <w:szCs w:val="18"/>
              </w:rPr>
            </w:pPr>
            <w:r w:rsidRPr="00374CC9">
              <w:rPr>
                <w:rFonts w:asciiTheme="minorHAnsi" w:eastAsia="Times New Roman" w:hAnsiTheme="minorHAnsi"/>
                <w:sz w:val="18"/>
                <w:szCs w:val="18"/>
              </w:rPr>
              <w:t>3,003,986</w:t>
            </w:r>
          </w:p>
        </w:tc>
        <w:tc>
          <w:tcPr>
            <w:tcW w:w="0" w:type="auto"/>
            <w:hideMark/>
          </w:tcPr>
          <w:p w14:paraId="1FDB23D5" w14:textId="77777777" w:rsidR="00C23453" w:rsidRPr="00374CC9" w:rsidRDefault="00C23453" w:rsidP="00C23453">
            <w:pPr>
              <w:rPr>
                <w:rFonts w:asciiTheme="minorHAnsi" w:eastAsia="Times New Roman" w:hAnsiTheme="minorHAnsi"/>
                <w:sz w:val="18"/>
                <w:szCs w:val="18"/>
              </w:rPr>
            </w:pPr>
            <w:r w:rsidRPr="00374CC9">
              <w:rPr>
                <w:rFonts w:asciiTheme="minorHAnsi" w:eastAsia="Times New Roman" w:hAnsiTheme="minorHAnsi"/>
                <w:sz w:val="18"/>
                <w:szCs w:val="18"/>
              </w:rPr>
              <w:t>1,282,459</w:t>
            </w:r>
          </w:p>
        </w:tc>
        <w:tc>
          <w:tcPr>
            <w:tcW w:w="0" w:type="auto"/>
            <w:hideMark/>
          </w:tcPr>
          <w:p w14:paraId="34FA5927" w14:textId="77777777" w:rsidR="00C23453" w:rsidRPr="00374CC9" w:rsidRDefault="00C23453" w:rsidP="00C23453">
            <w:pPr>
              <w:rPr>
                <w:rFonts w:asciiTheme="minorHAnsi" w:eastAsia="Times New Roman" w:hAnsiTheme="minorHAnsi"/>
                <w:sz w:val="18"/>
                <w:szCs w:val="18"/>
              </w:rPr>
            </w:pPr>
            <w:r w:rsidRPr="00374CC9">
              <w:rPr>
                <w:rFonts w:asciiTheme="minorHAnsi" w:eastAsia="Times New Roman" w:hAnsiTheme="minorHAnsi"/>
                <w:sz w:val="18"/>
                <w:szCs w:val="18"/>
              </w:rPr>
              <w:t>11,957,793</w:t>
            </w:r>
          </w:p>
        </w:tc>
      </w:tr>
      <w:tr w:rsidR="00C23453" w:rsidRPr="00374CC9" w14:paraId="3CB99738" w14:textId="77777777" w:rsidTr="00C23453">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0943D804" w14:textId="77777777" w:rsidR="00C23453" w:rsidRPr="00374CC9" w:rsidRDefault="00C23453" w:rsidP="00C23453">
            <w:pPr>
              <w:rPr>
                <w:rFonts w:asciiTheme="minorHAnsi" w:eastAsia="Times New Roman" w:hAnsiTheme="minorHAnsi"/>
                <w:sz w:val="18"/>
                <w:szCs w:val="18"/>
              </w:rPr>
            </w:pPr>
            <w:r w:rsidRPr="00374CC9">
              <w:rPr>
                <w:rFonts w:asciiTheme="minorHAnsi" w:eastAsia="Times New Roman" w:hAnsiTheme="minorHAnsi"/>
                <w:sz w:val="18"/>
                <w:szCs w:val="18"/>
              </w:rPr>
              <w:t>Total</w:t>
            </w:r>
          </w:p>
        </w:tc>
        <w:tc>
          <w:tcPr>
            <w:tcW w:w="0" w:type="auto"/>
            <w:shd w:val="clear" w:color="auto" w:fill="FDE9D9" w:themeFill="accent6" w:themeFillTint="33"/>
            <w:hideMark/>
          </w:tcPr>
          <w:p w14:paraId="0AC2C9CE" w14:textId="77777777" w:rsidR="00C23453" w:rsidRPr="00374CC9" w:rsidRDefault="00C23453" w:rsidP="00C23453">
            <w:pPr>
              <w:rPr>
                <w:rFonts w:asciiTheme="minorHAnsi" w:eastAsia="Times New Roman" w:hAnsiTheme="minorHAnsi"/>
                <w:sz w:val="18"/>
                <w:szCs w:val="18"/>
              </w:rPr>
            </w:pPr>
            <w:r w:rsidRPr="00374CC9">
              <w:rPr>
                <w:rFonts w:asciiTheme="minorHAnsi" w:eastAsia="Times New Roman" w:hAnsiTheme="minorHAnsi"/>
                <w:sz w:val="18"/>
                <w:szCs w:val="18"/>
              </w:rPr>
              <w:t>391,030</w:t>
            </w:r>
          </w:p>
        </w:tc>
        <w:tc>
          <w:tcPr>
            <w:tcW w:w="0" w:type="auto"/>
            <w:shd w:val="clear" w:color="auto" w:fill="FDE9D9" w:themeFill="accent6" w:themeFillTint="33"/>
            <w:hideMark/>
          </w:tcPr>
          <w:p w14:paraId="6DC49EB8" w14:textId="77777777" w:rsidR="00C23453" w:rsidRPr="00374CC9" w:rsidRDefault="00C23453" w:rsidP="00C23453">
            <w:pPr>
              <w:rPr>
                <w:rFonts w:asciiTheme="minorHAnsi" w:eastAsia="Times New Roman" w:hAnsiTheme="minorHAnsi"/>
                <w:sz w:val="18"/>
                <w:szCs w:val="18"/>
              </w:rPr>
            </w:pPr>
            <w:r w:rsidRPr="00374CC9">
              <w:rPr>
                <w:rFonts w:asciiTheme="minorHAnsi" w:eastAsia="Times New Roman" w:hAnsiTheme="minorHAnsi"/>
                <w:sz w:val="18"/>
                <w:szCs w:val="18"/>
              </w:rPr>
              <w:t>7,619,442</w:t>
            </w:r>
          </w:p>
        </w:tc>
        <w:tc>
          <w:tcPr>
            <w:tcW w:w="0" w:type="auto"/>
            <w:shd w:val="clear" w:color="auto" w:fill="FDE9D9" w:themeFill="accent6" w:themeFillTint="33"/>
            <w:hideMark/>
          </w:tcPr>
          <w:p w14:paraId="2B09E0F3" w14:textId="77777777" w:rsidR="00C23453" w:rsidRPr="00374CC9" w:rsidRDefault="00C23453" w:rsidP="00C23453">
            <w:pPr>
              <w:rPr>
                <w:rFonts w:asciiTheme="minorHAnsi" w:eastAsia="Times New Roman" w:hAnsiTheme="minorHAnsi"/>
                <w:sz w:val="18"/>
                <w:szCs w:val="18"/>
              </w:rPr>
            </w:pPr>
            <w:r w:rsidRPr="00374CC9">
              <w:rPr>
                <w:rFonts w:asciiTheme="minorHAnsi" w:eastAsia="Times New Roman" w:hAnsiTheme="minorHAnsi"/>
                <w:sz w:val="18"/>
                <w:szCs w:val="18"/>
              </w:rPr>
              <w:t>244,502</w:t>
            </w:r>
          </w:p>
        </w:tc>
        <w:tc>
          <w:tcPr>
            <w:tcW w:w="0" w:type="auto"/>
            <w:shd w:val="clear" w:color="auto" w:fill="FDE9D9" w:themeFill="accent6" w:themeFillTint="33"/>
            <w:hideMark/>
          </w:tcPr>
          <w:p w14:paraId="350790A3" w14:textId="77777777" w:rsidR="00C23453" w:rsidRPr="00374CC9" w:rsidRDefault="00C23453" w:rsidP="00C23453">
            <w:pPr>
              <w:rPr>
                <w:rFonts w:asciiTheme="minorHAnsi" w:eastAsia="Times New Roman" w:hAnsiTheme="minorHAnsi"/>
                <w:sz w:val="18"/>
                <w:szCs w:val="18"/>
              </w:rPr>
            </w:pPr>
            <w:r w:rsidRPr="00374CC9">
              <w:rPr>
                <w:rFonts w:asciiTheme="minorHAnsi" w:eastAsia="Times New Roman" w:hAnsiTheme="minorHAnsi"/>
                <w:sz w:val="18"/>
                <w:szCs w:val="18"/>
              </w:rPr>
              <w:t>4,780,699</w:t>
            </w:r>
          </w:p>
        </w:tc>
        <w:tc>
          <w:tcPr>
            <w:tcW w:w="0" w:type="auto"/>
            <w:shd w:val="clear" w:color="auto" w:fill="FDE9D9" w:themeFill="accent6" w:themeFillTint="33"/>
            <w:hideMark/>
          </w:tcPr>
          <w:p w14:paraId="7E448631" w14:textId="77777777" w:rsidR="00C23453" w:rsidRPr="00374CC9" w:rsidRDefault="00C23453" w:rsidP="00C23453">
            <w:pPr>
              <w:rPr>
                <w:rFonts w:asciiTheme="minorHAnsi" w:eastAsia="Times New Roman" w:hAnsiTheme="minorHAnsi"/>
                <w:sz w:val="18"/>
                <w:szCs w:val="18"/>
              </w:rPr>
            </w:pPr>
            <w:r w:rsidRPr="00374CC9">
              <w:rPr>
                <w:rFonts w:asciiTheme="minorHAnsi" w:eastAsia="Times New Roman" w:hAnsiTheme="minorHAnsi"/>
                <w:sz w:val="18"/>
                <w:szCs w:val="18"/>
              </w:rPr>
              <w:t>1,699,020</w:t>
            </w:r>
          </w:p>
        </w:tc>
        <w:tc>
          <w:tcPr>
            <w:tcW w:w="0" w:type="auto"/>
            <w:shd w:val="clear" w:color="auto" w:fill="FDE9D9" w:themeFill="accent6" w:themeFillTint="33"/>
            <w:hideMark/>
          </w:tcPr>
          <w:p w14:paraId="25DD02DC" w14:textId="77777777" w:rsidR="00C23453" w:rsidRPr="00374CC9" w:rsidRDefault="00C23453" w:rsidP="00C23453">
            <w:pPr>
              <w:rPr>
                <w:rFonts w:asciiTheme="minorHAnsi" w:eastAsia="Times New Roman" w:hAnsiTheme="minorHAnsi"/>
                <w:sz w:val="18"/>
                <w:szCs w:val="18"/>
              </w:rPr>
            </w:pPr>
            <w:r w:rsidRPr="00374CC9">
              <w:rPr>
                <w:rFonts w:asciiTheme="minorHAnsi" w:eastAsia="Times New Roman" w:hAnsiTheme="minorHAnsi"/>
                <w:sz w:val="18"/>
                <w:szCs w:val="18"/>
              </w:rPr>
              <w:t>516,687</w:t>
            </w:r>
          </w:p>
        </w:tc>
        <w:tc>
          <w:tcPr>
            <w:tcW w:w="0" w:type="auto"/>
            <w:shd w:val="clear" w:color="auto" w:fill="FDE9D9" w:themeFill="accent6" w:themeFillTint="33"/>
            <w:hideMark/>
          </w:tcPr>
          <w:p w14:paraId="2AC36B8B" w14:textId="77777777" w:rsidR="00C23453" w:rsidRPr="00374CC9" w:rsidRDefault="00C23453" w:rsidP="00C23453">
            <w:pPr>
              <w:rPr>
                <w:rFonts w:asciiTheme="minorHAnsi" w:eastAsia="Times New Roman" w:hAnsiTheme="minorHAnsi"/>
                <w:sz w:val="18"/>
                <w:szCs w:val="18"/>
              </w:rPr>
            </w:pPr>
            <w:r w:rsidRPr="00374CC9">
              <w:rPr>
                <w:rFonts w:asciiTheme="minorHAnsi" w:eastAsia="Times New Roman" w:hAnsiTheme="minorHAnsi"/>
                <w:sz w:val="18"/>
                <w:szCs w:val="18"/>
              </w:rPr>
              <w:t>5,940,942</w:t>
            </w:r>
          </w:p>
        </w:tc>
        <w:tc>
          <w:tcPr>
            <w:tcW w:w="0" w:type="auto"/>
            <w:shd w:val="clear" w:color="auto" w:fill="FDE9D9" w:themeFill="accent6" w:themeFillTint="33"/>
            <w:hideMark/>
          </w:tcPr>
          <w:p w14:paraId="26018120" w14:textId="77777777" w:rsidR="00C23453" w:rsidRPr="00374CC9" w:rsidRDefault="00C23453" w:rsidP="00C23453">
            <w:pPr>
              <w:rPr>
                <w:rFonts w:asciiTheme="minorHAnsi" w:eastAsia="Times New Roman" w:hAnsiTheme="minorHAnsi"/>
                <w:sz w:val="18"/>
                <w:szCs w:val="18"/>
              </w:rPr>
            </w:pPr>
            <w:r w:rsidRPr="00374CC9">
              <w:rPr>
                <w:rFonts w:asciiTheme="minorHAnsi" w:eastAsia="Times New Roman" w:hAnsiTheme="minorHAnsi"/>
                <w:sz w:val="18"/>
                <w:szCs w:val="18"/>
              </w:rPr>
              <w:t>2,590,561</w:t>
            </w:r>
          </w:p>
        </w:tc>
        <w:tc>
          <w:tcPr>
            <w:tcW w:w="0" w:type="auto"/>
            <w:shd w:val="clear" w:color="auto" w:fill="FDE9D9" w:themeFill="accent6" w:themeFillTint="33"/>
            <w:hideMark/>
          </w:tcPr>
          <w:p w14:paraId="22C362FF" w14:textId="77777777" w:rsidR="00C23453" w:rsidRPr="00374CC9" w:rsidRDefault="00C23453" w:rsidP="00C23453">
            <w:pPr>
              <w:rPr>
                <w:rFonts w:asciiTheme="minorHAnsi" w:eastAsia="Times New Roman" w:hAnsiTheme="minorHAnsi"/>
                <w:sz w:val="18"/>
                <w:szCs w:val="18"/>
              </w:rPr>
            </w:pPr>
            <w:r w:rsidRPr="00374CC9">
              <w:rPr>
                <w:rFonts w:asciiTheme="minorHAnsi" w:eastAsia="Times New Roman" w:hAnsiTheme="minorHAnsi"/>
                <w:sz w:val="18"/>
                <w:szCs w:val="18"/>
              </w:rPr>
              <w:t>23,786,123</w:t>
            </w:r>
          </w:p>
        </w:tc>
      </w:tr>
    </w:tbl>
    <w:p w14:paraId="36EB1D3B" w14:textId="77777777" w:rsidR="00BE61A2" w:rsidRPr="00CC1993" w:rsidRDefault="00785CC5" w:rsidP="00CC1993">
      <w:pPr>
        <w:pStyle w:val="CDIfootnotes"/>
      </w:pPr>
      <w:r w:rsidRPr="00CC1993">
        <w:t>Source:</w:t>
      </w:r>
      <w:r w:rsidR="00BE61A2" w:rsidRPr="00CC1993">
        <w:t xml:space="preserve"> ABS 3101.0 Table 4, Estimated Resident Population, State and </w:t>
      </w:r>
      <w:proofErr w:type="spellStart"/>
      <w:r w:rsidR="00BE61A2" w:rsidRPr="00CC1993">
        <w:t>Terrritories</w:t>
      </w:r>
      <w:proofErr w:type="spellEnd"/>
      <w:r w:rsidR="00BE61A2" w:rsidRPr="00CC1993">
        <w:t xml:space="preserve">. Australian Demographic Statistics, Dec 2015 </w:t>
      </w:r>
    </w:p>
    <w:p w14:paraId="74CD2AC2" w14:textId="77777777" w:rsidR="00BE61A2" w:rsidRPr="00095AA3" w:rsidRDefault="00BE61A2" w:rsidP="00A76FEF">
      <w:pPr>
        <w:pStyle w:val="Heading2"/>
      </w:pPr>
      <w:bookmarkStart w:id="258" w:name="_Toc1747412"/>
      <w:r w:rsidRPr="00095AA3">
        <w:t>Appendix 2</w:t>
      </w:r>
      <w:bookmarkEnd w:id="258"/>
    </w:p>
    <w:p w14:paraId="7DEE5BDE" w14:textId="77777777" w:rsidR="00BE61A2" w:rsidRPr="00A76FEF" w:rsidRDefault="00BE61A2" w:rsidP="00A76FEF">
      <w:pPr>
        <w:pStyle w:val="CDIFigures"/>
      </w:pPr>
      <w:r w:rsidRPr="00A76FEF">
        <w:t>December estimate of Australian population, 2015, by state or territory and age</w:t>
      </w:r>
    </w:p>
    <w:tbl>
      <w:tblPr>
        <w:tblStyle w:val="CDI-StandardTable"/>
        <w:tblW w:w="0" w:type="auto"/>
        <w:tblCellMar>
          <w:top w:w="142" w:type="dxa"/>
          <w:left w:w="142" w:type="dxa"/>
          <w:bottom w:w="142" w:type="dxa"/>
        </w:tblCellMar>
        <w:tblLook w:val="04A0" w:firstRow="1" w:lastRow="0" w:firstColumn="1" w:lastColumn="0" w:noHBand="0" w:noVBand="1"/>
        <w:tblDescription w:val="December estimate of Australian population, 2015, by state or territory and age"/>
      </w:tblPr>
      <w:tblGrid>
        <w:gridCol w:w="1057"/>
        <w:gridCol w:w="843"/>
        <w:gridCol w:w="979"/>
        <w:gridCol w:w="843"/>
        <w:gridCol w:w="979"/>
        <w:gridCol w:w="979"/>
        <w:gridCol w:w="843"/>
        <w:gridCol w:w="979"/>
        <w:gridCol w:w="979"/>
        <w:gridCol w:w="1070"/>
      </w:tblGrid>
      <w:tr w:rsidR="00BE61A2" w:rsidRPr="00374CC9" w14:paraId="7E9CF044" w14:textId="77777777" w:rsidTr="000A4FFE">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3C475C8B"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Age Group</w:t>
            </w:r>
          </w:p>
        </w:tc>
        <w:tc>
          <w:tcPr>
            <w:tcW w:w="0" w:type="auto"/>
            <w:gridSpan w:val="8"/>
            <w:hideMark/>
          </w:tcPr>
          <w:p w14:paraId="18B614F1"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State or Territory</w:t>
            </w:r>
          </w:p>
        </w:tc>
        <w:tc>
          <w:tcPr>
            <w:tcW w:w="0" w:type="auto"/>
            <w:hideMark/>
          </w:tcPr>
          <w:p w14:paraId="1C4E303A" w14:textId="77777777" w:rsidR="00BE61A2" w:rsidRPr="004B770F" w:rsidRDefault="00BE61A2">
            <w:pPr>
              <w:rPr>
                <w:rFonts w:eastAsia="Times New Roman"/>
                <w:color w:val="FFFFFF" w:themeColor="background1"/>
                <w:sz w:val="18"/>
                <w:szCs w:val="18"/>
              </w:rPr>
            </w:pPr>
          </w:p>
        </w:tc>
      </w:tr>
      <w:tr w:rsidR="00BE61A2" w:rsidRPr="00374CC9" w14:paraId="6C3736F9" w14:textId="77777777" w:rsidTr="000A4FFE">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65BA60AE" w14:textId="77777777" w:rsidR="00BE61A2" w:rsidRPr="004B770F" w:rsidRDefault="00BE61A2">
            <w:pPr>
              <w:rPr>
                <w:rFonts w:eastAsia="Times New Roman"/>
                <w:color w:val="FFFFFF" w:themeColor="background1"/>
                <w:sz w:val="18"/>
                <w:szCs w:val="18"/>
              </w:rPr>
            </w:pPr>
          </w:p>
        </w:tc>
        <w:tc>
          <w:tcPr>
            <w:tcW w:w="0" w:type="auto"/>
            <w:hideMark/>
          </w:tcPr>
          <w:p w14:paraId="3A1BD657"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ACT</w:t>
            </w:r>
          </w:p>
        </w:tc>
        <w:tc>
          <w:tcPr>
            <w:tcW w:w="0" w:type="auto"/>
            <w:hideMark/>
          </w:tcPr>
          <w:p w14:paraId="58FAAD5B"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NSW</w:t>
            </w:r>
          </w:p>
        </w:tc>
        <w:tc>
          <w:tcPr>
            <w:tcW w:w="0" w:type="auto"/>
            <w:hideMark/>
          </w:tcPr>
          <w:p w14:paraId="23D96F86"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NT</w:t>
            </w:r>
          </w:p>
        </w:tc>
        <w:tc>
          <w:tcPr>
            <w:tcW w:w="0" w:type="auto"/>
            <w:hideMark/>
          </w:tcPr>
          <w:p w14:paraId="67983DFF"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Qld</w:t>
            </w:r>
          </w:p>
        </w:tc>
        <w:tc>
          <w:tcPr>
            <w:tcW w:w="0" w:type="auto"/>
            <w:hideMark/>
          </w:tcPr>
          <w:p w14:paraId="568F4311"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SA</w:t>
            </w:r>
          </w:p>
        </w:tc>
        <w:tc>
          <w:tcPr>
            <w:tcW w:w="0" w:type="auto"/>
            <w:hideMark/>
          </w:tcPr>
          <w:p w14:paraId="510CBE70"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Tas</w:t>
            </w:r>
          </w:p>
        </w:tc>
        <w:tc>
          <w:tcPr>
            <w:tcW w:w="0" w:type="auto"/>
            <w:hideMark/>
          </w:tcPr>
          <w:p w14:paraId="70F2B1AA"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Vic</w:t>
            </w:r>
          </w:p>
        </w:tc>
        <w:tc>
          <w:tcPr>
            <w:tcW w:w="0" w:type="auto"/>
            <w:hideMark/>
          </w:tcPr>
          <w:p w14:paraId="2996C4F0"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WA</w:t>
            </w:r>
          </w:p>
        </w:tc>
        <w:tc>
          <w:tcPr>
            <w:tcW w:w="0" w:type="auto"/>
            <w:hideMark/>
          </w:tcPr>
          <w:p w14:paraId="180E0089"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Aus</w:t>
            </w:r>
          </w:p>
        </w:tc>
      </w:tr>
      <w:tr w:rsidR="00EE19C2" w:rsidRPr="00374CC9" w14:paraId="0B7C91DA" w14:textId="77777777" w:rsidTr="000A4FFE">
        <w:tblPrEx>
          <w:tblCellMar>
            <w:right w:w="108" w:type="dxa"/>
          </w:tblCellMar>
        </w:tblPrEx>
        <w:tc>
          <w:tcPr>
            <w:tcW w:w="0" w:type="auto"/>
            <w:hideMark/>
          </w:tcPr>
          <w:p w14:paraId="1D44D8E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00</w:t>
            </w:r>
            <w:r w:rsidR="00C23453">
              <w:rPr>
                <w:rFonts w:asciiTheme="minorHAnsi" w:eastAsia="Times New Roman" w:hAnsiTheme="minorHAnsi"/>
                <w:sz w:val="18"/>
                <w:szCs w:val="18"/>
              </w:rPr>
              <w:t>–</w:t>
            </w:r>
            <w:r w:rsidRPr="00374CC9">
              <w:rPr>
                <w:rFonts w:asciiTheme="minorHAnsi" w:eastAsia="Times New Roman" w:hAnsiTheme="minorHAnsi"/>
                <w:sz w:val="18"/>
                <w:szCs w:val="18"/>
              </w:rPr>
              <w:t>04</w:t>
            </w:r>
          </w:p>
        </w:tc>
        <w:tc>
          <w:tcPr>
            <w:tcW w:w="0" w:type="auto"/>
            <w:hideMark/>
          </w:tcPr>
          <w:p w14:paraId="754300A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27,264</w:t>
            </w:r>
          </w:p>
        </w:tc>
        <w:tc>
          <w:tcPr>
            <w:tcW w:w="0" w:type="auto"/>
            <w:hideMark/>
          </w:tcPr>
          <w:p w14:paraId="267CA02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491,896</w:t>
            </w:r>
          </w:p>
        </w:tc>
        <w:tc>
          <w:tcPr>
            <w:tcW w:w="0" w:type="auto"/>
            <w:hideMark/>
          </w:tcPr>
          <w:p w14:paraId="16187BF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18,993</w:t>
            </w:r>
          </w:p>
        </w:tc>
        <w:tc>
          <w:tcPr>
            <w:tcW w:w="0" w:type="auto"/>
            <w:hideMark/>
          </w:tcPr>
          <w:p w14:paraId="44597CD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318,348</w:t>
            </w:r>
          </w:p>
        </w:tc>
        <w:tc>
          <w:tcPr>
            <w:tcW w:w="0" w:type="auto"/>
            <w:hideMark/>
          </w:tcPr>
          <w:p w14:paraId="38180FF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101,429</w:t>
            </w:r>
          </w:p>
        </w:tc>
        <w:tc>
          <w:tcPr>
            <w:tcW w:w="0" w:type="auto"/>
            <w:hideMark/>
          </w:tcPr>
          <w:p w14:paraId="0E293CD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30,671</w:t>
            </w:r>
          </w:p>
        </w:tc>
        <w:tc>
          <w:tcPr>
            <w:tcW w:w="0" w:type="auto"/>
            <w:hideMark/>
          </w:tcPr>
          <w:p w14:paraId="5F10C4B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378,393</w:t>
            </w:r>
          </w:p>
        </w:tc>
        <w:tc>
          <w:tcPr>
            <w:tcW w:w="0" w:type="auto"/>
            <w:hideMark/>
          </w:tcPr>
          <w:p w14:paraId="2157D04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173,484</w:t>
            </w:r>
          </w:p>
        </w:tc>
        <w:tc>
          <w:tcPr>
            <w:tcW w:w="0" w:type="auto"/>
            <w:hideMark/>
          </w:tcPr>
          <w:p w14:paraId="40DD792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1,540,640</w:t>
            </w:r>
          </w:p>
        </w:tc>
      </w:tr>
      <w:tr w:rsidR="00BE61A2" w:rsidRPr="00374CC9" w14:paraId="378523F0"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4F407C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05</w:t>
            </w:r>
            <w:r w:rsidR="00C23453">
              <w:rPr>
                <w:rFonts w:asciiTheme="minorHAnsi" w:eastAsia="Times New Roman" w:hAnsiTheme="minorHAnsi"/>
                <w:sz w:val="18"/>
                <w:szCs w:val="18"/>
              </w:rPr>
              <w:t>–</w:t>
            </w:r>
            <w:r w:rsidRPr="00374CC9">
              <w:rPr>
                <w:rFonts w:asciiTheme="minorHAnsi" w:eastAsia="Times New Roman" w:hAnsiTheme="minorHAnsi"/>
                <w:sz w:val="18"/>
                <w:szCs w:val="18"/>
              </w:rPr>
              <w:t>09</w:t>
            </w:r>
          </w:p>
        </w:tc>
        <w:tc>
          <w:tcPr>
            <w:tcW w:w="0" w:type="auto"/>
            <w:hideMark/>
          </w:tcPr>
          <w:p w14:paraId="60DB1DE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24,653</w:t>
            </w:r>
          </w:p>
        </w:tc>
        <w:tc>
          <w:tcPr>
            <w:tcW w:w="0" w:type="auto"/>
            <w:hideMark/>
          </w:tcPr>
          <w:p w14:paraId="5116309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483,082</w:t>
            </w:r>
          </w:p>
        </w:tc>
        <w:tc>
          <w:tcPr>
            <w:tcW w:w="0" w:type="auto"/>
            <w:hideMark/>
          </w:tcPr>
          <w:p w14:paraId="5B538B6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17,974</w:t>
            </w:r>
          </w:p>
        </w:tc>
        <w:tc>
          <w:tcPr>
            <w:tcW w:w="0" w:type="auto"/>
            <w:hideMark/>
          </w:tcPr>
          <w:p w14:paraId="2F184AE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321,128</w:t>
            </w:r>
          </w:p>
        </w:tc>
        <w:tc>
          <w:tcPr>
            <w:tcW w:w="0" w:type="auto"/>
            <w:hideMark/>
          </w:tcPr>
          <w:p w14:paraId="51FF7C1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100,789</w:t>
            </w:r>
          </w:p>
        </w:tc>
        <w:tc>
          <w:tcPr>
            <w:tcW w:w="0" w:type="auto"/>
            <w:hideMark/>
          </w:tcPr>
          <w:p w14:paraId="5148E40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32,283</w:t>
            </w:r>
          </w:p>
        </w:tc>
        <w:tc>
          <w:tcPr>
            <w:tcW w:w="0" w:type="auto"/>
            <w:hideMark/>
          </w:tcPr>
          <w:p w14:paraId="7460168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366,598</w:t>
            </w:r>
          </w:p>
        </w:tc>
        <w:tc>
          <w:tcPr>
            <w:tcW w:w="0" w:type="auto"/>
            <w:hideMark/>
          </w:tcPr>
          <w:p w14:paraId="254C8E1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168,816</w:t>
            </w:r>
          </w:p>
        </w:tc>
        <w:tc>
          <w:tcPr>
            <w:tcW w:w="0" w:type="auto"/>
            <w:hideMark/>
          </w:tcPr>
          <w:p w14:paraId="04F49F0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1,515,475</w:t>
            </w:r>
          </w:p>
        </w:tc>
      </w:tr>
      <w:tr w:rsidR="00EE19C2" w:rsidRPr="00374CC9" w14:paraId="15E976E5" w14:textId="77777777" w:rsidTr="000A4FFE">
        <w:tblPrEx>
          <w:tblCellMar>
            <w:right w:w="108" w:type="dxa"/>
          </w:tblCellMar>
        </w:tblPrEx>
        <w:tc>
          <w:tcPr>
            <w:tcW w:w="0" w:type="auto"/>
            <w:hideMark/>
          </w:tcPr>
          <w:p w14:paraId="09C06C9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w:t>
            </w:r>
            <w:r w:rsidR="00C23453">
              <w:rPr>
                <w:rFonts w:asciiTheme="minorHAnsi" w:eastAsia="Times New Roman" w:hAnsiTheme="minorHAnsi"/>
                <w:sz w:val="18"/>
                <w:szCs w:val="18"/>
              </w:rPr>
              <w:t>–</w:t>
            </w:r>
            <w:r w:rsidRPr="00374CC9">
              <w:rPr>
                <w:rFonts w:asciiTheme="minorHAnsi" w:eastAsia="Times New Roman" w:hAnsiTheme="minorHAnsi"/>
                <w:sz w:val="18"/>
                <w:szCs w:val="18"/>
              </w:rPr>
              <w:t>14</w:t>
            </w:r>
          </w:p>
        </w:tc>
        <w:tc>
          <w:tcPr>
            <w:tcW w:w="0" w:type="auto"/>
            <w:hideMark/>
          </w:tcPr>
          <w:p w14:paraId="3613358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21,761</w:t>
            </w:r>
          </w:p>
        </w:tc>
        <w:tc>
          <w:tcPr>
            <w:tcW w:w="0" w:type="auto"/>
            <w:hideMark/>
          </w:tcPr>
          <w:p w14:paraId="19FA216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452,508</w:t>
            </w:r>
          </w:p>
        </w:tc>
        <w:tc>
          <w:tcPr>
            <w:tcW w:w="0" w:type="auto"/>
            <w:hideMark/>
          </w:tcPr>
          <w:p w14:paraId="2BDFB18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16,976</w:t>
            </w:r>
          </w:p>
        </w:tc>
        <w:tc>
          <w:tcPr>
            <w:tcW w:w="0" w:type="auto"/>
            <w:hideMark/>
          </w:tcPr>
          <w:p w14:paraId="3FAA445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304,754</w:t>
            </w:r>
          </w:p>
        </w:tc>
        <w:tc>
          <w:tcPr>
            <w:tcW w:w="0" w:type="auto"/>
            <w:hideMark/>
          </w:tcPr>
          <w:p w14:paraId="020D5FB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96,808</w:t>
            </w:r>
          </w:p>
        </w:tc>
        <w:tc>
          <w:tcPr>
            <w:tcW w:w="0" w:type="auto"/>
            <w:hideMark/>
          </w:tcPr>
          <w:p w14:paraId="561E486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31,236</w:t>
            </w:r>
          </w:p>
        </w:tc>
        <w:tc>
          <w:tcPr>
            <w:tcW w:w="0" w:type="auto"/>
            <w:hideMark/>
          </w:tcPr>
          <w:p w14:paraId="62CC452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340,632</w:t>
            </w:r>
          </w:p>
        </w:tc>
        <w:tc>
          <w:tcPr>
            <w:tcW w:w="0" w:type="auto"/>
            <w:hideMark/>
          </w:tcPr>
          <w:p w14:paraId="5184C5D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155,420</w:t>
            </w:r>
          </w:p>
        </w:tc>
        <w:tc>
          <w:tcPr>
            <w:tcW w:w="0" w:type="auto"/>
            <w:hideMark/>
          </w:tcPr>
          <w:p w14:paraId="6DA60A6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1,420,278</w:t>
            </w:r>
          </w:p>
        </w:tc>
      </w:tr>
      <w:tr w:rsidR="00BE61A2" w:rsidRPr="00374CC9" w14:paraId="47796CEC"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882FDA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15</w:t>
            </w:r>
            <w:r w:rsidR="00C23453">
              <w:rPr>
                <w:rFonts w:asciiTheme="minorHAnsi" w:eastAsia="Times New Roman" w:hAnsiTheme="minorHAnsi"/>
                <w:sz w:val="18"/>
                <w:szCs w:val="18"/>
              </w:rPr>
              <w:t xml:space="preserve"> –</w:t>
            </w:r>
            <w:r w:rsidRPr="00374CC9">
              <w:rPr>
                <w:rFonts w:asciiTheme="minorHAnsi" w:eastAsia="Times New Roman" w:hAnsiTheme="minorHAnsi"/>
                <w:sz w:val="18"/>
                <w:szCs w:val="18"/>
              </w:rPr>
              <w:t>19</w:t>
            </w:r>
          </w:p>
        </w:tc>
        <w:tc>
          <w:tcPr>
            <w:tcW w:w="0" w:type="auto"/>
            <w:hideMark/>
          </w:tcPr>
          <w:p w14:paraId="14495D3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23,064</w:t>
            </w:r>
          </w:p>
        </w:tc>
        <w:tc>
          <w:tcPr>
            <w:tcW w:w="0" w:type="auto"/>
            <w:hideMark/>
          </w:tcPr>
          <w:p w14:paraId="5D8AACC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469,102</w:t>
            </w:r>
          </w:p>
        </w:tc>
        <w:tc>
          <w:tcPr>
            <w:tcW w:w="0" w:type="auto"/>
            <w:hideMark/>
          </w:tcPr>
          <w:p w14:paraId="2C1309F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16,013</w:t>
            </w:r>
          </w:p>
        </w:tc>
        <w:tc>
          <w:tcPr>
            <w:tcW w:w="0" w:type="auto"/>
            <w:hideMark/>
          </w:tcPr>
          <w:p w14:paraId="7171062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309,376</w:t>
            </w:r>
          </w:p>
        </w:tc>
        <w:tc>
          <w:tcPr>
            <w:tcW w:w="0" w:type="auto"/>
            <w:hideMark/>
          </w:tcPr>
          <w:p w14:paraId="180577A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104,353</w:t>
            </w:r>
          </w:p>
        </w:tc>
        <w:tc>
          <w:tcPr>
            <w:tcW w:w="0" w:type="auto"/>
            <w:hideMark/>
          </w:tcPr>
          <w:p w14:paraId="24CB52B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33,481</w:t>
            </w:r>
          </w:p>
        </w:tc>
        <w:tc>
          <w:tcPr>
            <w:tcW w:w="0" w:type="auto"/>
            <w:hideMark/>
          </w:tcPr>
          <w:p w14:paraId="2730767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360,611</w:t>
            </w:r>
          </w:p>
        </w:tc>
        <w:tc>
          <w:tcPr>
            <w:tcW w:w="0" w:type="auto"/>
            <w:hideMark/>
          </w:tcPr>
          <w:p w14:paraId="093E94F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160,298</w:t>
            </w:r>
          </w:p>
        </w:tc>
        <w:tc>
          <w:tcPr>
            <w:tcW w:w="0" w:type="auto"/>
            <w:hideMark/>
          </w:tcPr>
          <w:p w14:paraId="40E5B5B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1,476,479</w:t>
            </w:r>
          </w:p>
        </w:tc>
      </w:tr>
      <w:tr w:rsidR="00EE19C2" w:rsidRPr="00374CC9" w14:paraId="55F6FC75" w14:textId="77777777" w:rsidTr="000A4FFE">
        <w:tblPrEx>
          <w:tblCellMar>
            <w:right w:w="108" w:type="dxa"/>
          </w:tblCellMar>
        </w:tblPrEx>
        <w:tc>
          <w:tcPr>
            <w:tcW w:w="0" w:type="auto"/>
            <w:hideMark/>
          </w:tcPr>
          <w:p w14:paraId="1854771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w:t>
            </w:r>
            <w:r w:rsidR="00C23453">
              <w:rPr>
                <w:rFonts w:asciiTheme="minorHAnsi" w:eastAsia="Times New Roman" w:hAnsiTheme="minorHAnsi"/>
                <w:sz w:val="18"/>
                <w:szCs w:val="18"/>
              </w:rPr>
              <w:t xml:space="preserve"> –</w:t>
            </w:r>
            <w:r w:rsidRPr="00374CC9">
              <w:rPr>
                <w:rFonts w:asciiTheme="minorHAnsi" w:eastAsia="Times New Roman" w:hAnsiTheme="minorHAnsi"/>
                <w:sz w:val="18"/>
                <w:szCs w:val="18"/>
              </w:rPr>
              <w:t>24</w:t>
            </w:r>
          </w:p>
        </w:tc>
        <w:tc>
          <w:tcPr>
            <w:tcW w:w="0" w:type="auto"/>
            <w:hideMark/>
          </w:tcPr>
          <w:p w14:paraId="7B69B9F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31,105</w:t>
            </w:r>
          </w:p>
        </w:tc>
        <w:tc>
          <w:tcPr>
            <w:tcW w:w="0" w:type="auto"/>
            <w:hideMark/>
          </w:tcPr>
          <w:p w14:paraId="2211432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520,623</w:t>
            </w:r>
          </w:p>
        </w:tc>
        <w:tc>
          <w:tcPr>
            <w:tcW w:w="0" w:type="auto"/>
            <w:hideMark/>
          </w:tcPr>
          <w:p w14:paraId="0B4A0F0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18,880</w:t>
            </w:r>
          </w:p>
        </w:tc>
        <w:tc>
          <w:tcPr>
            <w:tcW w:w="0" w:type="auto"/>
            <w:hideMark/>
          </w:tcPr>
          <w:p w14:paraId="332E590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338,352</w:t>
            </w:r>
          </w:p>
        </w:tc>
        <w:tc>
          <w:tcPr>
            <w:tcW w:w="0" w:type="auto"/>
            <w:hideMark/>
          </w:tcPr>
          <w:p w14:paraId="141B30B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114,411</w:t>
            </w:r>
          </w:p>
        </w:tc>
        <w:tc>
          <w:tcPr>
            <w:tcW w:w="0" w:type="auto"/>
            <w:hideMark/>
          </w:tcPr>
          <w:p w14:paraId="722808D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31,748</w:t>
            </w:r>
          </w:p>
        </w:tc>
        <w:tc>
          <w:tcPr>
            <w:tcW w:w="0" w:type="auto"/>
            <w:hideMark/>
          </w:tcPr>
          <w:p w14:paraId="04E8C4D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425,632</w:t>
            </w:r>
          </w:p>
        </w:tc>
        <w:tc>
          <w:tcPr>
            <w:tcW w:w="0" w:type="auto"/>
            <w:hideMark/>
          </w:tcPr>
          <w:p w14:paraId="70D4AC7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180,100</w:t>
            </w:r>
          </w:p>
        </w:tc>
        <w:tc>
          <w:tcPr>
            <w:tcW w:w="0" w:type="auto"/>
            <w:hideMark/>
          </w:tcPr>
          <w:p w14:paraId="29E875A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1,661,035</w:t>
            </w:r>
          </w:p>
        </w:tc>
      </w:tr>
      <w:tr w:rsidR="00BE61A2" w:rsidRPr="00374CC9" w14:paraId="3B17E9CA"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F3FFE7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25</w:t>
            </w:r>
            <w:r w:rsidR="00C23453">
              <w:rPr>
                <w:rFonts w:asciiTheme="minorHAnsi" w:eastAsia="Times New Roman" w:hAnsiTheme="minorHAnsi"/>
                <w:sz w:val="18"/>
                <w:szCs w:val="18"/>
              </w:rPr>
              <w:t xml:space="preserve"> –</w:t>
            </w:r>
            <w:r w:rsidRPr="00374CC9">
              <w:rPr>
                <w:rFonts w:asciiTheme="minorHAnsi" w:eastAsia="Times New Roman" w:hAnsiTheme="minorHAnsi"/>
                <w:sz w:val="18"/>
                <w:szCs w:val="18"/>
              </w:rPr>
              <w:t>29</w:t>
            </w:r>
          </w:p>
        </w:tc>
        <w:tc>
          <w:tcPr>
            <w:tcW w:w="0" w:type="auto"/>
            <w:hideMark/>
          </w:tcPr>
          <w:p w14:paraId="55117BD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33,911</w:t>
            </w:r>
          </w:p>
        </w:tc>
        <w:tc>
          <w:tcPr>
            <w:tcW w:w="0" w:type="auto"/>
            <w:hideMark/>
          </w:tcPr>
          <w:p w14:paraId="1AC8968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546,832</w:t>
            </w:r>
          </w:p>
        </w:tc>
        <w:tc>
          <w:tcPr>
            <w:tcW w:w="0" w:type="auto"/>
            <w:hideMark/>
          </w:tcPr>
          <w:p w14:paraId="1C43DEC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23,429</w:t>
            </w:r>
          </w:p>
        </w:tc>
        <w:tc>
          <w:tcPr>
            <w:tcW w:w="0" w:type="auto"/>
            <w:hideMark/>
          </w:tcPr>
          <w:p w14:paraId="72C696C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342,749</w:t>
            </w:r>
          </w:p>
        </w:tc>
        <w:tc>
          <w:tcPr>
            <w:tcW w:w="0" w:type="auto"/>
            <w:hideMark/>
          </w:tcPr>
          <w:p w14:paraId="4792BD9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115,974</w:t>
            </w:r>
          </w:p>
        </w:tc>
        <w:tc>
          <w:tcPr>
            <w:tcW w:w="0" w:type="auto"/>
            <w:hideMark/>
          </w:tcPr>
          <w:p w14:paraId="637F079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29,196</w:t>
            </w:r>
          </w:p>
        </w:tc>
        <w:tc>
          <w:tcPr>
            <w:tcW w:w="0" w:type="auto"/>
            <w:hideMark/>
          </w:tcPr>
          <w:p w14:paraId="1B521FB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457,136</w:t>
            </w:r>
          </w:p>
        </w:tc>
        <w:tc>
          <w:tcPr>
            <w:tcW w:w="0" w:type="auto"/>
            <w:hideMark/>
          </w:tcPr>
          <w:p w14:paraId="38987C3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211,152</w:t>
            </w:r>
          </w:p>
        </w:tc>
        <w:tc>
          <w:tcPr>
            <w:tcW w:w="0" w:type="auto"/>
            <w:hideMark/>
          </w:tcPr>
          <w:p w14:paraId="4CE2FD3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1,760,725</w:t>
            </w:r>
          </w:p>
        </w:tc>
      </w:tr>
      <w:tr w:rsidR="00EE19C2" w:rsidRPr="00374CC9" w14:paraId="2C0089B3" w14:textId="77777777" w:rsidTr="000A4FFE">
        <w:tblPrEx>
          <w:tblCellMar>
            <w:right w:w="108" w:type="dxa"/>
          </w:tblCellMar>
        </w:tblPrEx>
        <w:tc>
          <w:tcPr>
            <w:tcW w:w="0" w:type="auto"/>
            <w:hideMark/>
          </w:tcPr>
          <w:p w14:paraId="1F70AB9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30</w:t>
            </w:r>
            <w:r w:rsidR="00C23453">
              <w:rPr>
                <w:rFonts w:asciiTheme="minorHAnsi" w:eastAsia="Times New Roman" w:hAnsiTheme="minorHAnsi"/>
                <w:sz w:val="18"/>
                <w:szCs w:val="18"/>
              </w:rPr>
              <w:t xml:space="preserve"> –</w:t>
            </w:r>
            <w:r w:rsidRPr="00374CC9">
              <w:rPr>
                <w:rFonts w:asciiTheme="minorHAnsi" w:eastAsia="Times New Roman" w:hAnsiTheme="minorHAnsi"/>
                <w:sz w:val="18"/>
                <w:szCs w:val="18"/>
              </w:rPr>
              <w:t>34</w:t>
            </w:r>
          </w:p>
        </w:tc>
        <w:tc>
          <w:tcPr>
            <w:tcW w:w="0" w:type="auto"/>
            <w:hideMark/>
          </w:tcPr>
          <w:p w14:paraId="4072DAE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33,305</w:t>
            </w:r>
          </w:p>
        </w:tc>
        <w:tc>
          <w:tcPr>
            <w:tcW w:w="0" w:type="auto"/>
            <w:hideMark/>
          </w:tcPr>
          <w:p w14:paraId="11459C9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554,453</w:t>
            </w:r>
          </w:p>
        </w:tc>
        <w:tc>
          <w:tcPr>
            <w:tcW w:w="0" w:type="auto"/>
            <w:hideMark/>
          </w:tcPr>
          <w:p w14:paraId="3695860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22,335</w:t>
            </w:r>
          </w:p>
        </w:tc>
        <w:tc>
          <w:tcPr>
            <w:tcW w:w="0" w:type="auto"/>
            <w:hideMark/>
          </w:tcPr>
          <w:p w14:paraId="2142A7D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337,881</w:t>
            </w:r>
          </w:p>
        </w:tc>
        <w:tc>
          <w:tcPr>
            <w:tcW w:w="0" w:type="auto"/>
            <w:hideMark/>
          </w:tcPr>
          <w:p w14:paraId="152D7D8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113,912</w:t>
            </w:r>
          </w:p>
        </w:tc>
        <w:tc>
          <w:tcPr>
            <w:tcW w:w="0" w:type="auto"/>
            <w:hideMark/>
          </w:tcPr>
          <w:p w14:paraId="0D368F0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29,539</w:t>
            </w:r>
          </w:p>
        </w:tc>
        <w:tc>
          <w:tcPr>
            <w:tcW w:w="0" w:type="auto"/>
            <w:hideMark/>
          </w:tcPr>
          <w:p w14:paraId="0118A16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453,247</w:t>
            </w:r>
          </w:p>
        </w:tc>
        <w:tc>
          <w:tcPr>
            <w:tcW w:w="0" w:type="auto"/>
            <w:hideMark/>
          </w:tcPr>
          <w:p w14:paraId="28F3F0C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206,140</w:t>
            </w:r>
          </w:p>
        </w:tc>
        <w:tc>
          <w:tcPr>
            <w:tcW w:w="0" w:type="auto"/>
            <w:hideMark/>
          </w:tcPr>
          <w:p w14:paraId="3169341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1,751,262</w:t>
            </w:r>
          </w:p>
        </w:tc>
      </w:tr>
      <w:tr w:rsidR="00BE61A2" w:rsidRPr="00374CC9" w14:paraId="1C2533E3"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BAF555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35</w:t>
            </w:r>
            <w:r w:rsidR="00C23453">
              <w:rPr>
                <w:rFonts w:asciiTheme="minorHAnsi" w:eastAsia="Times New Roman" w:hAnsiTheme="minorHAnsi"/>
                <w:sz w:val="18"/>
                <w:szCs w:val="18"/>
              </w:rPr>
              <w:t xml:space="preserve"> –</w:t>
            </w:r>
            <w:r w:rsidRPr="00374CC9">
              <w:rPr>
                <w:rFonts w:asciiTheme="minorHAnsi" w:eastAsia="Times New Roman" w:hAnsiTheme="minorHAnsi"/>
                <w:sz w:val="18"/>
                <w:szCs w:val="18"/>
              </w:rPr>
              <w:t>39</w:t>
            </w:r>
          </w:p>
        </w:tc>
        <w:tc>
          <w:tcPr>
            <w:tcW w:w="0" w:type="auto"/>
            <w:hideMark/>
          </w:tcPr>
          <w:p w14:paraId="006A648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28,605</w:t>
            </w:r>
          </w:p>
        </w:tc>
        <w:tc>
          <w:tcPr>
            <w:tcW w:w="0" w:type="auto"/>
            <w:hideMark/>
          </w:tcPr>
          <w:p w14:paraId="0C9F76C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503,974</w:t>
            </w:r>
          </w:p>
        </w:tc>
        <w:tc>
          <w:tcPr>
            <w:tcW w:w="0" w:type="auto"/>
            <w:hideMark/>
          </w:tcPr>
          <w:p w14:paraId="5C9CAFC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18,713</w:t>
            </w:r>
          </w:p>
        </w:tc>
        <w:tc>
          <w:tcPr>
            <w:tcW w:w="0" w:type="auto"/>
            <w:hideMark/>
          </w:tcPr>
          <w:p w14:paraId="0210868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310,169</w:t>
            </w:r>
          </w:p>
        </w:tc>
        <w:tc>
          <w:tcPr>
            <w:tcW w:w="0" w:type="auto"/>
            <w:hideMark/>
          </w:tcPr>
          <w:p w14:paraId="4F0631C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103,435</w:t>
            </w:r>
          </w:p>
        </w:tc>
        <w:tc>
          <w:tcPr>
            <w:tcW w:w="0" w:type="auto"/>
            <w:hideMark/>
          </w:tcPr>
          <w:p w14:paraId="3BB06A6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28,666</w:t>
            </w:r>
          </w:p>
        </w:tc>
        <w:tc>
          <w:tcPr>
            <w:tcW w:w="0" w:type="auto"/>
            <w:hideMark/>
          </w:tcPr>
          <w:p w14:paraId="79EDAF8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402,439</w:t>
            </w:r>
          </w:p>
        </w:tc>
        <w:tc>
          <w:tcPr>
            <w:tcW w:w="0" w:type="auto"/>
            <w:hideMark/>
          </w:tcPr>
          <w:p w14:paraId="2E72BE6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179,767</w:t>
            </w:r>
          </w:p>
        </w:tc>
        <w:tc>
          <w:tcPr>
            <w:tcW w:w="0" w:type="auto"/>
            <w:hideMark/>
          </w:tcPr>
          <w:p w14:paraId="02FF6DD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1,576,031</w:t>
            </w:r>
          </w:p>
        </w:tc>
      </w:tr>
      <w:tr w:rsidR="00EE19C2" w:rsidRPr="00374CC9" w14:paraId="4DC70107" w14:textId="77777777" w:rsidTr="000A4FFE">
        <w:tblPrEx>
          <w:tblCellMar>
            <w:right w:w="108" w:type="dxa"/>
          </w:tblCellMar>
        </w:tblPrEx>
        <w:tc>
          <w:tcPr>
            <w:tcW w:w="0" w:type="auto"/>
            <w:hideMark/>
          </w:tcPr>
          <w:p w14:paraId="5A44451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40</w:t>
            </w:r>
            <w:r w:rsidR="00C23453">
              <w:rPr>
                <w:rFonts w:asciiTheme="minorHAnsi" w:eastAsia="Times New Roman" w:hAnsiTheme="minorHAnsi"/>
                <w:sz w:val="18"/>
                <w:szCs w:val="18"/>
              </w:rPr>
              <w:t xml:space="preserve"> –</w:t>
            </w:r>
            <w:r w:rsidRPr="00374CC9">
              <w:rPr>
                <w:rFonts w:asciiTheme="minorHAnsi" w:eastAsia="Times New Roman" w:hAnsiTheme="minorHAnsi"/>
                <w:sz w:val="18"/>
                <w:szCs w:val="18"/>
              </w:rPr>
              <w:t>44</w:t>
            </w:r>
          </w:p>
        </w:tc>
        <w:tc>
          <w:tcPr>
            <w:tcW w:w="0" w:type="auto"/>
            <w:hideMark/>
          </w:tcPr>
          <w:p w14:paraId="081B41A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28,505</w:t>
            </w:r>
          </w:p>
        </w:tc>
        <w:tc>
          <w:tcPr>
            <w:tcW w:w="0" w:type="auto"/>
            <w:hideMark/>
          </w:tcPr>
          <w:p w14:paraId="18B1486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524,984</w:t>
            </w:r>
          </w:p>
        </w:tc>
        <w:tc>
          <w:tcPr>
            <w:tcW w:w="0" w:type="auto"/>
            <w:hideMark/>
          </w:tcPr>
          <w:p w14:paraId="64346B5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18,146</w:t>
            </w:r>
          </w:p>
        </w:tc>
        <w:tc>
          <w:tcPr>
            <w:tcW w:w="0" w:type="auto"/>
            <w:hideMark/>
          </w:tcPr>
          <w:p w14:paraId="4A07D2F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337,703</w:t>
            </w:r>
          </w:p>
        </w:tc>
        <w:tc>
          <w:tcPr>
            <w:tcW w:w="0" w:type="auto"/>
            <w:hideMark/>
          </w:tcPr>
          <w:p w14:paraId="2934EAB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111,818</w:t>
            </w:r>
          </w:p>
        </w:tc>
        <w:tc>
          <w:tcPr>
            <w:tcW w:w="0" w:type="auto"/>
            <w:hideMark/>
          </w:tcPr>
          <w:p w14:paraId="6E1DC6B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33,252</w:t>
            </w:r>
          </w:p>
        </w:tc>
        <w:tc>
          <w:tcPr>
            <w:tcW w:w="0" w:type="auto"/>
            <w:hideMark/>
          </w:tcPr>
          <w:p w14:paraId="075D894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415,774</w:t>
            </w:r>
          </w:p>
        </w:tc>
        <w:tc>
          <w:tcPr>
            <w:tcW w:w="0" w:type="auto"/>
            <w:hideMark/>
          </w:tcPr>
          <w:p w14:paraId="2A68ACE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184,376</w:t>
            </w:r>
          </w:p>
        </w:tc>
        <w:tc>
          <w:tcPr>
            <w:tcW w:w="0" w:type="auto"/>
            <w:hideMark/>
          </w:tcPr>
          <w:p w14:paraId="0CBD1B2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1,654,809</w:t>
            </w:r>
          </w:p>
        </w:tc>
      </w:tr>
      <w:tr w:rsidR="00BE61A2" w:rsidRPr="00374CC9" w14:paraId="0DBE7A90"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67F584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45</w:t>
            </w:r>
            <w:r w:rsidR="00C23453">
              <w:rPr>
                <w:rFonts w:asciiTheme="minorHAnsi" w:eastAsia="Times New Roman" w:hAnsiTheme="minorHAnsi"/>
                <w:sz w:val="18"/>
                <w:szCs w:val="18"/>
              </w:rPr>
              <w:t xml:space="preserve"> –</w:t>
            </w:r>
            <w:r w:rsidRPr="00374CC9">
              <w:rPr>
                <w:rFonts w:asciiTheme="minorHAnsi" w:eastAsia="Times New Roman" w:hAnsiTheme="minorHAnsi"/>
                <w:sz w:val="18"/>
                <w:szCs w:val="18"/>
              </w:rPr>
              <w:t>49</w:t>
            </w:r>
          </w:p>
        </w:tc>
        <w:tc>
          <w:tcPr>
            <w:tcW w:w="0" w:type="auto"/>
            <w:hideMark/>
          </w:tcPr>
          <w:p w14:paraId="3E6AD43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25,622</w:t>
            </w:r>
          </w:p>
        </w:tc>
        <w:tc>
          <w:tcPr>
            <w:tcW w:w="0" w:type="auto"/>
            <w:hideMark/>
          </w:tcPr>
          <w:p w14:paraId="235B365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487,882</w:t>
            </w:r>
          </w:p>
        </w:tc>
        <w:tc>
          <w:tcPr>
            <w:tcW w:w="0" w:type="auto"/>
            <w:hideMark/>
          </w:tcPr>
          <w:p w14:paraId="7D3F851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16,468</w:t>
            </w:r>
          </w:p>
        </w:tc>
        <w:tc>
          <w:tcPr>
            <w:tcW w:w="0" w:type="auto"/>
            <w:hideMark/>
          </w:tcPr>
          <w:p w14:paraId="08E177A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316,520</w:t>
            </w:r>
          </w:p>
        </w:tc>
        <w:tc>
          <w:tcPr>
            <w:tcW w:w="0" w:type="auto"/>
            <w:hideMark/>
          </w:tcPr>
          <w:p w14:paraId="4CB839C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113,515</w:t>
            </w:r>
          </w:p>
        </w:tc>
        <w:tc>
          <w:tcPr>
            <w:tcW w:w="0" w:type="auto"/>
            <w:hideMark/>
          </w:tcPr>
          <w:p w14:paraId="528D67A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34,025</w:t>
            </w:r>
          </w:p>
        </w:tc>
        <w:tc>
          <w:tcPr>
            <w:tcW w:w="0" w:type="auto"/>
            <w:hideMark/>
          </w:tcPr>
          <w:p w14:paraId="15CE3BC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395,199</w:t>
            </w:r>
          </w:p>
        </w:tc>
        <w:tc>
          <w:tcPr>
            <w:tcW w:w="0" w:type="auto"/>
            <w:hideMark/>
          </w:tcPr>
          <w:p w14:paraId="23D7E70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174,935</w:t>
            </w:r>
          </w:p>
        </w:tc>
        <w:tc>
          <w:tcPr>
            <w:tcW w:w="0" w:type="auto"/>
            <w:hideMark/>
          </w:tcPr>
          <w:p w14:paraId="2CC7F2E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1,564,379</w:t>
            </w:r>
          </w:p>
        </w:tc>
      </w:tr>
      <w:tr w:rsidR="00EE19C2" w:rsidRPr="00374CC9" w14:paraId="5992CB54" w14:textId="77777777" w:rsidTr="000A4FFE">
        <w:tblPrEx>
          <w:tblCellMar>
            <w:right w:w="108" w:type="dxa"/>
          </w:tblCellMar>
        </w:tblPrEx>
        <w:tc>
          <w:tcPr>
            <w:tcW w:w="0" w:type="auto"/>
            <w:hideMark/>
          </w:tcPr>
          <w:p w14:paraId="5F70965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lastRenderedPageBreak/>
              <w:t>50</w:t>
            </w:r>
            <w:r w:rsidR="00C23453">
              <w:rPr>
                <w:rFonts w:asciiTheme="minorHAnsi" w:eastAsia="Times New Roman" w:hAnsiTheme="minorHAnsi"/>
                <w:sz w:val="18"/>
                <w:szCs w:val="18"/>
              </w:rPr>
              <w:t xml:space="preserve"> –</w:t>
            </w:r>
            <w:r w:rsidRPr="00374CC9">
              <w:rPr>
                <w:rFonts w:asciiTheme="minorHAnsi" w:eastAsia="Times New Roman" w:hAnsiTheme="minorHAnsi"/>
                <w:sz w:val="18"/>
                <w:szCs w:val="18"/>
              </w:rPr>
              <w:t>54</w:t>
            </w:r>
          </w:p>
        </w:tc>
        <w:tc>
          <w:tcPr>
            <w:tcW w:w="0" w:type="auto"/>
            <w:hideMark/>
          </w:tcPr>
          <w:p w14:paraId="7D44720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24,531</w:t>
            </w:r>
          </w:p>
        </w:tc>
        <w:tc>
          <w:tcPr>
            <w:tcW w:w="0" w:type="auto"/>
            <w:hideMark/>
          </w:tcPr>
          <w:p w14:paraId="45D6678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500,043</w:t>
            </w:r>
          </w:p>
        </w:tc>
        <w:tc>
          <w:tcPr>
            <w:tcW w:w="0" w:type="auto"/>
            <w:hideMark/>
          </w:tcPr>
          <w:p w14:paraId="4D4DA34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15,387</w:t>
            </w:r>
          </w:p>
        </w:tc>
        <w:tc>
          <w:tcPr>
            <w:tcW w:w="0" w:type="auto"/>
            <w:hideMark/>
          </w:tcPr>
          <w:p w14:paraId="367E4F8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313,866</w:t>
            </w:r>
          </w:p>
        </w:tc>
        <w:tc>
          <w:tcPr>
            <w:tcW w:w="0" w:type="auto"/>
            <w:hideMark/>
          </w:tcPr>
          <w:p w14:paraId="26BD113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115,537</w:t>
            </w:r>
          </w:p>
        </w:tc>
        <w:tc>
          <w:tcPr>
            <w:tcW w:w="0" w:type="auto"/>
            <w:hideMark/>
          </w:tcPr>
          <w:p w14:paraId="3E49F61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36,905</w:t>
            </w:r>
          </w:p>
        </w:tc>
        <w:tc>
          <w:tcPr>
            <w:tcW w:w="0" w:type="auto"/>
            <w:hideMark/>
          </w:tcPr>
          <w:p w14:paraId="3671E5E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382,808</w:t>
            </w:r>
          </w:p>
        </w:tc>
        <w:tc>
          <w:tcPr>
            <w:tcW w:w="0" w:type="auto"/>
            <w:hideMark/>
          </w:tcPr>
          <w:p w14:paraId="4A8CE4A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168,441</w:t>
            </w:r>
          </w:p>
        </w:tc>
        <w:tc>
          <w:tcPr>
            <w:tcW w:w="0" w:type="auto"/>
            <w:hideMark/>
          </w:tcPr>
          <w:p w14:paraId="1A2D5E9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1,557,738</w:t>
            </w:r>
          </w:p>
        </w:tc>
      </w:tr>
      <w:tr w:rsidR="00BE61A2" w:rsidRPr="00374CC9" w14:paraId="6DD03C66"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F8F34B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55</w:t>
            </w:r>
            <w:r w:rsidR="00C23453">
              <w:rPr>
                <w:rFonts w:asciiTheme="minorHAnsi" w:eastAsia="Times New Roman" w:hAnsiTheme="minorHAnsi"/>
                <w:sz w:val="18"/>
                <w:szCs w:val="18"/>
              </w:rPr>
              <w:t xml:space="preserve"> –</w:t>
            </w:r>
            <w:r w:rsidRPr="00374CC9">
              <w:rPr>
                <w:rFonts w:asciiTheme="minorHAnsi" w:eastAsia="Times New Roman" w:hAnsiTheme="minorHAnsi"/>
                <w:sz w:val="18"/>
                <w:szCs w:val="18"/>
              </w:rPr>
              <w:t>59</w:t>
            </w:r>
          </w:p>
        </w:tc>
        <w:tc>
          <w:tcPr>
            <w:tcW w:w="0" w:type="auto"/>
            <w:hideMark/>
          </w:tcPr>
          <w:p w14:paraId="63E77E6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22,157</w:t>
            </w:r>
          </w:p>
        </w:tc>
        <w:tc>
          <w:tcPr>
            <w:tcW w:w="0" w:type="auto"/>
            <w:hideMark/>
          </w:tcPr>
          <w:p w14:paraId="42E9B29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470,527</w:t>
            </w:r>
          </w:p>
        </w:tc>
        <w:tc>
          <w:tcPr>
            <w:tcW w:w="0" w:type="auto"/>
            <w:hideMark/>
          </w:tcPr>
          <w:p w14:paraId="1A758EB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13,528</w:t>
            </w:r>
          </w:p>
        </w:tc>
        <w:tc>
          <w:tcPr>
            <w:tcW w:w="0" w:type="auto"/>
            <w:hideMark/>
          </w:tcPr>
          <w:p w14:paraId="2AF0FB5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287,685</w:t>
            </w:r>
          </w:p>
        </w:tc>
        <w:tc>
          <w:tcPr>
            <w:tcW w:w="0" w:type="auto"/>
            <w:hideMark/>
          </w:tcPr>
          <w:p w14:paraId="79E711E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110,636</w:t>
            </w:r>
          </w:p>
        </w:tc>
        <w:tc>
          <w:tcPr>
            <w:tcW w:w="0" w:type="auto"/>
            <w:hideMark/>
          </w:tcPr>
          <w:p w14:paraId="30A751F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36,956</w:t>
            </w:r>
          </w:p>
        </w:tc>
        <w:tc>
          <w:tcPr>
            <w:tcW w:w="0" w:type="auto"/>
            <w:hideMark/>
          </w:tcPr>
          <w:p w14:paraId="1E014D3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355,501</w:t>
            </w:r>
          </w:p>
        </w:tc>
        <w:tc>
          <w:tcPr>
            <w:tcW w:w="0" w:type="auto"/>
            <w:hideMark/>
          </w:tcPr>
          <w:p w14:paraId="32FC564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153,851</w:t>
            </w:r>
          </w:p>
        </w:tc>
        <w:tc>
          <w:tcPr>
            <w:tcW w:w="0" w:type="auto"/>
            <w:hideMark/>
          </w:tcPr>
          <w:p w14:paraId="1586C21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1,451,023</w:t>
            </w:r>
          </w:p>
        </w:tc>
      </w:tr>
      <w:tr w:rsidR="00EE19C2" w:rsidRPr="00374CC9" w14:paraId="02395E7E" w14:textId="77777777" w:rsidTr="000A4FFE">
        <w:tblPrEx>
          <w:tblCellMar>
            <w:right w:w="108" w:type="dxa"/>
          </w:tblCellMar>
        </w:tblPrEx>
        <w:tc>
          <w:tcPr>
            <w:tcW w:w="0" w:type="auto"/>
            <w:hideMark/>
          </w:tcPr>
          <w:p w14:paraId="68AA0BA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60</w:t>
            </w:r>
            <w:r w:rsidR="00C23453">
              <w:rPr>
                <w:rFonts w:asciiTheme="minorHAnsi" w:eastAsia="Times New Roman" w:hAnsiTheme="minorHAnsi"/>
                <w:sz w:val="18"/>
                <w:szCs w:val="18"/>
              </w:rPr>
              <w:t xml:space="preserve"> –</w:t>
            </w:r>
            <w:r w:rsidRPr="00374CC9">
              <w:rPr>
                <w:rFonts w:asciiTheme="minorHAnsi" w:eastAsia="Times New Roman" w:hAnsiTheme="minorHAnsi"/>
                <w:sz w:val="18"/>
                <w:szCs w:val="18"/>
              </w:rPr>
              <w:t>64</w:t>
            </w:r>
          </w:p>
        </w:tc>
        <w:tc>
          <w:tcPr>
            <w:tcW w:w="0" w:type="auto"/>
            <w:hideMark/>
          </w:tcPr>
          <w:p w14:paraId="5E8E674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19,008</w:t>
            </w:r>
          </w:p>
        </w:tc>
        <w:tc>
          <w:tcPr>
            <w:tcW w:w="0" w:type="auto"/>
            <w:hideMark/>
          </w:tcPr>
          <w:p w14:paraId="181CE59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418,101</w:t>
            </w:r>
          </w:p>
        </w:tc>
        <w:tc>
          <w:tcPr>
            <w:tcW w:w="0" w:type="auto"/>
            <w:hideMark/>
          </w:tcPr>
          <w:p w14:paraId="279F85D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10,874</w:t>
            </w:r>
          </w:p>
        </w:tc>
        <w:tc>
          <w:tcPr>
            <w:tcW w:w="0" w:type="auto"/>
            <w:hideMark/>
          </w:tcPr>
          <w:p w14:paraId="2DDDD88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255,757</w:t>
            </w:r>
          </w:p>
        </w:tc>
        <w:tc>
          <w:tcPr>
            <w:tcW w:w="0" w:type="auto"/>
            <w:hideMark/>
          </w:tcPr>
          <w:p w14:paraId="32C97E7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100,668</w:t>
            </w:r>
          </w:p>
        </w:tc>
        <w:tc>
          <w:tcPr>
            <w:tcW w:w="0" w:type="auto"/>
            <w:hideMark/>
          </w:tcPr>
          <w:p w14:paraId="7704EAD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34,158</w:t>
            </w:r>
          </w:p>
        </w:tc>
        <w:tc>
          <w:tcPr>
            <w:tcW w:w="0" w:type="auto"/>
            <w:hideMark/>
          </w:tcPr>
          <w:p w14:paraId="12B193D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314,370</w:t>
            </w:r>
          </w:p>
        </w:tc>
        <w:tc>
          <w:tcPr>
            <w:tcW w:w="0" w:type="auto"/>
            <w:hideMark/>
          </w:tcPr>
          <w:p w14:paraId="418099C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133,516</w:t>
            </w:r>
          </w:p>
        </w:tc>
        <w:tc>
          <w:tcPr>
            <w:tcW w:w="0" w:type="auto"/>
            <w:hideMark/>
          </w:tcPr>
          <w:p w14:paraId="7D996EB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1,286,654</w:t>
            </w:r>
          </w:p>
        </w:tc>
      </w:tr>
      <w:tr w:rsidR="00BE61A2" w:rsidRPr="00374CC9" w14:paraId="095DDB5B"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DEAAC9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65</w:t>
            </w:r>
            <w:r w:rsidR="00C23453">
              <w:rPr>
                <w:rFonts w:asciiTheme="minorHAnsi" w:eastAsia="Times New Roman" w:hAnsiTheme="minorHAnsi"/>
                <w:sz w:val="18"/>
                <w:szCs w:val="18"/>
              </w:rPr>
              <w:t xml:space="preserve"> –</w:t>
            </w:r>
            <w:r w:rsidRPr="00374CC9">
              <w:rPr>
                <w:rFonts w:asciiTheme="minorHAnsi" w:eastAsia="Times New Roman" w:hAnsiTheme="minorHAnsi"/>
                <w:sz w:val="18"/>
                <w:szCs w:val="18"/>
              </w:rPr>
              <w:t>69</w:t>
            </w:r>
          </w:p>
        </w:tc>
        <w:tc>
          <w:tcPr>
            <w:tcW w:w="0" w:type="auto"/>
            <w:hideMark/>
          </w:tcPr>
          <w:p w14:paraId="5EEAF14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16,732</w:t>
            </w:r>
          </w:p>
        </w:tc>
        <w:tc>
          <w:tcPr>
            <w:tcW w:w="0" w:type="auto"/>
            <w:hideMark/>
          </w:tcPr>
          <w:p w14:paraId="7636D6A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377,248</w:t>
            </w:r>
          </w:p>
        </w:tc>
        <w:tc>
          <w:tcPr>
            <w:tcW w:w="0" w:type="auto"/>
            <w:hideMark/>
          </w:tcPr>
          <w:p w14:paraId="30D4D44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7,567</w:t>
            </w:r>
          </w:p>
        </w:tc>
        <w:tc>
          <w:tcPr>
            <w:tcW w:w="0" w:type="auto"/>
            <w:hideMark/>
          </w:tcPr>
          <w:p w14:paraId="6FE06FF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231,503</w:t>
            </w:r>
          </w:p>
        </w:tc>
        <w:tc>
          <w:tcPr>
            <w:tcW w:w="0" w:type="auto"/>
            <w:hideMark/>
          </w:tcPr>
          <w:p w14:paraId="1033940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92,738</w:t>
            </w:r>
          </w:p>
        </w:tc>
        <w:tc>
          <w:tcPr>
            <w:tcW w:w="0" w:type="auto"/>
            <w:hideMark/>
          </w:tcPr>
          <w:p w14:paraId="25C3510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31,329</w:t>
            </w:r>
          </w:p>
        </w:tc>
        <w:tc>
          <w:tcPr>
            <w:tcW w:w="0" w:type="auto"/>
            <w:hideMark/>
          </w:tcPr>
          <w:p w14:paraId="510823A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282,072</w:t>
            </w:r>
          </w:p>
        </w:tc>
        <w:tc>
          <w:tcPr>
            <w:tcW w:w="0" w:type="auto"/>
            <w:hideMark/>
          </w:tcPr>
          <w:p w14:paraId="404C9AA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114,273</w:t>
            </w:r>
          </w:p>
        </w:tc>
        <w:tc>
          <w:tcPr>
            <w:tcW w:w="0" w:type="auto"/>
            <w:hideMark/>
          </w:tcPr>
          <w:p w14:paraId="55D5E27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1,153,581</w:t>
            </w:r>
          </w:p>
        </w:tc>
      </w:tr>
      <w:tr w:rsidR="00EE19C2" w:rsidRPr="00374CC9" w14:paraId="37B7169B" w14:textId="77777777" w:rsidTr="000A4FFE">
        <w:tblPrEx>
          <w:tblCellMar>
            <w:right w:w="108" w:type="dxa"/>
          </w:tblCellMar>
        </w:tblPrEx>
        <w:tc>
          <w:tcPr>
            <w:tcW w:w="0" w:type="auto"/>
            <w:hideMark/>
          </w:tcPr>
          <w:p w14:paraId="70B4E9A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70</w:t>
            </w:r>
            <w:r w:rsidR="00C23453">
              <w:rPr>
                <w:rFonts w:asciiTheme="minorHAnsi" w:eastAsia="Times New Roman" w:hAnsiTheme="minorHAnsi"/>
                <w:sz w:val="18"/>
                <w:szCs w:val="18"/>
              </w:rPr>
              <w:t xml:space="preserve"> –</w:t>
            </w:r>
            <w:r w:rsidRPr="00374CC9">
              <w:rPr>
                <w:rFonts w:asciiTheme="minorHAnsi" w:eastAsia="Times New Roman" w:hAnsiTheme="minorHAnsi"/>
                <w:sz w:val="18"/>
                <w:szCs w:val="18"/>
              </w:rPr>
              <w:t>74</w:t>
            </w:r>
          </w:p>
        </w:tc>
        <w:tc>
          <w:tcPr>
            <w:tcW w:w="0" w:type="auto"/>
            <w:hideMark/>
          </w:tcPr>
          <w:p w14:paraId="6774A35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11,367</w:t>
            </w:r>
          </w:p>
        </w:tc>
        <w:tc>
          <w:tcPr>
            <w:tcW w:w="0" w:type="auto"/>
            <w:hideMark/>
          </w:tcPr>
          <w:p w14:paraId="00AAAA8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285,810</w:t>
            </w:r>
          </w:p>
        </w:tc>
        <w:tc>
          <w:tcPr>
            <w:tcW w:w="0" w:type="auto"/>
            <w:hideMark/>
          </w:tcPr>
          <w:p w14:paraId="2E5BDA4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4,542</w:t>
            </w:r>
          </w:p>
        </w:tc>
        <w:tc>
          <w:tcPr>
            <w:tcW w:w="0" w:type="auto"/>
            <w:hideMark/>
          </w:tcPr>
          <w:p w14:paraId="14D281B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171,481</w:t>
            </w:r>
          </w:p>
        </w:tc>
        <w:tc>
          <w:tcPr>
            <w:tcW w:w="0" w:type="auto"/>
            <w:hideMark/>
          </w:tcPr>
          <w:p w14:paraId="6AC7CC6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68,901</w:t>
            </w:r>
          </w:p>
        </w:tc>
        <w:tc>
          <w:tcPr>
            <w:tcW w:w="0" w:type="auto"/>
            <w:hideMark/>
          </w:tcPr>
          <w:p w14:paraId="0DF91EA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23,402</w:t>
            </w:r>
          </w:p>
        </w:tc>
        <w:tc>
          <w:tcPr>
            <w:tcW w:w="0" w:type="auto"/>
            <w:hideMark/>
          </w:tcPr>
          <w:p w14:paraId="291930A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210,489</w:t>
            </w:r>
          </w:p>
        </w:tc>
        <w:tc>
          <w:tcPr>
            <w:tcW w:w="0" w:type="auto"/>
            <w:hideMark/>
          </w:tcPr>
          <w:p w14:paraId="466C3D8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81,928</w:t>
            </w:r>
          </w:p>
        </w:tc>
        <w:tc>
          <w:tcPr>
            <w:tcW w:w="0" w:type="auto"/>
            <w:hideMark/>
          </w:tcPr>
          <w:p w14:paraId="41821D9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857,984</w:t>
            </w:r>
          </w:p>
        </w:tc>
      </w:tr>
      <w:tr w:rsidR="00BE61A2" w:rsidRPr="00374CC9" w14:paraId="2D5DD1E0"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5EB1AD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75</w:t>
            </w:r>
            <w:r w:rsidR="00C23453">
              <w:rPr>
                <w:rFonts w:asciiTheme="minorHAnsi" w:eastAsia="Times New Roman" w:hAnsiTheme="minorHAnsi"/>
                <w:sz w:val="18"/>
                <w:szCs w:val="18"/>
              </w:rPr>
              <w:t xml:space="preserve"> –</w:t>
            </w:r>
            <w:r w:rsidRPr="00374CC9">
              <w:rPr>
                <w:rFonts w:asciiTheme="minorHAnsi" w:eastAsia="Times New Roman" w:hAnsiTheme="minorHAnsi"/>
                <w:sz w:val="18"/>
                <w:szCs w:val="18"/>
              </w:rPr>
              <w:t>79</w:t>
            </w:r>
          </w:p>
        </w:tc>
        <w:tc>
          <w:tcPr>
            <w:tcW w:w="0" w:type="auto"/>
            <w:hideMark/>
          </w:tcPr>
          <w:p w14:paraId="27717E7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8,069</w:t>
            </w:r>
          </w:p>
        </w:tc>
        <w:tc>
          <w:tcPr>
            <w:tcW w:w="0" w:type="auto"/>
            <w:hideMark/>
          </w:tcPr>
          <w:p w14:paraId="480DD60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213,899</w:t>
            </w:r>
          </w:p>
        </w:tc>
        <w:tc>
          <w:tcPr>
            <w:tcW w:w="0" w:type="auto"/>
            <w:hideMark/>
          </w:tcPr>
          <w:p w14:paraId="55D89DD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2,432</w:t>
            </w:r>
          </w:p>
        </w:tc>
        <w:tc>
          <w:tcPr>
            <w:tcW w:w="0" w:type="auto"/>
            <w:hideMark/>
          </w:tcPr>
          <w:p w14:paraId="722D008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119,930</w:t>
            </w:r>
          </w:p>
        </w:tc>
        <w:tc>
          <w:tcPr>
            <w:tcW w:w="0" w:type="auto"/>
            <w:hideMark/>
          </w:tcPr>
          <w:p w14:paraId="4379FB5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52,419</w:t>
            </w:r>
          </w:p>
        </w:tc>
        <w:tc>
          <w:tcPr>
            <w:tcW w:w="0" w:type="auto"/>
            <w:hideMark/>
          </w:tcPr>
          <w:p w14:paraId="39ABC00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16,795</w:t>
            </w:r>
          </w:p>
        </w:tc>
        <w:tc>
          <w:tcPr>
            <w:tcW w:w="0" w:type="auto"/>
            <w:hideMark/>
          </w:tcPr>
          <w:p w14:paraId="0CF27F5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160,413</w:t>
            </w:r>
          </w:p>
        </w:tc>
        <w:tc>
          <w:tcPr>
            <w:tcW w:w="0" w:type="auto"/>
            <w:hideMark/>
          </w:tcPr>
          <w:p w14:paraId="4E0C32A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60,335</w:t>
            </w:r>
          </w:p>
        </w:tc>
        <w:tc>
          <w:tcPr>
            <w:tcW w:w="0" w:type="auto"/>
            <w:hideMark/>
          </w:tcPr>
          <w:p w14:paraId="450008C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634,332</w:t>
            </w:r>
          </w:p>
        </w:tc>
      </w:tr>
      <w:tr w:rsidR="00EE19C2" w:rsidRPr="00374CC9" w14:paraId="6E60D95C" w14:textId="77777777" w:rsidTr="000A4FFE">
        <w:tblPrEx>
          <w:tblCellMar>
            <w:right w:w="108" w:type="dxa"/>
          </w:tblCellMar>
        </w:tblPrEx>
        <w:tc>
          <w:tcPr>
            <w:tcW w:w="0" w:type="auto"/>
            <w:hideMark/>
          </w:tcPr>
          <w:p w14:paraId="0349437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80</w:t>
            </w:r>
            <w:r w:rsidR="00C23453">
              <w:rPr>
                <w:rFonts w:asciiTheme="minorHAnsi" w:eastAsia="Times New Roman" w:hAnsiTheme="minorHAnsi"/>
                <w:sz w:val="18"/>
                <w:szCs w:val="18"/>
              </w:rPr>
              <w:t xml:space="preserve"> –</w:t>
            </w:r>
            <w:r w:rsidRPr="00374CC9">
              <w:rPr>
                <w:rFonts w:asciiTheme="minorHAnsi" w:eastAsia="Times New Roman" w:hAnsiTheme="minorHAnsi"/>
                <w:sz w:val="18"/>
                <w:szCs w:val="18"/>
              </w:rPr>
              <w:t>84</w:t>
            </w:r>
          </w:p>
        </w:tc>
        <w:tc>
          <w:tcPr>
            <w:tcW w:w="0" w:type="auto"/>
            <w:hideMark/>
          </w:tcPr>
          <w:p w14:paraId="2CADCB7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5,538</w:t>
            </w:r>
          </w:p>
        </w:tc>
        <w:tc>
          <w:tcPr>
            <w:tcW w:w="0" w:type="auto"/>
            <w:hideMark/>
          </w:tcPr>
          <w:p w14:paraId="2263D75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154,412</w:t>
            </w:r>
          </w:p>
        </w:tc>
        <w:tc>
          <w:tcPr>
            <w:tcW w:w="0" w:type="auto"/>
            <w:hideMark/>
          </w:tcPr>
          <w:p w14:paraId="6B493B8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1,310</w:t>
            </w:r>
          </w:p>
        </w:tc>
        <w:tc>
          <w:tcPr>
            <w:tcW w:w="0" w:type="auto"/>
            <w:hideMark/>
          </w:tcPr>
          <w:p w14:paraId="737CE3A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81,456</w:t>
            </w:r>
          </w:p>
        </w:tc>
        <w:tc>
          <w:tcPr>
            <w:tcW w:w="0" w:type="auto"/>
            <w:hideMark/>
          </w:tcPr>
          <w:p w14:paraId="19379B5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38,524</w:t>
            </w:r>
          </w:p>
        </w:tc>
        <w:tc>
          <w:tcPr>
            <w:tcW w:w="0" w:type="auto"/>
            <w:hideMark/>
          </w:tcPr>
          <w:p w14:paraId="054F790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11,722</w:t>
            </w:r>
          </w:p>
        </w:tc>
        <w:tc>
          <w:tcPr>
            <w:tcW w:w="0" w:type="auto"/>
            <w:hideMark/>
          </w:tcPr>
          <w:p w14:paraId="54E2D74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116,835</w:t>
            </w:r>
          </w:p>
        </w:tc>
        <w:tc>
          <w:tcPr>
            <w:tcW w:w="0" w:type="auto"/>
            <w:hideMark/>
          </w:tcPr>
          <w:p w14:paraId="1D68F76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41,841</w:t>
            </w:r>
          </w:p>
        </w:tc>
        <w:tc>
          <w:tcPr>
            <w:tcW w:w="0" w:type="auto"/>
            <w:hideMark/>
          </w:tcPr>
          <w:p w14:paraId="5EE766D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451,655</w:t>
            </w:r>
          </w:p>
        </w:tc>
      </w:tr>
      <w:tr w:rsidR="00BE61A2" w:rsidRPr="00374CC9" w14:paraId="06415233"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47F926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85+</w:t>
            </w:r>
          </w:p>
        </w:tc>
        <w:tc>
          <w:tcPr>
            <w:tcW w:w="0" w:type="auto"/>
            <w:hideMark/>
          </w:tcPr>
          <w:p w14:paraId="7D20A6E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5,833</w:t>
            </w:r>
          </w:p>
        </w:tc>
        <w:tc>
          <w:tcPr>
            <w:tcW w:w="0" w:type="auto"/>
            <w:hideMark/>
          </w:tcPr>
          <w:p w14:paraId="68AECC5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164,066</w:t>
            </w:r>
          </w:p>
        </w:tc>
        <w:tc>
          <w:tcPr>
            <w:tcW w:w="0" w:type="auto"/>
            <w:hideMark/>
          </w:tcPr>
          <w:p w14:paraId="14E143D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935</w:t>
            </w:r>
          </w:p>
        </w:tc>
        <w:tc>
          <w:tcPr>
            <w:tcW w:w="0" w:type="auto"/>
            <w:hideMark/>
          </w:tcPr>
          <w:p w14:paraId="20F3CDE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82,041</w:t>
            </w:r>
          </w:p>
        </w:tc>
        <w:tc>
          <w:tcPr>
            <w:tcW w:w="0" w:type="auto"/>
            <w:hideMark/>
          </w:tcPr>
          <w:p w14:paraId="442F892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43,153</w:t>
            </w:r>
          </w:p>
        </w:tc>
        <w:tc>
          <w:tcPr>
            <w:tcW w:w="0" w:type="auto"/>
            <w:hideMark/>
          </w:tcPr>
          <w:p w14:paraId="6EADCD1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11,323</w:t>
            </w:r>
          </w:p>
        </w:tc>
        <w:tc>
          <w:tcPr>
            <w:tcW w:w="0" w:type="auto"/>
            <w:hideMark/>
          </w:tcPr>
          <w:p w14:paraId="1CA224C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122,793</w:t>
            </w:r>
          </w:p>
        </w:tc>
        <w:tc>
          <w:tcPr>
            <w:tcW w:w="0" w:type="auto"/>
            <w:hideMark/>
          </w:tcPr>
          <w:p w14:paraId="136ABBE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41,888</w:t>
            </w:r>
          </w:p>
        </w:tc>
        <w:tc>
          <w:tcPr>
            <w:tcW w:w="0" w:type="auto"/>
            <w:hideMark/>
          </w:tcPr>
          <w:p w14:paraId="00B6F77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472,043</w:t>
            </w:r>
          </w:p>
        </w:tc>
      </w:tr>
      <w:tr w:rsidR="00EE19C2" w:rsidRPr="00374CC9" w14:paraId="389A498C" w14:textId="77777777" w:rsidTr="002510BB">
        <w:tblPrEx>
          <w:tblCellMar>
            <w:right w:w="108" w:type="dxa"/>
          </w:tblCellMar>
        </w:tblPrEx>
        <w:tc>
          <w:tcPr>
            <w:tcW w:w="0" w:type="auto"/>
            <w:shd w:val="clear" w:color="auto" w:fill="FDE9D9" w:themeFill="accent6" w:themeFillTint="33"/>
            <w:hideMark/>
          </w:tcPr>
          <w:p w14:paraId="12FB359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Total</w:t>
            </w:r>
          </w:p>
        </w:tc>
        <w:tc>
          <w:tcPr>
            <w:tcW w:w="0" w:type="auto"/>
            <w:shd w:val="clear" w:color="auto" w:fill="FDE9D9" w:themeFill="accent6" w:themeFillTint="33"/>
            <w:hideMark/>
          </w:tcPr>
          <w:p w14:paraId="4A429BC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391,030</w:t>
            </w:r>
          </w:p>
        </w:tc>
        <w:tc>
          <w:tcPr>
            <w:tcW w:w="0" w:type="auto"/>
            <w:shd w:val="clear" w:color="auto" w:fill="FDE9D9" w:themeFill="accent6" w:themeFillTint="33"/>
            <w:hideMark/>
          </w:tcPr>
          <w:p w14:paraId="785F004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7,619,442</w:t>
            </w:r>
          </w:p>
        </w:tc>
        <w:tc>
          <w:tcPr>
            <w:tcW w:w="0" w:type="auto"/>
            <w:shd w:val="clear" w:color="auto" w:fill="FDE9D9" w:themeFill="accent6" w:themeFillTint="33"/>
            <w:hideMark/>
          </w:tcPr>
          <w:p w14:paraId="6F9AB82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244,502</w:t>
            </w:r>
          </w:p>
        </w:tc>
        <w:tc>
          <w:tcPr>
            <w:tcW w:w="0" w:type="auto"/>
            <w:shd w:val="clear" w:color="auto" w:fill="FDE9D9" w:themeFill="accent6" w:themeFillTint="33"/>
            <w:hideMark/>
          </w:tcPr>
          <w:p w14:paraId="1D977C8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4,780,699</w:t>
            </w:r>
          </w:p>
        </w:tc>
        <w:tc>
          <w:tcPr>
            <w:tcW w:w="0" w:type="auto"/>
            <w:shd w:val="clear" w:color="auto" w:fill="FDE9D9" w:themeFill="accent6" w:themeFillTint="33"/>
            <w:hideMark/>
          </w:tcPr>
          <w:p w14:paraId="5790D7C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1,699,020</w:t>
            </w:r>
          </w:p>
        </w:tc>
        <w:tc>
          <w:tcPr>
            <w:tcW w:w="0" w:type="auto"/>
            <w:shd w:val="clear" w:color="auto" w:fill="FDE9D9" w:themeFill="accent6" w:themeFillTint="33"/>
            <w:hideMark/>
          </w:tcPr>
          <w:p w14:paraId="6AB1CDF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516,687</w:t>
            </w:r>
          </w:p>
        </w:tc>
        <w:tc>
          <w:tcPr>
            <w:tcW w:w="0" w:type="auto"/>
            <w:shd w:val="clear" w:color="auto" w:fill="FDE9D9" w:themeFill="accent6" w:themeFillTint="33"/>
            <w:hideMark/>
          </w:tcPr>
          <w:p w14:paraId="4238830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5,940,942</w:t>
            </w:r>
          </w:p>
        </w:tc>
        <w:tc>
          <w:tcPr>
            <w:tcW w:w="0" w:type="auto"/>
            <w:shd w:val="clear" w:color="auto" w:fill="FDE9D9" w:themeFill="accent6" w:themeFillTint="33"/>
            <w:hideMark/>
          </w:tcPr>
          <w:p w14:paraId="0D07AA1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2,590,561</w:t>
            </w:r>
          </w:p>
        </w:tc>
        <w:tc>
          <w:tcPr>
            <w:tcW w:w="0" w:type="auto"/>
            <w:shd w:val="clear" w:color="auto" w:fill="FDE9D9" w:themeFill="accent6" w:themeFillTint="33"/>
            <w:hideMark/>
          </w:tcPr>
          <w:p w14:paraId="7A15FD1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23,786,123</w:t>
            </w:r>
          </w:p>
        </w:tc>
      </w:tr>
    </w:tbl>
    <w:p w14:paraId="120447B8" w14:textId="77777777" w:rsidR="00BE61A2" w:rsidRPr="00AE2F1B" w:rsidRDefault="00BE61A2" w:rsidP="00AE2F1B">
      <w:r w:rsidRPr="00AE2F1B">
        <w:t> </w:t>
      </w:r>
    </w:p>
    <w:p w14:paraId="494018BD" w14:textId="77777777" w:rsidR="00BE61A2" w:rsidRPr="00AE2F1B" w:rsidRDefault="00785CC5" w:rsidP="00A76FEF">
      <w:pPr>
        <w:pStyle w:val="CDIfootnotes"/>
        <w:rPr>
          <w:rFonts w:eastAsia="Times New Roman"/>
        </w:rPr>
      </w:pPr>
      <w:r w:rsidRPr="00AE2F1B">
        <w:rPr>
          <w:rFonts w:eastAsia="Times New Roman"/>
        </w:rPr>
        <w:t>Source:</w:t>
      </w:r>
      <w:r w:rsidR="00BE61A2" w:rsidRPr="00AE2F1B">
        <w:rPr>
          <w:rFonts w:eastAsia="Times New Roman"/>
        </w:rPr>
        <w:t xml:space="preserve"> ABS 3101.0 Australian Demographic Statistics Tables, Dec 2015. </w:t>
      </w:r>
    </w:p>
    <w:p w14:paraId="3B01DBA9" w14:textId="77777777" w:rsidR="002510BB" w:rsidRDefault="002510BB" w:rsidP="00A76FEF">
      <w:pPr>
        <w:pStyle w:val="Heading2"/>
        <w:sectPr w:rsidR="002510BB" w:rsidSect="00D21CF0">
          <w:pgSz w:w="11906" w:h="16838"/>
          <w:pgMar w:top="720" w:right="720" w:bottom="1134" w:left="720" w:header="709" w:footer="284" w:gutter="0"/>
          <w:cols w:space="708"/>
          <w:titlePg/>
          <w:docGrid w:linePitch="360"/>
        </w:sectPr>
      </w:pPr>
    </w:p>
    <w:p w14:paraId="5154A36E" w14:textId="77777777" w:rsidR="00BE61A2" w:rsidRPr="00095AA3" w:rsidRDefault="00BE61A2" w:rsidP="00A76FEF">
      <w:pPr>
        <w:pStyle w:val="Heading2"/>
        <w:rPr>
          <w:rFonts w:eastAsiaTheme="minorEastAsia"/>
        </w:rPr>
      </w:pPr>
      <w:bookmarkStart w:id="259" w:name="_Toc1747413"/>
      <w:r w:rsidRPr="00095AA3">
        <w:lastRenderedPageBreak/>
        <w:t>Appendix 3</w:t>
      </w:r>
      <w:bookmarkEnd w:id="259"/>
    </w:p>
    <w:p w14:paraId="370EA647" w14:textId="77777777" w:rsidR="00BE61A2" w:rsidRPr="00AE2F1B" w:rsidRDefault="00BE61A2" w:rsidP="00A76FEF">
      <w:pPr>
        <w:pStyle w:val="CDIFigures"/>
      </w:pPr>
      <w:r w:rsidRPr="00924A50">
        <w:t>Indigenous status, National Notifiable Diseases Surveillance System, Australia, 2015, by notifiable disease</w:t>
      </w:r>
      <w:r w:rsidRPr="00924A50">
        <w:rPr>
          <w:vertAlign w:val="superscript"/>
        </w:rPr>
        <w:t>*</w:t>
      </w:r>
      <w:r w:rsidRPr="00AE2F1B">
        <w:t xml:space="preserve"> </w:t>
      </w:r>
    </w:p>
    <w:tbl>
      <w:tblPr>
        <w:tblStyle w:val="CDI-StandardTable"/>
        <w:tblW w:w="0" w:type="auto"/>
        <w:tblCellMar>
          <w:top w:w="142" w:type="dxa"/>
          <w:left w:w="142" w:type="dxa"/>
          <w:bottom w:w="142" w:type="dxa"/>
        </w:tblCellMar>
        <w:tblLook w:val="04A0" w:firstRow="1" w:lastRow="0" w:firstColumn="1" w:lastColumn="0" w:noHBand="0" w:noVBand="1"/>
        <w:tblDescription w:val="Indigenous status, National Notifiable Diseases Surveillance System, Australia, 2015, by notifiable disease* "/>
      </w:tblPr>
      <w:tblGrid>
        <w:gridCol w:w="2158"/>
        <w:gridCol w:w="1836"/>
        <w:gridCol w:w="1836"/>
        <w:gridCol w:w="1755"/>
        <w:gridCol w:w="1182"/>
        <w:gridCol w:w="907"/>
        <w:gridCol w:w="984"/>
        <w:gridCol w:w="844"/>
        <w:gridCol w:w="1017"/>
        <w:gridCol w:w="1162"/>
        <w:gridCol w:w="1303"/>
      </w:tblGrid>
      <w:tr w:rsidR="00BE61A2" w:rsidRPr="00374CC9" w14:paraId="6E66A80E" w14:textId="77777777" w:rsidTr="000A4FFE">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480DBA2C" w14:textId="77777777" w:rsidR="00BE61A2" w:rsidRPr="004B770F" w:rsidRDefault="00BE61A2">
            <w:pPr>
              <w:rPr>
                <w:rFonts w:eastAsia="Times New Roman"/>
                <w:b w:val="0"/>
                <w:color w:val="FFFFFF" w:themeColor="background1"/>
                <w:sz w:val="18"/>
                <w:szCs w:val="18"/>
              </w:rPr>
            </w:pPr>
            <w:r w:rsidRPr="004B770F">
              <w:rPr>
                <w:rFonts w:eastAsia="Times New Roman"/>
                <w:color w:val="FFFFFF" w:themeColor="background1"/>
                <w:sz w:val="18"/>
                <w:szCs w:val="18"/>
              </w:rPr>
              <w:t>Disease name</w:t>
            </w:r>
          </w:p>
        </w:tc>
        <w:tc>
          <w:tcPr>
            <w:tcW w:w="0" w:type="auto"/>
            <w:hideMark/>
          </w:tcPr>
          <w:p w14:paraId="51AC15A8"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Aboriginal but not Torres Strait Islander origin</w:t>
            </w:r>
          </w:p>
        </w:tc>
        <w:tc>
          <w:tcPr>
            <w:tcW w:w="0" w:type="auto"/>
            <w:hideMark/>
          </w:tcPr>
          <w:p w14:paraId="51C7A88B"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Torres Strait Islander but not Aboriginal origin</w:t>
            </w:r>
          </w:p>
        </w:tc>
        <w:tc>
          <w:tcPr>
            <w:tcW w:w="0" w:type="auto"/>
            <w:hideMark/>
          </w:tcPr>
          <w:p w14:paraId="7399C684"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Aboriginal and Torres Strait Islander origin</w:t>
            </w:r>
          </w:p>
        </w:tc>
        <w:tc>
          <w:tcPr>
            <w:tcW w:w="0" w:type="auto"/>
            <w:hideMark/>
          </w:tcPr>
          <w:p w14:paraId="6D61B6FA"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Not Indigenous</w:t>
            </w:r>
          </w:p>
        </w:tc>
        <w:tc>
          <w:tcPr>
            <w:tcW w:w="0" w:type="auto"/>
            <w:hideMark/>
          </w:tcPr>
          <w:p w14:paraId="58B58CEE"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Not stated</w:t>
            </w:r>
          </w:p>
        </w:tc>
        <w:tc>
          <w:tcPr>
            <w:tcW w:w="0" w:type="auto"/>
            <w:hideMark/>
          </w:tcPr>
          <w:p w14:paraId="47EC66E5"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Blank/ missing</w:t>
            </w:r>
          </w:p>
        </w:tc>
        <w:tc>
          <w:tcPr>
            <w:tcW w:w="0" w:type="auto"/>
            <w:hideMark/>
          </w:tcPr>
          <w:p w14:paraId="53343043"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Total</w:t>
            </w:r>
          </w:p>
        </w:tc>
        <w:tc>
          <w:tcPr>
            <w:tcW w:w="0" w:type="auto"/>
            <w:hideMark/>
          </w:tcPr>
          <w:p w14:paraId="142C68B6"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 complete</w:t>
            </w:r>
          </w:p>
        </w:tc>
        <w:tc>
          <w:tcPr>
            <w:tcW w:w="0" w:type="auto"/>
            <w:hideMark/>
          </w:tcPr>
          <w:p w14:paraId="06B9D6F4"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Number complete</w:t>
            </w:r>
          </w:p>
        </w:tc>
        <w:tc>
          <w:tcPr>
            <w:tcW w:w="0" w:type="auto"/>
            <w:hideMark/>
          </w:tcPr>
          <w:p w14:paraId="2277F109" w14:textId="77777777" w:rsidR="00BE61A2" w:rsidRPr="004B770F" w:rsidRDefault="00BE61A2">
            <w:pPr>
              <w:rPr>
                <w:rFonts w:eastAsia="Times New Roman"/>
                <w:color w:val="FFFFFF" w:themeColor="background1"/>
                <w:sz w:val="18"/>
                <w:szCs w:val="18"/>
              </w:rPr>
            </w:pPr>
            <w:r w:rsidRPr="004B770F">
              <w:rPr>
                <w:rFonts w:eastAsia="Times New Roman"/>
                <w:color w:val="FFFFFF" w:themeColor="background1"/>
                <w:sz w:val="18"/>
                <w:szCs w:val="18"/>
              </w:rPr>
              <w:t>Number incomplete</w:t>
            </w:r>
          </w:p>
        </w:tc>
      </w:tr>
      <w:tr w:rsidR="00BE61A2" w:rsidRPr="00374CC9" w14:paraId="0E3C8E16" w14:textId="77777777" w:rsidTr="000A4FFE">
        <w:tblPrEx>
          <w:tblCellMar>
            <w:right w:w="108" w:type="dxa"/>
          </w:tblCellMar>
        </w:tblPrEx>
        <w:tc>
          <w:tcPr>
            <w:tcW w:w="0" w:type="auto"/>
            <w:hideMark/>
          </w:tcPr>
          <w:p w14:paraId="734A0D5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Barmah Forest virus infection</w:t>
            </w:r>
          </w:p>
        </w:tc>
        <w:tc>
          <w:tcPr>
            <w:tcW w:w="0" w:type="auto"/>
            <w:hideMark/>
          </w:tcPr>
          <w:p w14:paraId="7AEF480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w:t>
            </w:r>
          </w:p>
        </w:tc>
        <w:tc>
          <w:tcPr>
            <w:tcW w:w="0" w:type="auto"/>
            <w:hideMark/>
          </w:tcPr>
          <w:p w14:paraId="48AB2B0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99DA5F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5FF413E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156</w:t>
            </w:r>
          </w:p>
        </w:tc>
        <w:tc>
          <w:tcPr>
            <w:tcW w:w="0" w:type="auto"/>
            <w:hideMark/>
          </w:tcPr>
          <w:p w14:paraId="31AD2AD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321</w:t>
            </w:r>
          </w:p>
        </w:tc>
        <w:tc>
          <w:tcPr>
            <w:tcW w:w="0" w:type="auto"/>
            <w:hideMark/>
          </w:tcPr>
          <w:p w14:paraId="5B5229D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142</w:t>
            </w:r>
          </w:p>
        </w:tc>
        <w:tc>
          <w:tcPr>
            <w:tcW w:w="0" w:type="auto"/>
            <w:hideMark/>
          </w:tcPr>
          <w:p w14:paraId="7A1CEB5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628</w:t>
            </w:r>
          </w:p>
        </w:tc>
        <w:tc>
          <w:tcPr>
            <w:tcW w:w="0" w:type="auto"/>
            <w:hideMark/>
          </w:tcPr>
          <w:p w14:paraId="427E0DB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26</w:t>
            </w:r>
          </w:p>
        </w:tc>
        <w:tc>
          <w:tcPr>
            <w:tcW w:w="0" w:type="auto"/>
            <w:hideMark/>
          </w:tcPr>
          <w:p w14:paraId="78E1623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165</w:t>
            </w:r>
          </w:p>
        </w:tc>
        <w:tc>
          <w:tcPr>
            <w:tcW w:w="0" w:type="auto"/>
            <w:hideMark/>
          </w:tcPr>
          <w:p w14:paraId="798213B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463</w:t>
            </w:r>
          </w:p>
        </w:tc>
      </w:tr>
      <w:tr w:rsidR="00BE61A2" w:rsidRPr="00374CC9" w14:paraId="4A6B4683"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42393A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Botulism</w:t>
            </w:r>
          </w:p>
        </w:tc>
        <w:tc>
          <w:tcPr>
            <w:tcW w:w="0" w:type="auto"/>
            <w:hideMark/>
          </w:tcPr>
          <w:p w14:paraId="23E4F15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210C92B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7A65621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1E706CD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0" w:type="auto"/>
            <w:hideMark/>
          </w:tcPr>
          <w:p w14:paraId="5A0B2F6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7A26FD2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4C9ABF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0" w:type="auto"/>
            <w:hideMark/>
          </w:tcPr>
          <w:p w14:paraId="07D7CA0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0" w:type="auto"/>
            <w:hideMark/>
          </w:tcPr>
          <w:p w14:paraId="7C6E1C1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0" w:type="auto"/>
            <w:hideMark/>
          </w:tcPr>
          <w:p w14:paraId="2738D5B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r>
      <w:tr w:rsidR="00BE61A2" w:rsidRPr="00374CC9" w14:paraId="7E427BBA" w14:textId="77777777" w:rsidTr="000A4FFE">
        <w:tblPrEx>
          <w:tblCellMar>
            <w:right w:w="108" w:type="dxa"/>
          </w:tblCellMar>
        </w:tblPrEx>
        <w:tc>
          <w:tcPr>
            <w:tcW w:w="0" w:type="auto"/>
            <w:hideMark/>
          </w:tcPr>
          <w:p w14:paraId="107CED8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Brucellosis</w:t>
            </w:r>
          </w:p>
        </w:tc>
        <w:tc>
          <w:tcPr>
            <w:tcW w:w="0" w:type="auto"/>
            <w:hideMark/>
          </w:tcPr>
          <w:p w14:paraId="23B20B8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0070CA3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020AF5E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798868C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17</w:t>
            </w:r>
          </w:p>
        </w:tc>
        <w:tc>
          <w:tcPr>
            <w:tcW w:w="0" w:type="auto"/>
            <w:hideMark/>
          </w:tcPr>
          <w:p w14:paraId="0129433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2703A1A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515DE20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19</w:t>
            </w:r>
          </w:p>
        </w:tc>
        <w:tc>
          <w:tcPr>
            <w:tcW w:w="0" w:type="auto"/>
            <w:hideMark/>
          </w:tcPr>
          <w:p w14:paraId="19B61CA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95</w:t>
            </w:r>
          </w:p>
        </w:tc>
        <w:tc>
          <w:tcPr>
            <w:tcW w:w="0" w:type="auto"/>
            <w:hideMark/>
          </w:tcPr>
          <w:p w14:paraId="7A74E6B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18</w:t>
            </w:r>
          </w:p>
        </w:tc>
        <w:tc>
          <w:tcPr>
            <w:tcW w:w="0" w:type="auto"/>
            <w:hideMark/>
          </w:tcPr>
          <w:p w14:paraId="71C3C3F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r>
      <w:tr w:rsidR="00BE61A2" w:rsidRPr="00374CC9" w14:paraId="4573596D"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7917F0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Campylobacteriosis</w:t>
            </w:r>
          </w:p>
        </w:tc>
        <w:tc>
          <w:tcPr>
            <w:tcW w:w="0" w:type="auto"/>
            <w:hideMark/>
          </w:tcPr>
          <w:p w14:paraId="03C36ED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342</w:t>
            </w:r>
          </w:p>
        </w:tc>
        <w:tc>
          <w:tcPr>
            <w:tcW w:w="0" w:type="auto"/>
            <w:hideMark/>
          </w:tcPr>
          <w:p w14:paraId="7B7FD72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w:t>
            </w:r>
          </w:p>
        </w:tc>
        <w:tc>
          <w:tcPr>
            <w:tcW w:w="0" w:type="auto"/>
            <w:hideMark/>
          </w:tcPr>
          <w:p w14:paraId="726E54C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31</w:t>
            </w:r>
          </w:p>
        </w:tc>
        <w:tc>
          <w:tcPr>
            <w:tcW w:w="0" w:type="auto"/>
            <w:hideMark/>
          </w:tcPr>
          <w:p w14:paraId="0DB72D2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10,599</w:t>
            </w:r>
          </w:p>
        </w:tc>
        <w:tc>
          <w:tcPr>
            <w:tcW w:w="0" w:type="auto"/>
            <w:hideMark/>
          </w:tcPr>
          <w:p w14:paraId="474B5F4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11,163</w:t>
            </w:r>
          </w:p>
        </w:tc>
        <w:tc>
          <w:tcPr>
            <w:tcW w:w="0" w:type="auto"/>
            <w:hideMark/>
          </w:tcPr>
          <w:p w14:paraId="3192C5D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418</w:t>
            </w:r>
          </w:p>
        </w:tc>
        <w:tc>
          <w:tcPr>
            <w:tcW w:w="0" w:type="auto"/>
            <w:hideMark/>
          </w:tcPr>
          <w:p w14:paraId="66BB9E0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22,573</w:t>
            </w:r>
          </w:p>
        </w:tc>
        <w:tc>
          <w:tcPr>
            <w:tcW w:w="0" w:type="auto"/>
            <w:hideMark/>
          </w:tcPr>
          <w:p w14:paraId="46AAF1E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49</w:t>
            </w:r>
          </w:p>
        </w:tc>
        <w:tc>
          <w:tcPr>
            <w:tcW w:w="0" w:type="auto"/>
            <w:hideMark/>
          </w:tcPr>
          <w:p w14:paraId="270EDF9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10,992</w:t>
            </w:r>
          </w:p>
        </w:tc>
        <w:tc>
          <w:tcPr>
            <w:tcW w:w="0" w:type="auto"/>
            <w:hideMark/>
          </w:tcPr>
          <w:p w14:paraId="00A4984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11,581</w:t>
            </w:r>
          </w:p>
        </w:tc>
      </w:tr>
      <w:tr w:rsidR="00BE61A2" w:rsidRPr="00374CC9" w14:paraId="15BC8717" w14:textId="77777777" w:rsidTr="000A4FFE">
        <w:tblPrEx>
          <w:tblCellMar>
            <w:right w:w="108" w:type="dxa"/>
          </w:tblCellMar>
        </w:tblPrEx>
        <w:tc>
          <w:tcPr>
            <w:tcW w:w="0" w:type="auto"/>
            <w:hideMark/>
          </w:tcPr>
          <w:p w14:paraId="753A7ED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Chikungunya virus infection</w:t>
            </w:r>
          </w:p>
        </w:tc>
        <w:tc>
          <w:tcPr>
            <w:tcW w:w="0" w:type="auto"/>
            <w:hideMark/>
          </w:tcPr>
          <w:p w14:paraId="6020038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4733FF3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30D31BD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2DE0547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82</w:t>
            </w:r>
          </w:p>
        </w:tc>
        <w:tc>
          <w:tcPr>
            <w:tcW w:w="0" w:type="auto"/>
            <w:hideMark/>
          </w:tcPr>
          <w:p w14:paraId="1215EE2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24</w:t>
            </w:r>
          </w:p>
        </w:tc>
        <w:tc>
          <w:tcPr>
            <w:tcW w:w="0" w:type="auto"/>
            <w:hideMark/>
          </w:tcPr>
          <w:p w14:paraId="6E5EA84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0" w:type="auto"/>
            <w:hideMark/>
          </w:tcPr>
          <w:p w14:paraId="406AC8F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110</w:t>
            </w:r>
          </w:p>
        </w:tc>
        <w:tc>
          <w:tcPr>
            <w:tcW w:w="0" w:type="auto"/>
            <w:hideMark/>
          </w:tcPr>
          <w:p w14:paraId="5BAD956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76</w:t>
            </w:r>
          </w:p>
        </w:tc>
        <w:tc>
          <w:tcPr>
            <w:tcW w:w="0" w:type="auto"/>
            <w:hideMark/>
          </w:tcPr>
          <w:p w14:paraId="2D49AE8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83</w:t>
            </w:r>
          </w:p>
        </w:tc>
        <w:tc>
          <w:tcPr>
            <w:tcW w:w="0" w:type="auto"/>
            <w:hideMark/>
          </w:tcPr>
          <w:p w14:paraId="7EB8E1D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27</w:t>
            </w:r>
          </w:p>
        </w:tc>
      </w:tr>
      <w:tr w:rsidR="00BE61A2" w:rsidRPr="00374CC9" w14:paraId="0DEC72E2"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C97479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Chlamydial infection</w:t>
            </w:r>
          </w:p>
        </w:tc>
        <w:tc>
          <w:tcPr>
            <w:tcW w:w="0" w:type="auto"/>
            <w:hideMark/>
          </w:tcPr>
          <w:p w14:paraId="52A305B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5,315</w:t>
            </w:r>
          </w:p>
        </w:tc>
        <w:tc>
          <w:tcPr>
            <w:tcW w:w="0" w:type="auto"/>
            <w:hideMark/>
          </w:tcPr>
          <w:p w14:paraId="531FE40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815</w:t>
            </w:r>
          </w:p>
        </w:tc>
        <w:tc>
          <w:tcPr>
            <w:tcW w:w="0" w:type="auto"/>
            <w:hideMark/>
          </w:tcPr>
          <w:p w14:paraId="097B952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360</w:t>
            </w:r>
          </w:p>
        </w:tc>
        <w:tc>
          <w:tcPr>
            <w:tcW w:w="0" w:type="auto"/>
            <w:hideMark/>
          </w:tcPr>
          <w:p w14:paraId="6515738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25,557</w:t>
            </w:r>
          </w:p>
        </w:tc>
        <w:tc>
          <w:tcPr>
            <w:tcW w:w="0" w:type="auto"/>
            <w:hideMark/>
          </w:tcPr>
          <w:p w14:paraId="02FEAA2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18,229</w:t>
            </w:r>
          </w:p>
        </w:tc>
        <w:tc>
          <w:tcPr>
            <w:tcW w:w="0" w:type="auto"/>
            <w:hideMark/>
          </w:tcPr>
          <w:p w14:paraId="7ED2BAB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21,987</w:t>
            </w:r>
          </w:p>
        </w:tc>
        <w:tc>
          <w:tcPr>
            <w:tcW w:w="0" w:type="auto"/>
            <w:hideMark/>
          </w:tcPr>
          <w:p w14:paraId="7552C85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72,263</w:t>
            </w:r>
          </w:p>
        </w:tc>
        <w:tc>
          <w:tcPr>
            <w:tcW w:w="0" w:type="auto"/>
            <w:hideMark/>
          </w:tcPr>
          <w:p w14:paraId="03DBAC5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44</w:t>
            </w:r>
          </w:p>
        </w:tc>
        <w:tc>
          <w:tcPr>
            <w:tcW w:w="0" w:type="auto"/>
            <w:hideMark/>
          </w:tcPr>
          <w:p w14:paraId="1D6E274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32,047</w:t>
            </w:r>
          </w:p>
        </w:tc>
        <w:tc>
          <w:tcPr>
            <w:tcW w:w="0" w:type="auto"/>
            <w:hideMark/>
          </w:tcPr>
          <w:p w14:paraId="25E644D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40,216</w:t>
            </w:r>
          </w:p>
        </w:tc>
      </w:tr>
      <w:tr w:rsidR="00BE61A2" w:rsidRPr="00374CC9" w14:paraId="1D63E4F7" w14:textId="77777777" w:rsidTr="000A4FFE">
        <w:tblPrEx>
          <w:tblCellMar>
            <w:right w:w="108" w:type="dxa"/>
          </w:tblCellMar>
        </w:tblPrEx>
        <w:tc>
          <w:tcPr>
            <w:tcW w:w="0" w:type="auto"/>
            <w:hideMark/>
          </w:tcPr>
          <w:p w14:paraId="42FFFC1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Cholera</w:t>
            </w:r>
          </w:p>
        </w:tc>
        <w:tc>
          <w:tcPr>
            <w:tcW w:w="0" w:type="auto"/>
            <w:hideMark/>
          </w:tcPr>
          <w:p w14:paraId="71774D8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08E63D5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03CAF6E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1C6F221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6E7C615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34B01AC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300370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1A4B251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0" w:type="auto"/>
            <w:hideMark/>
          </w:tcPr>
          <w:p w14:paraId="4FDAA34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11B6659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r>
      <w:tr w:rsidR="00BE61A2" w:rsidRPr="00374CC9" w14:paraId="1246980A"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C53976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Cryptosporidiosis</w:t>
            </w:r>
          </w:p>
        </w:tc>
        <w:tc>
          <w:tcPr>
            <w:tcW w:w="0" w:type="auto"/>
            <w:hideMark/>
          </w:tcPr>
          <w:p w14:paraId="4DE4CCD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174</w:t>
            </w:r>
          </w:p>
        </w:tc>
        <w:tc>
          <w:tcPr>
            <w:tcW w:w="0" w:type="auto"/>
            <w:hideMark/>
          </w:tcPr>
          <w:p w14:paraId="5D9366A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7AD66CA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w:t>
            </w:r>
          </w:p>
        </w:tc>
        <w:tc>
          <w:tcPr>
            <w:tcW w:w="0" w:type="auto"/>
            <w:hideMark/>
          </w:tcPr>
          <w:p w14:paraId="0F14691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2,012</w:t>
            </w:r>
          </w:p>
        </w:tc>
        <w:tc>
          <w:tcPr>
            <w:tcW w:w="0" w:type="auto"/>
            <w:hideMark/>
          </w:tcPr>
          <w:p w14:paraId="1D115AF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1,512</w:t>
            </w:r>
          </w:p>
        </w:tc>
        <w:tc>
          <w:tcPr>
            <w:tcW w:w="0" w:type="auto"/>
            <w:hideMark/>
          </w:tcPr>
          <w:p w14:paraId="3DDBC95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355</w:t>
            </w:r>
          </w:p>
        </w:tc>
        <w:tc>
          <w:tcPr>
            <w:tcW w:w="0" w:type="auto"/>
            <w:hideMark/>
          </w:tcPr>
          <w:p w14:paraId="33C7E20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4,064</w:t>
            </w:r>
          </w:p>
        </w:tc>
        <w:tc>
          <w:tcPr>
            <w:tcW w:w="0" w:type="auto"/>
            <w:hideMark/>
          </w:tcPr>
          <w:p w14:paraId="1635FA3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54</w:t>
            </w:r>
          </w:p>
        </w:tc>
        <w:tc>
          <w:tcPr>
            <w:tcW w:w="0" w:type="auto"/>
            <w:hideMark/>
          </w:tcPr>
          <w:p w14:paraId="2FCCA5C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2,197</w:t>
            </w:r>
          </w:p>
        </w:tc>
        <w:tc>
          <w:tcPr>
            <w:tcW w:w="0" w:type="auto"/>
            <w:hideMark/>
          </w:tcPr>
          <w:p w14:paraId="5900E46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1,867</w:t>
            </w:r>
          </w:p>
        </w:tc>
      </w:tr>
      <w:tr w:rsidR="00BE61A2" w:rsidRPr="00374CC9" w14:paraId="22A63FCC" w14:textId="77777777" w:rsidTr="000A4FFE">
        <w:tblPrEx>
          <w:tblCellMar>
            <w:right w:w="108" w:type="dxa"/>
          </w:tblCellMar>
        </w:tblPrEx>
        <w:tc>
          <w:tcPr>
            <w:tcW w:w="0" w:type="auto"/>
            <w:hideMark/>
          </w:tcPr>
          <w:p w14:paraId="3943649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Dengue virus infection</w:t>
            </w:r>
          </w:p>
        </w:tc>
        <w:tc>
          <w:tcPr>
            <w:tcW w:w="0" w:type="auto"/>
            <w:hideMark/>
          </w:tcPr>
          <w:p w14:paraId="6976CE1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12</w:t>
            </w:r>
          </w:p>
        </w:tc>
        <w:tc>
          <w:tcPr>
            <w:tcW w:w="0" w:type="auto"/>
            <w:hideMark/>
          </w:tcPr>
          <w:p w14:paraId="0DCD556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1950F18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0" w:type="auto"/>
            <w:hideMark/>
          </w:tcPr>
          <w:p w14:paraId="514DD37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1,437</w:t>
            </w:r>
          </w:p>
        </w:tc>
        <w:tc>
          <w:tcPr>
            <w:tcW w:w="0" w:type="auto"/>
            <w:hideMark/>
          </w:tcPr>
          <w:p w14:paraId="31B5F11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209</w:t>
            </w:r>
          </w:p>
        </w:tc>
        <w:tc>
          <w:tcPr>
            <w:tcW w:w="0" w:type="auto"/>
            <w:hideMark/>
          </w:tcPr>
          <w:p w14:paraId="2BEDF08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52</w:t>
            </w:r>
          </w:p>
        </w:tc>
        <w:tc>
          <w:tcPr>
            <w:tcW w:w="0" w:type="auto"/>
            <w:hideMark/>
          </w:tcPr>
          <w:p w14:paraId="6231D66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1,714</w:t>
            </w:r>
          </w:p>
        </w:tc>
        <w:tc>
          <w:tcPr>
            <w:tcW w:w="0" w:type="auto"/>
            <w:hideMark/>
          </w:tcPr>
          <w:p w14:paraId="2CFAA8A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85</w:t>
            </w:r>
          </w:p>
        </w:tc>
        <w:tc>
          <w:tcPr>
            <w:tcW w:w="0" w:type="auto"/>
            <w:hideMark/>
          </w:tcPr>
          <w:p w14:paraId="2723C3F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1,453</w:t>
            </w:r>
          </w:p>
        </w:tc>
        <w:tc>
          <w:tcPr>
            <w:tcW w:w="0" w:type="auto"/>
            <w:hideMark/>
          </w:tcPr>
          <w:p w14:paraId="22228DC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261</w:t>
            </w:r>
          </w:p>
        </w:tc>
      </w:tr>
      <w:tr w:rsidR="00BE61A2" w:rsidRPr="00374CC9" w14:paraId="3BAFC4FE"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EEA3E8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Diphtheria</w:t>
            </w:r>
          </w:p>
        </w:tc>
        <w:tc>
          <w:tcPr>
            <w:tcW w:w="0" w:type="auto"/>
            <w:hideMark/>
          </w:tcPr>
          <w:p w14:paraId="5B6E0E4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28265A9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626F01F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57AA4A4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3AF0437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2E58CC2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1F9CB62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5A05DD8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0" w:type="auto"/>
            <w:hideMark/>
          </w:tcPr>
          <w:p w14:paraId="2E103D3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4009312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r>
      <w:tr w:rsidR="00BE61A2" w:rsidRPr="00374CC9" w14:paraId="26064769" w14:textId="77777777" w:rsidTr="000A4FFE">
        <w:tblPrEx>
          <w:tblCellMar>
            <w:right w:w="108" w:type="dxa"/>
          </w:tblCellMar>
        </w:tblPrEx>
        <w:tc>
          <w:tcPr>
            <w:tcW w:w="0" w:type="auto"/>
            <w:hideMark/>
          </w:tcPr>
          <w:p w14:paraId="6125089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Flavivirus infection (unspecified)</w:t>
            </w:r>
          </w:p>
        </w:tc>
        <w:tc>
          <w:tcPr>
            <w:tcW w:w="0" w:type="auto"/>
            <w:hideMark/>
          </w:tcPr>
          <w:p w14:paraId="64C8155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AE6E40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36C68FF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7A8E1C8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w:t>
            </w:r>
          </w:p>
        </w:tc>
        <w:tc>
          <w:tcPr>
            <w:tcW w:w="0" w:type="auto"/>
            <w:hideMark/>
          </w:tcPr>
          <w:p w14:paraId="38E9FF9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0" w:type="auto"/>
            <w:hideMark/>
          </w:tcPr>
          <w:p w14:paraId="03FE86A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56800C0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12</w:t>
            </w:r>
          </w:p>
        </w:tc>
        <w:tc>
          <w:tcPr>
            <w:tcW w:w="0" w:type="auto"/>
            <w:hideMark/>
          </w:tcPr>
          <w:p w14:paraId="095B640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75</w:t>
            </w:r>
          </w:p>
        </w:tc>
        <w:tc>
          <w:tcPr>
            <w:tcW w:w="0" w:type="auto"/>
            <w:hideMark/>
          </w:tcPr>
          <w:p w14:paraId="121A474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w:t>
            </w:r>
          </w:p>
        </w:tc>
        <w:tc>
          <w:tcPr>
            <w:tcW w:w="0" w:type="auto"/>
            <w:hideMark/>
          </w:tcPr>
          <w:p w14:paraId="152E232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r>
      <w:tr w:rsidR="00BE61A2" w:rsidRPr="00374CC9" w14:paraId="78C60099"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9EE573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Gonococcal infection</w:t>
            </w:r>
          </w:p>
        </w:tc>
        <w:tc>
          <w:tcPr>
            <w:tcW w:w="0" w:type="auto"/>
            <w:hideMark/>
          </w:tcPr>
          <w:p w14:paraId="2795C60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3,126</w:t>
            </w:r>
          </w:p>
        </w:tc>
        <w:tc>
          <w:tcPr>
            <w:tcW w:w="0" w:type="auto"/>
            <w:hideMark/>
          </w:tcPr>
          <w:p w14:paraId="37DAF8F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266</w:t>
            </w:r>
          </w:p>
        </w:tc>
        <w:tc>
          <w:tcPr>
            <w:tcW w:w="0" w:type="auto"/>
            <w:hideMark/>
          </w:tcPr>
          <w:p w14:paraId="668D462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114</w:t>
            </w:r>
          </w:p>
        </w:tc>
        <w:tc>
          <w:tcPr>
            <w:tcW w:w="0" w:type="auto"/>
            <w:hideMark/>
          </w:tcPr>
          <w:p w14:paraId="54C9827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8,324</w:t>
            </w:r>
          </w:p>
        </w:tc>
        <w:tc>
          <w:tcPr>
            <w:tcW w:w="0" w:type="auto"/>
            <w:hideMark/>
          </w:tcPr>
          <w:p w14:paraId="519ED47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4,161</w:t>
            </w:r>
          </w:p>
        </w:tc>
        <w:tc>
          <w:tcPr>
            <w:tcW w:w="0" w:type="auto"/>
            <w:hideMark/>
          </w:tcPr>
          <w:p w14:paraId="5549ACC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2,559</w:t>
            </w:r>
          </w:p>
        </w:tc>
        <w:tc>
          <w:tcPr>
            <w:tcW w:w="0" w:type="auto"/>
            <w:hideMark/>
          </w:tcPr>
          <w:p w14:paraId="0676161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18,550</w:t>
            </w:r>
          </w:p>
        </w:tc>
        <w:tc>
          <w:tcPr>
            <w:tcW w:w="0" w:type="auto"/>
            <w:hideMark/>
          </w:tcPr>
          <w:p w14:paraId="7B39B13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64</w:t>
            </w:r>
          </w:p>
        </w:tc>
        <w:tc>
          <w:tcPr>
            <w:tcW w:w="0" w:type="auto"/>
            <w:hideMark/>
          </w:tcPr>
          <w:p w14:paraId="6F4F79E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11,830</w:t>
            </w:r>
          </w:p>
        </w:tc>
        <w:tc>
          <w:tcPr>
            <w:tcW w:w="0" w:type="auto"/>
            <w:hideMark/>
          </w:tcPr>
          <w:p w14:paraId="5705136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6,720</w:t>
            </w:r>
          </w:p>
        </w:tc>
      </w:tr>
      <w:tr w:rsidR="00BE61A2" w:rsidRPr="00374CC9" w14:paraId="74E2FA84" w14:textId="77777777" w:rsidTr="000A4FFE">
        <w:tblPrEx>
          <w:tblCellMar>
            <w:right w:w="108" w:type="dxa"/>
          </w:tblCellMar>
        </w:tblPrEx>
        <w:tc>
          <w:tcPr>
            <w:tcW w:w="0" w:type="auto"/>
            <w:hideMark/>
          </w:tcPr>
          <w:p w14:paraId="5F11F7E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Haemolytic uraemic syndrome (HUS)</w:t>
            </w:r>
          </w:p>
        </w:tc>
        <w:tc>
          <w:tcPr>
            <w:tcW w:w="0" w:type="auto"/>
            <w:hideMark/>
          </w:tcPr>
          <w:p w14:paraId="4F60186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34943BA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35C207A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FAD820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16</w:t>
            </w:r>
          </w:p>
        </w:tc>
        <w:tc>
          <w:tcPr>
            <w:tcW w:w="0" w:type="auto"/>
            <w:hideMark/>
          </w:tcPr>
          <w:p w14:paraId="6E61AB3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33F16B9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FBA46C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18</w:t>
            </w:r>
          </w:p>
        </w:tc>
        <w:tc>
          <w:tcPr>
            <w:tcW w:w="0" w:type="auto"/>
            <w:hideMark/>
          </w:tcPr>
          <w:p w14:paraId="3839BA2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89</w:t>
            </w:r>
          </w:p>
        </w:tc>
        <w:tc>
          <w:tcPr>
            <w:tcW w:w="0" w:type="auto"/>
            <w:hideMark/>
          </w:tcPr>
          <w:p w14:paraId="19A721B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16</w:t>
            </w:r>
          </w:p>
        </w:tc>
        <w:tc>
          <w:tcPr>
            <w:tcW w:w="0" w:type="auto"/>
            <w:hideMark/>
          </w:tcPr>
          <w:p w14:paraId="3BC44DA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r>
      <w:tr w:rsidR="00BE61A2" w:rsidRPr="00374CC9" w14:paraId="5DB38CA1"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2B1A2C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lastRenderedPageBreak/>
              <w:t>Haemophilus influenzae type b</w:t>
            </w:r>
          </w:p>
        </w:tc>
        <w:tc>
          <w:tcPr>
            <w:tcW w:w="0" w:type="auto"/>
            <w:hideMark/>
          </w:tcPr>
          <w:p w14:paraId="33BE537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0" w:type="auto"/>
            <w:hideMark/>
          </w:tcPr>
          <w:p w14:paraId="27956F7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2AE1597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2232A13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13</w:t>
            </w:r>
          </w:p>
        </w:tc>
        <w:tc>
          <w:tcPr>
            <w:tcW w:w="0" w:type="auto"/>
            <w:hideMark/>
          </w:tcPr>
          <w:p w14:paraId="0B5EC90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E526DB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B48592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16</w:t>
            </w:r>
          </w:p>
        </w:tc>
        <w:tc>
          <w:tcPr>
            <w:tcW w:w="0" w:type="auto"/>
            <w:hideMark/>
          </w:tcPr>
          <w:p w14:paraId="31910C2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0" w:type="auto"/>
            <w:hideMark/>
          </w:tcPr>
          <w:p w14:paraId="248D007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16</w:t>
            </w:r>
          </w:p>
        </w:tc>
        <w:tc>
          <w:tcPr>
            <w:tcW w:w="0" w:type="auto"/>
            <w:hideMark/>
          </w:tcPr>
          <w:p w14:paraId="505811E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r>
      <w:tr w:rsidR="00BE61A2" w:rsidRPr="00374CC9" w14:paraId="32DF9F78" w14:textId="77777777" w:rsidTr="000A4FFE">
        <w:tblPrEx>
          <w:tblCellMar>
            <w:right w:w="108" w:type="dxa"/>
          </w:tblCellMar>
        </w:tblPrEx>
        <w:tc>
          <w:tcPr>
            <w:tcW w:w="0" w:type="auto"/>
            <w:hideMark/>
          </w:tcPr>
          <w:p w14:paraId="4C26E1C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Hepatitis A</w:t>
            </w:r>
          </w:p>
        </w:tc>
        <w:tc>
          <w:tcPr>
            <w:tcW w:w="0" w:type="auto"/>
            <w:hideMark/>
          </w:tcPr>
          <w:p w14:paraId="0AB0F26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4150221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3A38FA4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36E5CCB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169</w:t>
            </w:r>
          </w:p>
        </w:tc>
        <w:tc>
          <w:tcPr>
            <w:tcW w:w="0" w:type="auto"/>
            <w:hideMark/>
          </w:tcPr>
          <w:p w14:paraId="28EC0D7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w:t>
            </w:r>
          </w:p>
        </w:tc>
        <w:tc>
          <w:tcPr>
            <w:tcW w:w="0" w:type="auto"/>
            <w:hideMark/>
          </w:tcPr>
          <w:p w14:paraId="02CD0E1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0FA2078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178</w:t>
            </w:r>
          </w:p>
        </w:tc>
        <w:tc>
          <w:tcPr>
            <w:tcW w:w="0" w:type="auto"/>
            <w:hideMark/>
          </w:tcPr>
          <w:p w14:paraId="5607C65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97</w:t>
            </w:r>
          </w:p>
        </w:tc>
        <w:tc>
          <w:tcPr>
            <w:tcW w:w="0" w:type="auto"/>
            <w:hideMark/>
          </w:tcPr>
          <w:p w14:paraId="0350277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173</w:t>
            </w:r>
          </w:p>
        </w:tc>
        <w:tc>
          <w:tcPr>
            <w:tcW w:w="0" w:type="auto"/>
            <w:hideMark/>
          </w:tcPr>
          <w:p w14:paraId="3505998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w:t>
            </w:r>
          </w:p>
        </w:tc>
      </w:tr>
      <w:tr w:rsidR="00BE61A2" w:rsidRPr="00374CC9" w14:paraId="3F6475EC"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7F59DC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Hepatitis B (newly acquired)</w:t>
            </w:r>
          </w:p>
        </w:tc>
        <w:tc>
          <w:tcPr>
            <w:tcW w:w="0" w:type="auto"/>
            <w:hideMark/>
          </w:tcPr>
          <w:p w14:paraId="34B1C2D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13</w:t>
            </w:r>
          </w:p>
        </w:tc>
        <w:tc>
          <w:tcPr>
            <w:tcW w:w="0" w:type="auto"/>
            <w:hideMark/>
          </w:tcPr>
          <w:p w14:paraId="228B8D4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5EB72C2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3426258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115</w:t>
            </w:r>
          </w:p>
        </w:tc>
        <w:tc>
          <w:tcPr>
            <w:tcW w:w="0" w:type="auto"/>
            <w:hideMark/>
          </w:tcPr>
          <w:p w14:paraId="367A262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w:t>
            </w:r>
          </w:p>
        </w:tc>
        <w:tc>
          <w:tcPr>
            <w:tcW w:w="0" w:type="auto"/>
            <w:hideMark/>
          </w:tcPr>
          <w:p w14:paraId="0715660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5AF8E50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140</w:t>
            </w:r>
          </w:p>
        </w:tc>
        <w:tc>
          <w:tcPr>
            <w:tcW w:w="0" w:type="auto"/>
            <w:hideMark/>
          </w:tcPr>
          <w:p w14:paraId="197805E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93</w:t>
            </w:r>
          </w:p>
        </w:tc>
        <w:tc>
          <w:tcPr>
            <w:tcW w:w="0" w:type="auto"/>
            <w:hideMark/>
          </w:tcPr>
          <w:p w14:paraId="2C8660A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130</w:t>
            </w:r>
          </w:p>
        </w:tc>
        <w:tc>
          <w:tcPr>
            <w:tcW w:w="0" w:type="auto"/>
            <w:hideMark/>
          </w:tcPr>
          <w:p w14:paraId="3A35DCC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w:t>
            </w:r>
          </w:p>
        </w:tc>
      </w:tr>
      <w:tr w:rsidR="00BE61A2" w:rsidRPr="00374CC9" w14:paraId="38968FD5" w14:textId="77777777" w:rsidTr="000A4FFE">
        <w:tblPrEx>
          <w:tblCellMar>
            <w:right w:w="108" w:type="dxa"/>
          </w:tblCellMar>
        </w:tblPrEx>
        <w:tc>
          <w:tcPr>
            <w:tcW w:w="0" w:type="auto"/>
            <w:hideMark/>
          </w:tcPr>
          <w:p w14:paraId="0C0CA33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Hepatitis B (unspecified)</w:t>
            </w:r>
          </w:p>
        </w:tc>
        <w:tc>
          <w:tcPr>
            <w:tcW w:w="0" w:type="auto"/>
            <w:hideMark/>
          </w:tcPr>
          <w:p w14:paraId="5BDE75E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171</w:t>
            </w:r>
          </w:p>
        </w:tc>
        <w:tc>
          <w:tcPr>
            <w:tcW w:w="0" w:type="auto"/>
            <w:hideMark/>
          </w:tcPr>
          <w:p w14:paraId="005F1C7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33</w:t>
            </w:r>
          </w:p>
        </w:tc>
        <w:tc>
          <w:tcPr>
            <w:tcW w:w="0" w:type="auto"/>
            <w:hideMark/>
          </w:tcPr>
          <w:p w14:paraId="5BD364A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0" w:type="auto"/>
            <w:hideMark/>
          </w:tcPr>
          <w:p w14:paraId="57CA5F8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2,077</w:t>
            </w:r>
          </w:p>
        </w:tc>
        <w:tc>
          <w:tcPr>
            <w:tcW w:w="0" w:type="auto"/>
            <w:hideMark/>
          </w:tcPr>
          <w:p w14:paraId="09C05B2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2,027</w:t>
            </w:r>
          </w:p>
        </w:tc>
        <w:tc>
          <w:tcPr>
            <w:tcW w:w="0" w:type="auto"/>
            <w:hideMark/>
          </w:tcPr>
          <w:p w14:paraId="337579C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2,054</w:t>
            </w:r>
          </w:p>
        </w:tc>
        <w:tc>
          <w:tcPr>
            <w:tcW w:w="0" w:type="auto"/>
            <w:hideMark/>
          </w:tcPr>
          <w:p w14:paraId="3CCC966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6,365</w:t>
            </w:r>
          </w:p>
        </w:tc>
        <w:tc>
          <w:tcPr>
            <w:tcW w:w="0" w:type="auto"/>
            <w:hideMark/>
          </w:tcPr>
          <w:p w14:paraId="0FB2336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36</w:t>
            </w:r>
          </w:p>
        </w:tc>
        <w:tc>
          <w:tcPr>
            <w:tcW w:w="0" w:type="auto"/>
            <w:hideMark/>
          </w:tcPr>
          <w:p w14:paraId="426B9FC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2,284</w:t>
            </w:r>
          </w:p>
        </w:tc>
        <w:tc>
          <w:tcPr>
            <w:tcW w:w="0" w:type="auto"/>
            <w:hideMark/>
          </w:tcPr>
          <w:p w14:paraId="35DE9F6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4,081</w:t>
            </w:r>
          </w:p>
        </w:tc>
      </w:tr>
      <w:tr w:rsidR="00BE61A2" w:rsidRPr="00374CC9" w14:paraId="5435DF81"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318AE8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Hepatitis C (newly acquired)</w:t>
            </w:r>
          </w:p>
        </w:tc>
        <w:tc>
          <w:tcPr>
            <w:tcW w:w="0" w:type="auto"/>
            <w:hideMark/>
          </w:tcPr>
          <w:p w14:paraId="64ED3EB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128</w:t>
            </w:r>
          </w:p>
        </w:tc>
        <w:tc>
          <w:tcPr>
            <w:tcW w:w="0" w:type="auto"/>
            <w:hideMark/>
          </w:tcPr>
          <w:p w14:paraId="7C8B2CF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0248418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29072E4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283</w:t>
            </w:r>
          </w:p>
        </w:tc>
        <w:tc>
          <w:tcPr>
            <w:tcW w:w="0" w:type="auto"/>
            <w:hideMark/>
          </w:tcPr>
          <w:p w14:paraId="1386A61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22</w:t>
            </w:r>
          </w:p>
        </w:tc>
        <w:tc>
          <w:tcPr>
            <w:tcW w:w="0" w:type="auto"/>
            <w:hideMark/>
          </w:tcPr>
          <w:p w14:paraId="2F9ECAD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79D7CDE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433</w:t>
            </w:r>
          </w:p>
        </w:tc>
        <w:tc>
          <w:tcPr>
            <w:tcW w:w="0" w:type="auto"/>
            <w:hideMark/>
          </w:tcPr>
          <w:p w14:paraId="6702FB2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95</w:t>
            </w:r>
          </w:p>
        </w:tc>
        <w:tc>
          <w:tcPr>
            <w:tcW w:w="0" w:type="auto"/>
            <w:hideMark/>
          </w:tcPr>
          <w:p w14:paraId="786AA25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411</w:t>
            </w:r>
          </w:p>
        </w:tc>
        <w:tc>
          <w:tcPr>
            <w:tcW w:w="0" w:type="auto"/>
            <w:hideMark/>
          </w:tcPr>
          <w:p w14:paraId="2DE20DB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22</w:t>
            </w:r>
          </w:p>
        </w:tc>
      </w:tr>
      <w:tr w:rsidR="00BE61A2" w:rsidRPr="00374CC9" w14:paraId="539054B8" w14:textId="77777777" w:rsidTr="000A4FFE">
        <w:tblPrEx>
          <w:tblCellMar>
            <w:right w:w="108" w:type="dxa"/>
          </w:tblCellMar>
        </w:tblPrEx>
        <w:tc>
          <w:tcPr>
            <w:tcW w:w="0" w:type="auto"/>
            <w:hideMark/>
          </w:tcPr>
          <w:p w14:paraId="31CC3B8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Hepatitis C (unspecified)</w:t>
            </w:r>
          </w:p>
        </w:tc>
        <w:tc>
          <w:tcPr>
            <w:tcW w:w="0" w:type="auto"/>
            <w:hideMark/>
          </w:tcPr>
          <w:p w14:paraId="0314272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760</w:t>
            </w:r>
          </w:p>
        </w:tc>
        <w:tc>
          <w:tcPr>
            <w:tcW w:w="0" w:type="auto"/>
            <w:hideMark/>
          </w:tcPr>
          <w:p w14:paraId="372DA6E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w:t>
            </w:r>
          </w:p>
        </w:tc>
        <w:tc>
          <w:tcPr>
            <w:tcW w:w="0" w:type="auto"/>
            <w:hideMark/>
          </w:tcPr>
          <w:p w14:paraId="6D67DEA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24</w:t>
            </w:r>
          </w:p>
        </w:tc>
        <w:tc>
          <w:tcPr>
            <w:tcW w:w="0" w:type="auto"/>
            <w:hideMark/>
          </w:tcPr>
          <w:p w14:paraId="44D69AF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3,131</w:t>
            </w:r>
          </w:p>
        </w:tc>
        <w:tc>
          <w:tcPr>
            <w:tcW w:w="0" w:type="auto"/>
            <w:hideMark/>
          </w:tcPr>
          <w:p w14:paraId="7804DDC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3,365</w:t>
            </w:r>
          </w:p>
        </w:tc>
        <w:tc>
          <w:tcPr>
            <w:tcW w:w="0" w:type="auto"/>
            <w:hideMark/>
          </w:tcPr>
          <w:p w14:paraId="6DBC535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3,060</w:t>
            </w:r>
          </w:p>
        </w:tc>
        <w:tc>
          <w:tcPr>
            <w:tcW w:w="0" w:type="auto"/>
            <w:hideMark/>
          </w:tcPr>
          <w:p w14:paraId="6CD6E23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10,360</w:t>
            </w:r>
          </w:p>
        </w:tc>
        <w:tc>
          <w:tcPr>
            <w:tcW w:w="0" w:type="auto"/>
            <w:hideMark/>
          </w:tcPr>
          <w:p w14:paraId="0AB214B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38</w:t>
            </w:r>
          </w:p>
        </w:tc>
        <w:tc>
          <w:tcPr>
            <w:tcW w:w="0" w:type="auto"/>
            <w:hideMark/>
          </w:tcPr>
          <w:p w14:paraId="6CD10F6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3,935</w:t>
            </w:r>
          </w:p>
        </w:tc>
        <w:tc>
          <w:tcPr>
            <w:tcW w:w="0" w:type="auto"/>
            <w:hideMark/>
          </w:tcPr>
          <w:p w14:paraId="2B4A118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6,425</w:t>
            </w:r>
          </w:p>
        </w:tc>
      </w:tr>
      <w:tr w:rsidR="00BE61A2" w:rsidRPr="00374CC9" w14:paraId="3171FAEC"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30EF26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Hepatitis D</w:t>
            </w:r>
          </w:p>
        </w:tc>
        <w:tc>
          <w:tcPr>
            <w:tcW w:w="0" w:type="auto"/>
            <w:hideMark/>
          </w:tcPr>
          <w:p w14:paraId="4F76584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0A253CC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5198DBA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7030900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30</w:t>
            </w:r>
          </w:p>
        </w:tc>
        <w:tc>
          <w:tcPr>
            <w:tcW w:w="0" w:type="auto"/>
            <w:hideMark/>
          </w:tcPr>
          <w:p w14:paraId="12134DD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w:t>
            </w:r>
          </w:p>
        </w:tc>
        <w:tc>
          <w:tcPr>
            <w:tcW w:w="0" w:type="auto"/>
            <w:hideMark/>
          </w:tcPr>
          <w:p w14:paraId="099EFCF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335B55D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39</w:t>
            </w:r>
          </w:p>
        </w:tc>
        <w:tc>
          <w:tcPr>
            <w:tcW w:w="0" w:type="auto"/>
            <w:hideMark/>
          </w:tcPr>
          <w:p w14:paraId="51F9D9B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77</w:t>
            </w:r>
          </w:p>
        </w:tc>
        <w:tc>
          <w:tcPr>
            <w:tcW w:w="0" w:type="auto"/>
            <w:hideMark/>
          </w:tcPr>
          <w:p w14:paraId="7922714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30</w:t>
            </w:r>
          </w:p>
        </w:tc>
        <w:tc>
          <w:tcPr>
            <w:tcW w:w="0" w:type="auto"/>
            <w:hideMark/>
          </w:tcPr>
          <w:p w14:paraId="395FF62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w:t>
            </w:r>
          </w:p>
        </w:tc>
      </w:tr>
      <w:tr w:rsidR="00BE61A2" w:rsidRPr="00374CC9" w14:paraId="691828A6" w14:textId="77777777" w:rsidTr="000A4FFE">
        <w:tblPrEx>
          <w:tblCellMar>
            <w:right w:w="108" w:type="dxa"/>
          </w:tblCellMar>
        </w:tblPrEx>
        <w:tc>
          <w:tcPr>
            <w:tcW w:w="0" w:type="auto"/>
            <w:hideMark/>
          </w:tcPr>
          <w:p w14:paraId="7CB40CA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Hepatitis E</w:t>
            </w:r>
          </w:p>
        </w:tc>
        <w:tc>
          <w:tcPr>
            <w:tcW w:w="0" w:type="auto"/>
            <w:hideMark/>
          </w:tcPr>
          <w:p w14:paraId="2255F8C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57358DE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3C90FBA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21132CB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38</w:t>
            </w:r>
          </w:p>
        </w:tc>
        <w:tc>
          <w:tcPr>
            <w:tcW w:w="0" w:type="auto"/>
            <w:hideMark/>
          </w:tcPr>
          <w:p w14:paraId="77A7CD7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7B82054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612484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41</w:t>
            </w:r>
          </w:p>
        </w:tc>
        <w:tc>
          <w:tcPr>
            <w:tcW w:w="0" w:type="auto"/>
            <w:hideMark/>
          </w:tcPr>
          <w:p w14:paraId="466C3FA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95</w:t>
            </w:r>
          </w:p>
        </w:tc>
        <w:tc>
          <w:tcPr>
            <w:tcW w:w="0" w:type="auto"/>
            <w:hideMark/>
          </w:tcPr>
          <w:p w14:paraId="41D3FFA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39</w:t>
            </w:r>
          </w:p>
        </w:tc>
        <w:tc>
          <w:tcPr>
            <w:tcW w:w="0" w:type="auto"/>
            <w:hideMark/>
          </w:tcPr>
          <w:p w14:paraId="7D02A24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r>
      <w:tr w:rsidR="00BE61A2" w:rsidRPr="00374CC9" w14:paraId="5F06AFF2"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EDC649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Influenza (laboratory confirmed)</w:t>
            </w:r>
          </w:p>
        </w:tc>
        <w:tc>
          <w:tcPr>
            <w:tcW w:w="0" w:type="auto"/>
            <w:hideMark/>
          </w:tcPr>
          <w:p w14:paraId="480C9BA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1,601</w:t>
            </w:r>
          </w:p>
        </w:tc>
        <w:tc>
          <w:tcPr>
            <w:tcW w:w="0" w:type="auto"/>
            <w:hideMark/>
          </w:tcPr>
          <w:p w14:paraId="26BB12A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101</w:t>
            </w:r>
          </w:p>
        </w:tc>
        <w:tc>
          <w:tcPr>
            <w:tcW w:w="0" w:type="auto"/>
            <w:hideMark/>
          </w:tcPr>
          <w:p w14:paraId="71C68B9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74</w:t>
            </w:r>
          </w:p>
        </w:tc>
        <w:tc>
          <w:tcPr>
            <w:tcW w:w="0" w:type="auto"/>
            <w:hideMark/>
          </w:tcPr>
          <w:p w14:paraId="68E62FA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34,165</w:t>
            </w:r>
          </w:p>
        </w:tc>
        <w:tc>
          <w:tcPr>
            <w:tcW w:w="0" w:type="auto"/>
            <w:hideMark/>
          </w:tcPr>
          <w:p w14:paraId="61BE964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35,508</w:t>
            </w:r>
          </w:p>
        </w:tc>
        <w:tc>
          <w:tcPr>
            <w:tcW w:w="0" w:type="auto"/>
            <w:hideMark/>
          </w:tcPr>
          <w:p w14:paraId="6798B4C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29,134</w:t>
            </w:r>
          </w:p>
        </w:tc>
        <w:tc>
          <w:tcPr>
            <w:tcW w:w="0" w:type="auto"/>
            <w:hideMark/>
          </w:tcPr>
          <w:p w14:paraId="685C27F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100,583</w:t>
            </w:r>
          </w:p>
        </w:tc>
        <w:tc>
          <w:tcPr>
            <w:tcW w:w="0" w:type="auto"/>
            <w:hideMark/>
          </w:tcPr>
          <w:p w14:paraId="3275D0E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36</w:t>
            </w:r>
          </w:p>
        </w:tc>
        <w:tc>
          <w:tcPr>
            <w:tcW w:w="0" w:type="auto"/>
            <w:hideMark/>
          </w:tcPr>
          <w:p w14:paraId="6CDBDAC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35,941</w:t>
            </w:r>
          </w:p>
        </w:tc>
        <w:tc>
          <w:tcPr>
            <w:tcW w:w="0" w:type="auto"/>
            <w:hideMark/>
          </w:tcPr>
          <w:p w14:paraId="4965BCB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64,642</w:t>
            </w:r>
          </w:p>
        </w:tc>
      </w:tr>
      <w:tr w:rsidR="00BE61A2" w:rsidRPr="00374CC9" w14:paraId="3B82EDB5" w14:textId="77777777" w:rsidTr="000A4FFE">
        <w:tblPrEx>
          <w:tblCellMar>
            <w:right w:w="108" w:type="dxa"/>
          </w:tblCellMar>
        </w:tblPrEx>
        <w:tc>
          <w:tcPr>
            <w:tcW w:w="0" w:type="auto"/>
            <w:hideMark/>
          </w:tcPr>
          <w:p w14:paraId="1E98B87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Japanese encephalitis virus infection</w:t>
            </w:r>
          </w:p>
        </w:tc>
        <w:tc>
          <w:tcPr>
            <w:tcW w:w="0" w:type="auto"/>
            <w:hideMark/>
          </w:tcPr>
          <w:p w14:paraId="63E9C07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19896C2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806BC4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570EA4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0" w:type="auto"/>
            <w:hideMark/>
          </w:tcPr>
          <w:p w14:paraId="17D83F0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5DF76B0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77D0CF5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0" w:type="auto"/>
            <w:hideMark/>
          </w:tcPr>
          <w:p w14:paraId="20AE3AF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0" w:type="auto"/>
            <w:hideMark/>
          </w:tcPr>
          <w:p w14:paraId="5719800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0" w:type="auto"/>
            <w:hideMark/>
          </w:tcPr>
          <w:p w14:paraId="08518C6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r>
      <w:tr w:rsidR="00BE61A2" w:rsidRPr="00374CC9" w14:paraId="43FAA88D"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8E6006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Legionellosis</w:t>
            </w:r>
          </w:p>
        </w:tc>
        <w:tc>
          <w:tcPr>
            <w:tcW w:w="0" w:type="auto"/>
            <w:hideMark/>
          </w:tcPr>
          <w:p w14:paraId="1AA9A25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14</w:t>
            </w:r>
          </w:p>
        </w:tc>
        <w:tc>
          <w:tcPr>
            <w:tcW w:w="0" w:type="auto"/>
            <w:hideMark/>
          </w:tcPr>
          <w:p w14:paraId="78C4DAC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330A374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29F8363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335</w:t>
            </w:r>
          </w:p>
        </w:tc>
        <w:tc>
          <w:tcPr>
            <w:tcW w:w="0" w:type="auto"/>
            <w:hideMark/>
          </w:tcPr>
          <w:p w14:paraId="3244295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11</w:t>
            </w:r>
          </w:p>
        </w:tc>
        <w:tc>
          <w:tcPr>
            <w:tcW w:w="0" w:type="auto"/>
            <w:hideMark/>
          </w:tcPr>
          <w:p w14:paraId="7BF25D7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w:t>
            </w:r>
          </w:p>
        </w:tc>
        <w:tc>
          <w:tcPr>
            <w:tcW w:w="0" w:type="auto"/>
            <w:hideMark/>
          </w:tcPr>
          <w:p w14:paraId="1BF7C7C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365</w:t>
            </w:r>
          </w:p>
        </w:tc>
        <w:tc>
          <w:tcPr>
            <w:tcW w:w="0" w:type="auto"/>
            <w:hideMark/>
          </w:tcPr>
          <w:p w14:paraId="0BB76CA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96</w:t>
            </w:r>
          </w:p>
        </w:tc>
        <w:tc>
          <w:tcPr>
            <w:tcW w:w="0" w:type="auto"/>
            <w:hideMark/>
          </w:tcPr>
          <w:p w14:paraId="16D0940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349</w:t>
            </w:r>
          </w:p>
        </w:tc>
        <w:tc>
          <w:tcPr>
            <w:tcW w:w="0" w:type="auto"/>
            <w:hideMark/>
          </w:tcPr>
          <w:p w14:paraId="5ACB4A9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16</w:t>
            </w:r>
          </w:p>
        </w:tc>
      </w:tr>
      <w:tr w:rsidR="00BE61A2" w:rsidRPr="00374CC9" w14:paraId="32FC8104" w14:textId="77777777" w:rsidTr="000A4FFE">
        <w:tblPrEx>
          <w:tblCellMar>
            <w:right w:w="108" w:type="dxa"/>
          </w:tblCellMar>
        </w:tblPrEx>
        <w:tc>
          <w:tcPr>
            <w:tcW w:w="0" w:type="auto"/>
            <w:hideMark/>
          </w:tcPr>
          <w:p w14:paraId="02210D8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Leprosy</w:t>
            </w:r>
          </w:p>
        </w:tc>
        <w:tc>
          <w:tcPr>
            <w:tcW w:w="0" w:type="auto"/>
            <w:hideMark/>
          </w:tcPr>
          <w:p w14:paraId="4911BC6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874AD2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3F22BE4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32EB7EB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13</w:t>
            </w:r>
          </w:p>
        </w:tc>
        <w:tc>
          <w:tcPr>
            <w:tcW w:w="0" w:type="auto"/>
            <w:hideMark/>
          </w:tcPr>
          <w:p w14:paraId="0F691E2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EB698A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E0C353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13</w:t>
            </w:r>
          </w:p>
        </w:tc>
        <w:tc>
          <w:tcPr>
            <w:tcW w:w="0" w:type="auto"/>
            <w:hideMark/>
          </w:tcPr>
          <w:p w14:paraId="4563197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0" w:type="auto"/>
            <w:hideMark/>
          </w:tcPr>
          <w:p w14:paraId="05D4957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13</w:t>
            </w:r>
          </w:p>
        </w:tc>
        <w:tc>
          <w:tcPr>
            <w:tcW w:w="0" w:type="auto"/>
            <w:hideMark/>
          </w:tcPr>
          <w:p w14:paraId="4776C8A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r>
      <w:tr w:rsidR="00BE61A2" w:rsidRPr="00374CC9" w14:paraId="52086DF4"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BEE41D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Leptospirosis</w:t>
            </w:r>
          </w:p>
        </w:tc>
        <w:tc>
          <w:tcPr>
            <w:tcW w:w="0" w:type="auto"/>
            <w:hideMark/>
          </w:tcPr>
          <w:p w14:paraId="1E6057E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0" w:type="auto"/>
            <w:hideMark/>
          </w:tcPr>
          <w:p w14:paraId="711821D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5D7EDE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07CFAAC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55</w:t>
            </w:r>
          </w:p>
        </w:tc>
        <w:tc>
          <w:tcPr>
            <w:tcW w:w="0" w:type="auto"/>
            <w:hideMark/>
          </w:tcPr>
          <w:p w14:paraId="44D7CD5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16</w:t>
            </w:r>
          </w:p>
        </w:tc>
        <w:tc>
          <w:tcPr>
            <w:tcW w:w="0" w:type="auto"/>
            <w:hideMark/>
          </w:tcPr>
          <w:p w14:paraId="25EE5BA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43EDA9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74</w:t>
            </w:r>
          </w:p>
        </w:tc>
        <w:tc>
          <w:tcPr>
            <w:tcW w:w="0" w:type="auto"/>
            <w:hideMark/>
          </w:tcPr>
          <w:p w14:paraId="3A5523F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78</w:t>
            </w:r>
          </w:p>
        </w:tc>
        <w:tc>
          <w:tcPr>
            <w:tcW w:w="0" w:type="auto"/>
            <w:hideMark/>
          </w:tcPr>
          <w:p w14:paraId="6F522C7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58</w:t>
            </w:r>
          </w:p>
        </w:tc>
        <w:tc>
          <w:tcPr>
            <w:tcW w:w="0" w:type="auto"/>
            <w:hideMark/>
          </w:tcPr>
          <w:p w14:paraId="3E80109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16</w:t>
            </w:r>
          </w:p>
        </w:tc>
      </w:tr>
      <w:tr w:rsidR="00BE61A2" w:rsidRPr="00374CC9" w14:paraId="07B6B5DD" w14:textId="77777777" w:rsidTr="000A4FFE">
        <w:tblPrEx>
          <w:tblCellMar>
            <w:right w:w="108" w:type="dxa"/>
          </w:tblCellMar>
        </w:tblPrEx>
        <w:tc>
          <w:tcPr>
            <w:tcW w:w="0" w:type="auto"/>
            <w:hideMark/>
          </w:tcPr>
          <w:p w14:paraId="286F1D5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Listeriosis</w:t>
            </w:r>
          </w:p>
        </w:tc>
        <w:tc>
          <w:tcPr>
            <w:tcW w:w="0" w:type="auto"/>
            <w:hideMark/>
          </w:tcPr>
          <w:p w14:paraId="49C50AB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2739CBB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F497AF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70FEE16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62</w:t>
            </w:r>
          </w:p>
        </w:tc>
        <w:tc>
          <w:tcPr>
            <w:tcW w:w="0" w:type="auto"/>
            <w:hideMark/>
          </w:tcPr>
          <w:p w14:paraId="7D1AAC9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w:t>
            </w:r>
          </w:p>
        </w:tc>
        <w:tc>
          <w:tcPr>
            <w:tcW w:w="0" w:type="auto"/>
            <w:hideMark/>
          </w:tcPr>
          <w:p w14:paraId="035C44A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05C155E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70</w:t>
            </w:r>
          </w:p>
        </w:tc>
        <w:tc>
          <w:tcPr>
            <w:tcW w:w="0" w:type="auto"/>
            <w:hideMark/>
          </w:tcPr>
          <w:p w14:paraId="6509B6C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91</w:t>
            </w:r>
          </w:p>
        </w:tc>
        <w:tc>
          <w:tcPr>
            <w:tcW w:w="0" w:type="auto"/>
            <w:hideMark/>
          </w:tcPr>
          <w:p w14:paraId="40B659D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64</w:t>
            </w:r>
          </w:p>
        </w:tc>
        <w:tc>
          <w:tcPr>
            <w:tcW w:w="0" w:type="auto"/>
            <w:hideMark/>
          </w:tcPr>
          <w:p w14:paraId="2EA193F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w:t>
            </w:r>
          </w:p>
        </w:tc>
      </w:tr>
      <w:tr w:rsidR="00BE61A2" w:rsidRPr="00374CC9" w14:paraId="074BD211"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76BA32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Malaria</w:t>
            </w:r>
          </w:p>
        </w:tc>
        <w:tc>
          <w:tcPr>
            <w:tcW w:w="0" w:type="auto"/>
            <w:hideMark/>
          </w:tcPr>
          <w:p w14:paraId="475F983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395E550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72F10DD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24ABD2B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199</w:t>
            </w:r>
          </w:p>
        </w:tc>
        <w:tc>
          <w:tcPr>
            <w:tcW w:w="0" w:type="auto"/>
            <w:hideMark/>
          </w:tcPr>
          <w:p w14:paraId="6EBF443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26</w:t>
            </w:r>
          </w:p>
        </w:tc>
        <w:tc>
          <w:tcPr>
            <w:tcW w:w="0" w:type="auto"/>
            <w:hideMark/>
          </w:tcPr>
          <w:p w14:paraId="3AA7EED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w:t>
            </w:r>
          </w:p>
        </w:tc>
        <w:tc>
          <w:tcPr>
            <w:tcW w:w="0" w:type="auto"/>
            <w:hideMark/>
          </w:tcPr>
          <w:p w14:paraId="5783267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233</w:t>
            </w:r>
          </w:p>
        </w:tc>
        <w:tc>
          <w:tcPr>
            <w:tcW w:w="0" w:type="auto"/>
            <w:hideMark/>
          </w:tcPr>
          <w:p w14:paraId="5D688EE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86</w:t>
            </w:r>
          </w:p>
        </w:tc>
        <w:tc>
          <w:tcPr>
            <w:tcW w:w="0" w:type="auto"/>
            <w:hideMark/>
          </w:tcPr>
          <w:p w14:paraId="0F40348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201</w:t>
            </w:r>
          </w:p>
        </w:tc>
        <w:tc>
          <w:tcPr>
            <w:tcW w:w="0" w:type="auto"/>
            <w:hideMark/>
          </w:tcPr>
          <w:p w14:paraId="2D2BE06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32</w:t>
            </w:r>
          </w:p>
        </w:tc>
      </w:tr>
      <w:tr w:rsidR="00BE61A2" w:rsidRPr="00374CC9" w14:paraId="27EECC31" w14:textId="77777777" w:rsidTr="000A4FFE">
        <w:tblPrEx>
          <w:tblCellMar>
            <w:right w:w="108" w:type="dxa"/>
          </w:tblCellMar>
        </w:tblPrEx>
        <w:tc>
          <w:tcPr>
            <w:tcW w:w="0" w:type="auto"/>
            <w:hideMark/>
          </w:tcPr>
          <w:p w14:paraId="02C68E1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lastRenderedPageBreak/>
              <w:t>Measles</w:t>
            </w:r>
          </w:p>
        </w:tc>
        <w:tc>
          <w:tcPr>
            <w:tcW w:w="0" w:type="auto"/>
            <w:hideMark/>
          </w:tcPr>
          <w:p w14:paraId="164535B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782A538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0AD3F6D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00B0FC4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72</w:t>
            </w:r>
          </w:p>
        </w:tc>
        <w:tc>
          <w:tcPr>
            <w:tcW w:w="0" w:type="auto"/>
            <w:hideMark/>
          </w:tcPr>
          <w:p w14:paraId="20CA304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07AA74B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314BCDC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74</w:t>
            </w:r>
          </w:p>
        </w:tc>
        <w:tc>
          <w:tcPr>
            <w:tcW w:w="0" w:type="auto"/>
            <w:hideMark/>
          </w:tcPr>
          <w:p w14:paraId="44215BB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0" w:type="auto"/>
            <w:hideMark/>
          </w:tcPr>
          <w:p w14:paraId="4EC746B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74</w:t>
            </w:r>
          </w:p>
        </w:tc>
        <w:tc>
          <w:tcPr>
            <w:tcW w:w="0" w:type="auto"/>
            <w:hideMark/>
          </w:tcPr>
          <w:p w14:paraId="4DF0BF7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r>
      <w:tr w:rsidR="00BE61A2" w:rsidRPr="00374CC9" w14:paraId="0C54CB3A"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F1C4CF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Meningococcal disease (invasive)</w:t>
            </w:r>
          </w:p>
        </w:tc>
        <w:tc>
          <w:tcPr>
            <w:tcW w:w="0" w:type="auto"/>
            <w:hideMark/>
          </w:tcPr>
          <w:p w14:paraId="4BC17F6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14</w:t>
            </w:r>
          </w:p>
        </w:tc>
        <w:tc>
          <w:tcPr>
            <w:tcW w:w="0" w:type="auto"/>
            <w:hideMark/>
          </w:tcPr>
          <w:p w14:paraId="5941DD9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4EE00DF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04851B4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162</w:t>
            </w:r>
          </w:p>
        </w:tc>
        <w:tc>
          <w:tcPr>
            <w:tcW w:w="0" w:type="auto"/>
            <w:hideMark/>
          </w:tcPr>
          <w:p w14:paraId="0173EBA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0" w:type="auto"/>
            <w:hideMark/>
          </w:tcPr>
          <w:p w14:paraId="57251BD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5AB138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182</w:t>
            </w:r>
          </w:p>
        </w:tc>
        <w:tc>
          <w:tcPr>
            <w:tcW w:w="0" w:type="auto"/>
            <w:hideMark/>
          </w:tcPr>
          <w:p w14:paraId="4F19EFD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98</w:t>
            </w:r>
          </w:p>
        </w:tc>
        <w:tc>
          <w:tcPr>
            <w:tcW w:w="0" w:type="auto"/>
            <w:hideMark/>
          </w:tcPr>
          <w:p w14:paraId="311339B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179</w:t>
            </w:r>
          </w:p>
        </w:tc>
        <w:tc>
          <w:tcPr>
            <w:tcW w:w="0" w:type="auto"/>
            <w:hideMark/>
          </w:tcPr>
          <w:p w14:paraId="4998F75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r>
      <w:tr w:rsidR="00BE61A2" w:rsidRPr="00374CC9" w14:paraId="08BCACB6" w14:textId="77777777" w:rsidTr="000A4FFE">
        <w:tblPrEx>
          <w:tblCellMar>
            <w:right w:w="108" w:type="dxa"/>
          </w:tblCellMar>
        </w:tblPrEx>
        <w:tc>
          <w:tcPr>
            <w:tcW w:w="0" w:type="auto"/>
            <w:hideMark/>
          </w:tcPr>
          <w:p w14:paraId="2C0519A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Mumps</w:t>
            </w:r>
          </w:p>
        </w:tc>
        <w:tc>
          <w:tcPr>
            <w:tcW w:w="0" w:type="auto"/>
            <w:hideMark/>
          </w:tcPr>
          <w:p w14:paraId="5AB6149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404</w:t>
            </w:r>
          </w:p>
        </w:tc>
        <w:tc>
          <w:tcPr>
            <w:tcW w:w="0" w:type="auto"/>
            <w:hideMark/>
          </w:tcPr>
          <w:p w14:paraId="1641383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5F16F29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0E649B4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205</w:t>
            </w:r>
          </w:p>
        </w:tc>
        <w:tc>
          <w:tcPr>
            <w:tcW w:w="0" w:type="auto"/>
            <w:hideMark/>
          </w:tcPr>
          <w:p w14:paraId="44A62DF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26</w:t>
            </w:r>
          </w:p>
        </w:tc>
        <w:tc>
          <w:tcPr>
            <w:tcW w:w="0" w:type="auto"/>
            <w:hideMark/>
          </w:tcPr>
          <w:p w14:paraId="363E2C8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w:t>
            </w:r>
          </w:p>
        </w:tc>
        <w:tc>
          <w:tcPr>
            <w:tcW w:w="0" w:type="auto"/>
            <w:hideMark/>
          </w:tcPr>
          <w:p w14:paraId="0A3F220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644</w:t>
            </w:r>
          </w:p>
        </w:tc>
        <w:tc>
          <w:tcPr>
            <w:tcW w:w="0" w:type="auto"/>
            <w:hideMark/>
          </w:tcPr>
          <w:p w14:paraId="3309C22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95</w:t>
            </w:r>
          </w:p>
        </w:tc>
        <w:tc>
          <w:tcPr>
            <w:tcW w:w="0" w:type="auto"/>
            <w:hideMark/>
          </w:tcPr>
          <w:p w14:paraId="186A614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609</w:t>
            </w:r>
          </w:p>
        </w:tc>
        <w:tc>
          <w:tcPr>
            <w:tcW w:w="0" w:type="auto"/>
            <w:hideMark/>
          </w:tcPr>
          <w:p w14:paraId="4422DE7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35</w:t>
            </w:r>
          </w:p>
        </w:tc>
      </w:tr>
      <w:tr w:rsidR="00BE61A2" w:rsidRPr="00374CC9" w14:paraId="58BE2804"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93A67C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Murray Valley encephalitis virus infection</w:t>
            </w:r>
          </w:p>
        </w:tc>
        <w:tc>
          <w:tcPr>
            <w:tcW w:w="0" w:type="auto"/>
            <w:hideMark/>
          </w:tcPr>
          <w:p w14:paraId="60AD31A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6F57FD5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1D9EA24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9C3ABE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12A65BF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1321E7A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16C1710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1619CE3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0" w:type="auto"/>
            <w:hideMark/>
          </w:tcPr>
          <w:p w14:paraId="7709086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3094D50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r>
      <w:tr w:rsidR="00BE61A2" w:rsidRPr="00374CC9" w14:paraId="5CB39629" w14:textId="77777777" w:rsidTr="000A4FFE">
        <w:tblPrEx>
          <w:tblCellMar>
            <w:right w:w="108" w:type="dxa"/>
          </w:tblCellMar>
        </w:tblPrEx>
        <w:tc>
          <w:tcPr>
            <w:tcW w:w="0" w:type="auto"/>
            <w:hideMark/>
          </w:tcPr>
          <w:p w14:paraId="1212088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Ornithosis</w:t>
            </w:r>
          </w:p>
        </w:tc>
        <w:tc>
          <w:tcPr>
            <w:tcW w:w="0" w:type="auto"/>
            <w:hideMark/>
          </w:tcPr>
          <w:p w14:paraId="58DF070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7F1D706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276E2FF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9328C5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15</w:t>
            </w:r>
          </w:p>
        </w:tc>
        <w:tc>
          <w:tcPr>
            <w:tcW w:w="0" w:type="auto"/>
            <w:hideMark/>
          </w:tcPr>
          <w:p w14:paraId="333DCFC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6557C7C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7398CF2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16</w:t>
            </w:r>
          </w:p>
        </w:tc>
        <w:tc>
          <w:tcPr>
            <w:tcW w:w="0" w:type="auto"/>
            <w:hideMark/>
          </w:tcPr>
          <w:p w14:paraId="484FD02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94</w:t>
            </w:r>
          </w:p>
        </w:tc>
        <w:tc>
          <w:tcPr>
            <w:tcW w:w="0" w:type="auto"/>
            <w:hideMark/>
          </w:tcPr>
          <w:p w14:paraId="38F2336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15</w:t>
            </w:r>
          </w:p>
        </w:tc>
        <w:tc>
          <w:tcPr>
            <w:tcW w:w="0" w:type="auto"/>
            <w:hideMark/>
          </w:tcPr>
          <w:p w14:paraId="3EABB7B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r>
      <w:tr w:rsidR="00BE61A2" w:rsidRPr="00374CC9" w14:paraId="77554A5B"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09482F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Paratyphoid</w:t>
            </w:r>
          </w:p>
        </w:tc>
        <w:tc>
          <w:tcPr>
            <w:tcW w:w="0" w:type="auto"/>
            <w:hideMark/>
          </w:tcPr>
          <w:p w14:paraId="0C709F3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57999D7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3B3B6BF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71AA05B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72</w:t>
            </w:r>
          </w:p>
        </w:tc>
        <w:tc>
          <w:tcPr>
            <w:tcW w:w="0" w:type="auto"/>
            <w:hideMark/>
          </w:tcPr>
          <w:p w14:paraId="22A9807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5BB31AF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011D801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76</w:t>
            </w:r>
          </w:p>
        </w:tc>
        <w:tc>
          <w:tcPr>
            <w:tcW w:w="0" w:type="auto"/>
            <w:hideMark/>
          </w:tcPr>
          <w:p w14:paraId="63C7EBD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96</w:t>
            </w:r>
          </w:p>
        </w:tc>
        <w:tc>
          <w:tcPr>
            <w:tcW w:w="0" w:type="auto"/>
            <w:hideMark/>
          </w:tcPr>
          <w:p w14:paraId="07AE754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73</w:t>
            </w:r>
          </w:p>
        </w:tc>
        <w:tc>
          <w:tcPr>
            <w:tcW w:w="0" w:type="auto"/>
            <w:hideMark/>
          </w:tcPr>
          <w:p w14:paraId="4AD5637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r>
      <w:tr w:rsidR="00BE61A2" w:rsidRPr="00374CC9" w14:paraId="3CF6542A" w14:textId="77777777" w:rsidTr="000A4FFE">
        <w:tblPrEx>
          <w:tblCellMar>
            <w:right w:w="108" w:type="dxa"/>
          </w:tblCellMar>
        </w:tblPrEx>
        <w:tc>
          <w:tcPr>
            <w:tcW w:w="0" w:type="auto"/>
            <w:hideMark/>
          </w:tcPr>
          <w:p w14:paraId="1E12708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Pertussis</w:t>
            </w:r>
          </w:p>
        </w:tc>
        <w:tc>
          <w:tcPr>
            <w:tcW w:w="0" w:type="auto"/>
            <w:hideMark/>
          </w:tcPr>
          <w:p w14:paraId="4472F0F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296</w:t>
            </w:r>
          </w:p>
        </w:tc>
        <w:tc>
          <w:tcPr>
            <w:tcW w:w="0" w:type="auto"/>
            <w:hideMark/>
          </w:tcPr>
          <w:p w14:paraId="0893D18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w:t>
            </w:r>
          </w:p>
        </w:tc>
        <w:tc>
          <w:tcPr>
            <w:tcW w:w="0" w:type="auto"/>
            <w:hideMark/>
          </w:tcPr>
          <w:p w14:paraId="29D9398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32</w:t>
            </w:r>
          </w:p>
        </w:tc>
        <w:tc>
          <w:tcPr>
            <w:tcW w:w="0" w:type="auto"/>
            <w:hideMark/>
          </w:tcPr>
          <w:p w14:paraId="0D80A69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11,556</w:t>
            </w:r>
          </w:p>
        </w:tc>
        <w:tc>
          <w:tcPr>
            <w:tcW w:w="0" w:type="auto"/>
            <w:hideMark/>
          </w:tcPr>
          <w:p w14:paraId="1B83D1B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4,703</w:t>
            </w:r>
          </w:p>
        </w:tc>
        <w:tc>
          <w:tcPr>
            <w:tcW w:w="0" w:type="auto"/>
            <w:hideMark/>
          </w:tcPr>
          <w:p w14:paraId="2B1016D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5,951</w:t>
            </w:r>
          </w:p>
        </w:tc>
        <w:tc>
          <w:tcPr>
            <w:tcW w:w="0" w:type="auto"/>
            <w:hideMark/>
          </w:tcPr>
          <w:p w14:paraId="23482D8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22,546</w:t>
            </w:r>
          </w:p>
        </w:tc>
        <w:tc>
          <w:tcPr>
            <w:tcW w:w="0" w:type="auto"/>
            <w:hideMark/>
          </w:tcPr>
          <w:p w14:paraId="2306CF6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53</w:t>
            </w:r>
          </w:p>
        </w:tc>
        <w:tc>
          <w:tcPr>
            <w:tcW w:w="0" w:type="auto"/>
            <w:hideMark/>
          </w:tcPr>
          <w:p w14:paraId="574FBA4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11,892</w:t>
            </w:r>
          </w:p>
        </w:tc>
        <w:tc>
          <w:tcPr>
            <w:tcW w:w="0" w:type="auto"/>
            <w:hideMark/>
          </w:tcPr>
          <w:p w14:paraId="28AAD69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10,654</w:t>
            </w:r>
          </w:p>
        </w:tc>
      </w:tr>
      <w:tr w:rsidR="00BE61A2" w:rsidRPr="00374CC9" w14:paraId="5CF139AB"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107A0C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Pneumococcal disease (invasive)</w:t>
            </w:r>
          </w:p>
        </w:tc>
        <w:tc>
          <w:tcPr>
            <w:tcW w:w="0" w:type="auto"/>
            <w:hideMark/>
          </w:tcPr>
          <w:p w14:paraId="2CAFE41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196</w:t>
            </w:r>
          </w:p>
        </w:tc>
        <w:tc>
          <w:tcPr>
            <w:tcW w:w="0" w:type="auto"/>
            <w:hideMark/>
          </w:tcPr>
          <w:p w14:paraId="72CEDCA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w:t>
            </w:r>
          </w:p>
        </w:tc>
        <w:tc>
          <w:tcPr>
            <w:tcW w:w="0" w:type="auto"/>
            <w:hideMark/>
          </w:tcPr>
          <w:p w14:paraId="04F34A9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w:t>
            </w:r>
          </w:p>
        </w:tc>
        <w:tc>
          <w:tcPr>
            <w:tcW w:w="0" w:type="auto"/>
            <w:hideMark/>
          </w:tcPr>
          <w:p w14:paraId="0481093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1,132</w:t>
            </w:r>
          </w:p>
        </w:tc>
        <w:tc>
          <w:tcPr>
            <w:tcW w:w="0" w:type="auto"/>
            <w:hideMark/>
          </w:tcPr>
          <w:p w14:paraId="654BBA6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159</w:t>
            </w:r>
          </w:p>
        </w:tc>
        <w:tc>
          <w:tcPr>
            <w:tcW w:w="0" w:type="auto"/>
            <w:hideMark/>
          </w:tcPr>
          <w:p w14:paraId="253AF46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1C0193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1,499</w:t>
            </w:r>
          </w:p>
        </w:tc>
        <w:tc>
          <w:tcPr>
            <w:tcW w:w="0" w:type="auto"/>
            <w:hideMark/>
          </w:tcPr>
          <w:p w14:paraId="219368F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89</w:t>
            </w:r>
          </w:p>
        </w:tc>
        <w:tc>
          <w:tcPr>
            <w:tcW w:w="0" w:type="auto"/>
            <w:hideMark/>
          </w:tcPr>
          <w:p w14:paraId="2F2E580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1,340</w:t>
            </w:r>
          </w:p>
        </w:tc>
        <w:tc>
          <w:tcPr>
            <w:tcW w:w="0" w:type="auto"/>
            <w:hideMark/>
          </w:tcPr>
          <w:p w14:paraId="1FF3899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159</w:t>
            </w:r>
          </w:p>
        </w:tc>
      </w:tr>
      <w:tr w:rsidR="00BE61A2" w:rsidRPr="00374CC9" w14:paraId="7786ACDF" w14:textId="77777777" w:rsidTr="000A4FFE">
        <w:tblPrEx>
          <w:tblCellMar>
            <w:right w:w="108" w:type="dxa"/>
          </w:tblCellMar>
        </w:tblPrEx>
        <w:tc>
          <w:tcPr>
            <w:tcW w:w="0" w:type="auto"/>
            <w:hideMark/>
          </w:tcPr>
          <w:p w14:paraId="2D3E459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Q fever</w:t>
            </w:r>
          </w:p>
        </w:tc>
        <w:tc>
          <w:tcPr>
            <w:tcW w:w="0" w:type="auto"/>
            <w:hideMark/>
          </w:tcPr>
          <w:p w14:paraId="49007DF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32</w:t>
            </w:r>
          </w:p>
        </w:tc>
        <w:tc>
          <w:tcPr>
            <w:tcW w:w="0" w:type="auto"/>
            <w:hideMark/>
          </w:tcPr>
          <w:p w14:paraId="32EDF50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DDCF3A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507BB0F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492</w:t>
            </w:r>
          </w:p>
        </w:tc>
        <w:tc>
          <w:tcPr>
            <w:tcW w:w="0" w:type="auto"/>
            <w:hideMark/>
          </w:tcPr>
          <w:p w14:paraId="3441049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59</w:t>
            </w:r>
          </w:p>
        </w:tc>
        <w:tc>
          <w:tcPr>
            <w:tcW w:w="0" w:type="auto"/>
            <w:hideMark/>
          </w:tcPr>
          <w:p w14:paraId="3D590CC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16</w:t>
            </w:r>
          </w:p>
        </w:tc>
        <w:tc>
          <w:tcPr>
            <w:tcW w:w="0" w:type="auto"/>
            <w:hideMark/>
          </w:tcPr>
          <w:p w14:paraId="1C4C5A4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601</w:t>
            </w:r>
          </w:p>
        </w:tc>
        <w:tc>
          <w:tcPr>
            <w:tcW w:w="0" w:type="auto"/>
            <w:hideMark/>
          </w:tcPr>
          <w:p w14:paraId="382F444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88</w:t>
            </w:r>
          </w:p>
        </w:tc>
        <w:tc>
          <w:tcPr>
            <w:tcW w:w="0" w:type="auto"/>
            <w:hideMark/>
          </w:tcPr>
          <w:p w14:paraId="085B61B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526</w:t>
            </w:r>
          </w:p>
        </w:tc>
        <w:tc>
          <w:tcPr>
            <w:tcW w:w="0" w:type="auto"/>
            <w:hideMark/>
          </w:tcPr>
          <w:p w14:paraId="34C1527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75</w:t>
            </w:r>
          </w:p>
        </w:tc>
      </w:tr>
      <w:tr w:rsidR="00BE61A2" w:rsidRPr="00374CC9" w14:paraId="20DF524E"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4A2E5F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Ross River virus infection</w:t>
            </w:r>
          </w:p>
        </w:tc>
        <w:tc>
          <w:tcPr>
            <w:tcW w:w="0" w:type="auto"/>
            <w:hideMark/>
          </w:tcPr>
          <w:p w14:paraId="785C1CF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138</w:t>
            </w:r>
          </w:p>
        </w:tc>
        <w:tc>
          <w:tcPr>
            <w:tcW w:w="0" w:type="auto"/>
            <w:hideMark/>
          </w:tcPr>
          <w:p w14:paraId="00D169A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14</w:t>
            </w:r>
          </w:p>
        </w:tc>
        <w:tc>
          <w:tcPr>
            <w:tcW w:w="0" w:type="auto"/>
            <w:hideMark/>
          </w:tcPr>
          <w:p w14:paraId="7CCF382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11</w:t>
            </w:r>
          </w:p>
        </w:tc>
        <w:tc>
          <w:tcPr>
            <w:tcW w:w="0" w:type="auto"/>
            <w:hideMark/>
          </w:tcPr>
          <w:p w14:paraId="34AA467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2,717</w:t>
            </w:r>
          </w:p>
        </w:tc>
        <w:tc>
          <w:tcPr>
            <w:tcW w:w="0" w:type="auto"/>
            <w:hideMark/>
          </w:tcPr>
          <w:p w14:paraId="035E839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5,229</w:t>
            </w:r>
          </w:p>
        </w:tc>
        <w:tc>
          <w:tcPr>
            <w:tcW w:w="0" w:type="auto"/>
            <w:hideMark/>
          </w:tcPr>
          <w:p w14:paraId="5BEA5C4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1,441</w:t>
            </w:r>
          </w:p>
        </w:tc>
        <w:tc>
          <w:tcPr>
            <w:tcW w:w="0" w:type="auto"/>
            <w:hideMark/>
          </w:tcPr>
          <w:p w14:paraId="48E3846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9,550</w:t>
            </w:r>
          </w:p>
        </w:tc>
        <w:tc>
          <w:tcPr>
            <w:tcW w:w="0" w:type="auto"/>
            <w:hideMark/>
          </w:tcPr>
          <w:p w14:paraId="5B5C725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30</w:t>
            </w:r>
          </w:p>
        </w:tc>
        <w:tc>
          <w:tcPr>
            <w:tcW w:w="0" w:type="auto"/>
            <w:hideMark/>
          </w:tcPr>
          <w:p w14:paraId="049B292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2,880</w:t>
            </w:r>
          </w:p>
        </w:tc>
        <w:tc>
          <w:tcPr>
            <w:tcW w:w="0" w:type="auto"/>
            <w:hideMark/>
          </w:tcPr>
          <w:p w14:paraId="4F879EA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6,670</w:t>
            </w:r>
          </w:p>
        </w:tc>
      </w:tr>
      <w:tr w:rsidR="00BE61A2" w:rsidRPr="00374CC9" w14:paraId="72022A3F" w14:textId="77777777" w:rsidTr="000A4FFE">
        <w:tblPrEx>
          <w:tblCellMar>
            <w:right w:w="108" w:type="dxa"/>
          </w:tblCellMar>
        </w:tblPrEx>
        <w:tc>
          <w:tcPr>
            <w:tcW w:w="0" w:type="auto"/>
            <w:hideMark/>
          </w:tcPr>
          <w:p w14:paraId="32652CB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Rubella</w:t>
            </w:r>
          </w:p>
        </w:tc>
        <w:tc>
          <w:tcPr>
            <w:tcW w:w="0" w:type="auto"/>
            <w:hideMark/>
          </w:tcPr>
          <w:p w14:paraId="6E70382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227E0D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2EE8EDC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38F686B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15</w:t>
            </w:r>
          </w:p>
        </w:tc>
        <w:tc>
          <w:tcPr>
            <w:tcW w:w="0" w:type="auto"/>
            <w:hideMark/>
          </w:tcPr>
          <w:p w14:paraId="649B06C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2A5EDFA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14B6AC5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17</w:t>
            </w:r>
          </w:p>
        </w:tc>
        <w:tc>
          <w:tcPr>
            <w:tcW w:w="0" w:type="auto"/>
            <w:hideMark/>
          </w:tcPr>
          <w:p w14:paraId="3EFF231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88</w:t>
            </w:r>
          </w:p>
        </w:tc>
        <w:tc>
          <w:tcPr>
            <w:tcW w:w="0" w:type="auto"/>
            <w:hideMark/>
          </w:tcPr>
          <w:p w14:paraId="5CF1B86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15</w:t>
            </w:r>
          </w:p>
        </w:tc>
        <w:tc>
          <w:tcPr>
            <w:tcW w:w="0" w:type="auto"/>
            <w:hideMark/>
          </w:tcPr>
          <w:p w14:paraId="403CA7E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r>
      <w:tr w:rsidR="00BE61A2" w:rsidRPr="00374CC9" w14:paraId="7B595BB3"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81BB13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Rubella congenital</w:t>
            </w:r>
          </w:p>
        </w:tc>
        <w:tc>
          <w:tcPr>
            <w:tcW w:w="0" w:type="auto"/>
            <w:hideMark/>
          </w:tcPr>
          <w:p w14:paraId="396A6E6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31A8D6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CAFB1C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2B435DA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526CCB6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32C2F77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7C9B948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779DB6C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0" w:type="auto"/>
            <w:hideMark/>
          </w:tcPr>
          <w:p w14:paraId="787A429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055A7C2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r>
      <w:tr w:rsidR="00BE61A2" w:rsidRPr="00374CC9" w14:paraId="1258368C" w14:textId="77777777" w:rsidTr="000A4FFE">
        <w:tblPrEx>
          <w:tblCellMar>
            <w:right w:w="108" w:type="dxa"/>
          </w:tblCellMar>
        </w:tblPrEx>
        <w:tc>
          <w:tcPr>
            <w:tcW w:w="0" w:type="auto"/>
            <w:hideMark/>
          </w:tcPr>
          <w:p w14:paraId="2E1FCE1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STEC</w:t>
            </w:r>
          </w:p>
        </w:tc>
        <w:tc>
          <w:tcPr>
            <w:tcW w:w="0" w:type="auto"/>
            <w:hideMark/>
          </w:tcPr>
          <w:p w14:paraId="1531860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27F0375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5884BF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18D8100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118</w:t>
            </w:r>
          </w:p>
        </w:tc>
        <w:tc>
          <w:tcPr>
            <w:tcW w:w="0" w:type="auto"/>
            <w:hideMark/>
          </w:tcPr>
          <w:p w14:paraId="33EB1A8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16</w:t>
            </w:r>
          </w:p>
        </w:tc>
        <w:tc>
          <w:tcPr>
            <w:tcW w:w="0" w:type="auto"/>
            <w:hideMark/>
          </w:tcPr>
          <w:p w14:paraId="5D65AC4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208EBD3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137</w:t>
            </w:r>
          </w:p>
        </w:tc>
        <w:tc>
          <w:tcPr>
            <w:tcW w:w="0" w:type="auto"/>
            <w:hideMark/>
          </w:tcPr>
          <w:p w14:paraId="1EFEB5C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87</w:t>
            </w:r>
          </w:p>
        </w:tc>
        <w:tc>
          <w:tcPr>
            <w:tcW w:w="0" w:type="auto"/>
            <w:hideMark/>
          </w:tcPr>
          <w:p w14:paraId="2C8FC33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119</w:t>
            </w:r>
          </w:p>
        </w:tc>
        <w:tc>
          <w:tcPr>
            <w:tcW w:w="0" w:type="auto"/>
            <w:hideMark/>
          </w:tcPr>
          <w:p w14:paraId="2240285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18</w:t>
            </w:r>
          </w:p>
        </w:tc>
      </w:tr>
      <w:tr w:rsidR="00BE61A2" w:rsidRPr="00374CC9" w14:paraId="52806015"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D31616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Salmonellosis</w:t>
            </w:r>
          </w:p>
        </w:tc>
        <w:tc>
          <w:tcPr>
            <w:tcW w:w="0" w:type="auto"/>
            <w:hideMark/>
          </w:tcPr>
          <w:p w14:paraId="4A720C9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497</w:t>
            </w:r>
          </w:p>
        </w:tc>
        <w:tc>
          <w:tcPr>
            <w:tcW w:w="0" w:type="auto"/>
            <w:hideMark/>
          </w:tcPr>
          <w:p w14:paraId="145935A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38</w:t>
            </w:r>
          </w:p>
        </w:tc>
        <w:tc>
          <w:tcPr>
            <w:tcW w:w="0" w:type="auto"/>
            <w:hideMark/>
          </w:tcPr>
          <w:p w14:paraId="3D6CF24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22</w:t>
            </w:r>
          </w:p>
        </w:tc>
        <w:tc>
          <w:tcPr>
            <w:tcW w:w="0" w:type="auto"/>
            <w:hideMark/>
          </w:tcPr>
          <w:p w14:paraId="1796A19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8,267</w:t>
            </w:r>
          </w:p>
        </w:tc>
        <w:tc>
          <w:tcPr>
            <w:tcW w:w="0" w:type="auto"/>
            <w:hideMark/>
          </w:tcPr>
          <w:p w14:paraId="08C2395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4,917</w:t>
            </w:r>
          </w:p>
        </w:tc>
        <w:tc>
          <w:tcPr>
            <w:tcW w:w="0" w:type="auto"/>
            <w:hideMark/>
          </w:tcPr>
          <w:p w14:paraId="1E1E480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3,272</w:t>
            </w:r>
          </w:p>
        </w:tc>
        <w:tc>
          <w:tcPr>
            <w:tcW w:w="0" w:type="auto"/>
            <w:hideMark/>
          </w:tcPr>
          <w:p w14:paraId="0ABEC9D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17,013</w:t>
            </w:r>
          </w:p>
        </w:tc>
        <w:tc>
          <w:tcPr>
            <w:tcW w:w="0" w:type="auto"/>
            <w:hideMark/>
          </w:tcPr>
          <w:p w14:paraId="545293B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52</w:t>
            </w:r>
          </w:p>
        </w:tc>
        <w:tc>
          <w:tcPr>
            <w:tcW w:w="0" w:type="auto"/>
            <w:hideMark/>
          </w:tcPr>
          <w:p w14:paraId="7EF91C4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8,824</w:t>
            </w:r>
          </w:p>
        </w:tc>
        <w:tc>
          <w:tcPr>
            <w:tcW w:w="0" w:type="auto"/>
            <w:hideMark/>
          </w:tcPr>
          <w:p w14:paraId="35BDEED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8,189</w:t>
            </w:r>
          </w:p>
        </w:tc>
      </w:tr>
      <w:tr w:rsidR="00BE61A2" w:rsidRPr="00374CC9" w14:paraId="1A063FB5" w14:textId="77777777" w:rsidTr="000A4FFE">
        <w:tblPrEx>
          <w:tblCellMar>
            <w:right w:w="108" w:type="dxa"/>
          </w:tblCellMar>
        </w:tblPrEx>
        <w:tc>
          <w:tcPr>
            <w:tcW w:w="0" w:type="auto"/>
            <w:hideMark/>
          </w:tcPr>
          <w:p w14:paraId="21F2E56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Shigellosis</w:t>
            </w:r>
          </w:p>
        </w:tc>
        <w:tc>
          <w:tcPr>
            <w:tcW w:w="0" w:type="auto"/>
            <w:hideMark/>
          </w:tcPr>
          <w:p w14:paraId="7E56E60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201</w:t>
            </w:r>
          </w:p>
        </w:tc>
        <w:tc>
          <w:tcPr>
            <w:tcW w:w="0" w:type="auto"/>
            <w:hideMark/>
          </w:tcPr>
          <w:p w14:paraId="66C4477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12F618F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11</w:t>
            </w:r>
          </w:p>
        </w:tc>
        <w:tc>
          <w:tcPr>
            <w:tcW w:w="0" w:type="auto"/>
            <w:hideMark/>
          </w:tcPr>
          <w:p w14:paraId="06287DD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695</w:t>
            </w:r>
          </w:p>
        </w:tc>
        <w:tc>
          <w:tcPr>
            <w:tcW w:w="0" w:type="auto"/>
            <w:hideMark/>
          </w:tcPr>
          <w:p w14:paraId="5A6F9CB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112</w:t>
            </w:r>
          </w:p>
        </w:tc>
        <w:tc>
          <w:tcPr>
            <w:tcW w:w="0" w:type="auto"/>
            <w:hideMark/>
          </w:tcPr>
          <w:p w14:paraId="06DBA72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17</w:t>
            </w:r>
          </w:p>
        </w:tc>
        <w:tc>
          <w:tcPr>
            <w:tcW w:w="0" w:type="auto"/>
            <w:hideMark/>
          </w:tcPr>
          <w:p w14:paraId="33A8E72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1,038</w:t>
            </w:r>
          </w:p>
        </w:tc>
        <w:tc>
          <w:tcPr>
            <w:tcW w:w="0" w:type="auto"/>
            <w:hideMark/>
          </w:tcPr>
          <w:p w14:paraId="71B978E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88</w:t>
            </w:r>
          </w:p>
        </w:tc>
        <w:tc>
          <w:tcPr>
            <w:tcW w:w="0" w:type="auto"/>
            <w:hideMark/>
          </w:tcPr>
          <w:p w14:paraId="7360CBD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909</w:t>
            </w:r>
          </w:p>
        </w:tc>
        <w:tc>
          <w:tcPr>
            <w:tcW w:w="0" w:type="auto"/>
            <w:hideMark/>
          </w:tcPr>
          <w:p w14:paraId="6378529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129</w:t>
            </w:r>
          </w:p>
        </w:tc>
      </w:tr>
      <w:tr w:rsidR="00BE61A2" w:rsidRPr="00374CC9" w14:paraId="6913DC27"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CC6C11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Syphilis &lt; 2 years</w:t>
            </w:r>
          </w:p>
        </w:tc>
        <w:tc>
          <w:tcPr>
            <w:tcW w:w="0" w:type="auto"/>
            <w:hideMark/>
          </w:tcPr>
          <w:p w14:paraId="6FEA945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405</w:t>
            </w:r>
          </w:p>
        </w:tc>
        <w:tc>
          <w:tcPr>
            <w:tcW w:w="0" w:type="auto"/>
            <w:hideMark/>
          </w:tcPr>
          <w:p w14:paraId="154A2A6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16</w:t>
            </w:r>
          </w:p>
        </w:tc>
        <w:tc>
          <w:tcPr>
            <w:tcW w:w="0" w:type="auto"/>
            <w:hideMark/>
          </w:tcPr>
          <w:p w14:paraId="594A301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12</w:t>
            </w:r>
          </w:p>
        </w:tc>
        <w:tc>
          <w:tcPr>
            <w:tcW w:w="0" w:type="auto"/>
            <w:hideMark/>
          </w:tcPr>
          <w:p w14:paraId="0E24182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2,025</w:t>
            </w:r>
          </w:p>
        </w:tc>
        <w:tc>
          <w:tcPr>
            <w:tcW w:w="0" w:type="auto"/>
            <w:hideMark/>
          </w:tcPr>
          <w:p w14:paraId="19BE9D2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239</w:t>
            </w:r>
          </w:p>
        </w:tc>
        <w:tc>
          <w:tcPr>
            <w:tcW w:w="0" w:type="auto"/>
            <w:hideMark/>
          </w:tcPr>
          <w:p w14:paraId="409FC1F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16</w:t>
            </w:r>
          </w:p>
        </w:tc>
        <w:tc>
          <w:tcPr>
            <w:tcW w:w="0" w:type="auto"/>
            <w:hideMark/>
          </w:tcPr>
          <w:p w14:paraId="4BE1615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2,713</w:t>
            </w:r>
          </w:p>
        </w:tc>
        <w:tc>
          <w:tcPr>
            <w:tcW w:w="0" w:type="auto"/>
            <w:hideMark/>
          </w:tcPr>
          <w:p w14:paraId="2061534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91</w:t>
            </w:r>
          </w:p>
        </w:tc>
        <w:tc>
          <w:tcPr>
            <w:tcW w:w="0" w:type="auto"/>
            <w:hideMark/>
          </w:tcPr>
          <w:p w14:paraId="50C4957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2,458</w:t>
            </w:r>
          </w:p>
        </w:tc>
        <w:tc>
          <w:tcPr>
            <w:tcW w:w="0" w:type="auto"/>
            <w:hideMark/>
          </w:tcPr>
          <w:p w14:paraId="20A806A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255</w:t>
            </w:r>
          </w:p>
        </w:tc>
      </w:tr>
      <w:tr w:rsidR="00BE61A2" w:rsidRPr="00374CC9" w14:paraId="3DCDF558" w14:textId="77777777" w:rsidTr="000A4FFE">
        <w:tblPrEx>
          <w:tblCellMar>
            <w:right w:w="108" w:type="dxa"/>
          </w:tblCellMar>
        </w:tblPrEx>
        <w:tc>
          <w:tcPr>
            <w:tcW w:w="0" w:type="auto"/>
            <w:hideMark/>
          </w:tcPr>
          <w:p w14:paraId="39F1B9C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lastRenderedPageBreak/>
              <w:t>Syphilis &gt; 2 years or unspecified duration</w:t>
            </w:r>
          </w:p>
        </w:tc>
        <w:tc>
          <w:tcPr>
            <w:tcW w:w="0" w:type="auto"/>
            <w:hideMark/>
          </w:tcPr>
          <w:p w14:paraId="0971F46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231</w:t>
            </w:r>
          </w:p>
        </w:tc>
        <w:tc>
          <w:tcPr>
            <w:tcW w:w="0" w:type="auto"/>
            <w:hideMark/>
          </w:tcPr>
          <w:p w14:paraId="73BA8BE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21</w:t>
            </w:r>
          </w:p>
        </w:tc>
        <w:tc>
          <w:tcPr>
            <w:tcW w:w="0" w:type="auto"/>
            <w:hideMark/>
          </w:tcPr>
          <w:p w14:paraId="56951CD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w:t>
            </w:r>
          </w:p>
        </w:tc>
        <w:tc>
          <w:tcPr>
            <w:tcW w:w="0" w:type="auto"/>
            <w:hideMark/>
          </w:tcPr>
          <w:p w14:paraId="31813A4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1,100</w:t>
            </w:r>
          </w:p>
        </w:tc>
        <w:tc>
          <w:tcPr>
            <w:tcW w:w="0" w:type="auto"/>
            <w:hideMark/>
          </w:tcPr>
          <w:p w14:paraId="45A68B0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516</w:t>
            </w:r>
          </w:p>
        </w:tc>
        <w:tc>
          <w:tcPr>
            <w:tcW w:w="0" w:type="auto"/>
            <w:hideMark/>
          </w:tcPr>
          <w:p w14:paraId="212FF9A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66</w:t>
            </w:r>
          </w:p>
        </w:tc>
        <w:tc>
          <w:tcPr>
            <w:tcW w:w="0" w:type="auto"/>
            <w:hideMark/>
          </w:tcPr>
          <w:p w14:paraId="4888AC3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1,939</w:t>
            </w:r>
          </w:p>
        </w:tc>
        <w:tc>
          <w:tcPr>
            <w:tcW w:w="0" w:type="auto"/>
            <w:hideMark/>
          </w:tcPr>
          <w:p w14:paraId="3E44B20C"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70</w:t>
            </w:r>
          </w:p>
        </w:tc>
        <w:tc>
          <w:tcPr>
            <w:tcW w:w="0" w:type="auto"/>
            <w:hideMark/>
          </w:tcPr>
          <w:p w14:paraId="6C6F42E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1,357</w:t>
            </w:r>
          </w:p>
        </w:tc>
        <w:tc>
          <w:tcPr>
            <w:tcW w:w="0" w:type="auto"/>
            <w:hideMark/>
          </w:tcPr>
          <w:p w14:paraId="0367BD1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582</w:t>
            </w:r>
          </w:p>
        </w:tc>
      </w:tr>
      <w:tr w:rsidR="00BE61A2" w:rsidRPr="00374CC9" w14:paraId="19E46592"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14A109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 xml:space="preserve">Syphilis congenital </w:t>
            </w:r>
          </w:p>
        </w:tc>
        <w:tc>
          <w:tcPr>
            <w:tcW w:w="0" w:type="auto"/>
            <w:hideMark/>
          </w:tcPr>
          <w:p w14:paraId="316ACEE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990B5F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FA2494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3FE1321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3D4C1A7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2B9F125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108FF47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0" w:type="auto"/>
            <w:hideMark/>
          </w:tcPr>
          <w:p w14:paraId="7DA2570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0" w:type="auto"/>
            <w:hideMark/>
          </w:tcPr>
          <w:p w14:paraId="57F2045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0" w:type="auto"/>
            <w:hideMark/>
          </w:tcPr>
          <w:p w14:paraId="7A9DFC4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r>
      <w:tr w:rsidR="00BE61A2" w:rsidRPr="00374CC9" w14:paraId="5348B50F" w14:textId="77777777" w:rsidTr="000A4FFE">
        <w:tblPrEx>
          <w:tblCellMar>
            <w:right w:w="108" w:type="dxa"/>
          </w:tblCellMar>
        </w:tblPrEx>
        <w:tc>
          <w:tcPr>
            <w:tcW w:w="0" w:type="auto"/>
            <w:hideMark/>
          </w:tcPr>
          <w:p w14:paraId="6A195EF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Tetanus</w:t>
            </w:r>
          </w:p>
        </w:tc>
        <w:tc>
          <w:tcPr>
            <w:tcW w:w="0" w:type="auto"/>
            <w:hideMark/>
          </w:tcPr>
          <w:p w14:paraId="6A5DFEA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32FF385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04213C1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0A0C34E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11571C6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55E946A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7148471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7CDC0FB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0" w:type="auto"/>
            <w:hideMark/>
          </w:tcPr>
          <w:p w14:paraId="215337D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w:t>
            </w:r>
          </w:p>
        </w:tc>
        <w:tc>
          <w:tcPr>
            <w:tcW w:w="0" w:type="auto"/>
            <w:hideMark/>
          </w:tcPr>
          <w:p w14:paraId="1092300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r>
      <w:tr w:rsidR="00BE61A2" w:rsidRPr="00374CC9" w14:paraId="4269A092"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756F5B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Tuberculosis</w:t>
            </w:r>
          </w:p>
        </w:tc>
        <w:tc>
          <w:tcPr>
            <w:tcW w:w="0" w:type="auto"/>
            <w:hideMark/>
          </w:tcPr>
          <w:p w14:paraId="4E1D2B3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27</w:t>
            </w:r>
          </w:p>
        </w:tc>
        <w:tc>
          <w:tcPr>
            <w:tcW w:w="0" w:type="auto"/>
            <w:hideMark/>
          </w:tcPr>
          <w:p w14:paraId="500FF6F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7</w:t>
            </w:r>
          </w:p>
        </w:tc>
        <w:tc>
          <w:tcPr>
            <w:tcW w:w="0" w:type="auto"/>
            <w:hideMark/>
          </w:tcPr>
          <w:p w14:paraId="0F81F94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0844342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1,212</w:t>
            </w:r>
          </w:p>
        </w:tc>
        <w:tc>
          <w:tcPr>
            <w:tcW w:w="0" w:type="auto"/>
            <w:hideMark/>
          </w:tcPr>
          <w:p w14:paraId="3B920B4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w:t>
            </w:r>
          </w:p>
        </w:tc>
        <w:tc>
          <w:tcPr>
            <w:tcW w:w="0" w:type="auto"/>
            <w:hideMark/>
          </w:tcPr>
          <w:p w14:paraId="6CC7320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30D6255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1,255</w:t>
            </w:r>
          </w:p>
        </w:tc>
        <w:tc>
          <w:tcPr>
            <w:tcW w:w="0" w:type="auto"/>
            <w:hideMark/>
          </w:tcPr>
          <w:p w14:paraId="2263071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99</w:t>
            </w:r>
          </w:p>
        </w:tc>
        <w:tc>
          <w:tcPr>
            <w:tcW w:w="0" w:type="auto"/>
            <w:hideMark/>
          </w:tcPr>
          <w:p w14:paraId="4C14F08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1,246</w:t>
            </w:r>
          </w:p>
        </w:tc>
        <w:tc>
          <w:tcPr>
            <w:tcW w:w="0" w:type="auto"/>
            <w:hideMark/>
          </w:tcPr>
          <w:p w14:paraId="5A5D253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w:t>
            </w:r>
          </w:p>
        </w:tc>
      </w:tr>
      <w:tr w:rsidR="00BE61A2" w:rsidRPr="00374CC9" w14:paraId="04BE9043" w14:textId="77777777" w:rsidTr="000A4FFE">
        <w:tblPrEx>
          <w:tblCellMar>
            <w:right w:w="108" w:type="dxa"/>
          </w:tblCellMar>
        </w:tblPrEx>
        <w:tc>
          <w:tcPr>
            <w:tcW w:w="0" w:type="auto"/>
            <w:hideMark/>
          </w:tcPr>
          <w:p w14:paraId="6941E8F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Typhoid Fever</w:t>
            </w:r>
          </w:p>
        </w:tc>
        <w:tc>
          <w:tcPr>
            <w:tcW w:w="0" w:type="auto"/>
            <w:hideMark/>
          </w:tcPr>
          <w:p w14:paraId="2093231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47B647F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36F4301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50E6B0C2"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108</w:t>
            </w:r>
          </w:p>
        </w:tc>
        <w:tc>
          <w:tcPr>
            <w:tcW w:w="0" w:type="auto"/>
            <w:hideMark/>
          </w:tcPr>
          <w:p w14:paraId="3D17F5B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w:t>
            </w:r>
          </w:p>
        </w:tc>
        <w:tc>
          <w:tcPr>
            <w:tcW w:w="0" w:type="auto"/>
            <w:hideMark/>
          </w:tcPr>
          <w:p w14:paraId="5B3A554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7E58E6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115</w:t>
            </w:r>
          </w:p>
        </w:tc>
        <w:tc>
          <w:tcPr>
            <w:tcW w:w="0" w:type="auto"/>
            <w:hideMark/>
          </w:tcPr>
          <w:p w14:paraId="6C9505E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97</w:t>
            </w:r>
          </w:p>
        </w:tc>
        <w:tc>
          <w:tcPr>
            <w:tcW w:w="0" w:type="auto"/>
            <w:hideMark/>
          </w:tcPr>
          <w:p w14:paraId="2C10F5E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111</w:t>
            </w:r>
          </w:p>
        </w:tc>
        <w:tc>
          <w:tcPr>
            <w:tcW w:w="0" w:type="auto"/>
            <w:hideMark/>
          </w:tcPr>
          <w:p w14:paraId="21B7016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w:t>
            </w:r>
          </w:p>
        </w:tc>
      </w:tr>
      <w:tr w:rsidR="00BE61A2" w:rsidRPr="00374CC9" w14:paraId="620823A1"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DB10FC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Varicella zoster (chickenpox)</w:t>
            </w:r>
          </w:p>
        </w:tc>
        <w:tc>
          <w:tcPr>
            <w:tcW w:w="0" w:type="auto"/>
            <w:hideMark/>
          </w:tcPr>
          <w:p w14:paraId="2CB6993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80</w:t>
            </w:r>
          </w:p>
        </w:tc>
        <w:tc>
          <w:tcPr>
            <w:tcW w:w="0" w:type="auto"/>
            <w:hideMark/>
          </w:tcPr>
          <w:p w14:paraId="7421742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w:t>
            </w:r>
          </w:p>
        </w:tc>
        <w:tc>
          <w:tcPr>
            <w:tcW w:w="0" w:type="auto"/>
            <w:hideMark/>
          </w:tcPr>
          <w:p w14:paraId="4270EDF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4</w:t>
            </w:r>
          </w:p>
        </w:tc>
        <w:tc>
          <w:tcPr>
            <w:tcW w:w="0" w:type="auto"/>
            <w:hideMark/>
          </w:tcPr>
          <w:p w14:paraId="01658D1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2,238</w:t>
            </w:r>
          </w:p>
        </w:tc>
        <w:tc>
          <w:tcPr>
            <w:tcW w:w="0" w:type="auto"/>
            <w:hideMark/>
          </w:tcPr>
          <w:p w14:paraId="2FE1C6C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133</w:t>
            </w:r>
          </w:p>
        </w:tc>
        <w:tc>
          <w:tcPr>
            <w:tcW w:w="0" w:type="auto"/>
            <w:hideMark/>
          </w:tcPr>
          <w:p w14:paraId="0394897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21</w:t>
            </w:r>
          </w:p>
        </w:tc>
        <w:tc>
          <w:tcPr>
            <w:tcW w:w="0" w:type="auto"/>
            <w:hideMark/>
          </w:tcPr>
          <w:p w14:paraId="746A0A7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2,479</w:t>
            </w:r>
          </w:p>
        </w:tc>
        <w:tc>
          <w:tcPr>
            <w:tcW w:w="0" w:type="auto"/>
            <w:hideMark/>
          </w:tcPr>
          <w:p w14:paraId="23200E7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94</w:t>
            </w:r>
          </w:p>
        </w:tc>
        <w:tc>
          <w:tcPr>
            <w:tcW w:w="0" w:type="auto"/>
            <w:hideMark/>
          </w:tcPr>
          <w:p w14:paraId="1FD8F43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2,325</w:t>
            </w:r>
          </w:p>
        </w:tc>
        <w:tc>
          <w:tcPr>
            <w:tcW w:w="0" w:type="auto"/>
            <w:hideMark/>
          </w:tcPr>
          <w:p w14:paraId="611E49F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154</w:t>
            </w:r>
          </w:p>
        </w:tc>
      </w:tr>
      <w:tr w:rsidR="00BE61A2" w:rsidRPr="00374CC9" w14:paraId="55A563CE" w14:textId="77777777" w:rsidTr="000A4FFE">
        <w:tblPrEx>
          <w:tblCellMar>
            <w:right w:w="108" w:type="dxa"/>
          </w:tblCellMar>
        </w:tblPrEx>
        <w:tc>
          <w:tcPr>
            <w:tcW w:w="0" w:type="auto"/>
            <w:hideMark/>
          </w:tcPr>
          <w:p w14:paraId="6D4BB95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Varicella zoster (shingles)</w:t>
            </w:r>
          </w:p>
        </w:tc>
        <w:tc>
          <w:tcPr>
            <w:tcW w:w="0" w:type="auto"/>
            <w:hideMark/>
          </w:tcPr>
          <w:p w14:paraId="0D12475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143</w:t>
            </w:r>
          </w:p>
        </w:tc>
        <w:tc>
          <w:tcPr>
            <w:tcW w:w="0" w:type="auto"/>
            <w:hideMark/>
          </w:tcPr>
          <w:p w14:paraId="11480E3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w:t>
            </w:r>
          </w:p>
        </w:tc>
        <w:tc>
          <w:tcPr>
            <w:tcW w:w="0" w:type="auto"/>
            <w:hideMark/>
          </w:tcPr>
          <w:p w14:paraId="1455B7CF"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37794EA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5,541</w:t>
            </w:r>
          </w:p>
        </w:tc>
        <w:tc>
          <w:tcPr>
            <w:tcW w:w="0" w:type="auto"/>
            <w:hideMark/>
          </w:tcPr>
          <w:p w14:paraId="43CB16F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565</w:t>
            </w:r>
          </w:p>
        </w:tc>
        <w:tc>
          <w:tcPr>
            <w:tcW w:w="0" w:type="auto"/>
            <w:hideMark/>
          </w:tcPr>
          <w:p w14:paraId="613CC15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88</w:t>
            </w:r>
          </w:p>
        </w:tc>
        <w:tc>
          <w:tcPr>
            <w:tcW w:w="0" w:type="auto"/>
            <w:hideMark/>
          </w:tcPr>
          <w:p w14:paraId="72D22EF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6,343</w:t>
            </w:r>
          </w:p>
        </w:tc>
        <w:tc>
          <w:tcPr>
            <w:tcW w:w="0" w:type="auto"/>
            <w:hideMark/>
          </w:tcPr>
          <w:p w14:paraId="0460F6C7"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90</w:t>
            </w:r>
          </w:p>
        </w:tc>
        <w:tc>
          <w:tcPr>
            <w:tcW w:w="0" w:type="auto"/>
            <w:hideMark/>
          </w:tcPr>
          <w:p w14:paraId="16E7EE90"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5,690</w:t>
            </w:r>
          </w:p>
        </w:tc>
        <w:tc>
          <w:tcPr>
            <w:tcW w:w="0" w:type="auto"/>
            <w:hideMark/>
          </w:tcPr>
          <w:p w14:paraId="5AB7BB9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653</w:t>
            </w:r>
          </w:p>
        </w:tc>
      </w:tr>
      <w:tr w:rsidR="00BE61A2" w:rsidRPr="00374CC9" w14:paraId="561C6AFC"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4F2B3A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Varicella zoster (unspecified)</w:t>
            </w:r>
          </w:p>
        </w:tc>
        <w:tc>
          <w:tcPr>
            <w:tcW w:w="0" w:type="auto"/>
            <w:hideMark/>
          </w:tcPr>
          <w:p w14:paraId="2DE2AAAB"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146</w:t>
            </w:r>
          </w:p>
        </w:tc>
        <w:tc>
          <w:tcPr>
            <w:tcW w:w="0" w:type="auto"/>
            <w:hideMark/>
          </w:tcPr>
          <w:p w14:paraId="6BBA20E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16</w:t>
            </w:r>
          </w:p>
        </w:tc>
        <w:tc>
          <w:tcPr>
            <w:tcW w:w="0" w:type="auto"/>
            <w:hideMark/>
          </w:tcPr>
          <w:p w14:paraId="5E8D6CB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14</w:t>
            </w:r>
          </w:p>
        </w:tc>
        <w:tc>
          <w:tcPr>
            <w:tcW w:w="0" w:type="auto"/>
            <w:hideMark/>
          </w:tcPr>
          <w:p w14:paraId="7290EC9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2,712</w:t>
            </w:r>
          </w:p>
        </w:tc>
        <w:tc>
          <w:tcPr>
            <w:tcW w:w="0" w:type="auto"/>
            <w:hideMark/>
          </w:tcPr>
          <w:p w14:paraId="3CD05E14"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10,159</w:t>
            </w:r>
          </w:p>
        </w:tc>
        <w:tc>
          <w:tcPr>
            <w:tcW w:w="0" w:type="auto"/>
            <w:hideMark/>
          </w:tcPr>
          <w:p w14:paraId="20B5F23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316</w:t>
            </w:r>
          </w:p>
        </w:tc>
        <w:tc>
          <w:tcPr>
            <w:tcW w:w="0" w:type="auto"/>
            <w:hideMark/>
          </w:tcPr>
          <w:p w14:paraId="7F1A16B9"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13,363</w:t>
            </w:r>
          </w:p>
        </w:tc>
        <w:tc>
          <w:tcPr>
            <w:tcW w:w="0" w:type="auto"/>
            <w:hideMark/>
          </w:tcPr>
          <w:p w14:paraId="26E6A2E1"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22</w:t>
            </w:r>
          </w:p>
        </w:tc>
        <w:tc>
          <w:tcPr>
            <w:tcW w:w="0" w:type="auto"/>
            <w:hideMark/>
          </w:tcPr>
          <w:p w14:paraId="79036C53"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2,888</w:t>
            </w:r>
          </w:p>
        </w:tc>
        <w:tc>
          <w:tcPr>
            <w:tcW w:w="0" w:type="auto"/>
            <w:hideMark/>
          </w:tcPr>
          <w:p w14:paraId="135F9D2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10,475</w:t>
            </w:r>
          </w:p>
        </w:tc>
      </w:tr>
      <w:tr w:rsidR="00BE61A2" w:rsidRPr="00374CC9" w14:paraId="1A90E208" w14:textId="77777777" w:rsidTr="000A4FFE">
        <w:tblPrEx>
          <w:tblCellMar>
            <w:right w:w="108" w:type="dxa"/>
          </w:tblCellMar>
        </w:tblPrEx>
        <w:tc>
          <w:tcPr>
            <w:tcW w:w="0" w:type="auto"/>
            <w:hideMark/>
          </w:tcPr>
          <w:p w14:paraId="1B41178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 xml:space="preserve">West Nile / </w:t>
            </w:r>
            <w:proofErr w:type="spellStart"/>
            <w:r w:rsidRPr="00374CC9">
              <w:rPr>
                <w:rFonts w:asciiTheme="minorHAnsi" w:eastAsia="Times New Roman" w:hAnsiTheme="minorHAnsi"/>
                <w:sz w:val="18"/>
                <w:szCs w:val="18"/>
              </w:rPr>
              <w:t>Kunjin</w:t>
            </w:r>
            <w:proofErr w:type="spellEnd"/>
            <w:r w:rsidRPr="00374CC9">
              <w:rPr>
                <w:rFonts w:asciiTheme="minorHAnsi" w:eastAsia="Times New Roman" w:hAnsiTheme="minorHAnsi"/>
                <w:sz w:val="18"/>
                <w:szCs w:val="18"/>
              </w:rPr>
              <w:t xml:space="preserve"> virus infection</w:t>
            </w:r>
          </w:p>
        </w:tc>
        <w:tc>
          <w:tcPr>
            <w:tcW w:w="0" w:type="auto"/>
            <w:hideMark/>
          </w:tcPr>
          <w:p w14:paraId="2B30183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F1DDA1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7444B3E"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42076DD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320E265A"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63E2229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c>
          <w:tcPr>
            <w:tcW w:w="0" w:type="auto"/>
            <w:hideMark/>
          </w:tcPr>
          <w:p w14:paraId="7555B0CD"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736CA048"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100</w:t>
            </w:r>
          </w:p>
        </w:tc>
        <w:tc>
          <w:tcPr>
            <w:tcW w:w="0" w:type="auto"/>
            <w:hideMark/>
          </w:tcPr>
          <w:p w14:paraId="294DD515"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1</w:t>
            </w:r>
          </w:p>
        </w:tc>
        <w:tc>
          <w:tcPr>
            <w:tcW w:w="0" w:type="auto"/>
            <w:hideMark/>
          </w:tcPr>
          <w:p w14:paraId="29F441E6" w14:textId="77777777" w:rsidR="00BE61A2" w:rsidRPr="00374CC9" w:rsidRDefault="00BE61A2">
            <w:pPr>
              <w:rPr>
                <w:rFonts w:asciiTheme="minorHAnsi" w:eastAsia="Times New Roman" w:hAnsiTheme="minorHAnsi"/>
                <w:sz w:val="18"/>
                <w:szCs w:val="18"/>
              </w:rPr>
            </w:pPr>
            <w:r w:rsidRPr="00374CC9">
              <w:rPr>
                <w:rFonts w:asciiTheme="minorHAnsi" w:eastAsia="Times New Roman" w:hAnsiTheme="minorHAnsi"/>
                <w:sz w:val="18"/>
                <w:szCs w:val="18"/>
              </w:rPr>
              <w:t>0</w:t>
            </w:r>
          </w:p>
        </w:tc>
      </w:tr>
      <w:tr w:rsidR="00BE61A2" w:rsidRPr="00B95EF0" w14:paraId="757033EE" w14:textId="77777777" w:rsidTr="007D05AC">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433C1FB4" w14:textId="77777777" w:rsidR="00BE61A2" w:rsidRPr="00B95EF0" w:rsidRDefault="00BE61A2">
            <w:pPr>
              <w:rPr>
                <w:rFonts w:asciiTheme="minorHAnsi" w:eastAsia="Times New Roman" w:hAnsiTheme="minorHAnsi"/>
                <w:b/>
                <w:sz w:val="18"/>
                <w:szCs w:val="18"/>
              </w:rPr>
            </w:pPr>
            <w:r w:rsidRPr="00B95EF0">
              <w:rPr>
                <w:rFonts w:asciiTheme="minorHAnsi" w:eastAsia="Times New Roman" w:hAnsiTheme="minorHAnsi"/>
                <w:b/>
                <w:sz w:val="18"/>
                <w:szCs w:val="18"/>
              </w:rPr>
              <w:t>Grand total</w:t>
            </w:r>
          </w:p>
        </w:tc>
        <w:tc>
          <w:tcPr>
            <w:tcW w:w="0" w:type="auto"/>
            <w:shd w:val="clear" w:color="auto" w:fill="FDE9D9" w:themeFill="accent6" w:themeFillTint="33"/>
            <w:hideMark/>
          </w:tcPr>
          <w:p w14:paraId="74990B36" w14:textId="77777777" w:rsidR="00BE61A2" w:rsidRPr="00B95EF0" w:rsidRDefault="00BE61A2">
            <w:pPr>
              <w:rPr>
                <w:rFonts w:asciiTheme="minorHAnsi" w:eastAsia="Times New Roman" w:hAnsiTheme="minorHAnsi"/>
                <w:b/>
                <w:sz w:val="18"/>
                <w:szCs w:val="18"/>
              </w:rPr>
            </w:pPr>
            <w:r w:rsidRPr="00B95EF0">
              <w:rPr>
                <w:rFonts w:asciiTheme="minorHAnsi" w:eastAsia="Times New Roman" w:hAnsiTheme="minorHAnsi"/>
                <w:b/>
                <w:sz w:val="18"/>
                <w:szCs w:val="18"/>
              </w:rPr>
              <w:t>14,493</w:t>
            </w:r>
          </w:p>
        </w:tc>
        <w:tc>
          <w:tcPr>
            <w:tcW w:w="0" w:type="auto"/>
            <w:shd w:val="clear" w:color="auto" w:fill="FDE9D9" w:themeFill="accent6" w:themeFillTint="33"/>
            <w:hideMark/>
          </w:tcPr>
          <w:p w14:paraId="2E501A1E" w14:textId="77777777" w:rsidR="00BE61A2" w:rsidRPr="00B95EF0" w:rsidRDefault="00BE61A2">
            <w:pPr>
              <w:rPr>
                <w:rFonts w:asciiTheme="minorHAnsi" w:eastAsia="Times New Roman" w:hAnsiTheme="minorHAnsi"/>
                <w:b/>
                <w:sz w:val="18"/>
                <w:szCs w:val="18"/>
              </w:rPr>
            </w:pPr>
            <w:r w:rsidRPr="00B95EF0">
              <w:rPr>
                <w:rFonts w:asciiTheme="minorHAnsi" w:eastAsia="Times New Roman" w:hAnsiTheme="minorHAnsi"/>
                <w:b/>
                <w:sz w:val="18"/>
                <w:szCs w:val="18"/>
              </w:rPr>
              <w:t>1,397</w:t>
            </w:r>
          </w:p>
        </w:tc>
        <w:tc>
          <w:tcPr>
            <w:tcW w:w="0" w:type="auto"/>
            <w:shd w:val="clear" w:color="auto" w:fill="FDE9D9" w:themeFill="accent6" w:themeFillTint="33"/>
            <w:hideMark/>
          </w:tcPr>
          <w:p w14:paraId="5206C258" w14:textId="77777777" w:rsidR="00BE61A2" w:rsidRPr="00B95EF0" w:rsidRDefault="00BE61A2">
            <w:pPr>
              <w:rPr>
                <w:rFonts w:asciiTheme="minorHAnsi" w:eastAsia="Times New Roman" w:hAnsiTheme="minorHAnsi"/>
                <w:b/>
                <w:sz w:val="18"/>
                <w:szCs w:val="18"/>
              </w:rPr>
            </w:pPr>
            <w:r w:rsidRPr="00B95EF0">
              <w:rPr>
                <w:rFonts w:asciiTheme="minorHAnsi" w:eastAsia="Times New Roman" w:hAnsiTheme="minorHAnsi"/>
                <w:b/>
                <w:sz w:val="18"/>
                <w:szCs w:val="18"/>
              </w:rPr>
              <w:t>751</w:t>
            </w:r>
          </w:p>
        </w:tc>
        <w:tc>
          <w:tcPr>
            <w:tcW w:w="0" w:type="auto"/>
            <w:shd w:val="clear" w:color="auto" w:fill="FDE9D9" w:themeFill="accent6" w:themeFillTint="33"/>
            <w:hideMark/>
          </w:tcPr>
          <w:p w14:paraId="685A94D0" w14:textId="77777777" w:rsidR="00BE61A2" w:rsidRPr="00B95EF0" w:rsidRDefault="00BE61A2">
            <w:pPr>
              <w:rPr>
                <w:rFonts w:asciiTheme="minorHAnsi" w:eastAsia="Times New Roman" w:hAnsiTheme="minorHAnsi"/>
                <w:b/>
                <w:sz w:val="18"/>
                <w:szCs w:val="18"/>
              </w:rPr>
            </w:pPr>
            <w:r w:rsidRPr="00B95EF0">
              <w:rPr>
                <w:rFonts w:asciiTheme="minorHAnsi" w:eastAsia="Times New Roman" w:hAnsiTheme="minorHAnsi"/>
                <w:b/>
                <w:sz w:val="18"/>
                <w:szCs w:val="18"/>
              </w:rPr>
              <w:t>129,361</w:t>
            </w:r>
          </w:p>
        </w:tc>
        <w:tc>
          <w:tcPr>
            <w:tcW w:w="0" w:type="auto"/>
            <w:shd w:val="clear" w:color="auto" w:fill="FDE9D9" w:themeFill="accent6" w:themeFillTint="33"/>
            <w:hideMark/>
          </w:tcPr>
          <w:p w14:paraId="760BF083" w14:textId="77777777" w:rsidR="00BE61A2" w:rsidRPr="00B95EF0" w:rsidRDefault="00BE61A2">
            <w:pPr>
              <w:rPr>
                <w:rFonts w:asciiTheme="minorHAnsi" w:eastAsia="Times New Roman" w:hAnsiTheme="minorHAnsi"/>
                <w:b/>
                <w:sz w:val="18"/>
                <w:szCs w:val="18"/>
              </w:rPr>
            </w:pPr>
            <w:r w:rsidRPr="00B95EF0">
              <w:rPr>
                <w:rFonts w:asciiTheme="minorHAnsi" w:eastAsia="Times New Roman" w:hAnsiTheme="minorHAnsi"/>
                <w:b/>
                <w:sz w:val="18"/>
                <w:szCs w:val="18"/>
              </w:rPr>
              <w:t>103,481</w:t>
            </w:r>
          </w:p>
        </w:tc>
        <w:tc>
          <w:tcPr>
            <w:tcW w:w="0" w:type="auto"/>
            <w:shd w:val="clear" w:color="auto" w:fill="FDE9D9" w:themeFill="accent6" w:themeFillTint="33"/>
            <w:hideMark/>
          </w:tcPr>
          <w:p w14:paraId="4316C295" w14:textId="77777777" w:rsidR="00BE61A2" w:rsidRPr="00B95EF0" w:rsidRDefault="00BE61A2">
            <w:pPr>
              <w:rPr>
                <w:rFonts w:asciiTheme="minorHAnsi" w:eastAsia="Times New Roman" w:hAnsiTheme="minorHAnsi"/>
                <w:b/>
                <w:sz w:val="18"/>
                <w:szCs w:val="18"/>
              </w:rPr>
            </w:pPr>
            <w:r w:rsidRPr="00B95EF0">
              <w:rPr>
                <w:rFonts w:asciiTheme="minorHAnsi" w:eastAsia="Times New Roman" w:hAnsiTheme="minorHAnsi"/>
                <w:b/>
                <w:sz w:val="18"/>
                <w:szCs w:val="18"/>
              </w:rPr>
              <w:t>70,996</w:t>
            </w:r>
          </w:p>
        </w:tc>
        <w:tc>
          <w:tcPr>
            <w:tcW w:w="0" w:type="auto"/>
            <w:shd w:val="clear" w:color="auto" w:fill="FDE9D9" w:themeFill="accent6" w:themeFillTint="33"/>
            <w:hideMark/>
          </w:tcPr>
          <w:p w14:paraId="5B33A4AB" w14:textId="77777777" w:rsidR="00BE61A2" w:rsidRPr="00B95EF0" w:rsidRDefault="00BE61A2">
            <w:pPr>
              <w:rPr>
                <w:rFonts w:asciiTheme="minorHAnsi" w:eastAsia="Times New Roman" w:hAnsiTheme="minorHAnsi"/>
                <w:b/>
                <w:sz w:val="18"/>
                <w:szCs w:val="18"/>
              </w:rPr>
            </w:pPr>
            <w:r w:rsidRPr="00B95EF0">
              <w:rPr>
                <w:rFonts w:asciiTheme="minorHAnsi" w:eastAsia="Times New Roman" w:hAnsiTheme="minorHAnsi"/>
                <w:b/>
                <w:sz w:val="18"/>
                <w:szCs w:val="18"/>
              </w:rPr>
              <w:t>320,479</w:t>
            </w:r>
          </w:p>
        </w:tc>
        <w:tc>
          <w:tcPr>
            <w:tcW w:w="0" w:type="auto"/>
            <w:shd w:val="clear" w:color="auto" w:fill="FDE9D9" w:themeFill="accent6" w:themeFillTint="33"/>
            <w:hideMark/>
          </w:tcPr>
          <w:p w14:paraId="67412C74" w14:textId="77777777" w:rsidR="00BE61A2" w:rsidRPr="00B95EF0" w:rsidRDefault="00BE61A2">
            <w:pPr>
              <w:rPr>
                <w:rFonts w:asciiTheme="minorHAnsi" w:eastAsia="Times New Roman" w:hAnsiTheme="minorHAnsi"/>
                <w:b/>
                <w:sz w:val="18"/>
                <w:szCs w:val="18"/>
              </w:rPr>
            </w:pPr>
            <w:r w:rsidRPr="00B95EF0">
              <w:rPr>
                <w:rFonts w:asciiTheme="minorHAnsi" w:eastAsia="Times New Roman" w:hAnsiTheme="minorHAnsi"/>
                <w:b/>
                <w:sz w:val="18"/>
                <w:szCs w:val="18"/>
              </w:rPr>
              <w:t>46</w:t>
            </w:r>
          </w:p>
        </w:tc>
        <w:tc>
          <w:tcPr>
            <w:tcW w:w="0" w:type="auto"/>
            <w:shd w:val="clear" w:color="auto" w:fill="FDE9D9" w:themeFill="accent6" w:themeFillTint="33"/>
            <w:hideMark/>
          </w:tcPr>
          <w:p w14:paraId="4A535367" w14:textId="77777777" w:rsidR="00BE61A2" w:rsidRPr="00B95EF0" w:rsidRDefault="00BE61A2">
            <w:pPr>
              <w:rPr>
                <w:rFonts w:asciiTheme="minorHAnsi" w:eastAsia="Times New Roman" w:hAnsiTheme="minorHAnsi"/>
                <w:b/>
                <w:sz w:val="18"/>
                <w:szCs w:val="18"/>
              </w:rPr>
            </w:pPr>
            <w:r w:rsidRPr="00B95EF0">
              <w:rPr>
                <w:rFonts w:asciiTheme="minorHAnsi" w:eastAsia="Times New Roman" w:hAnsiTheme="minorHAnsi"/>
                <w:b/>
                <w:sz w:val="18"/>
                <w:szCs w:val="18"/>
              </w:rPr>
              <w:t>146,002</w:t>
            </w:r>
          </w:p>
        </w:tc>
        <w:tc>
          <w:tcPr>
            <w:tcW w:w="0" w:type="auto"/>
            <w:shd w:val="clear" w:color="auto" w:fill="FDE9D9" w:themeFill="accent6" w:themeFillTint="33"/>
            <w:hideMark/>
          </w:tcPr>
          <w:p w14:paraId="79B37A85" w14:textId="77777777" w:rsidR="00BE61A2" w:rsidRPr="00B95EF0" w:rsidRDefault="00BE61A2">
            <w:pPr>
              <w:rPr>
                <w:rFonts w:asciiTheme="minorHAnsi" w:eastAsia="Times New Roman" w:hAnsiTheme="minorHAnsi"/>
                <w:b/>
                <w:sz w:val="18"/>
                <w:szCs w:val="18"/>
              </w:rPr>
            </w:pPr>
            <w:r w:rsidRPr="00B95EF0">
              <w:rPr>
                <w:rFonts w:asciiTheme="minorHAnsi" w:eastAsia="Times New Roman" w:hAnsiTheme="minorHAnsi"/>
                <w:b/>
                <w:sz w:val="18"/>
                <w:szCs w:val="18"/>
              </w:rPr>
              <w:t>174,477</w:t>
            </w:r>
          </w:p>
        </w:tc>
      </w:tr>
    </w:tbl>
    <w:p w14:paraId="6C8515CA" w14:textId="77777777" w:rsidR="000B5123" w:rsidRDefault="00BE61A2" w:rsidP="00BE7272">
      <w:pPr>
        <w:pStyle w:val="CDIfootnotes"/>
        <w:ind w:left="720" w:hanging="720"/>
        <w:rPr>
          <w:rFonts w:eastAsia="Times New Roman"/>
        </w:rPr>
        <w:sectPr w:rsidR="000B5123" w:rsidSect="002510BB">
          <w:pgSz w:w="16838" w:h="11906" w:orient="landscape"/>
          <w:pgMar w:top="720" w:right="720" w:bottom="720" w:left="1134" w:header="709" w:footer="284" w:gutter="0"/>
          <w:cols w:space="708"/>
          <w:titlePg/>
          <w:docGrid w:linePitch="360"/>
        </w:sectPr>
      </w:pPr>
      <w:r w:rsidRPr="00292ABF">
        <w:rPr>
          <w:rFonts w:eastAsia="Times New Roman"/>
        </w:rPr>
        <w:t>*</w:t>
      </w:r>
      <w:r w:rsidRPr="00AE2F1B">
        <w:rPr>
          <w:rFonts w:eastAsia="Times New Roman"/>
        </w:rPr>
        <w:tab/>
        <w:t xml:space="preserve">Indigenous status is usually obtained from medical notification and completeness varies by disease and by state and territory. This reflects differences in notification requirements (i.e. depending on the jurisdiction, some diseases are primarily or completely notified by pathology laboratories rather than clinicians) and the fact that it is not possible to follow-up all cases for diseases with a large volume of notifications and/or not requiring specific case-based public health action. </w:t>
      </w:r>
    </w:p>
    <w:p w14:paraId="48A1C89D" w14:textId="77777777" w:rsidR="00BE61A2" w:rsidRPr="00A76FEF" w:rsidRDefault="00BE61A2" w:rsidP="00A76FEF">
      <w:pPr>
        <w:pStyle w:val="Heading1"/>
      </w:pPr>
      <w:bookmarkStart w:id="260" w:name="_Toc1747414"/>
      <w:r w:rsidRPr="00A76FEF">
        <w:lastRenderedPageBreak/>
        <w:t>Abbreviations</w:t>
      </w:r>
      <w:bookmarkEnd w:id="260"/>
    </w:p>
    <w:tbl>
      <w:tblPr>
        <w:tblStyle w:val="CDI-StandardTable"/>
        <w:tblW w:w="0" w:type="auto"/>
        <w:tblCellMar>
          <w:top w:w="142" w:type="dxa"/>
          <w:left w:w="142" w:type="dxa"/>
          <w:bottom w:w="142" w:type="dxa"/>
        </w:tblCellMar>
        <w:tblLook w:val="04A0" w:firstRow="1" w:lastRow="0" w:firstColumn="1" w:lastColumn="0" w:noHBand="0" w:noVBand="1"/>
        <w:tblCaption w:val="Abbreviations"/>
      </w:tblPr>
      <w:tblGrid>
        <w:gridCol w:w="1238"/>
        <w:gridCol w:w="6765"/>
      </w:tblGrid>
      <w:tr w:rsidR="00BE61A2" w:rsidRPr="002C291D" w14:paraId="1A270551" w14:textId="77777777" w:rsidTr="000A4FFE">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019A0DF9" w14:textId="77777777" w:rsidR="00BE61A2" w:rsidRPr="002C291D" w:rsidRDefault="00BE61A2">
            <w:pPr>
              <w:rPr>
                <w:rFonts w:eastAsia="Times New Roman"/>
                <w:color w:val="FFFFFF" w:themeColor="background1"/>
                <w:sz w:val="18"/>
                <w:szCs w:val="18"/>
              </w:rPr>
            </w:pPr>
            <w:r w:rsidRPr="002C291D">
              <w:rPr>
                <w:rFonts w:eastAsia="Times New Roman"/>
                <w:color w:val="FFFFFF" w:themeColor="background1"/>
                <w:sz w:val="18"/>
                <w:szCs w:val="18"/>
              </w:rPr>
              <w:t>Abbreviation</w:t>
            </w:r>
          </w:p>
        </w:tc>
        <w:tc>
          <w:tcPr>
            <w:tcW w:w="0" w:type="auto"/>
            <w:hideMark/>
          </w:tcPr>
          <w:p w14:paraId="0E16C242" w14:textId="77777777" w:rsidR="00BE61A2" w:rsidRPr="002C291D" w:rsidRDefault="00BE61A2">
            <w:pPr>
              <w:rPr>
                <w:rFonts w:eastAsia="Times New Roman"/>
                <w:color w:val="FFFFFF" w:themeColor="background1"/>
                <w:sz w:val="18"/>
                <w:szCs w:val="18"/>
              </w:rPr>
            </w:pPr>
            <w:r w:rsidRPr="002C291D">
              <w:rPr>
                <w:rFonts w:eastAsia="Times New Roman"/>
                <w:color w:val="FFFFFF" w:themeColor="background1"/>
                <w:sz w:val="18"/>
                <w:szCs w:val="18"/>
              </w:rPr>
              <w:t>Definition</w:t>
            </w:r>
          </w:p>
        </w:tc>
      </w:tr>
      <w:tr w:rsidR="00BE61A2" w:rsidRPr="002C291D" w14:paraId="3A1CF046" w14:textId="77777777" w:rsidTr="000A4FFE">
        <w:tblPrEx>
          <w:tblCellMar>
            <w:right w:w="108" w:type="dxa"/>
          </w:tblCellMar>
        </w:tblPrEx>
        <w:tc>
          <w:tcPr>
            <w:tcW w:w="0" w:type="auto"/>
            <w:hideMark/>
          </w:tcPr>
          <w:p w14:paraId="6603C143"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 xml:space="preserve">7vPCV </w:t>
            </w:r>
          </w:p>
        </w:tc>
        <w:tc>
          <w:tcPr>
            <w:tcW w:w="0" w:type="auto"/>
            <w:hideMark/>
          </w:tcPr>
          <w:p w14:paraId="391A1ED0"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7 valent pneumococcal conjugate vaccine</w:t>
            </w:r>
          </w:p>
        </w:tc>
      </w:tr>
      <w:tr w:rsidR="00BE61A2" w:rsidRPr="002C291D" w14:paraId="40EBA9CB"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33A77B0"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 xml:space="preserve">13vPCV </w:t>
            </w:r>
          </w:p>
        </w:tc>
        <w:tc>
          <w:tcPr>
            <w:tcW w:w="0" w:type="auto"/>
            <w:hideMark/>
          </w:tcPr>
          <w:p w14:paraId="750E4EA3"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13 valent pneumococcal conjugate vaccine</w:t>
            </w:r>
          </w:p>
        </w:tc>
      </w:tr>
      <w:tr w:rsidR="00BE61A2" w:rsidRPr="002C291D" w14:paraId="37227BC7" w14:textId="77777777" w:rsidTr="000A4FFE">
        <w:tblPrEx>
          <w:tblCellMar>
            <w:right w:w="108" w:type="dxa"/>
          </w:tblCellMar>
        </w:tblPrEx>
        <w:tc>
          <w:tcPr>
            <w:tcW w:w="0" w:type="auto"/>
            <w:hideMark/>
          </w:tcPr>
          <w:p w14:paraId="2BDDB4C7"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 xml:space="preserve">23vPPV </w:t>
            </w:r>
          </w:p>
        </w:tc>
        <w:tc>
          <w:tcPr>
            <w:tcW w:w="0" w:type="auto"/>
            <w:hideMark/>
          </w:tcPr>
          <w:p w14:paraId="736CFC93"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23 valent pneumococcal polysaccharide vaccine</w:t>
            </w:r>
          </w:p>
        </w:tc>
      </w:tr>
      <w:tr w:rsidR="00BE61A2" w:rsidRPr="002C291D" w14:paraId="2F66FF0A"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0F35C2E"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ABLV</w:t>
            </w:r>
          </w:p>
        </w:tc>
        <w:tc>
          <w:tcPr>
            <w:tcW w:w="0" w:type="auto"/>
            <w:hideMark/>
          </w:tcPr>
          <w:p w14:paraId="53243736"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Australian bat lyssavirus</w:t>
            </w:r>
          </w:p>
        </w:tc>
      </w:tr>
      <w:tr w:rsidR="00BE61A2" w:rsidRPr="002C291D" w14:paraId="3E47F42C" w14:textId="77777777" w:rsidTr="000A4FFE">
        <w:tblPrEx>
          <w:tblCellMar>
            <w:right w:w="108" w:type="dxa"/>
          </w:tblCellMar>
        </w:tblPrEx>
        <w:tc>
          <w:tcPr>
            <w:tcW w:w="0" w:type="auto"/>
            <w:hideMark/>
          </w:tcPr>
          <w:p w14:paraId="1D52F61B"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AFP</w:t>
            </w:r>
          </w:p>
        </w:tc>
        <w:tc>
          <w:tcPr>
            <w:tcW w:w="0" w:type="auto"/>
            <w:hideMark/>
          </w:tcPr>
          <w:p w14:paraId="12B82AA0"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acute flaccid paralysis</w:t>
            </w:r>
          </w:p>
        </w:tc>
      </w:tr>
      <w:tr w:rsidR="00BE61A2" w:rsidRPr="002C291D" w14:paraId="3DE255FA"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96F10BA"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AGSP</w:t>
            </w:r>
          </w:p>
        </w:tc>
        <w:tc>
          <w:tcPr>
            <w:tcW w:w="0" w:type="auto"/>
            <w:hideMark/>
          </w:tcPr>
          <w:p w14:paraId="64E19A1E"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Australian Gonococcal Surveillance Programme</w:t>
            </w:r>
          </w:p>
        </w:tc>
      </w:tr>
      <w:tr w:rsidR="00BE61A2" w:rsidRPr="002C291D" w14:paraId="3A7A57B5" w14:textId="77777777" w:rsidTr="000A4FFE">
        <w:tblPrEx>
          <w:tblCellMar>
            <w:right w:w="108" w:type="dxa"/>
          </w:tblCellMar>
        </w:tblPrEx>
        <w:tc>
          <w:tcPr>
            <w:tcW w:w="0" w:type="auto"/>
            <w:hideMark/>
          </w:tcPr>
          <w:p w14:paraId="2F0932EF"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AIDS</w:t>
            </w:r>
          </w:p>
        </w:tc>
        <w:tc>
          <w:tcPr>
            <w:tcW w:w="0" w:type="auto"/>
            <w:hideMark/>
          </w:tcPr>
          <w:p w14:paraId="0EF3CFDF"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acquired immune deficiency syndrome</w:t>
            </w:r>
          </w:p>
        </w:tc>
      </w:tr>
      <w:tr w:rsidR="00BE61A2" w:rsidRPr="002C291D" w14:paraId="21FF7BE0"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2838F5A"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AMSP</w:t>
            </w:r>
          </w:p>
        </w:tc>
        <w:tc>
          <w:tcPr>
            <w:tcW w:w="0" w:type="auto"/>
            <w:hideMark/>
          </w:tcPr>
          <w:p w14:paraId="0C1F25F2"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Australian Meningococcal Surveillance Programme</w:t>
            </w:r>
          </w:p>
        </w:tc>
      </w:tr>
      <w:tr w:rsidR="00BE61A2" w:rsidRPr="002C291D" w14:paraId="4E4E657E" w14:textId="77777777" w:rsidTr="000A4FFE">
        <w:tblPrEx>
          <w:tblCellMar>
            <w:right w:w="108" w:type="dxa"/>
          </w:tblCellMar>
        </w:tblPrEx>
        <w:tc>
          <w:tcPr>
            <w:tcW w:w="0" w:type="auto"/>
            <w:hideMark/>
          </w:tcPr>
          <w:p w14:paraId="61400B5E"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ANCJDR</w:t>
            </w:r>
          </w:p>
        </w:tc>
        <w:tc>
          <w:tcPr>
            <w:tcW w:w="0" w:type="auto"/>
            <w:hideMark/>
          </w:tcPr>
          <w:p w14:paraId="7100FF48"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Australian National Creutzfeldt-Jakob Disease Registry</w:t>
            </w:r>
          </w:p>
        </w:tc>
      </w:tr>
      <w:tr w:rsidR="00BE61A2" w:rsidRPr="002C291D" w14:paraId="18392CE4"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09861D3"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BCG</w:t>
            </w:r>
          </w:p>
        </w:tc>
        <w:tc>
          <w:tcPr>
            <w:tcW w:w="0" w:type="auto"/>
            <w:hideMark/>
          </w:tcPr>
          <w:p w14:paraId="60EDA754" w14:textId="77777777" w:rsidR="00BE61A2" w:rsidRPr="002C291D" w:rsidRDefault="00BE61A2" w:rsidP="00B95EF0">
            <w:pPr>
              <w:rPr>
                <w:rFonts w:asciiTheme="minorHAnsi" w:eastAsia="Times New Roman" w:hAnsiTheme="minorHAnsi"/>
                <w:sz w:val="18"/>
                <w:szCs w:val="18"/>
              </w:rPr>
            </w:pPr>
            <w:r w:rsidRPr="002C291D">
              <w:rPr>
                <w:rFonts w:asciiTheme="minorHAnsi" w:eastAsia="Times New Roman" w:hAnsiTheme="minorHAnsi"/>
                <w:sz w:val="18"/>
                <w:szCs w:val="18"/>
              </w:rPr>
              <w:t xml:space="preserve">bacille </w:t>
            </w:r>
            <w:r w:rsidR="00B95EF0" w:rsidRPr="002C291D">
              <w:rPr>
                <w:rFonts w:asciiTheme="minorHAnsi" w:eastAsia="Times New Roman" w:hAnsiTheme="minorHAnsi"/>
                <w:sz w:val="18"/>
                <w:szCs w:val="18"/>
              </w:rPr>
              <w:t>Calmette-Guérin</w:t>
            </w:r>
          </w:p>
        </w:tc>
      </w:tr>
      <w:tr w:rsidR="00BE61A2" w:rsidRPr="002C291D" w14:paraId="406C2BD3" w14:textId="77777777" w:rsidTr="000A4FFE">
        <w:tblPrEx>
          <w:tblCellMar>
            <w:right w:w="108" w:type="dxa"/>
          </w:tblCellMar>
        </w:tblPrEx>
        <w:tc>
          <w:tcPr>
            <w:tcW w:w="0" w:type="auto"/>
            <w:hideMark/>
          </w:tcPr>
          <w:p w14:paraId="647BE577"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BFV</w:t>
            </w:r>
          </w:p>
        </w:tc>
        <w:tc>
          <w:tcPr>
            <w:tcW w:w="0" w:type="auto"/>
            <w:hideMark/>
          </w:tcPr>
          <w:p w14:paraId="001F00BE"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Barmah Forest virus</w:t>
            </w:r>
          </w:p>
        </w:tc>
      </w:tr>
      <w:tr w:rsidR="00BE61A2" w:rsidRPr="002C291D" w14:paraId="2D072F72"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0DA1D57"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CDI</w:t>
            </w:r>
          </w:p>
        </w:tc>
        <w:tc>
          <w:tcPr>
            <w:tcW w:w="0" w:type="auto"/>
            <w:hideMark/>
          </w:tcPr>
          <w:p w14:paraId="1AA452BF"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Communicable Diseases Intelligence</w:t>
            </w:r>
          </w:p>
        </w:tc>
      </w:tr>
      <w:tr w:rsidR="00BE61A2" w:rsidRPr="002C291D" w14:paraId="1DF22634" w14:textId="77777777" w:rsidTr="000A4FFE">
        <w:tblPrEx>
          <w:tblCellMar>
            <w:right w:w="108" w:type="dxa"/>
          </w:tblCellMar>
        </w:tblPrEx>
        <w:tc>
          <w:tcPr>
            <w:tcW w:w="0" w:type="auto"/>
            <w:hideMark/>
          </w:tcPr>
          <w:p w14:paraId="07B3FBE3"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CDNA</w:t>
            </w:r>
          </w:p>
        </w:tc>
        <w:tc>
          <w:tcPr>
            <w:tcW w:w="0" w:type="auto"/>
            <w:hideMark/>
          </w:tcPr>
          <w:p w14:paraId="1ED2F448"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Communicable Diseases Network Australia</w:t>
            </w:r>
          </w:p>
        </w:tc>
      </w:tr>
      <w:tr w:rsidR="00BE61A2" w:rsidRPr="002C291D" w14:paraId="2FE39049"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DB06DA2"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CDWG</w:t>
            </w:r>
          </w:p>
        </w:tc>
        <w:tc>
          <w:tcPr>
            <w:tcW w:w="0" w:type="auto"/>
            <w:hideMark/>
          </w:tcPr>
          <w:p w14:paraId="246ACA67"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Case Definitions Working Group</w:t>
            </w:r>
          </w:p>
        </w:tc>
      </w:tr>
      <w:tr w:rsidR="00BE61A2" w:rsidRPr="002C291D" w14:paraId="3F805AE5" w14:textId="77777777" w:rsidTr="000A4FFE">
        <w:tblPrEx>
          <w:tblCellMar>
            <w:right w:w="108" w:type="dxa"/>
          </w:tblCellMar>
        </w:tblPrEx>
        <w:tc>
          <w:tcPr>
            <w:tcW w:w="0" w:type="auto"/>
            <w:hideMark/>
          </w:tcPr>
          <w:p w14:paraId="48230335"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CHIKV</w:t>
            </w:r>
          </w:p>
        </w:tc>
        <w:tc>
          <w:tcPr>
            <w:tcW w:w="0" w:type="auto"/>
            <w:hideMark/>
          </w:tcPr>
          <w:p w14:paraId="023ED50F"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Chikungunya Virus</w:t>
            </w:r>
          </w:p>
        </w:tc>
      </w:tr>
      <w:tr w:rsidR="00BE61A2" w:rsidRPr="002C291D" w14:paraId="53C2A262"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A2BD0BF"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CIDT</w:t>
            </w:r>
          </w:p>
        </w:tc>
        <w:tc>
          <w:tcPr>
            <w:tcW w:w="0" w:type="auto"/>
            <w:hideMark/>
          </w:tcPr>
          <w:p w14:paraId="3DF3F9CA"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culture-independent diagnostic testing</w:t>
            </w:r>
          </w:p>
        </w:tc>
      </w:tr>
      <w:tr w:rsidR="00BE61A2" w:rsidRPr="002C291D" w14:paraId="4318DF30" w14:textId="77777777" w:rsidTr="000A4FFE">
        <w:tblPrEx>
          <w:tblCellMar>
            <w:right w:w="108" w:type="dxa"/>
          </w:tblCellMar>
        </w:tblPrEx>
        <w:tc>
          <w:tcPr>
            <w:tcW w:w="0" w:type="auto"/>
            <w:hideMark/>
          </w:tcPr>
          <w:p w14:paraId="6CDC67EF"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CJD</w:t>
            </w:r>
          </w:p>
        </w:tc>
        <w:tc>
          <w:tcPr>
            <w:tcW w:w="0" w:type="auto"/>
            <w:hideMark/>
          </w:tcPr>
          <w:p w14:paraId="5E8C2FF6"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Creutzfeldt-Jakob disease</w:t>
            </w:r>
          </w:p>
        </w:tc>
      </w:tr>
      <w:tr w:rsidR="00BE61A2" w:rsidRPr="002C291D" w14:paraId="44C94F69"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C3700B7"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CRS</w:t>
            </w:r>
          </w:p>
        </w:tc>
        <w:tc>
          <w:tcPr>
            <w:tcW w:w="0" w:type="auto"/>
            <w:hideMark/>
          </w:tcPr>
          <w:p w14:paraId="552342DF"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congenital rubella syndrome</w:t>
            </w:r>
          </w:p>
        </w:tc>
      </w:tr>
      <w:tr w:rsidR="00BE61A2" w:rsidRPr="002C291D" w14:paraId="45C502D2" w14:textId="77777777" w:rsidTr="000A4FFE">
        <w:tblPrEx>
          <w:tblCellMar>
            <w:right w:w="108" w:type="dxa"/>
          </w:tblCellMar>
        </w:tblPrEx>
        <w:tc>
          <w:tcPr>
            <w:tcW w:w="0" w:type="auto"/>
            <w:hideMark/>
          </w:tcPr>
          <w:p w14:paraId="79F84648"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DAFF</w:t>
            </w:r>
          </w:p>
        </w:tc>
        <w:tc>
          <w:tcPr>
            <w:tcW w:w="0" w:type="auto"/>
            <w:hideMark/>
          </w:tcPr>
          <w:p w14:paraId="44AD41E0"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Queensland Department of Agriculture, Fisheries and Forestry</w:t>
            </w:r>
          </w:p>
        </w:tc>
      </w:tr>
      <w:tr w:rsidR="00BE61A2" w:rsidRPr="002C291D" w14:paraId="0D4FCE14"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20A00F7"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DENV</w:t>
            </w:r>
          </w:p>
        </w:tc>
        <w:tc>
          <w:tcPr>
            <w:tcW w:w="0" w:type="auto"/>
            <w:hideMark/>
          </w:tcPr>
          <w:p w14:paraId="44D3D2EE"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dengue virus</w:t>
            </w:r>
          </w:p>
        </w:tc>
      </w:tr>
      <w:tr w:rsidR="00BE61A2" w:rsidRPr="002C291D" w14:paraId="0D7A7A80" w14:textId="77777777" w:rsidTr="000A4FFE">
        <w:tblPrEx>
          <w:tblCellMar>
            <w:right w:w="108" w:type="dxa"/>
          </w:tblCellMar>
        </w:tblPrEx>
        <w:tc>
          <w:tcPr>
            <w:tcW w:w="0" w:type="auto"/>
            <w:hideMark/>
          </w:tcPr>
          <w:p w14:paraId="49A19208"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Hib</w:t>
            </w:r>
          </w:p>
        </w:tc>
        <w:tc>
          <w:tcPr>
            <w:tcW w:w="0" w:type="auto"/>
            <w:hideMark/>
          </w:tcPr>
          <w:p w14:paraId="566C22A8"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Haemophilus influenzae type b</w:t>
            </w:r>
          </w:p>
        </w:tc>
      </w:tr>
      <w:tr w:rsidR="00BE61A2" w:rsidRPr="002C291D" w14:paraId="68FF7D4D"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EBA3075"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HIV</w:t>
            </w:r>
          </w:p>
        </w:tc>
        <w:tc>
          <w:tcPr>
            <w:tcW w:w="0" w:type="auto"/>
            <w:hideMark/>
          </w:tcPr>
          <w:p w14:paraId="37E1B592"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human immunodeficiency virus</w:t>
            </w:r>
          </w:p>
        </w:tc>
      </w:tr>
      <w:tr w:rsidR="00BE61A2" w:rsidRPr="002C291D" w14:paraId="610F62D8" w14:textId="77777777" w:rsidTr="000A4FFE">
        <w:tblPrEx>
          <w:tblCellMar>
            <w:right w:w="108" w:type="dxa"/>
          </w:tblCellMar>
        </w:tblPrEx>
        <w:tc>
          <w:tcPr>
            <w:tcW w:w="0" w:type="auto"/>
            <w:hideMark/>
          </w:tcPr>
          <w:p w14:paraId="2C76D5F4"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HPAIH</w:t>
            </w:r>
          </w:p>
        </w:tc>
        <w:tc>
          <w:tcPr>
            <w:tcW w:w="0" w:type="auto"/>
            <w:hideMark/>
          </w:tcPr>
          <w:p w14:paraId="65FAC974"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highly pathogenic avian influenza in humans</w:t>
            </w:r>
          </w:p>
        </w:tc>
      </w:tr>
      <w:tr w:rsidR="00BE61A2" w:rsidRPr="002C291D" w14:paraId="4BDC3427"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64FF467"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HUS</w:t>
            </w:r>
          </w:p>
        </w:tc>
        <w:tc>
          <w:tcPr>
            <w:tcW w:w="0" w:type="auto"/>
            <w:hideMark/>
          </w:tcPr>
          <w:p w14:paraId="645FD787"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haemolytic uraemic syndrome</w:t>
            </w:r>
          </w:p>
        </w:tc>
      </w:tr>
      <w:tr w:rsidR="00BE61A2" w:rsidRPr="002C291D" w14:paraId="22269693" w14:textId="77777777" w:rsidTr="000A4FFE">
        <w:tblPrEx>
          <w:tblCellMar>
            <w:right w:w="108" w:type="dxa"/>
          </w:tblCellMar>
        </w:tblPrEx>
        <w:tc>
          <w:tcPr>
            <w:tcW w:w="0" w:type="auto"/>
            <w:hideMark/>
          </w:tcPr>
          <w:p w14:paraId="59C99B67"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ICU</w:t>
            </w:r>
          </w:p>
        </w:tc>
        <w:tc>
          <w:tcPr>
            <w:tcW w:w="0" w:type="auto"/>
            <w:hideMark/>
          </w:tcPr>
          <w:p w14:paraId="265B9317"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intensive care unit</w:t>
            </w:r>
          </w:p>
        </w:tc>
      </w:tr>
      <w:tr w:rsidR="00BE61A2" w:rsidRPr="002C291D" w14:paraId="5B441E1E"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D6B483D"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ILI</w:t>
            </w:r>
          </w:p>
        </w:tc>
        <w:tc>
          <w:tcPr>
            <w:tcW w:w="0" w:type="auto"/>
            <w:hideMark/>
          </w:tcPr>
          <w:p w14:paraId="57BF26E6"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influenza like illness</w:t>
            </w:r>
          </w:p>
        </w:tc>
      </w:tr>
      <w:tr w:rsidR="00BE61A2" w:rsidRPr="002C291D" w14:paraId="3B366D20" w14:textId="77777777" w:rsidTr="000A4FFE">
        <w:tblPrEx>
          <w:tblCellMar>
            <w:right w:w="108" w:type="dxa"/>
          </w:tblCellMar>
        </w:tblPrEx>
        <w:tc>
          <w:tcPr>
            <w:tcW w:w="0" w:type="auto"/>
            <w:hideMark/>
          </w:tcPr>
          <w:p w14:paraId="5F44598F"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IMD</w:t>
            </w:r>
          </w:p>
        </w:tc>
        <w:tc>
          <w:tcPr>
            <w:tcW w:w="0" w:type="auto"/>
            <w:hideMark/>
          </w:tcPr>
          <w:p w14:paraId="5C2CBC08"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invasive meningococcal disease</w:t>
            </w:r>
          </w:p>
        </w:tc>
      </w:tr>
      <w:tr w:rsidR="00BE61A2" w:rsidRPr="002C291D" w14:paraId="0E14667D"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20545E2"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lastRenderedPageBreak/>
              <w:t>IPD</w:t>
            </w:r>
          </w:p>
        </w:tc>
        <w:tc>
          <w:tcPr>
            <w:tcW w:w="0" w:type="auto"/>
            <w:hideMark/>
          </w:tcPr>
          <w:p w14:paraId="0F56C01A"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invasive pneumococcal disease</w:t>
            </w:r>
          </w:p>
        </w:tc>
      </w:tr>
      <w:tr w:rsidR="00BE61A2" w:rsidRPr="002C291D" w14:paraId="31840CE9" w14:textId="77777777" w:rsidTr="000A4FFE">
        <w:tblPrEx>
          <w:tblCellMar>
            <w:right w:w="108" w:type="dxa"/>
          </w:tblCellMar>
        </w:tblPrEx>
        <w:tc>
          <w:tcPr>
            <w:tcW w:w="0" w:type="auto"/>
            <w:hideMark/>
          </w:tcPr>
          <w:p w14:paraId="3FAC7000"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JEV</w:t>
            </w:r>
          </w:p>
        </w:tc>
        <w:tc>
          <w:tcPr>
            <w:tcW w:w="0" w:type="auto"/>
            <w:hideMark/>
          </w:tcPr>
          <w:p w14:paraId="55517861"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Japanese encephalitis virus</w:t>
            </w:r>
          </w:p>
        </w:tc>
      </w:tr>
      <w:tr w:rsidR="00BE61A2" w:rsidRPr="002C291D" w14:paraId="5C57533F"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1F02129"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KUNV</w:t>
            </w:r>
          </w:p>
        </w:tc>
        <w:tc>
          <w:tcPr>
            <w:tcW w:w="0" w:type="auto"/>
            <w:hideMark/>
          </w:tcPr>
          <w:p w14:paraId="6434E58E" w14:textId="77777777" w:rsidR="00BE61A2" w:rsidRPr="002C291D" w:rsidRDefault="00BE61A2">
            <w:pPr>
              <w:rPr>
                <w:rFonts w:asciiTheme="minorHAnsi" w:eastAsia="Times New Roman" w:hAnsiTheme="minorHAnsi"/>
                <w:sz w:val="18"/>
                <w:szCs w:val="18"/>
              </w:rPr>
            </w:pPr>
            <w:proofErr w:type="spellStart"/>
            <w:r w:rsidRPr="002C291D">
              <w:rPr>
                <w:rFonts w:asciiTheme="minorHAnsi" w:eastAsia="Times New Roman" w:hAnsiTheme="minorHAnsi"/>
                <w:sz w:val="18"/>
                <w:szCs w:val="18"/>
              </w:rPr>
              <w:t>Kunjin</w:t>
            </w:r>
            <w:proofErr w:type="spellEnd"/>
            <w:r w:rsidRPr="002C291D">
              <w:rPr>
                <w:rFonts w:asciiTheme="minorHAnsi" w:eastAsia="Times New Roman" w:hAnsiTheme="minorHAnsi"/>
                <w:sz w:val="18"/>
                <w:szCs w:val="18"/>
              </w:rPr>
              <w:t xml:space="preserve"> virus</w:t>
            </w:r>
          </w:p>
        </w:tc>
      </w:tr>
      <w:tr w:rsidR="00BE61A2" w:rsidRPr="002C291D" w14:paraId="0C6571F7" w14:textId="77777777" w:rsidTr="000A4FFE">
        <w:tblPrEx>
          <w:tblCellMar>
            <w:right w:w="108" w:type="dxa"/>
          </w:tblCellMar>
        </w:tblPrEx>
        <w:tc>
          <w:tcPr>
            <w:tcW w:w="0" w:type="auto"/>
            <w:hideMark/>
          </w:tcPr>
          <w:p w14:paraId="1D218FD9"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MMR</w:t>
            </w:r>
          </w:p>
        </w:tc>
        <w:tc>
          <w:tcPr>
            <w:tcW w:w="0" w:type="auto"/>
            <w:hideMark/>
          </w:tcPr>
          <w:p w14:paraId="2B984A41"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measles-mumps-rubella</w:t>
            </w:r>
          </w:p>
        </w:tc>
      </w:tr>
      <w:tr w:rsidR="00BE61A2" w:rsidRPr="002C291D" w14:paraId="1BD7E697"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AD1B5BF"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MSM</w:t>
            </w:r>
          </w:p>
        </w:tc>
        <w:tc>
          <w:tcPr>
            <w:tcW w:w="0" w:type="auto"/>
            <w:hideMark/>
          </w:tcPr>
          <w:p w14:paraId="4A362FE3"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men who have sex with men</w:t>
            </w:r>
          </w:p>
        </w:tc>
      </w:tr>
      <w:tr w:rsidR="00BE61A2" w:rsidRPr="002C291D" w14:paraId="49931521" w14:textId="77777777" w:rsidTr="000A4FFE">
        <w:tblPrEx>
          <w:tblCellMar>
            <w:right w:w="108" w:type="dxa"/>
          </w:tblCellMar>
        </w:tblPrEx>
        <w:tc>
          <w:tcPr>
            <w:tcW w:w="0" w:type="auto"/>
            <w:hideMark/>
          </w:tcPr>
          <w:p w14:paraId="44B60180"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MVEV</w:t>
            </w:r>
          </w:p>
        </w:tc>
        <w:tc>
          <w:tcPr>
            <w:tcW w:w="0" w:type="auto"/>
            <w:hideMark/>
          </w:tcPr>
          <w:p w14:paraId="156472C1"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Murray Valley encephalitis virus</w:t>
            </w:r>
          </w:p>
        </w:tc>
      </w:tr>
      <w:tr w:rsidR="00BE61A2" w:rsidRPr="002C291D" w14:paraId="1CE7A2C7"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A9E639D"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NAMAC</w:t>
            </w:r>
          </w:p>
        </w:tc>
        <w:tc>
          <w:tcPr>
            <w:tcW w:w="0" w:type="auto"/>
            <w:hideMark/>
          </w:tcPr>
          <w:p w14:paraId="19604299"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National Arbovirus and Malaria Advisory Committee</w:t>
            </w:r>
          </w:p>
        </w:tc>
      </w:tr>
      <w:tr w:rsidR="00BE61A2" w:rsidRPr="002C291D" w14:paraId="2CE83FC8" w14:textId="77777777" w:rsidTr="000A4FFE">
        <w:tblPrEx>
          <w:tblCellMar>
            <w:right w:w="108" w:type="dxa"/>
          </w:tblCellMar>
        </w:tblPrEx>
        <w:tc>
          <w:tcPr>
            <w:tcW w:w="0" w:type="auto"/>
            <w:hideMark/>
          </w:tcPr>
          <w:p w14:paraId="7D5C72CC"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NEC</w:t>
            </w:r>
          </w:p>
        </w:tc>
        <w:tc>
          <w:tcPr>
            <w:tcW w:w="0" w:type="auto"/>
            <w:hideMark/>
          </w:tcPr>
          <w:p w14:paraId="5EACF963"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not elsewhere classified</w:t>
            </w:r>
          </w:p>
        </w:tc>
      </w:tr>
      <w:tr w:rsidR="00BE61A2" w:rsidRPr="002C291D" w14:paraId="3491AC9F"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4E395F3"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NFD</w:t>
            </w:r>
          </w:p>
        </w:tc>
        <w:tc>
          <w:tcPr>
            <w:tcW w:w="0" w:type="auto"/>
            <w:hideMark/>
          </w:tcPr>
          <w:p w14:paraId="09FC7142"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Not further defined</w:t>
            </w:r>
          </w:p>
        </w:tc>
      </w:tr>
      <w:tr w:rsidR="00BE61A2" w:rsidRPr="002C291D" w14:paraId="089A37F9" w14:textId="77777777" w:rsidTr="000A4FFE">
        <w:tblPrEx>
          <w:tblCellMar>
            <w:right w:w="108" w:type="dxa"/>
          </w:tblCellMar>
        </w:tblPrEx>
        <w:tc>
          <w:tcPr>
            <w:tcW w:w="0" w:type="auto"/>
            <w:hideMark/>
          </w:tcPr>
          <w:p w14:paraId="539819B7"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NIA</w:t>
            </w:r>
          </w:p>
        </w:tc>
        <w:tc>
          <w:tcPr>
            <w:tcW w:w="0" w:type="auto"/>
            <w:hideMark/>
          </w:tcPr>
          <w:p w14:paraId="0D1F660A"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neuraminidase inhibition assay</w:t>
            </w:r>
          </w:p>
        </w:tc>
      </w:tr>
      <w:tr w:rsidR="00BE61A2" w:rsidRPr="002C291D" w14:paraId="6BC42868"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F61F0A0"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NIP</w:t>
            </w:r>
          </w:p>
        </w:tc>
        <w:tc>
          <w:tcPr>
            <w:tcW w:w="0" w:type="auto"/>
            <w:hideMark/>
          </w:tcPr>
          <w:p w14:paraId="0B58E133"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National Immunisation Program</w:t>
            </w:r>
          </w:p>
        </w:tc>
      </w:tr>
      <w:tr w:rsidR="00BE61A2" w:rsidRPr="002C291D" w14:paraId="53757102" w14:textId="77777777" w:rsidTr="000A4FFE">
        <w:tblPrEx>
          <w:tblCellMar>
            <w:right w:w="108" w:type="dxa"/>
          </w:tblCellMar>
        </w:tblPrEx>
        <w:tc>
          <w:tcPr>
            <w:tcW w:w="0" w:type="auto"/>
            <w:hideMark/>
          </w:tcPr>
          <w:p w14:paraId="5F4F178A"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NN</w:t>
            </w:r>
          </w:p>
        </w:tc>
        <w:tc>
          <w:tcPr>
            <w:tcW w:w="0" w:type="auto"/>
            <w:hideMark/>
          </w:tcPr>
          <w:p w14:paraId="7846E96A"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not notifiable</w:t>
            </w:r>
          </w:p>
        </w:tc>
      </w:tr>
      <w:tr w:rsidR="00BE61A2" w:rsidRPr="002C291D" w14:paraId="452E24B7"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B7D29F9"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NNDSS</w:t>
            </w:r>
          </w:p>
        </w:tc>
        <w:tc>
          <w:tcPr>
            <w:tcW w:w="0" w:type="auto"/>
            <w:hideMark/>
          </w:tcPr>
          <w:p w14:paraId="6BC023E6"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National Notifiable Diseases Surveillance System</w:t>
            </w:r>
          </w:p>
        </w:tc>
      </w:tr>
      <w:tr w:rsidR="00BE61A2" w:rsidRPr="002C291D" w14:paraId="1AD6241D" w14:textId="77777777" w:rsidTr="000A4FFE">
        <w:tblPrEx>
          <w:tblCellMar>
            <w:right w:w="108" w:type="dxa"/>
          </w:tblCellMar>
        </w:tblPrEx>
        <w:tc>
          <w:tcPr>
            <w:tcW w:w="0" w:type="auto"/>
            <w:hideMark/>
          </w:tcPr>
          <w:p w14:paraId="16436B8E"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NQFMP</w:t>
            </w:r>
          </w:p>
        </w:tc>
        <w:tc>
          <w:tcPr>
            <w:tcW w:w="0" w:type="auto"/>
            <w:hideMark/>
          </w:tcPr>
          <w:p w14:paraId="3381EFB8"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National Q fever Management Program</w:t>
            </w:r>
          </w:p>
        </w:tc>
      </w:tr>
      <w:tr w:rsidR="00BE61A2" w:rsidRPr="002C291D" w14:paraId="31A6E767"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4341DD7"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NSC</w:t>
            </w:r>
          </w:p>
        </w:tc>
        <w:tc>
          <w:tcPr>
            <w:tcW w:w="0" w:type="auto"/>
            <w:hideMark/>
          </w:tcPr>
          <w:p w14:paraId="7E698882"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National Surveillance Committee</w:t>
            </w:r>
          </w:p>
        </w:tc>
      </w:tr>
      <w:tr w:rsidR="00BE61A2" w:rsidRPr="002C291D" w14:paraId="7A9437A4" w14:textId="77777777" w:rsidTr="000A4FFE">
        <w:tblPrEx>
          <w:tblCellMar>
            <w:right w:w="108" w:type="dxa"/>
          </w:tblCellMar>
        </w:tblPrEx>
        <w:tc>
          <w:tcPr>
            <w:tcW w:w="0" w:type="auto"/>
            <w:hideMark/>
          </w:tcPr>
          <w:p w14:paraId="6B081DC7"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NS1</w:t>
            </w:r>
          </w:p>
        </w:tc>
        <w:tc>
          <w:tcPr>
            <w:tcW w:w="0" w:type="auto"/>
            <w:hideMark/>
          </w:tcPr>
          <w:p w14:paraId="316B4073"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non-structural protein 1</w:t>
            </w:r>
          </w:p>
        </w:tc>
      </w:tr>
      <w:tr w:rsidR="00BE61A2" w:rsidRPr="002C291D" w14:paraId="6FF8C651"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32793CD"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PCR</w:t>
            </w:r>
          </w:p>
        </w:tc>
        <w:tc>
          <w:tcPr>
            <w:tcW w:w="0" w:type="auto"/>
            <w:hideMark/>
          </w:tcPr>
          <w:p w14:paraId="405DF7D0"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polymerase chain reaction</w:t>
            </w:r>
          </w:p>
        </w:tc>
      </w:tr>
      <w:tr w:rsidR="00BE61A2" w:rsidRPr="002C291D" w14:paraId="49CE1580" w14:textId="77777777" w:rsidTr="000A4FFE">
        <w:tblPrEx>
          <w:tblCellMar>
            <w:right w:w="108" w:type="dxa"/>
          </w:tblCellMar>
        </w:tblPrEx>
        <w:tc>
          <w:tcPr>
            <w:tcW w:w="0" w:type="auto"/>
            <w:hideMark/>
          </w:tcPr>
          <w:p w14:paraId="35DD16E0"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QIV</w:t>
            </w:r>
          </w:p>
        </w:tc>
        <w:tc>
          <w:tcPr>
            <w:tcW w:w="0" w:type="auto"/>
            <w:hideMark/>
          </w:tcPr>
          <w:p w14:paraId="7DC3562E" w14:textId="77777777" w:rsidR="00BE61A2" w:rsidRPr="002C291D" w:rsidRDefault="00BE61A2">
            <w:pPr>
              <w:rPr>
                <w:rFonts w:asciiTheme="minorHAnsi" w:eastAsia="Times New Roman" w:hAnsiTheme="minorHAnsi"/>
                <w:sz w:val="18"/>
                <w:szCs w:val="18"/>
              </w:rPr>
            </w:pPr>
            <w:proofErr w:type="spellStart"/>
            <w:r w:rsidRPr="002C291D">
              <w:rPr>
                <w:rFonts w:asciiTheme="minorHAnsi" w:eastAsia="Times New Roman" w:hAnsiTheme="minorHAnsi"/>
                <w:sz w:val="18"/>
                <w:szCs w:val="18"/>
              </w:rPr>
              <w:t>quadirivalent</w:t>
            </w:r>
            <w:proofErr w:type="spellEnd"/>
            <w:r w:rsidRPr="002C291D">
              <w:rPr>
                <w:rFonts w:asciiTheme="minorHAnsi" w:eastAsia="Times New Roman" w:hAnsiTheme="minorHAnsi"/>
                <w:sz w:val="18"/>
                <w:szCs w:val="18"/>
              </w:rPr>
              <w:t xml:space="preserve"> influenza vaccine</w:t>
            </w:r>
          </w:p>
        </w:tc>
      </w:tr>
      <w:tr w:rsidR="00BE61A2" w:rsidRPr="002C291D" w14:paraId="42FCA5E1"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21BB3D5"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RRV</w:t>
            </w:r>
          </w:p>
        </w:tc>
        <w:tc>
          <w:tcPr>
            <w:tcW w:w="0" w:type="auto"/>
            <w:hideMark/>
          </w:tcPr>
          <w:p w14:paraId="7BCEAE2B"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Ross River virus</w:t>
            </w:r>
          </w:p>
        </w:tc>
      </w:tr>
      <w:tr w:rsidR="00BE61A2" w:rsidRPr="002C291D" w14:paraId="27D33209" w14:textId="77777777" w:rsidTr="000A4FFE">
        <w:tblPrEx>
          <w:tblCellMar>
            <w:right w:w="108" w:type="dxa"/>
          </w:tblCellMar>
        </w:tblPrEx>
        <w:tc>
          <w:tcPr>
            <w:tcW w:w="0" w:type="auto"/>
            <w:hideMark/>
          </w:tcPr>
          <w:p w14:paraId="717475B0"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SACC</w:t>
            </w:r>
          </w:p>
        </w:tc>
        <w:tc>
          <w:tcPr>
            <w:tcW w:w="0" w:type="auto"/>
            <w:hideMark/>
          </w:tcPr>
          <w:p w14:paraId="1BD3CFAF"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Standard Australian Classification of Countries</w:t>
            </w:r>
          </w:p>
        </w:tc>
      </w:tr>
      <w:tr w:rsidR="00BE61A2" w:rsidRPr="002C291D" w14:paraId="2C993498"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C33455B"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SARS</w:t>
            </w:r>
          </w:p>
        </w:tc>
        <w:tc>
          <w:tcPr>
            <w:tcW w:w="0" w:type="auto"/>
            <w:hideMark/>
          </w:tcPr>
          <w:p w14:paraId="05F895D8"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severe acute respiratory syndrome</w:t>
            </w:r>
          </w:p>
        </w:tc>
      </w:tr>
      <w:tr w:rsidR="00BE61A2" w:rsidRPr="002C291D" w14:paraId="02FD2ECB" w14:textId="77777777" w:rsidTr="000A4FFE">
        <w:tblPrEx>
          <w:tblCellMar>
            <w:right w:w="108" w:type="dxa"/>
          </w:tblCellMar>
        </w:tblPrEx>
        <w:tc>
          <w:tcPr>
            <w:tcW w:w="0" w:type="auto"/>
            <w:hideMark/>
          </w:tcPr>
          <w:p w14:paraId="0C837CBF"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STEC</w:t>
            </w:r>
          </w:p>
        </w:tc>
        <w:tc>
          <w:tcPr>
            <w:tcW w:w="0" w:type="auto"/>
            <w:hideMark/>
          </w:tcPr>
          <w:p w14:paraId="2B55507A"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Shiga toxin-producing Escherichia coli</w:t>
            </w:r>
          </w:p>
        </w:tc>
      </w:tr>
      <w:tr w:rsidR="00BE61A2" w:rsidRPr="002C291D" w14:paraId="63B03C47"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5F8C663"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STI(s)</w:t>
            </w:r>
          </w:p>
        </w:tc>
        <w:tc>
          <w:tcPr>
            <w:tcW w:w="0" w:type="auto"/>
            <w:hideMark/>
          </w:tcPr>
          <w:p w14:paraId="73DF96FC"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sexually transmissible infections(s)</w:t>
            </w:r>
          </w:p>
        </w:tc>
      </w:tr>
      <w:tr w:rsidR="00BE61A2" w:rsidRPr="002C291D" w14:paraId="1906797B" w14:textId="77777777" w:rsidTr="000A4FFE">
        <w:tblPrEx>
          <w:tblCellMar>
            <w:right w:w="108" w:type="dxa"/>
          </w:tblCellMar>
        </w:tblPrEx>
        <w:tc>
          <w:tcPr>
            <w:tcW w:w="0" w:type="auto"/>
            <w:hideMark/>
          </w:tcPr>
          <w:p w14:paraId="7B055E02"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TB</w:t>
            </w:r>
          </w:p>
        </w:tc>
        <w:tc>
          <w:tcPr>
            <w:tcW w:w="0" w:type="auto"/>
            <w:hideMark/>
          </w:tcPr>
          <w:p w14:paraId="17F47A59"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tuberculosis</w:t>
            </w:r>
          </w:p>
        </w:tc>
      </w:tr>
      <w:tr w:rsidR="00BE61A2" w:rsidRPr="002C291D" w14:paraId="44AFCEF0"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86F32A9"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TIV</w:t>
            </w:r>
          </w:p>
        </w:tc>
        <w:tc>
          <w:tcPr>
            <w:tcW w:w="0" w:type="auto"/>
            <w:hideMark/>
          </w:tcPr>
          <w:p w14:paraId="4CF7421A"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trivalent influenza vaccine</w:t>
            </w:r>
          </w:p>
        </w:tc>
      </w:tr>
      <w:tr w:rsidR="00BE61A2" w:rsidRPr="002C291D" w14:paraId="52AE6CA0" w14:textId="77777777" w:rsidTr="000A4FFE">
        <w:tblPrEx>
          <w:tblCellMar>
            <w:right w:w="108" w:type="dxa"/>
          </w:tblCellMar>
        </w:tblPrEx>
        <w:tc>
          <w:tcPr>
            <w:tcW w:w="0" w:type="auto"/>
            <w:hideMark/>
          </w:tcPr>
          <w:p w14:paraId="27A2B1D1" w14:textId="77777777" w:rsidR="00BE61A2" w:rsidRPr="002C291D" w:rsidRDefault="00BE61A2">
            <w:pPr>
              <w:rPr>
                <w:rFonts w:asciiTheme="minorHAnsi" w:eastAsia="Times New Roman" w:hAnsiTheme="minorHAnsi"/>
                <w:sz w:val="18"/>
                <w:szCs w:val="18"/>
              </w:rPr>
            </w:pPr>
            <w:proofErr w:type="spellStart"/>
            <w:r w:rsidRPr="002C291D">
              <w:rPr>
                <w:rFonts w:asciiTheme="minorHAnsi" w:eastAsia="Times New Roman" w:hAnsiTheme="minorHAnsi"/>
                <w:sz w:val="18"/>
                <w:szCs w:val="18"/>
              </w:rPr>
              <w:t>tOPV</w:t>
            </w:r>
            <w:proofErr w:type="spellEnd"/>
          </w:p>
        </w:tc>
        <w:tc>
          <w:tcPr>
            <w:tcW w:w="0" w:type="auto"/>
            <w:hideMark/>
          </w:tcPr>
          <w:p w14:paraId="278C7698"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trivalent oral polio vaccine</w:t>
            </w:r>
          </w:p>
        </w:tc>
      </w:tr>
      <w:tr w:rsidR="00BE61A2" w:rsidRPr="002C291D" w14:paraId="08E15D04"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88A13F0"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VPD(s)</w:t>
            </w:r>
          </w:p>
        </w:tc>
        <w:tc>
          <w:tcPr>
            <w:tcW w:w="0" w:type="auto"/>
            <w:hideMark/>
          </w:tcPr>
          <w:p w14:paraId="342BA18D"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vaccine preventable disease(s)</w:t>
            </w:r>
          </w:p>
        </w:tc>
      </w:tr>
      <w:tr w:rsidR="00BE61A2" w:rsidRPr="002C291D" w14:paraId="36F3FAB7" w14:textId="77777777" w:rsidTr="000A4FFE">
        <w:tblPrEx>
          <w:tblCellMar>
            <w:right w:w="108" w:type="dxa"/>
          </w:tblCellMar>
        </w:tblPrEx>
        <w:tc>
          <w:tcPr>
            <w:tcW w:w="0" w:type="auto"/>
            <w:hideMark/>
          </w:tcPr>
          <w:p w14:paraId="48BA1E2C"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lastRenderedPageBreak/>
              <w:t>VZV</w:t>
            </w:r>
          </w:p>
        </w:tc>
        <w:tc>
          <w:tcPr>
            <w:tcW w:w="0" w:type="auto"/>
            <w:hideMark/>
          </w:tcPr>
          <w:p w14:paraId="27244EE9"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varicella zoster virus</w:t>
            </w:r>
          </w:p>
        </w:tc>
      </w:tr>
      <w:tr w:rsidR="00BE61A2" w:rsidRPr="002C291D" w14:paraId="4B71CA0C"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8E60F8D"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WNV</w:t>
            </w:r>
          </w:p>
        </w:tc>
        <w:tc>
          <w:tcPr>
            <w:tcW w:w="0" w:type="auto"/>
            <w:hideMark/>
          </w:tcPr>
          <w:p w14:paraId="3CEF8298"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West Nile virus</w:t>
            </w:r>
          </w:p>
        </w:tc>
      </w:tr>
      <w:tr w:rsidR="00BE61A2" w:rsidRPr="002C291D" w14:paraId="173C1CDE" w14:textId="77777777" w:rsidTr="000A4FFE">
        <w:tblPrEx>
          <w:tblCellMar>
            <w:right w:w="108" w:type="dxa"/>
          </w:tblCellMar>
        </w:tblPrEx>
        <w:tc>
          <w:tcPr>
            <w:tcW w:w="0" w:type="auto"/>
            <w:hideMark/>
          </w:tcPr>
          <w:p w14:paraId="67611D7A"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WHO</w:t>
            </w:r>
          </w:p>
        </w:tc>
        <w:tc>
          <w:tcPr>
            <w:tcW w:w="0" w:type="auto"/>
            <w:hideMark/>
          </w:tcPr>
          <w:p w14:paraId="13B4B979"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World Health Organization</w:t>
            </w:r>
          </w:p>
        </w:tc>
      </w:tr>
      <w:tr w:rsidR="00BE61A2" w:rsidRPr="002C291D" w14:paraId="2B5239BA" w14:textId="77777777" w:rsidTr="000A4FFE">
        <w:tblPrEx>
          <w:tblCellMar>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82C362E"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WHOCC</w:t>
            </w:r>
          </w:p>
        </w:tc>
        <w:tc>
          <w:tcPr>
            <w:tcW w:w="0" w:type="auto"/>
            <w:hideMark/>
          </w:tcPr>
          <w:p w14:paraId="53277221"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World Health Organization Collaborating Centre for Reference and Research on Influenza</w:t>
            </w:r>
          </w:p>
        </w:tc>
      </w:tr>
      <w:tr w:rsidR="00BE61A2" w:rsidRPr="002C291D" w14:paraId="62123348" w14:textId="77777777" w:rsidTr="000A4FFE">
        <w:tblPrEx>
          <w:tblCellMar>
            <w:right w:w="108" w:type="dxa"/>
          </w:tblCellMar>
        </w:tblPrEx>
        <w:tc>
          <w:tcPr>
            <w:tcW w:w="0" w:type="auto"/>
            <w:hideMark/>
          </w:tcPr>
          <w:p w14:paraId="0C7D50F7"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ZIKV</w:t>
            </w:r>
          </w:p>
        </w:tc>
        <w:tc>
          <w:tcPr>
            <w:tcW w:w="0" w:type="auto"/>
            <w:hideMark/>
          </w:tcPr>
          <w:p w14:paraId="3E97D6A4" w14:textId="77777777" w:rsidR="00BE61A2" w:rsidRPr="002C291D" w:rsidRDefault="00BE61A2">
            <w:pPr>
              <w:rPr>
                <w:rFonts w:asciiTheme="minorHAnsi" w:eastAsia="Times New Roman" w:hAnsiTheme="minorHAnsi"/>
                <w:sz w:val="18"/>
                <w:szCs w:val="18"/>
              </w:rPr>
            </w:pPr>
            <w:r w:rsidRPr="002C291D">
              <w:rPr>
                <w:rFonts w:asciiTheme="minorHAnsi" w:eastAsia="Times New Roman" w:hAnsiTheme="minorHAnsi"/>
                <w:sz w:val="18"/>
                <w:szCs w:val="18"/>
              </w:rPr>
              <w:t>Zika virus</w:t>
            </w:r>
          </w:p>
        </w:tc>
      </w:tr>
    </w:tbl>
    <w:p w14:paraId="6F464BF6" w14:textId="77777777" w:rsidR="00BE61A2" w:rsidRPr="00AE2F1B" w:rsidRDefault="00BE61A2" w:rsidP="00AE2F1B">
      <w:r w:rsidRPr="00AE2F1B">
        <w:t> </w:t>
      </w:r>
    </w:p>
    <w:p w14:paraId="76DD1167" w14:textId="77777777" w:rsidR="00BE61A2" w:rsidRPr="00095AA3" w:rsidRDefault="00BE61A2" w:rsidP="00095AA3">
      <w:pPr>
        <w:pStyle w:val="Heading1"/>
      </w:pPr>
      <w:bookmarkStart w:id="261" w:name="_Toc1747415"/>
      <w:r w:rsidRPr="00095AA3">
        <w:t>Acknowledgements</w:t>
      </w:r>
      <w:bookmarkEnd w:id="261"/>
    </w:p>
    <w:p w14:paraId="19F19222" w14:textId="77777777" w:rsidR="00BE61A2" w:rsidRPr="00AE2F1B" w:rsidRDefault="00BE61A2" w:rsidP="00A76FEF">
      <w:pPr>
        <w:pStyle w:val="NoSpacing"/>
      </w:pPr>
      <w:r w:rsidRPr="00AE2F1B">
        <w:t>The authors wish to thank the following people for their contribution to this report.</w:t>
      </w:r>
    </w:p>
    <w:p w14:paraId="637FE39D" w14:textId="77777777" w:rsidR="00BE61A2" w:rsidRPr="00AE2F1B" w:rsidRDefault="00BE61A2" w:rsidP="00A76FEF">
      <w:pPr>
        <w:pStyle w:val="NoSpacing"/>
      </w:pPr>
      <w:r w:rsidRPr="00AE2F1B">
        <w:t>Members of the National Surveillance Committee</w:t>
      </w:r>
    </w:p>
    <w:p w14:paraId="3C4BDFE4" w14:textId="77777777" w:rsidR="00BE61A2" w:rsidRPr="00AE2F1B" w:rsidRDefault="00BE61A2" w:rsidP="00A76FEF">
      <w:pPr>
        <w:pStyle w:val="NoSpacing"/>
      </w:pPr>
      <w:r w:rsidRPr="00AE2F1B">
        <w:t>The National Centre for Immunisation Research and Surveillance of Vaccine Preventable Diseases</w:t>
      </w:r>
    </w:p>
    <w:p w14:paraId="45D91035" w14:textId="77777777" w:rsidR="00BE61A2" w:rsidRPr="00095AA3" w:rsidRDefault="00BE61A2" w:rsidP="00095AA3">
      <w:pPr>
        <w:pStyle w:val="Heading1"/>
      </w:pPr>
      <w:bookmarkStart w:id="262" w:name="_Toc1747416"/>
      <w:r w:rsidRPr="00095AA3">
        <w:t>Author details</w:t>
      </w:r>
      <w:bookmarkEnd w:id="262"/>
    </w:p>
    <w:p w14:paraId="334FAE0D" w14:textId="77777777" w:rsidR="00BE61A2" w:rsidRPr="00AE2F1B" w:rsidRDefault="00BE61A2" w:rsidP="00A76FEF">
      <w:pPr>
        <w:pStyle w:val="NoSpacing"/>
      </w:pPr>
      <w:r w:rsidRPr="00924A50">
        <w:rPr>
          <w:rStyle w:val="Strong"/>
        </w:rPr>
        <w:t>Coordinating author:</w:t>
      </w:r>
      <w:r w:rsidRPr="00AE2F1B">
        <w:t xml:space="preserve"> Anna Glynn-Robinson, Tim Sloan-Gardner</w:t>
      </w:r>
    </w:p>
    <w:p w14:paraId="12D4F8AD" w14:textId="77777777" w:rsidR="00BE61A2" w:rsidRPr="00AE2F1B" w:rsidRDefault="00BE61A2" w:rsidP="00A76FEF">
      <w:pPr>
        <w:pStyle w:val="NoSpacing"/>
      </w:pPr>
      <w:r w:rsidRPr="00924A50">
        <w:rPr>
          <w:rStyle w:val="Strong"/>
        </w:rPr>
        <w:t>Data management:</w:t>
      </w:r>
      <w:r w:rsidRPr="00AE2F1B">
        <w:t xml:space="preserve"> Mark </w:t>
      </w:r>
      <w:proofErr w:type="spellStart"/>
      <w:r w:rsidRPr="00AE2F1B">
        <w:t>Trungove</w:t>
      </w:r>
      <w:proofErr w:type="spellEnd"/>
      <w:r w:rsidRPr="00AE2F1B">
        <w:t xml:space="preserve">, Rachael </w:t>
      </w:r>
      <w:proofErr w:type="spellStart"/>
      <w:r w:rsidRPr="00AE2F1B">
        <w:t>Corvisy</w:t>
      </w:r>
      <w:proofErr w:type="spellEnd"/>
    </w:p>
    <w:p w14:paraId="0F54B10F" w14:textId="77777777" w:rsidR="00BE61A2" w:rsidRPr="00AE2F1B" w:rsidRDefault="00BE61A2" w:rsidP="00A76FEF">
      <w:pPr>
        <w:pStyle w:val="NoSpacing"/>
      </w:pPr>
      <w:r w:rsidRPr="00924A50">
        <w:rPr>
          <w:rStyle w:val="Strong"/>
        </w:rPr>
        <w:t xml:space="preserve">Introduction, </w:t>
      </w:r>
      <w:proofErr w:type="gramStart"/>
      <w:r w:rsidRPr="00924A50">
        <w:rPr>
          <w:rStyle w:val="Strong"/>
        </w:rPr>
        <w:t>methods</w:t>
      </w:r>
      <w:proofErr w:type="gramEnd"/>
      <w:r w:rsidRPr="00924A50">
        <w:rPr>
          <w:rStyle w:val="Strong"/>
        </w:rPr>
        <w:t xml:space="preserve"> and results:</w:t>
      </w:r>
      <w:r w:rsidRPr="00AE2F1B">
        <w:t xml:space="preserve"> Rachael </w:t>
      </w:r>
      <w:proofErr w:type="spellStart"/>
      <w:r w:rsidRPr="00AE2F1B">
        <w:t>Corvisy</w:t>
      </w:r>
      <w:proofErr w:type="spellEnd"/>
    </w:p>
    <w:p w14:paraId="3F19465F" w14:textId="77777777" w:rsidR="00BE61A2" w:rsidRPr="00AE2F1B" w:rsidRDefault="00BE61A2" w:rsidP="00A76FEF">
      <w:pPr>
        <w:pStyle w:val="NoSpacing"/>
      </w:pPr>
      <w:r w:rsidRPr="00924A50">
        <w:rPr>
          <w:rStyle w:val="Strong"/>
        </w:rPr>
        <w:t>Bloodborne diseases:</w:t>
      </w:r>
      <w:r w:rsidRPr="00AE2F1B">
        <w:t xml:space="preserve"> Amy Bright, Carolyn </w:t>
      </w:r>
      <w:proofErr w:type="spellStart"/>
      <w:r w:rsidRPr="00AE2F1B">
        <w:t>Katsoulis</w:t>
      </w:r>
      <w:proofErr w:type="spellEnd"/>
    </w:p>
    <w:p w14:paraId="47AD6DA6" w14:textId="77777777" w:rsidR="00BE61A2" w:rsidRPr="00AE2F1B" w:rsidRDefault="00BE61A2" w:rsidP="00A76FEF">
      <w:pPr>
        <w:pStyle w:val="NoSpacing"/>
      </w:pPr>
      <w:r w:rsidRPr="00924A50">
        <w:rPr>
          <w:rStyle w:val="Strong"/>
        </w:rPr>
        <w:t>Gastrointestinal diseases:</w:t>
      </w:r>
      <w:r w:rsidRPr="00AE2F1B">
        <w:t xml:space="preserve"> </w:t>
      </w:r>
      <w:proofErr w:type="spellStart"/>
      <w:r w:rsidRPr="00AE2F1B">
        <w:t>Rizsa</w:t>
      </w:r>
      <w:proofErr w:type="spellEnd"/>
      <w:r w:rsidRPr="00AE2F1B">
        <w:t xml:space="preserve"> </w:t>
      </w:r>
      <w:proofErr w:type="spellStart"/>
      <w:r w:rsidRPr="00AE2F1B">
        <w:t>Albarricin</w:t>
      </w:r>
      <w:proofErr w:type="spellEnd"/>
    </w:p>
    <w:p w14:paraId="6354498D" w14:textId="77777777" w:rsidR="00BE61A2" w:rsidRPr="00AE2F1B" w:rsidRDefault="00BE61A2" w:rsidP="00A76FEF">
      <w:pPr>
        <w:pStyle w:val="NoSpacing"/>
      </w:pPr>
      <w:r w:rsidRPr="00924A50">
        <w:rPr>
          <w:rStyle w:val="Strong"/>
        </w:rPr>
        <w:t>Quarantinable diseases:</w:t>
      </w:r>
      <w:r w:rsidRPr="00AE2F1B">
        <w:t xml:space="preserve"> Katrina </w:t>
      </w:r>
      <w:proofErr w:type="spellStart"/>
      <w:r w:rsidRPr="00AE2F1B">
        <w:t>Knope</w:t>
      </w:r>
      <w:proofErr w:type="spellEnd"/>
    </w:p>
    <w:p w14:paraId="339694AB" w14:textId="77777777" w:rsidR="00BE61A2" w:rsidRPr="00AE2F1B" w:rsidRDefault="00BE61A2" w:rsidP="00A76FEF">
      <w:pPr>
        <w:pStyle w:val="NoSpacing"/>
      </w:pPr>
      <w:r w:rsidRPr="00924A50">
        <w:rPr>
          <w:rStyle w:val="Strong"/>
        </w:rPr>
        <w:t>Sexually transmissible infections:</w:t>
      </w:r>
      <w:r w:rsidRPr="00AE2F1B">
        <w:t xml:space="preserve"> Amy Bright, Amy Burroughs, Carolyn </w:t>
      </w:r>
      <w:proofErr w:type="spellStart"/>
      <w:r w:rsidRPr="00AE2F1B">
        <w:t>Katsoulis</w:t>
      </w:r>
      <w:proofErr w:type="spellEnd"/>
    </w:p>
    <w:p w14:paraId="32D233EC" w14:textId="77777777" w:rsidR="00BE61A2" w:rsidRPr="00AE2F1B" w:rsidRDefault="00BE61A2" w:rsidP="00A76FEF">
      <w:pPr>
        <w:pStyle w:val="NoSpacing"/>
      </w:pPr>
      <w:r w:rsidRPr="00924A50">
        <w:rPr>
          <w:rStyle w:val="Strong"/>
        </w:rPr>
        <w:t>Vaccine preventable diseases:</w:t>
      </w:r>
      <w:r w:rsidRPr="00AE2F1B">
        <w:t xml:space="preserve"> Rachael </w:t>
      </w:r>
      <w:proofErr w:type="spellStart"/>
      <w:r w:rsidRPr="00AE2F1B">
        <w:t>Corvisy</w:t>
      </w:r>
      <w:proofErr w:type="spellEnd"/>
      <w:r w:rsidRPr="00AE2F1B">
        <w:t>, Christina Bareja, Allison Cairns, Kate Pennington, Paul Roche, Anna Glynn-Robinson</w:t>
      </w:r>
    </w:p>
    <w:p w14:paraId="451EA95E" w14:textId="77777777" w:rsidR="00BE61A2" w:rsidRPr="00AE2F1B" w:rsidRDefault="00BE61A2" w:rsidP="00A76FEF">
      <w:pPr>
        <w:pStyle w:val="NoSpacing"/>
      </w:pPr>
      <w:r w:rsidRPr="00924A50">
        <w:rPr>
          <w:rStyle w:val="Strong"/>
        </w:rPr>
        <w:t>Vectorborne diseases:</w:t>
      </w:r>
      <w:r w:rsidRPr="00AE2F1B">
        <w:t xml:space="preserve"> Katrina </w:t>
      </w:r>
      <w:proofErr w:type="spellStart"/>
      <w:r w:rsidRPr="00AE2F1B">
        <w:t>Knope</w:t>
      </w:r>
      <w:proofErr w:type="spellEnd"/>
    </w:p>
    <w:p w14:paraId="445463AC" w14:textId="77777777" w:rsidR="00BE61A2" w:rsidRPr="00AE2F1B" w:rsidRDefault="00BE61A2" w:rsidP="00A76FEF">
      <w:pPr>
        <w:pStyle w:val="NoSpacing"/>
      </w:pPr>
      <w:r w:rsidRPr="00924A50">
        <w:rPr>
          <w:rStyle w:val="Strong"/>
        </w:rPr>
        <w:t>Zoonoses:</w:t>
      </w:r>
      <w:r w:rsidRPr="00AE2F1B">
        <w:t xml:space="preserve"> Kaitlyn Vette</w:t>
      </w:r>
    </w:p>
    <w:p w14:paraId="7480A63B" w14:textId="77777777" w:rsidR="00BE61A2" w:rsidRPr="00AE2F1B" w:rsidRDefault="00BE61A2" w:rsidP="00A76FEF">
      <w:pPr>
        <w:pStyle w:val="NoSpacing"/>
      </w:pPr>
      <w:r w:rsidRPr="00924A50">
        <w:rPr>
          <w:rStyle w:val="Strong"/>
        </w:rPr>
        <w:t>Other bacterial infections:</w:t>
      </w:r>
      <w:r w:rsidRPr="00AE2F1B">
        <w:t xml:space="preserve"> Kate Pennington, Anna Glynn-Robinson, Rachael </w:t>
      </w:r>
      <w:proofErr w:type="spellStart"/>
      <w:r w:rsidRPr="00AE2F1B">
        <w:t>Corvisy</w:t>
      </w:r>
      <w:proofErr w:type="spellEnd"/>
    </w:p>
    <w:p w14:paraId="06762318" w14:textId="77777777" w:rsidR="00BE61A2" w:rsidRPr="00120D99" w:rsidRDefault="00BE61A2" w:rsidP="00120D99">
      <w:pPr>
        <w:pStyle w:val="Heading2"/>
      </w:pPr>
      <w:bookmarkStart w:id="263" w:name="_Toc1747417"/>
      <w:r w:rsidRPr="00120D99">
        <w:rPr>
          <w:rStyle w:val="Strong"/>
          <w:b/>
          <w:bCs/>
        </w:rPr>
        <w:t>With contributions from:</w:t>
      </w:r>
      <w:bookmarkEnd w:id="263"/>
      <w:r w:rsidRPr="00120D99">
        <w:t xml:space="preserve"> </w:t>
      </w:r>
    </w:p>
    <w:p w14:paraId="7D2CF45B" w14:textId="77777777" w:rsidR="00BE61A2" w:rsidRPr="00AE2F1B" w:rsidRDefault="00BE61A2" w:rsidP="00120D99">
      <w:pPr>
        <w:pStyle w:val="Heading3"/>
      </w:pPr>
      <w:bookmarkStart w:id="264" w:name="_Toc1747418"/>
      <w:r w:rsidRPr="00AE2F1B">
        <w:t>National organisations</w:t>
      </w:r>
      <w:bookmarkEnd w:id="264"/>
    </w:p>
    <w:p w14:paraId="40A74071" w14:textId="77777777" w:rsidR="00BE61A2" w:rsidRPr="00120D99" w:rsidRDefault="00BE61A2" w:rsidP="00120D99">
      <w:pPr>
        <w:pStyle w:val="ListParagraph"/>
        <w:numPr>
          <w:ilvl w:val="0"/>
          <w:numId w:val="27"/>
        </w:numPr>
        <w:rPr>
          <w:rFonts w:eastAsia="Times New Roman"/>
        </w:rPr>
      </w:pPr>
      <w:r w:rsidRPr="00120D99">
        <w:rPr>
          <w:rFonts w:eastAsia="Times New Roman"/>
        </w:rPr>
        <w:t xml:space="preserve">Communicable Diseases Network Australia and subcommittees </w:t>
      </w:r>
    </w:p>
    <w:p w14:paraId="6B6012C7" w14:textId="77777777" w:rsidR="00BE61A2" w:rsidRPr="00120D99" w:rsidRDefault="00BE61A2" w:rsidP="00120D99">
      <w:pPr>
        <w:pStyle w:val="ListParagraph"/>
        <w:numPr>
          <w:ilvl w:val="0"/>
          <w:numId w:val="27"/>
        </w:numPr>
        <w:rPr>
          <w:rFonts w:eastAsia="Times New Roman"/>
        </w:rPr>
      </w:pPr>
      <w:r w:rsidRPr="00120D99">
        <w:rPr>
          <w:rFonts w:eastAsia="Times New Roman"/>
        </w:rPr>
        <w:t xml:space="preserve">Australian Childhood Immunisation Register </w:t>
      </w:r>
    </w:p>
    <w:p w14:paraId="5FBD536D" w14:textId="77777777" w:rsidR="00BE61A2" w:rsidRPr="00120D99" w:rsidRDefault="00BE61A2" w:rsidP="00120D99">
      <w:pPr>
        <w:pStyle w:val="ListParagraph"/>
        <w:numPr>
          <w:ilvl w:val="0"/>
          <w:numId w:val="27"/>
        </w:numPr>
        <w:rPr>
          <w:rFonts w:eastAsia="Times New Roman"/>
        </w:rPr>
      </w:pPr>
      <w:r w:rsidRPr="00120D99">
        <w:rPr>
          <w:rFonts w:eastAsia="Times New Roman"/>
        </w:rPr>
        <w:t xml:space="preserve">Australian Gonococcal Surveillance Programme </w:t>
      </w:r>
    </w:p>
    <w:p w14:paraId="7D36759A" w14:textId="77777777" w:rsidR="00BE61A2" w:rsidRPr="00120D99" w:rsidRDefault="00BE61A2" w:rsidP="00120D99">
      <w:pPr>
        <w:pStyle w:val="ListParagraph"/>
        <w:numPr>
          <w:ilvl w:val="0"/>
          <w:numId w:val="27"/>
        </w:numPr>
        <w:rPr>
          <w:rFonts w:eastAsia="Times New Roman"/>
        </w:rPr>
      </w:pPr>
      <w:r w:rsidRPr="00120D99">
        <w:rPr>
          <w:rFonts w:eastAsia="Times New Roman"/>
        </w:rPr>
        <w:t xml:space="preserve">Australian Meningococcal Surveillance Programme </w:t>
      </w:r>
    </w:p>
    <w:p w14:paraId="2D4AA290" w14:textId="77777777" w:rsidR="00BE61A2" w:rsidRPr="00120D99" w:rsidRDefault="00BE61A2" w:rsidP="00120D99">
      <w:pPr>
        <w:pStyle w:val="ListParagraph"/>
        <w:numPr>
          <w:ilvl w:val="0"/>
          <w:numId w:val="27"/>
        </w:numPr>
        <w:rPr>
          <w:rFonts w:eastAsia="Times New Roman"/>
        </w:rPr>
      </w:pPr>
      <w:r w:rsidRPr="00120D99">
        <w:rPr>
          <w:rFonts w:eastAsia="Times New Roman"/>
        </w:rPr>
        <w:t xml:space="preserve">Australian Sentinel Practice Research Network </w:t>
      </w:r>
    </w:p>
    <w:p w14:paraId="234B2D7B" w14:textId="77777777" w:rsidR="00BE61A2" w:rsidRPr="00120D99" w:rsidRDefault="00BE61A2" w:rsidP="00120D99">
      <w:pPr>
        <w:pStyle w:val="ListParagraph"/>
        <w:numPr>
          <w:ilvl w:val="0"/>
          <w:numId w:val="27"/>
        </w:numPr>
        <w:rPr>
          <w:rFonts w:eastAsia="Times New Roman"/>
        </w:rPr>
      </w:pPr>
      <w:r w:rsidRPr="00120D99">
        <w:rPr>
          <w:rFonts w:eastAsia="Times New Roman"/>
        </w:rPr>
        <w:t xml:space="preserve">Australian Quarantine Inspection Service </w:t>
      </w:r>
    </w:p>
    <w:p w14:paraId="161C7FE2" w14:textId="77777777" w:rsidR="00BE61A2" w:rsidRPr="00120D99" w:rsidRDefault="00BE61A2" w:rsidP="00120D99">
      <w:pPr>
        <w:pStyle w:val="ListParagraph"/>
        <w:numPr>
          <w:ilvl w:val="0"/>
          <w:numId w:val="27"/>
        </w:numPr>
        <w:rPr>
          <w:rFonts w:eastAsia="Times New Roman"/>
        </w:rPr>
      </w:pPr>
      <w:r w:rsidRPr="00120D99">
        <w:rPr>
          <w:rFonts w:eastAsia="Times New Roman"/>
        </w:rPr>
        <w:t xml:space="preserve">The Kirby Institute for Infection and Immunity in Society </w:t>
      </w:r>
    </w:p>
    <w:p w14:paraId="5E62BD6B" w14:textId="77777777" w:rsidR="00BE61A2" w:rsidRPr="00120D99" w:rsidRDefault="00BE61A2" w:rsidP="00120D99">
      <w:pPr>
        <w:pStyle w:val="ListParagraph"/>
        <w:numPr>
          <w:ilvl w:val="0"/>
          <w:numId w:val="27"/>
        </w:numPr>
        <w:rPr>
          <w:rFonts w:eastAsia="Times New Roman"/>
        </w:rPr>
      </w:pPr>
      <w:r w:rsidRPr="00120D99">
        <w:rPr>
          <w:rFonts w:eastAsia="Times New Roman"/>
        </w:rPr>
        <w:t xml:space="preserve">National Centre for Immunisation Research and Surveillance of Vaccine Preventable Diseases </w:t>
      </w:r>
    </w:p>
    <w:p w14:paraId="0D09942E" w14:textId="77777777" w:rsidR="00BE61A2" w:rsidRPr="00120D99" w:rsidRDefault="00D2271F" w:rsidP="00120D99">
      <w:pPr>
        <w:pStyle w:val="ListParagraph"/>
        <w:numPr>
          <w:ilvl w:val="0"/>
          <w:numId w:val="27"/>
        </w:numPr>
        <w:rPr>
          <w:rFonts w:eastAsia="Times New Roman"/>
        </w:rPr>
      </w:pPr>
      <w:r>
        <w:rPr>
          <w:rFonts w:eastAsia="Times New Roman"/>
        </w:rPr>
        <w:t>National Enteric Pathogens S</w:t>
      </w:r>
      <w:r w:rsidR="00BE61A2" w:rsidRPr="00120D99">
        <w:rPr>
          <w:rFonts w:eastAsia="Times New Roman"/>
        </w:rPr>
        <w:t xml:space="preserve">urveillance Scheme </w:t>
      </w:r>
    </w:p>
    <w:p w14:paraId="4386682D" w14:textId="77777777" w:rsidR="00BE61A2" w:rsidRPr="00120D99" w:rsidRDefault="00BE61A2" w:rsidP="00120D99">
      <w:pPr>
        <w:pStyle w:val="ListParagraph"/>
        <w:numPr>
          <w:ilvl w:val="0"/>
          <w:numId w:val="27"/>
        </w:numPr>
        <w:rPr>
          <w:rFonts w:eastAsia="Times New Roman"/>
        </w:rPr>
      </w:pPr>
      <w:proofErr w:type="spellStart"/>
      <w:r w:rsidRPr="00120D99">
        <w:rPr>
          <w:rFonts w:eastAsia="Times New Roman"/>
        </w:rPr>
        <w:t>OzFoodNet</w:t>
      </w:r>
      <w:proofErr w:type="spellEnd"/>
      <w:r w:rsidRPr="00120D99">
        <w:rPr>
          <w:rFonts w:eastAsia="Times New Roman"/>
        </w:rPr>
        <w:t xml:space="preserve"> Working Group </w:t>
      </w:r>
    </w:p>
    <w:p w14:paraId="16575A6C" w14:textId="77777777" w:rsidR="00BE61A2" w:rsidRPr="00120D99" w:rsidRDefault="00BE61A2" w:rsidP="00120D99">
      <w:pPr>
        <w:pStyle w:val="ListParagraph"/>
        <w:numPr>
          <w:ilvl w:val="0"/>
          <w:numId w:val="27"/>
        </w:numPr>
        <w:rPr>
          <w:rFonts w:eastAsia="Times New Roman"/>
        </w:rPr>
      </w:pPr>
      <w:r w:rsidRPr="00120D99">
        <w:rPr>
          <w:rFonts w:eastAsia="Times New Roman"/>
        </w:rPr>
        <w:lastRenderedPageBreak/>
        <w:t xml:space="preserve">World Health Organization Collaborating Centre for Reference and Research on Influenza State and territory health </w:t>
      </w:r>
      <w:proofErr w:type="gramStart"/>
      <w:r w:rsidRPr="00120D99">
        <w:rPr>
          <w:rFonts w:eastAsia="Times New Roman"/>
        </w:rPr>
        <w:t>departments</w:t>
      </w:r>
      <w:proofErr w:type="gramEnd"/>
      <w:r w:rsidRPr="00120D99">
        <w:rPr>
          <w:rFonts w:eastAsia="Times New Roman"/>
        </w:rPr>
        <w:t xml:space="preserve"> </w:t>
      </w:r>
    </w:p>
    <w:p w14:paraId="30348D12" w14:textId="77777777" w:rsidR="00BE61A2" w:rsidRPr="00120D99" w:rsidRDefault="00BE61A2" w:rsidP="00120D99">
      <w:pPr>
        <w:pStyle w:val="ListParagraph"/>
        <w:numPr>
          <w:ilvl w:val="0"/>
          <w:numId w:val="27"/>
        </w:numPr>
        <w:rPr>
          <w:rFonts w:eastAsia="Times New Roman"/>
        </w:rPr>
      </w:pPr>
      <w:r w:rsidRPr="00120D99">
        <w:rPr>
          <w:rFonts w:eastAsia="Times New Roman"/>
        </w:rPr>
        <w:t xml:space="preserve">Communicable Diseases Control, ACT Health, Australian Capital Territory </w:t>
      </w:r>
    </w:p>
    <w:p w14:paraId="6B14A8FA" w14:textId="77777777" w:rsidR="00BE61A2" w:rsidRPr="00120D99" w:rsidRDefault="00BE61A2" w:rsidP="00120D99">
      <w:pPr>
        <w:pStyle w:val="ListParagraph"/>
        <w:numPr>
          <w:ilvl w:val="0"/>
          <w:numId w:val="27"/>
        </w:numPr>
        <w:rPr>
          <w:rFonts w:eastAsia="Times New Roman"/>
        </w:rPr>
      </w:pPr>
      <w:r w:rsidRPr="00120D99">
        <w:rPr>
          <w:rFonts w:eastAsia="Times New Roman"/>
        </w:rPr>
        <w:t xml:space="preserve">Communicable Diseases Surveillance and Control Unit, NSW Ministry of Health, New South Wales </w:t>
      </w:r>
    </w:p>
    <w:p w14:paraId="12A37CED" w14:textId="77777777" w:rsidR="00BE61A2" w:rsidRPr="00120D99" w:rsidRDefault="00BE61A2" w:rsidP="00120D99">
      <w:pPr>
        <w:pStyle w:val="ListParagraph"/>
        <w:numPr>
          <w:ilvl w:val="0"/>
          <w:numId w:val="27"/>
        </w:numPr>
        <w:rPr>
          <w:rFonts w:eastAsia="Times New Roman"/>
        </w:rPr>
      </w:pPr>
      <w:r w:rsidRPr="00120D99">
        <w:rPr>
          <w:rFonts w:eastAsia="Times New Roman"/>
        </w:rPr>
        <w:t xml:space="preserve">Centre for Disease Control, Northern Territory Department of Health and Community Services, Northern Territory </w:t>
      </w:r>
    </w:p>
    <w:p w14:paraId="24FC5E8D" w14:textId="77777777" w:rsidR="00BE61A2" w:rsidRPr="00120D99" w:rsidRDefault="00BE61A2" w:rsidP="00120D99">
      <w:pPr>
        <w:pStyle w:val="ListParagraph"/>
        <w:numPr>
          <w:ilvl w:val="0"/>
          <w:numId w:val="27"/>
        </w:numPr>
        <w:rPr>
          <w:rFonts w:eastAsia="Times New Roman"/>
        </w:rPr>
      </w:pPr>
      <w:r w:rsidRPr="00120D99">
        <w:rPr>
          <w:rFonts w:eastAsia="Times New Roman"/>
        </w:rPr>
        <w:t xml:space="preserve">Communicable Diseases Branch, Queensland Health, Queensland </w:t>
      </w:r>
    </w:p>
    <w:p w14:paraId="00C40185" w14:textId="77777777" w:rsidR="00BE61A2" w:rsidRPr="00120D99" w:rsidRDefault="00BE61A2" w:rsidP="00120D99">
      <w:pPr>
        <w:pStyle w:val="ListParagraph"/>
        <w:numPr>
          <w:ilvl w:val="0"/>
          <w:numId w:val="27"/>
        </w:numPr>
        <w:rPr>
          <w:rFonts w:eastAsia="Times New Roman"/>
        </w:rPr>
      </w:pPr>
      <w:r w:rsidRPr="00120D99">
        <w:rPr>
          <w:rFonts w:eastAsia="Times New Roman"/>
        </w:rPr>
        <w:t xml:space="preserve">Communicable Disease Control, South Australian Department of Health, South Australia </w:t>
      </w:r>
    </w:p>
    <w:p w14:paraId="7A7B0AED" w14:textId="77777777" w:rsidR="00BE61A2" w:rsidRPr="00120D99" w:rsidRDefault="00BE61A2" w:rsidP="00120D99">
      <w:pPr>
        <w:pStyle w:val="ListParagraph"/>
        <w:numPr>
          <w:ilvl w:val="0"/>
          <w:numId w:val="27"/>
        </w:numPr>
        <w:rPr>
          <w:rFonts w:eastAsia="Times New Roman"/>
        </w:rPr>
      </w:pPr>
      <w:r w:rsidRPr="00120D99">
        <w:rPr>
          <w:rFonts w:eastAsia="Times New Roman"/>
        </w:rPr>
        <w:t xml:space="preserve">Communicable Diseases Prevention Unit, Department of Health and Human Services, Tasmania </w:t>
      </w:r>
    </w:p>
    <w:p w14:paraId="5D5F2E78" w14:textId="77777777" w:rsidR="00BE61A2" w:rsidRPr="00120D99" w:rsidRDefault="00BE61A2" w:rsidP="00120D99">
      <w:pPr>
        <w:pStyle w:val="ListParagraph"/>
        <w:numPr>
          <w:ilvl w:val="0"/>
          <w:numId w:val="27"/>
        </w:numPr>
        <w:rPr>
          <w:rFonts w:eastAsia="Times New Roman"/>
        </w:rPr>
      </w:pPr>
      <w:r w:rsidRPr="00120D99">
        <w:rPr>
          <w:rFonts w:eastAsia="Times New Roman"/>
        </w:rPr>
        <w:t xml:space="preserve">Health Protection Branch, Department of Health, Victoria </w:t>
      </w:r>
    </w:p>
    <w:p w14:paraId="27868717" w14:textId="77777777" w:rsidR="00BE61A2" w:rsidRPr="00120D99" w:rsidRDefault="00BE61A2" w:rsidP="00120D99">
      <w:pPr>
        <w:pStyle w:val="ListParagraph"/>
        <w:numPr>
          <w:ilvl w:val="0"/>
          <w:numId w:val="27"/>
        </w:numPr>
        <w:rPr>
          <w:rFonts w:eastAsia="Times New Roman"/>
        </w:rPr>
      </w:pPr>
      <w:r w:rsidRPr="00120D99">
        <w:rPr>
          <w:rFonts w:eastAsia="Times New Roman"/>
        </w:rPr>
        <w:t xml:space="preserve">Communicable Diseases Control Directorate, Department of Health, Western Australia </w:t>
      </w:r>
    </w:p>
    <w:p w14:paraId="6EF93A7F" w14:textId="77777777" w:rsidR="00222B5B" w:rsidRPr="004C4D4F" w:rsidRDefault="00222B5B" w:rsidP="004C4D4F">
      <w:pPr>
        <w:pStyle w:val="Heading1"/>
        <w:divId w:val="2110732990"/>
      </w:pPr>
      <w:bookmarkStart w:id="265" w:name="_Toc1747419"/>
      <w:r w:rsidRPr="004C4D4F">
        <w:t>References</w:t>
      </w:r>
      <w:bookmarkEnd w:id="265"/>
    </w:p>
    <w:p w14:paraId="6A45FC5E" w14:textId="028FDF0A" w:rsidR="001047AB" w:rsidRPr="009928CF" w:rsidRDefault="00222B5B" w:rsidP="00222B5B">
      <w:pPr>
        <w:numPr>
          <w:ilvl w:val="0"/>
          <w:numId w:val="49"/>
        </w:numPr>
        <w:autoSpaceDE w:val="0"/>
        <w:autoSpaceDN w:val="0"/>
        <w:adjustRightInd w:val="0"/>
        <w:spacing w:after="170" w:line="288" w:lineRule="auto"/>
        <w:ind w:left="567" w:hanging="567"/>
        <w:textAlignment w:val="center"/>
        <w:divId w:val="2110732990"/>
        <w:rPr>
          <w:rStyle w:val="Hyperlink"/>
          <w:rFonts w:ascii="Calibri" w:eastAsia="Calibri" w:hAnsi="Calibri" w:cs="Calibri"/>
          <w:lang w:val="en-GB" w:eastAsia="en-US"/>
        </w:rPr>
      </w:pPr>
      <w:r>
        <w:rPr>
          <w:rFonts w:ascii="Calibri" w:eastAsia="Calibri" w:hAnsi="Calibri" w:cs="Calibri"/>
          <w:i/>
          <w:iCs/>
          <w:color w:val="000000"/>
          <w:lang w:val="en-GB"/>
        </w:rPr>
        <w:t>National Health Security Act, 2007</w:t>
      </w:r>
      <w:r>
        <w:rPr>
          <w:rFonts w:ascii="Calibri" w:eastAsia="Calibri" w:hAnsi="Calibri" w:cs="Calibri"/>
          <w:color w:val="000000"/>
          <w:lang w:val="en-GB"/>
        </w:rPr>
        <w:t xml:space="preserve">. Accessed on March 2015. Available at: </w:t>
      </w:r>
      <w:r w:rsidR="001047AB">
        <w:rPr>
          <w:rFonts w:ascii="Calibri" w:eastAsia="Calibri" w:hAnsi="Calibri" w:cs="Calibri"/>
          <w:color w:val="000000"/>
          <w:lang w:val="en-GB"/>
        </w:rPr>
        <w:fldChar w:fldCharType="begin"/>
      </w:r>
      <w:r w:rsidR="0021477A">
        <w:rPr>
          <w:rFonts w:ascii="Calibri" w:eastAsia="Calibri" w:hAnsi="Calibri" w:cs="Calibri"/>
          <w:color w:val="000000"/>
          <w:lang w:val="en-GB"/>
        </w:rPr>
        <w:instrText>HYPERLINK "http://www.comlaw.gov.au/Details/C2007A00174" \o "http://www.comlaw.gov.au/Details/C2007A00174 "</w:instrText>
      </w:r>
      <w:r w:rsidR="0021477A">
        <w:rPr>
          <w:rFonts w:ascii="Calibri" w:eastAsia="Calibri" w:hAnsi="Calibri" w:cs="Calibri"/>
          <w:color w:val="000000"/>
          <w:lang w:val="en-GB"/>
        </w:rPr>
      </w:r>
      <w:r w:rsidR="001047AB">
        <w:rPr>
          <w:rFonts w:ascii="Calibri" w:eastAsia="Calibri" w:hAnsi="Calibri" w:cs="Calibri"/>
          <w:color w:val="000000"/>
          <w:lang w:val="en-GB"/>
        </w:rPr>
        <w:fldChar w:fldCharType="separate"/>
      </w:r>
      <w:r w:rsidR="001047AB" w:rsidRPr="009928CF">
        <w:rPr>
          <w:rStyle w:val="Hyperlink"/>
          <w:rFonts w:ascii="Calibri" w:eastAsia="Calibri" w:hAnsi="Calibri" w:cs="Calibri"/>
          <w:lang w:val="en-GB"/>
        </w:rPr>
        <w:t xml:space="preserve">http://www.comlaw.gov.au/Details/C2007A00174 </w:t>
      </w:r>
    </w:p>
    <w:p w14:paraId="19EF8116" w14:textId="625833FF" w:rsidR="00222B5B" w:rsidRDefault="001047A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fldChar w:fldCharType="end"/>
      </w:r>
      <w:r w:rsidR="00222B5B">
        <w:rPr>
          <w:rFonts w:ascii="Calibri" w:eastAsia="Calibri" w:hAnsi="Calibri" w:cs="Calibri"/>
          <w:color w:val="000000"/>
          <w:lang w:val="en-GB"/>
        </w:rPr>
        <w:t xml:space="preserve">National Health Security (National Notifiable Disease List) Instrument 2008. Accessed on March 2015. Available at: </w:t>
      </w:r>
      <w:hyperlink r:id="rId139" w:tooltip="http://www.comlaw.gov.au/ComLaw/legislation/LegislativeInstrument1.nsf/0/7162D634C6DD1BAACA25740B0079D6B8?OpenDocument" w:history="1">
        <w:r w:rsidRPr="009928CF">
          <w:rPr>
            <w:rStyle w:val="Hyperlink"/>
            <w:rFonts w:ascii="Calibri" w:eastAsia="Calibri" w:hAnsi="Calibri" w:cs="Calibri"/>
            <w:lang w:val="en-GB"/>
          </w:rPr>
          <w:t>http://www.comlaw.gov.au/ComLaw/legislation/LegislativeInstrument1.nsf/0/7162D634C6DD1BAACA25740B0079D6B8?OpenDocument</w:t>
        </w:r>
      </w:hyperlink>
      <w:r w:rsidR="00222B5B">
        <w:rPr>
          <w:rFonts w:ascii="Calibri" w:eastAsia="Calibri" w:hAnsi="Calibri" w:cs="Calibri"/>
          <w:color w:val="000000"/>
          <w:lang w:val="en-GB"/>
        </w:rPr>
        <w:t xml:space="preserve"> </w:t>
      </w:r>
    </w:p>
    <w:p w14:paraId="1437E1CA" w14:textId="62888C9E" w:rsidR="001047AB" w:rsidRPr="009928CF" w:rsidRDefault="00222B5B" w:rsidP="00222B5B">
      <w:pPr>
        <w:numPr>
          <w:ilvl w:val="0"/>
          <w:numId w:val="49"/>
        </w:numPr>
        <w:autoSpaceDE w:val="0"/>
        <w:autoSpaceDN w:val="0"/>
        <w:adjustRightInd w:val="0"/>
        <w:spacing w:after="170" w:line="288" w:lineRule="auto"/>
        <w:ind w:left="567" w:hanging="567"/>
        <w:textAlignment w:val="center"/>
        <w:divId w:val="2110732990"/>
        <w:rPr>
          <w:rStyle w:val="Hyperlink"/>
          <w:rFonts w:ascii="Calibri" w:eastAsia="Calibri" w:hAnsi="Calibri" w:cs="Calibri"/>
          <w:lang w:val="en-GB"/>
        </w:rPr>
      </w:pPr>
      <w:r>
        <w:rPr>
          <w:rFonts w:ascii="Calibri" w:eastAsia="Calibri" w:hAnsi="Calibri" w:cs="Calibri"/>
          <w:color w:val="000000"/>
          <w:lang w:val="en-GB"/>
        </w:rPr>
        <w:t xml:space="preserve">Commonwealth of Australia Department of Health. National Health Security Agreement. Accessed on March 2015. Available at: </w:t>
      </w:r>
      <w:r w:rsidR="001047AB">
        <w:rPr>
          <w:rFonts w:ascii="Calibri" w:eastAsia="Calibri" w:hAnsi="Calibri" w:cs="Calibri"/>
          <w:lang w:val="en-GB"/>
        </w:rPr>
        <w:fldChar w:fldCharType="begin"/>
      </w:r>
      <w:r w:rsidR="0021477A">
        <w:rPr>
          <w:rFonts w:ascii="Calibri" w:eastAsia="Calibri" w:hAnsi="Calibri" w:cs="Calibri"/>
          <w:lang w:val="en-GB"/>
        </w:rPr>
        <w:instrText>HYPERLINK "http://www.health.gov.au/internet/main/publishing.nsf/Content/ohp-nhs-agreement.htm" \o "http://www.health.gov.au/internet/main/publishing.nsf/Content/ohp-nhs-agreement.htm "</w:instrText>
      </w:r>
      <w:r w:rsidR="0021477A">
        <w:rPr>
          <w:rFonts w:ascii="Calibri" w:eastAsia="Calibri" w:hAnsi="Calibri" w:cs="Calibri"/>
          <w:lang w:val="en-GB"/>
        </w:rPr>
      </w:r>
      <w:r w:rsidR="001047AB">
        <w:rPr>
          <w:rFonts w:ascii="Calibri" w:eastAsia="Calibri" w:hAnsi="Calibri" w:cs="Calibri"/>
          <w:lang w:val="en-GB"/>
        </w:rPr>
        <w:fldChar w:fldCharType="separate"/>
      </w:r>
      <w:r w:rsidR="001047AB" w:rsidRPr="009928CF">
        <w:rPr>
          <w:rStyle w:val="Hyperlink"/>
          <w:rFonts w:ascii="Calibri" w:eastAsia="Calibri" w:hAnsi="Calibri" w:cs="Calibri"/>
          <w:lang w:val="en-GB"/>
        </w:rPr>
        <w:t xml:space="preserve">http://www.health.gov.au/internet/main/publishing.nsf/Content/ohp-nhs-agreement.htm </w:t>
      </w:r>
    </w:p>
    <w:p w14:paraId="3EDDD015" w14:textId="77777777" w:rsidR="00222B5B" w:rsidRDefault="001047A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lang w:val="en-GB"/>
        </w:rPr>
        <w:fldChar w:fldCharType="end"/>
      </w:r>
      <w:r w:rsidR="00222B5B">
        <w:rPr>
          <w:rFonts w:ascii="Calibri" w:eastAsia="Calibri" w:hAnsi="Calibri" w:cs="Calibri"/>
          <w:color w:val="000000"/>
          <w:lang w:val="en-GB"/>
        </w:rPr>
        <w:t xml:space="preserve">The Kirby Institute. </w:t>
      </w:r>
      <w:r w:rsidR="00222B5B">
        <w:rPr>
          <w:rFonts w:ascii="Calibri" w:eastAsia="Calibri" w:hAnsi="Calibri" w:cs="Calibri"/>
          <w:i/>
          <w:iCs/>
          <w:color w:val="000000"/>
          <w:lang w:val="en-GB"/>
        </w:rPr>
        <w:t xml:space="preserve">HIV, viral </w:t>
      </w:r>
      <w:proofErr w:type="gramStart"/>
      <w:r w:rsidR="00222B5B">
        <w:rPr>
          <w:rFonts w:ascii="Calibri" w:eastAsia="Calibri" w:hAnsi="Calibri" w:cs="Calibri"/>
          <w:i/>
          <w:iCs/>
          <w:color w:val="000000"/>
          <w:lang w:val="en-GB"/>
        </w:rPr>
        <w:t>hepatitis</w:t>
      </w:r>
      <w:proofErr w:type="gramEnd"/>
      <w:r w:rsidR="00222B5B">
        <w:rPr>
          <w:rFonts w:ascii="Calibri" w:eastAsia="Calibri" w:hAnsi="Calibri" w:cs="Calibri"/>
          <w:i/>
          <w:iCs/>
          <w:color w:val="000000"/>
          <w:lang w:val="en-GB"/>
        </w:rPr>
        <w:t xml:space="preserve"> and sexually transmissible infections in Australia. Annual Surveillance Report 2015</w:t>
      </w:r>
      <w:r w:rsidR="00222B5B">
        <w:rPr>
          <w:rFonts w:ascii="Calibri" w:eastAsia="Calibri" w:hAnsi="Calibri" w:cs="Calibri"/>
          <w:color w:val="000000"/>
          <w:lang w:val="en-GB"/>
        </w:rPr>
        <w:t>. UNSW Australia, Sydney NSW: The Kirby Institute; 2015.</w:t>
      </w:r>
    </w:p>
    <w:p w14:paraId="5E849D54" w14:textId="628E5538"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Klug GM, Boyd A, </w:t>
      </w:r>
      <w:proofErr w:type="spellStart"/>
      <w:r>
        <w:rPr>
          <w:rFonts w:ascii="Calibri" w:eastAsia="Calibri" w:hAnsi="Calibri" w:cs="Calibri"/>
          <w:color w:val="000000"/>
          <w:lang w:val="en-GB"/>
        </w:rPr>
        <w:t>Sarros</w:t>
      </w:r>
      <w:proofErr w:type="spellEnd"/>
      <w:r>
        <w:rPr>
          <w:rFonts w:ascii="Calibri" w:eastAsia="Calibri" w:hAnsi="Calibri" w:cs="Calibri"/>
          <w:color w:val="000000"/>
          <w:lang w:val="en-GB"/>
        </w:rPr>
        <w:t xml:space="preserve"> S, </w:t>
      </w:r>
      <w:proofErr w:type="spellStart"/>
      <w:r>
        <w:rPr>
          <w:rFonts w:ascii="Calibri" w:eastAsia="Calibri" w:hAnsi="Calibri" w:cs="Calibri"/>
          <w:color w:val="000000"/>
          <w:lang w:val="en-GB"/>
        </w:rPr>
        <w:t>Stehmann</w:t>
      </w:r>
      <w:proofErr w:type="spellEnd"/>
      <w:r>
        <w:rPr>
          <w:rFonts w:ascii="Calibri" w:eastAsia="Calibri" w:hAnsi="Calibri" w:cs="Calibri"/>
          <w:color w:val="000000"/>
          <w:lang w:val="en-GB"/>
        </w:rPr>
        <w:t xml:space="preserve"> C, Simpson M, McLean CA, et al. Creutzfeldt-Jakob disease surveillance in Australia, update to December 2013</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Commun Dis Intell</w:t>
      </w:r>
      <w:r>
        <w:rPr>
          <w:rFonts w:ascii="Calibri" w:eastAsia="Calibri" w:hAnsi="Calibri" w:cs="Calibri"/>
          <w:color w:val="000000"/>
          <w:lang w:val="en-GB"/>
        </w:rPr>
        <w:t xml:space="preserve"> 2014;38(4</w:t>
      </w:r>
      <w:proofErr w:type="gramStart"/>
      <w:r>
        <w:rPr>
          <w:rFonts w:ascii="Calibri" w:eastAsia="Calibri" w:hAnsi="Calibri" w:cs="Calibri"/>
          <w:color w:val="000000"/>
          <w:lang w:val="en-GB"/>
        </w:rPr>
        <w:t>):E</w:t>
      </w:r>
      <w:proofErr w:type="gramEnd"/>
      <w:r>
        <w:rPr>
          <w:rFonts w:ascii="Calibri" w:eastAsia="Calibri" w:hAnsi="Calibri" w:cs="Calibri"/>
          <w:color w:val="000000"/>
          <w:lang w:val="en-GB"/>
        </w:rPr>
        <w:t xml:space="preserve">348-E355. Available at </w:t>
      </w:r>
      <w:hyperlink r:id="rId140" w:tooltip="http://www.ncbi.nlm.nih.gov/pubmed/25631598" w:history="1">
        <w:r w:rsidR="001047AB" w:rsidRPr="009928CF">
          <w:rPr>
            <w:rStyle w:val="Hyperlink"/>
            <w:rFonts w:ascii="Calibri" w:eastAsia="Calibri" w:hAnsi="Calibri" w:cs="Calibri"/>
            <w:lang w:val="en-GB"/>
          </w:rPr>
          <w:t>http://www.ncbi.nlm.nih.gov/pubmed/25631598</w:t>
        </w:r>
      </w:hyperlink>
      <w:r>
        <w:rPr>
          <w:rFonts w:ascii="Calibri" w:eastAsia="Calibri" w:hAnsi="Calibri" w:cs="Calibri"/>
          <w:color w:val="000000"/>
          <w:lang w:val="en-GB"/>
        </w:rPr>
        <w:t xml:space="preserve"> </w:t>
      </w:r>
    </w:p>
    <w:p w14:paraId="20948858" w14:textId="6A1A7F44" w:rsidR="001047AB" w:rsidRPr="009928CF" w:rsidRDefault="00222B5B" w:rsidP="00222B5B">
      <w:pPr>
        <w:numPr>
          <w:ilvl w:val="0"/>
          <w:numId w:val="49"/>
        </w:numPr>
        <w:autoSpaceDE w:val="0"/>
        <w:autoSpaceDN w:val="0"/>
        <w:adjustRightInd w:val="0"/>
        <w:spacing w:after="170" w:line="288" w:lineRule="auto"/>
        <w:ind w:left="567" w:hanging="567"/>
        <w:textAlignment w:val="center"/>
        <w:divId w:val="2110732990"/>
        <w:rPr>
          <w:rStyle w:val="Hyperlink"/>
          <w:rFonts w:ascii="Calibri" w:eastAsia="Calibri" w:hAnsi="Calibri" w:cs="Calibri"/>
          <w:lang w:val="en-GB"/>
        </w:rPr>
      </w:pPr>
      <w:r>
        <w:rPr>
          <w:rFonts w:ascii="Calibri" w:eastAsia="Calibri" w:hAnsi="Calibri" w:cs="Calibri"/>
          <w:color w:val="000000"/>
          <w:lang w:val="en-GB"/>
        </w:rPr>
        <w:t xml:space="preserve">Communicable Diseases Network Australia. National Notifiable Diseases Surveillance System. 2015. Accessed on March 2015. Available at: </w:t>
      </w:r>
      <w:r w:rsidR="001047AB">
        <w:rPr>
          <w:rFonts w:ascii="Calibri" w:eastAsia="Calibri" w:hAnsi="Calibri" w:cs="Calibri"/>
          <w:lang w:val="en-GB"/>
        </w:rPr>
        <w:fldChar w:fldCharType="begin"/>
      </w:r>
      <w:r w:rsidR="0021477A">
        <w:rPr>
          <w:rFonts w:ascii="Calibri" w:eastAsia="Calibri" w:hAnsi="Calibri" w:cs="Calibri"/>
          <w:lang w:val="en-GB"/>
        </w:rPr>
        <w:instrText>HYPERLINK "http://www.health.gov.au/nndssdata" \o "www.health.gov.au/nndssdata "</w:instrText>
      </w:r>
      <w:r w:rsidR="0021477A">
        <w:rPr>
          <w:rFonts w:ascii="Calibri" w:eastAsia="Calibri" w:hAnsi="Calibri" w:cs="Calibri"/>
          <w:lang w:val="en-GB"/>
        </w:rPr>
      </w:r>
      <w:r w:rsidR="001047AB">
        <w:rPr>
          <w:rFonts w:ascii="Calibri" w:eastAsia="Calibri" w:hAnsi="Calibri" w:cs="Calibri"/>
          <w:lang w:val="en-GB"/>
        </w:rPr>
        <w:fldChar w:fldCharType="separate"/>
      </w:r>
      <w:r w:rsidR="001047AB" w:rsidRPr="009928CF">
        <w:rPr>
          <w:rStyle w:val="Hyperlink"/>
          <w:rFonts w:ascii="Calibri" w:eastAsia="Calibri" w:hAnsi="Calibri" w:cs="Calibri"/>
          <w:lang w:val="en-GB"/>
        </w:rPr>
        <w:t xml:space="preserve">www.health.gov.au/nndssdata </w:t>
      </w:r>
    </w:p>
    <w:p w14:paraId="7D3F4FDD" w14:textId="12474C9C" w:rsidR="00222B5B" w:rsidRDefault="001047A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lang w:val="en-GB"/>
        </w:rPr>
        <w:fldChar w:fldCharType="end"/>
      </w:r>
      <w:r w:rsidR="00222B5B">
        <w:rPr>
          <w:rFonts w:ascii="Calibri" w:eastAsia="Calibri" w:hAnsi="Calibri" w:cs="Calibri"/>
          <w:color w:val="000000"/>
          <w:lang w:val="en-GB"/>
        </w:rPr>
        <w:t xml:space="preserve">Australian Bureau of Statistics. Australian Demographic Statistics, December 2014. Canberra: Australian Bureau of Statistics; 2015.  ABS Cat.No.3101.0. Available at  </w:t>
      </w:r>
      <w:hyperlink r:id="rId141" w:tooltip="http://www.abs.gov.au/AUSSTATS/abs@.nsf/Lookup/3101.0Main+Features1Dec%202014?OpenDocument" w:history="1">
        <w:r w:rsidRPr="009928CF">
          <w:rPr>
            <w:rStyle w:val="Hyperlink"/>
            <w:rFonts w:ascii="Calibri" w:eastAsia="Calibri" w:hAnsi="Calibri" w:cs="Calibri"/>
            <w:lang w:val="en-GB"/>
          </w:rPr>
          <w:t>http://www.abs.gov.au/AUSSTATS/abs@.nsf/Lookup/3101.0Main+Features1Dec%202014?OpenDocument</w:t>
        </w:r>
      </w:hyperlink>
      <w:r w:rsidR="00222B5B">
        <w:rPr>
          <w:rFonts w:ascii="Calibri" w:eastAsia="Calibri" w:hAnsi="Calibri" w:cs="Calibri"/>
          <w:lang w:val="en-GB"/>
        </w:rPr>
        <w:t xml:space="preserve"> </w:t>
      </w:r>
    </w:p>
    <w:p w14:paraId="00E7BE76" w14:textId="588623D8" w:rsidR="001047AB" w:rsidRPr="009928CF" w:rsidRDefault="00222B5B" w:rsidP="00222B5B">
      <w:pPr>
        <w:numPr>
          <w:ilvl w:val="0"/>
          <w:numId w:val="49"/>
        </w:numPr>
        <w:autoSpaceDE w:val="0"/>
        <w:autoSpaceDN w:val="0"/>
        <w:adjustRightInd w:val="0"/>
        <w:spacing w:after="170" w:line="288" w:lineRule="auto"/>
        <w:ind w:left="567" w:hanging="567"/>
        <w:textAlignment w:val="center"/>
        <w:divId w:val="2110732990"/>
        <w:rPr>
          <w:rStyle w:val="Hyperlink"/>
          <w:rFonts w:ascii="Calibri" w:eastAsia="Calibri" w:hAnsi="Calibri" w:cs="Calibri"/>
          <w:lang w:val="en-GB"/>
        </w:rPr>
      </w:pPr>
      <w:r>
        <w:rPr>
          <w:rFonts w:ascii="Calibri" w:eastAsia="Calibri" w:hAnsi="Calibri" w:cs="Calibri"/>
          <w:color w:val="000000"/>
          <w:lang w:val="en-GB"/>
        </w:rPr>
        <w:t xml:space="preserve">Australian Institute of Health and Welfare. Age-standardised rate – Identifying and definitional attributes. 2005. Accessed on 17 March 2015. Available at: </w:t>
      </w:r>
      <w:r w:rsidR="001047AB">
        <w:rPr>
          <w:rFonts w:ascii="Calibri" w:eastAsia="Calibri" w:hAnsi="Calibri" w:cs="Calibri"/>
          <w:lang w:val="en-GB"/>
        </w:rPr>
        <w:fldChar w:fldCharType="begin"/>
      </w:r>
      <w:r w:rsidR="0021477A">
        <w:rPr>
          <w:rFonts w:ascii="Calibri" w:eastAsia="Calibri" w:hAnsi="Calibri" w:cs="Calibri"/>
          <w:lang w:val="en-GB"/>
        </w:rPr>
        <w:instrText>HYPERLINK "http://meteor.aihw.gov.au/content/index.phtml/itemId/327276" \o "http://meteor.aihw.gov.au/content/index.phtml/itemId/327276"</w:instrText>
      </w:r>
      <w:r w:rsidR="0021477A">
        <w:rPr>
          <w:rFonts w:ascii="Calibri" w:eastAsia="Calibri" w:hAnsi="Calibri" w:cs="Calibri"/>
          <w:lang w:val="en-GB"/>
        </w:rPr>
      </w:r>
      <w:r w:rsidR="001047AB">
        <w:rPr>
          <w:rFonts w:ascii="Calibri" w:eastAsia="Calibri" w:hAnsi="Calibri" w:cs="Calibri"/>
          <w:lang w:val="en-GB"/>
        </w:rPr>
        <w:fldChar w:fldCharType="separate"/>
      </w:r>
      <w:r w:rsidR="001047AB" w:rsidRPr="009928CF">
        <w:rPr>
          <w:rStyle w:val="Hyperlink"/>
          <w:rFonts w:ascii="Calibri" w:eastAsia="Calibri" w:hAnsi="Calibri" w:cs="Calibri"/>
          <w:lang w:val="en-GB"/>
        </w:rPr>
        <w:t xml:space="preserve">http://meteor.aihw.gov.au/content/index.phtml/itemId/327276 </w:t>
      </w:r>
    </w:p>
    <w:p w14:paraId="55825B01" w14:textId="77777777" w:rsidR="00222B5B" w:rsidRDefault="001047A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lang w:val="en-GB"/>
        </w:rPr>
        <w:fldChar w:fldCharType="end"/>
      </w:r>
      <w:r w:rsidR="00222B5B">
        <w:rPr>
          <w:rFonts w:ascii="Calibri" w:eastAsia="Calibri" w:hAnsi="Calibri" w:cs="Calibri"/>
          <w:color w:val="000000"/>
          <w:lang w:val="en-GB"/>
        </w:rPr>
        <w:t xml:space="preserve">Graham S, Guy RJ, Donovan B, McManus H, El-Hayek C, Kwan K, et al. Epidemiology of chlamydia and </w:t>
      </w:r>
      <w:proofErr w:type="spellStart"/>
      <w:r w:rsidR="00222B5B">
        <w:rPr>
          <w:rFonts w:ascii="Calibri" w:eastAsia="Calibri" w:hAnsi="Calibri" w:cs="Calibri"/>
          <w:color w:val="000000"/>
          <w:lang w:val="en-GB"/>
        </w:rPr>
        <w:t>gonorrhea</w:t>
      </w:r>
      <w:proofErr w:type="spellEnd"/>
      <w:r w:rsidR="00222B5B">
        <w:rPr>
          <w:rFonts w:ascii="Calibri" w:eastAsia="Calibri" w:hAnsi="Calibri" w:cs="Calibri"/>
          <w:color w:val="000000"/>
          <w:lang w:val="en-GB"/>
        </w:rPr>
        <w:t xml:space="preserve"> among Indigenous and non-Indigenous Australians, 2000–2009</w:t>
      </w:r>
      <w:r w:rsidR="00222B5B">
        <w:rPr>
          <w:rFonts w:ascii="Calibri" w:eastAsia="Calibri" w:hAnsi="Calibri" w:cs="Calibri"/>
          <w:i/>
          <w:iCs/>
          <w:color w:val="000000"/>
          <w:lang w:val="en-GB"/>
        </w:rPr>
        <w:t>.</w:t>
      </w:r>
      <w:r w:rsidR="00222B5B">
        <w:rPr>
          <w:rFonts w:ascii="Calibri" w:eastAsia="Calibri" w:hAnsi="Calibri" w:cs="Calibri"/>
          <w:color w:val="000000"/>
          <w:lang w:val="en-GB"/>
        </w:rPr>
        <w:t xml:space="preserve"> </w:t>
      </w:r>
      <w:r w:rsidR="00222B5B">
        <w:rPr>
          <w:rFonts w:ascii="Calibri" w:eastAsia="Calibri" w:hAnsi="Calibri" w:cs="Calibri"/>
          <w:i/>
          <w:iCs/>
          <w:color w:val="000000"/>
          <w:lang w:val="en-GB"/>
        </w:rPr>
        <w:t xml:space="preserve">Med J </w:t>
      </w:r>
      <w:proofErr w:type="spellStart"/>
      <w:r w:rsidR="00222B5B">
        <w:rPr>
          <w:rFonts w:ascii="Calibri" w:eastAsia="Calibri" w:hAnsi="Calibri" w:cs="Calibri"/>
          <w:i/>
          <w:iCs/>
          <w:color w:val="000000"/>
          <w:lang w:val="en-GB"/>
        </w:rPr>
        <w:t>Aust</w:t>
      </w:r>
      <w:proofErr w:type="spellEnd"/>
      <w:r w:rsidR="00222B5B">
        <w:rPr>
          <w:rFonts w:ascii="Calibri" w:eastAsia="Calibri" w:hAnsi="Calibri" w:cs="Calibri"/>
          <w:color w:val="000000"/>
          <w:lang w:val="en-GB"/>
        </w:rPr>
        <w:t xml:space="preserve"> 2012;197(11):642–646.</w:t>
      </w:r>
    </w:p>
    <w:p w14:paraId="04EA20AA"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proofErr w:type="spellStart"/>
      <w:r>
        <w:rPr>
          <w:rFonts w:ascii="Calibri" w:eastAsia="Calibri" w:hAnsi="Calibri" w:cs="Calibri"/>
          <w:color w:val="000000"/>
          <w:lang w:val="en-GB"/>
        </w:rPr>
        <w:lastRenderedPageBreak/>
        <w:t>Hammerschlag</w:t>
      </w:r>
      <w:proofErr w:type="spellEnd"/>
      <w:r>
        <w:rPr>
          <w:rFonts w:ascii="Calibri" w:eastAsia="Calibri" w:hAnsi="Calibri" w:cs="Calibri"/>
          <w:color w:val="000000"/>
          <w:lang w:val="en-GB"/>
        </w:rPr>
        <w:t xml:space="preserve"> M. Sexually transmitted diseases in sexually abused children: medical and legal implications</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 xml:space="preserve">Sex </w:t>
      </w:r>
      <w:proofErr w:type="spellStart"/>
      <w:r>
        <w:rPr>
          <w:rFonts w:ascii="Calibri" w:eastAsia="Calibri" w:hAnsi="Calibri" w:cs="Calibri"/>
          <w:i/>
          <w:iCs/>
          <w:color w:val="000000"/>
          <w:lang w:val="en-GB"/>
        </w:rPr>
        <w:t>Transm</w:t>
      </w:r>
      <w:proofErr w:type="spellEnd"/>
      <w:r>
        <w:rPr>
          <w:rFonts w:ascii="Calibri" w:eastAsia="Calibri" w:hAnsi="Calibri" w:cs="Calibri"/>
          <w:i/>
          <w:iCs/>
          <w:color w:val="000000"/>
          <w:lang w:val="en-GB"/>
        </w:rPr>
        <w:t xml:space="preserve"> Infect</w:t>
      </w:r>
      <w:r>
        <w:rPr>
          <w:rFonts w:ascii="Calibri" w:eastAsia="Calibri" w:hAnsi="Calibri" w:cs="Calibri"/>
          <w:color w:val="000000"/>
          <w:lang w:val="en-GB"/>
        </w:rPr>
        <w:t xml:space="preserve"> 1998;74(3):167–174. Available at: </w:t>
      </w:r>
      <w:r w:rsidR="001047AB" w:rsidRPr="001D6AC9">
        <w:rPr>
          <w:rFonts w:ascii="Calibri" w:eastAsia="Calibri" w:hAnsi="Calibri" w:cs="Calibri"/>
          <w:lang w:val="en-GB"/>
        </w:rPr>
        <w:t>http://www.ncbi.nlm.nih.gov/pmc/articles/PMC1758110/pdf/v074p00167.pdf</w:t>
      </w:r>
      <w:r>
        <w:rPr>
          <w:rFonts w:ascii="Calibri" w:eastAsia="Calibri" w:hAnsi="Calibri" w:cs="Calibri"/>
          <w:color w:val="000000"/>
          <w:lang w:val="en-GB"/>
        </w:rPr>
        <w:t xml:space="preserve"> </w:t>
      </w:r>
    </w:p>
    <w:p w14:paraId="24F3DCE5" w14:textId="6300F830" w:rsidR="001047AB" w:rsidRPr="009928CF" w:rsidRDefault="00222B5B" w:rsidP="00222B5B">
      <w:pPr>
        <w:numPr>
          <w:ilvl w:val="0"/>
          <w:numId w:val="49"/>
        </w:numPr>
        <w:autoSpaceDE w:val="0"/>
        <w:autoSpaceDN w:val="0"/>
        <w:adjustRightInd w:val="0"/>
        <w:spacing w:after="170" w:line="288" w:lineRule="auto"/>
        <w:ind w:left="567" w:hanging="567"/>
        <w:textAlignment w:val="center"/>
        <w:divId w:val="2110732990"/>
        <w:rPr>
          <w:rStyle w:val="Hyperlink"/>
          <w:rFonts w:ascii="Calibri" w:eastAsia="Calibri" w:hAnsi="Calibri" w:cs="Calibri"/>
          <w:lang w:val="en-GB"/>
        </w:rPr>
      </w:pPr>
      <w:r>
        <w:rPr>
          <w:rFonts w:ascii="Calibri" w:eastAsia="Calibri" w:hAnsi="Calibri" w:cs="Calibri"/>
          <w:color w:val="000000"/>
          <w:lang w:val="en-GB"/>
        </w:rPr>
        <w:t xml:space="preserve">Australian Institute of Health and Welfare. National Health Data Dictionary 13.3; 2008. Available at: </w:t>
      </w:r>
      <w:r w:rsidR="001047AB">
        <w:rPr>
          <w:rFonts w:ascii="Calibri" w:eastAsia="Calibri" w:hAnsi="Calibri" w:cs="Calibri"/>
          <w:lang w:val="en-GB"/>
        </w:rPr>
        <w:fldChar w:fldCharType="begin"/>
      </w:r>
      <w:r w:rsidR="0021477A">
        <w:rPr>
          <w:rFonts w:ascii="Calibri" w:eastAsia="Calibri" w:hAnsi="Calibri" w:cs="Calibri"/>
          <w:lang w:val="en-GB"/>
        </w:rPr>
        <w:instrText>HYPERLINK "http://meteor.aihw.gov.au/content/index.phtml/itemId/367274" \o "http://meteor.aihw.gov.au/content/index.phtml/itemId/367274 "</w:instrText>
      </w:r>
      <w:r w:rsidR="0021477A">
        <w:rPr>
          <w:rFonts w:ascii="Calibri" w:eastAsia="Calibri" w:hAnsi="Calibri" w:cs="Calibri"/>
          <w:lang w:val="en-GB"/>
        </w:rPr>
      </w:r>
      <w:r w:rsidR="001047AB">
        <w:rPr>
          <w:rFonts w:ascii="Calibri" w:eastAsia="Calibri" w:hAnsi="Calibri" w:cs="Calibri"/>
          <w:lang w:val="en-GB"/>
        </w:rPr>
        <w:fldChar w:fldCharType="separate"/>
      </w:r>
      <w:r w:rsidR="001047AB" w:rsidRPr="009928CF">
        <w:rPr>
          <w:rStyle w:val="Hyperlink"/>
          <w:rFonts w:ascii="Calibri" w:eastAsia="Calibri" w:hAnsi="Calibri" w:cs="Calibri"/>
          <w:lang w:val="en-GB"/>
        </w:rPr>
        <w:t xml:space="preserve">http://meteor.aihw.gov.au/content/index.phtml/itemId/367274 </w:t>
      </w:r>
    </w:p>
    <w:p w14:paraId="3A6E0D71" w14:textId="0B0B24A5" w:rsidR="00222B5B" w:rsidRDefault="001047A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lang w:val="en-GB"/>
        </w:rPr>
        <w:fldChar w:fldCharType="end"/>
      </w:r>
      <w:r w:rsidR="00222B5B">
        <w:rPr>
          <w:rFonts w:ascii="Calibri" w:eastAsia="Calibri" w:hAnsi="Calibri" w:cs="Calibri"/>
          <w:color w:val="000000"/>
          <w:lang w:val="en-GB"/>
        </w:rPr>
        <w:t xml:space="preserve">Australian Bureau of Statistics. Standard Australian Classification of Countries (SACC). Canberra: Australian Bureau of Statistics; 2011. Report No. 1269.0. Available at </w:t>
      </w:r>
      <w:hyperlink r:id="rId142" w:tooltip="http://www.abs.gov.au/AUSSTATS/abs@.nsf/DetailsPage/1269.02011?OpenDocument" w:history="1">
        <w:r w:rsidRPr="009928CF">
          <w:rPr>
            <w:rStyle w:val="Hyperlink"/>
            <w:rFonts w:ascii="Calibri" w:eastAsia="Calibri" w:hAnsi="Calibri" w:cs="Calibri"/>
            <w:lang w:val="en-GB"/>
          </w:rPr>
          <w:t>http://www.abs.gov.au/AUSSTATS/abs@.nsf/DetailsPage/1269.02011?OpenDocument</w:t>
        </w:r>
      </w:hyperlink>
      <w:r w:rsidR="00222B5B">
        <w:rPr>
          <w:rFonts w:ascii="Calibri" w:eastAsia="Calibri" w:hAnsi="Calibri" w:cs="Calibri"/>
          <w:color w:val="000000"/>
          <w:lang w:val="en-GB"/>
        </w:rPr>
        <w:t xml:space="preserve"> </w:t>
      </w:r>
    </w:p>
    <w:p w14:paraId="2B067022" w14:textId="7BF2C11B"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Chen MY, Fairley CK, Donovan B. Nowhere near the point of diminishing returns: correlations between chlamydia testing and notification rates in New South Wales</w:t>
      </w:r>
      <w:r>
        <w:rPr>
          <w:rFonts w:ascii="Calibri" w:eastAsia="Calibri" w:hAnsi="Calibri" w:cs="Calibri"/>
          <w:i/>
          <w:iCs/>
          <w:color w:val="000000"/>
          <w:lang w:val="en-GB"/>
        </w:rPr>
        <w:t>.</w:t>
      </w:r>
      <w:r>
        <w:rPr>
          <w:rFonts w:ascii="Calibri" w:eastAsia="Calibri" w:hAnsi="Calibri" w:cs="Calibri"/>
          <w:color w:val="000000"/>
          <w:lang w:val="en-GB"/>
        </w:rPr>
        <w:t xml:space="preserve"> </w:t>
      </w:r>
      <w:proofErr w:type="spellStart"/>
      <w:r>
        <w:rPr>
          <w:rFonts w:ascii="Calibri" w:eastAsia="Calibri" w:hAnsi="Calibri" w:cs="Calibri"/>
          <w:i/>
          <w:iCs/>
          <w:color w:val="000000"/>
          <w:lang w:val="en-GB"/>
        </w:rPr>
        <w:t>Aust</w:t>
      </w:r>
      <w:proofErr w:type="spellEnd"/>
      <w:r>
        <w:rPr>
          <w:rFonts w:ascii="Calibri" w:eastAsia="Calibri" w:hAnsi="Calibri" w:cs="Calibri"/>
          <w:i/>
          <w:iCs/>
          <w:color w:val="000000"/>
          <w:lang w:val="en-GB"/>
        </w:rPr>
        <w:t xml:space="preserve"> N Z J Public Health</w:t>
      </w:r>
      <w:r>
        <w:rPr>
          <w:rFonts w:ascii="Calibri" w:eastAsia="Calibri" w:hAnsi="Calibri" w:cs="Calibri"/>
          <w:color w:val="000000"/>
          <w:lang w:val="en-GB"/>
        </w:rPr>
        <w:t xml:space="preserve"> 2005;29(3):249–253. Available at: </w:t>
      </w:r>
      <w:hyperlink r:id="rId143" w:tooltip="http://www.ncbi.nlm.nih.gov/entrez/query.fcgi?cmd=Retrieve&amp;db=PubMed&amp;dopt=Citation&amp;list_uids=15991773" w:history="1">
        <w:r w:rsidR="001047AB" w:rsidRPr="009928CF">
          <w:rPr>
            <w:rStyle w:val="Hyperlink"/>
            <w:rFonts w:ascii="Calibri" w:eastAsia="Calibri" w:hAnsi="Calibri" w:cs="Calibri"/>
            <w:lang w:val="en-GB"/>
          </w:rPr>
          <w:t>http://www.ncbi.nlm.nih.gov/entrez/query.fcgi?cmd=Retrieve&amp;db=PubMed&amp;dopt=Citation&amp;list_uids=15991773</w:t>
        </w:r>
      </w:hyperlink>
      <w:r>
        <w:rPr>
          <w:rFonts w:ascii="Calibri" w:eastAsia="Calibri" w:hAnsi="Calibri" w:cs="Calibri"/>
          <w:color w:val="000000"/>
          <w:lang w:val="en-GB"/>
        </w:rPr>
        <w:t xml:space="preserve"> </w:t>
      </w:r>
    </w:p>
    <w:p w14:paraId="31089827"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Hocking J, Fairley C, </w:t>
      </w:r>
      <w:proofErr w:type="spellStart"/>
      <w:r>
        <w:rPr>
          <w:rFonts w:ascii="Calibri" w:eastAsia="Calibri" w:hAnsi="Calibri" w:cs="Calibri"/>
          <w:color w:val="000000"/>
          <w:lang w:val="en-GB"/>
        </w:rPr>
        <w:t>Counahan</w:t>
      </w:r>
      <w:proofErr w:type="spellEnd"/>
      <w:r>
        <w:rPr>
          <w:rFonts w:ascii="Calibri" w:eastAsia="Calibri" w:hAnsi="Calibri" w:cs="Calibri"/>
          <w:color w:val="000000"/>
          <w:lang w:val="en-GB"/>
        </w:rPr>
        <w:t xml:space="preserve"> M, Crofts N. The pattern of notification and testing for genital </w:t>
      </w:r>
      <w:r>
        <w:rPr>
          <w:rFonts w:ascii="Calibri" w:eastAsia="Calibri" w:hAnsi="Calibri" w:cs="Calibri"/>
          <w:i/>
          <w:iCs/>
          <w:color w:val="000000"/>
          <w:lang w:val="en-GB"/>
        </w:rPr>
        <w:t>Chlamydia trachomatis</w:t>
      </w:r>
      <w:r>
        <w:rPr>
          <w:rFonts w:ascii="Calibri" w:eastAsia="Calibri" w:hAnsi="Calibri" w:cs="Calibri"/>
          <w:color w:val="000000"/>
          <w:lang w:val="en-GB"/>
        </w:rPr>
        <w:t xml:space="preserve"> infection in Victoria, 1998–2000: an ecological analysis. </w:t>
      </w:r>
      <w:proofErr w:type="spellStart"/>
      <w:r>
        <w:rPr>
          <w:rFonts w:ascii="Calibri" w:eastAsia="Calibri" w:hAnsi="Calibri" w:cs="Calibri"/>
          <w:i/>
          <w:iCs/>
          <w:color w:val="000000"/>
          <w:lang w:val="en-GB"/>
        </w:rPr>
        <w:t>Aust</w:t>
      </w:r>
      <w:proofErr w:type="spellEnd"/>
      <w:r>
        <w:rPr>
          <w:rFonts w:ascii="Calibri" w:eastAsia="Calibri" w:hAnsi="Calibri" w:cs="Calibri"/>
          <w:i/>
          <w:iCs/>
          <w:color w:val="000000"/>
          <w:lang w:val="en-GB"/>
        </w:rPr>
        <w:t xml:space="preserve"> N Z J Public Health</w:t>
      </w:r>
      <w:r>
        <w:rPr>
          <w:rFonts w:ascii="Calibri" w:eastAsia="Calibri" w:hAnsi="Calibri" w:cs="Calibri"/>
          <w:color w:val="000000"/>
          <w:lang w:val="en-GB"/>
        </w:rPr>
        <w:t xml:space="preserve"> 2003;27(4):405-408.</w:t>
      </w:r>
    </w:p>
    <w:p w14:paraId="31C1D4CE" w14:textId="5C9F18BF" w:rsidR="001047AB" w:rsidRPr="009928CF" w:rsidRDefault="00222B5B" w:rsidP="00222B5B">
      <w:pPr>
        <w:numPr>
          <w:ilvl w:val="0"/>
          <w:numId w:val="49"/>
        </w:numPr>
        <w:autoSpaceDE w:val="0"/>
        <w:autoSpaceDN w:val="0"/>
        <w:adjustRightInd w:val="0"/>
        <w:spacing w:after="170" w:line="288" w:lineRule="auto"/>
        <w:ind w:left="567" w:hanging="567"/>
        <w:textAlignment w:val="center"/>
        <w:divId w:val="2110732990"/>
        <w:rPr>
          <w:rStyle w:val="Hyperlink"/>
          <w:rFonts w:ascii="Calibri" w:eastAsia="Calibri" w:hAnsi="Calibri" w:cs="Calibri"/>
          <w:lang w:val="en-GB"/>
        </w:rPr>
      </w:pPr>
      <w:r>
        <w:rPr>
          <w:rFonts w:ascii="Calibri" w:eastAsia="Calibri" w:hAnsi="Calibri" w:cs="Calibri"/>
          <w:color w:val="000000"/>
          <w:lang w:val="en-GB"/>
        </w:rPr>
        <w:t xml:space="preserve">Burckhardt F, Warner P, Young H. What is the impact of change in diagnostic test method on surveillance data trends in </w:t>
      </w:r>
      <w:r>
        <w:rPr>
          <w:rFonts w:ascii="Calibri" w:eastAsia="Calibri" w:hAnsi="Calibri" w:cs="Calibri"/>
          <w:i/>
          <w:iCs/>
          <w:color w:val="000000"/>
          <w:lang w:val="en-GB"/>
        </w:rPr>
        <w:t>Chlamydia trachomatis</w:t>
      </w:r>
      <w:r>
        <w:rPr>
          <w:rFonts w:ascii="Calibri" w:eastAsia="Calibri" w:hAnsi="Calibri" w:cs="Calibri"/>
          <w:color w:val="000000"/>
          <w:lang w:val="en-GB"/>
        </w:rPr>
        <w:t xml:space="preserve"> infection? </w:t>
      </w:r>
      <w:r>
        <w:rPr>
          <w:rFonts w:ascii="Calibri" w:eastAsia="Calibri" w:hAnsi="Calibri" w:cs="Calibri"/>
          <w:i/>
          <w:iCs/>
          <w:color w:val="000000"/>
          <w:lang w:val="en-GB"/>
        </w:rPr>
        <w:t xml:space="preserve">Sex </w:t>
      </w:r>
      <w:proofErr w:type="spellStart"/>
      <w:r>
        <w:rPr>
          <w:rFonts w:ascii="Calibri" w:eastAsia="Calibri" w:hAnsi="Calibri" w:cs="Calibri"/>
          <w:i/>
          <w:iCs/>
          <w:color w:val="000000"/>
          <w:lang w:val="en-GB"/>
        </w:rPr>
        <w:t>Transm</w:t>
      </w:r>
      <w:proofErr w:type="spellEnd"/>
      <w:r>
        <w:rPr>
          <w:rFonts w:ascii="Calibri" w:eastAsia="Calibri" w:hAnsi="Calibri" w:cs="Calibri"/>
          <w:i/>
          <w:iCs/>
          <w:color w:val="000000"/>
          <w:lang w:val="en-GB"/>
        </w:rPr>
        <w:t xml:space="preserve"> Infect</w:t>
      </w:r>
      <w:r>
        <w:rPr>
          <w:rFonts w:ascii="Calibri" w:eastAsia="Calibri" w:hAnsi="Calibri" w:cs="Calibri"/>
          <w:color w:val="000000"/>
          <w:lang w:val="en-GB"/>
        </w:rPr>
        <w:t xml:space="preserve"> 2006;82(1):24–30. Available at </w:t>
      </w:r>
      <w:r w:rsidR="001047AB">
        <w:rPr>
          <w:rFonts w:ascii="Calibri" w:eastAsia="Calibri" w:hAnsi="Calibri" w:cs="Calibri"/>
          <w:lang w:val="en-GB"/>
        </w:rPr>
        <w:fldChar w:fldCharType="begin"/>
      </w:r>
      <w:r w:rsidR="0021477A">
        <w:rPr>
          <w:rFonts w:ascii="Calibri" w:eastAsia="Calibri" w:hAnsi="Calibri" w:cs="Calibri"/>
          <w:lang w:val="en-GB"/>
        </w:rPr>
        <w:instrText>HYPERLINK "http://www.ncbi.nlm.nih.gov/pubmed/16461597" \o "http://www.ncbi.nlm.nih.gov/pubmed/16461597 "</w:instrText>
      </w:r>
      <w:r w:rsidR="0021477A">
        <w:rPr>
          <w:rFonts w:ascii="Calibri" w:eastAsia="Calibri" w:hAnsi="Calibri" w:cs="Calibri"/>
          <w:lang w:val="en-GB"/>
        </w:rPr>
      </w:r>
      <w:r w:rsidR="001047AB">
        <w:rPr>
          <w:rFonts w:ascii="Calibri" w:eastAsia="Calibri" w:hAnsi="Calibri" w:cs="Calibri"/>
          <w:lang w:val="en-GB"/>
        </w:rPr>
        <w:fldChar w:fldCharType="separate"/>
      </w:r>
      <w:r w:rsidR="001047AB" w:rsidRPr="009928CF">
        <w:rPr>
          <w:rStyle w:val="Hyperlink"/>
          <w:rFonts w:ascii="Calibri" w:eastAsia="Calibri" w:hAnsi="Calibri" w:cs="Calibri"/>
          <w:lang w:val="en-GB"/>
        </w:rPr>
        <w:t xml:space="preserve">http://www.ncbi.nlm.nih.gov/pubmed/16461597 </w:t>
      </w:r>
    </w:p>
    <w:p w14:paraId="740DA4FF" w14:textId="7C54CF12" w:rsidR="00222B5B" w:rsidRDefault="001047A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lang w:val="en-GB"/>
        </w:rPr>
        <w:fldChar w:fldCharType="end"/>
      </w:r>
      <w:r w:rsidR="00222B5B">
        <w:rPr>
          <w:rFonts w:ascii="Calibri" w:eastAsia="Calibri" w:hAnsi="Calibri" w:cs="Calibri"/>
          <w:color w:val="000000"/>
          <w:lang w:val="en-GB"/>
        </w:rPr>
        <w:t>Chen MY, Karvelas M, Sundararajan V, Hocking JS, Fairley CK. Evidence for the effectiveness of a chlamydia awareness campaign: increased population rates of chlamydia testing and detection</w:t>
      </w:r>
      <w:r w:rsidR="00222B5B">
        <w:rPr>
          <w:rFonts w:ascii="Calibri" w:eastAsia="Calibri" w:hAnsi="Calibri" w:cs="Calibri"/>
          <w:i/>
          <w:iCs/>
          <w:color w:val="000000"/>
          <w:lang w:val="en-GB"/>
        </w:rPr>
        <w:t>.</w:t>
      </w:r>
      <w:r w:rsidR="00222B5B">
        <w:rPr>
          <w:rFonts w:ascii="Calibri" w:eastAsia="Calibri" w:hAnsi="Calibri" w:cs="Calibri"/>
          <w:color w:val="000000"/>
          <w:lang w:val="en-GB"/>
        </w:rPr>
        <w:t xml:space="preserve"> </w:t>
      </w:r>
      <w:r w:rsidR="00222B5B">
        <w:rPr>
          <w:rFonts w:ascii="Calibri" w:eastAsia="Calibri" w:hAnsi="Calibri" w:cs="Calibri"/>
          <w:i/>
          <w:iCs/>
          <w:color w:val="000000"/>
          <w:lang w:val="en-GB"/>
        </w:rPr>
        <w:t>Int J STD AIDS</w:t>
      </w:r>
      <w:r w:rsidR="00222B5B">
        <w:rPr>
          <w:rFonts w:ascii="Calibri" w:eastAsia="Calibri" w:hAnsi="Calibri" w:cs="Calibri"/>
          <w:color w:val="000000"/>
          <w:lang w:val="en-GB"/>
        </w:rPr>
        <w:t xml:space="preserve"> 2007;18(4):239–243. Available at: </w:t>
      </w:r>
      <w:hyperlink r:id="rId144" w:tooltip="http://www.ncbi.nlm.nih.gov/pubmed/17509173" w:history="1">
        <w:r w:rsidRPr="009928CF">
          <w:rPr>
            <w:rStyle w:val="Hyperlink"/>
            <w:rFonts w:ascii="Calibri" w:eastAsia="Calibri" w:hAnsi="Calibri" w:cs="Calibri"/>
            <w:lang w:val="en-GB"/>
          </w:rPr>
          <w:t>http://www.ncbi.nlm.nih.gov/pubmed/17509173</w:t>
        </w:r>
      </w:hyperlink>
      <w:r w:rsidR="00222B5B">
        <w:rPr>
          <w:rFonts w:ascii="Calibri" w:eastAsia="Calibri" w:hAnsi="Calibri" w:cs="Calibri"/>
          <w:color w:val="000000"/>
          <w:lang w:val="en-GB"/>
        </w:rPr>
        <w:t xml:space="preserve"> </w:t>
      </w:r>
    </w:p>
    <w:p w14:paraId="4A7FB363"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Hammad A, Guy RJ, Fairley C, Wand H, Chen MY, Dickson B, et al. Understanding trends in genital </w:t>
      </w:r>
      <w:r>
        <w:rPr>
          <w:rFonts w:ascii="Calibri" w:eastAsia="Calibri" w:hAnsi="Calibri" w:cs="Calibri"/>
          <w:i/>
          <w:iCs/>
          <w:color w:val="000000"/>
          <w:lang w:val="en-GB"/>
        </w:rPr>
        <w:t>Chlamydia trachomatis</w:t>
      </w:r>
      <w:r>
        <w:rPr>
          <w:rFonts w:ascii="Calibri" w:eastAsia="Calibri" w:hAnsi="Calibri" w:cs="Calibri"/>
          <w:color w:val="000000"/>
          <w:lang w:val="en-GB"/>
        </w:rPr>
        <w:t xml:space="preserve"> can benefit from enhanced surveillance: findings from Australia</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 xml:space="preserve">Sex </w:t>
      </w:r>
      <w:proofErr w:type="spellStart"/>
      <w:r>
        <w:rPr>
          <w:rFonts w:ascii="Calibri" w:eastAsia="Calibri" w:hAnsi="Calibri" w:cs="Calibri"/>
          <w:i/>
          <w:iCs/>
          <w:color w:val="000000"/>
          <w:lang w:val="en-GB"/>
        </w:rPr>
        <w:t>Transm</w:t>
      </w:r>
      <w:proofErr w:type="spellEnd"/>
      <w:r>
        <w:rPr>
          <w:rFonts w:ascii="Calibri" w:eastAsia="Calibri" w:hAnsi="Calibri" w:cs="Calibri"/>
          <w:i/>
          <w:iCs/>
          <w:color w:val="000000"/>
          <w:lang w:val="en-GB"/>
        </w:rPr>
        <w:t xml:space="preserve"> Infect</w:t>
      </w:r>
      <w:r>
        <w:rPr>
          <w:rFonts w:ascii="Calibri" w:eastAsia="Calibri" w:hAnsi="Calibri" w:cs="Calibri"/>
          <w:color w:val="000000"/>
          <w:lang w:val="en-GB"/>
        </w:rPr>
        <w:t xml:space="preserve"> 2012;88(7):552–557. </w:t>
      </w:r>
    </w:p>
    <w:p w14:paraId="2011B469"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Stephens N, O’Sullivan M, Coleman D, Shaw K. </w:t>
      </w:r>
      <w:r>
        <w:rPr>
          <w:rFonts w:ascii="Calibri" w:eastAsia="Calibri" w:hAnsi="Calibri" w:cs="Calibri"/>
          <w:i/>
          <w:iCs/>
          <w:color w:val="000000"/>
          <w:lang w:val="en-GB"/>
        </w:rPr>
        <w:t>Chlamydia trachomatis</w:t>
      </w:r>
      <w:r>
        <w:rPr>
          <w:rFonts w:ascii="Calibri" w:eastAsia="Calibri" w:hAnsi="Calibri" w:cs="Calibri"/>
          <w:color w:val="000000"/>
          <w:lang w:val="en-GB"/>
        </w:rPr>
        <w:t xml:space="preserve"> in Tasmania 2001–2007: rising notification trends</w:t>
      </w:r>
      <w:r>
        <w:rPr>
          <w:rFonts w:ascii="Calibri" w:eastAsia="Calibri" w:hAnsi="Calibri" w:cs="Calibri"/>
          <w:i/>
          <w:iCs/>
          <w:color w:val="000000"/>
          <w:lang w:val="en-GB"/>
        </w:rPr>
        <w:t>.</w:t>
      </w:r>
      <w:r>
        <w:rPr>
          <w:rFonts w:ascii="Calibri" w:eastAsia="Calibri" w:hAnsi="Calibri" w:cs="Calibri"/>
          <w:color w:val="000000"/>
          <w:lang w:val="en-GB"/>
        </w:rPr>
        <w:t xml:space="preserve"> </w:t>
      </w:r>
      <w:proofErr w:type="spellStart"/>
      <w:r>
        <w:rPr>
          <w:rFonts w:ascii="Calibri" w:eastAsia="Calibri" w:hAnsi="Calibri" w:cs="Calibri"/>
          <w:i/>
          <w:iCs/>
          <w:color w:val="000000"/>
          <w:lang w:val="en-GB"/>
        </w:rPr>
        <w:t>Aust</w:t>
      </w:r>
      <w:proofErr w:type="spellEnd"/>
      <w:r>
        <w:rPr>
          <w:rFonts w:ascii="Calibri" w:eastAsia="Calibri" w:hAnsi="Calibri" w:cs="Calibri"/>
          <w:i/>
          <w:iCs/>
          <w:color w:val="000000"/>
          <w:lang w:val="en-GB"/>
        </w:rPr>
        <w:t xml:space="preserve"> N Z J Public Health</w:t>
      </w:r>
      <w:r>
        <w:rPr>
          <w:rFonts w:ascii="Calibri" w:eastAsia="Calibri" w:hAnsi="Calibri" w:cs="Calibri"/>
          <w:color w:val="000000"/>
          <w:lang w:val="en-GB"/>
        </w:rPr>
        <w:t xml:space="preserve"> 2010;34(2):120-125. </w:t>
      </w:r>
    </w:p>
    <w:p w14:paraId="6242D2A5"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National HBV Testing Policy Expert Reference Committee. </w:t>
      </w:r>
      <w:r>
        <w:rPr>
          <w:rFonts w:ascii="Calibri" w:eastAsia="Calibri" w:hAnsi="Calibri" w:cs="Calibri"/>
          <w:i/>
          <w:iCs/>
          <w:color w:val="000000"/>
          <w:lang w:val="en-GB"/>
        </w:rPr>
        <w:t>National hepatitis B testing policy 2015 v1.2</w:t>
      </w:r>
      <w:r>
        <w:rPr>
          <w:rFonts w:ascii="Calibri" w:eastAsia="Calibri" w:hAnsi="Calibri" w:cs="Calibri"/>
          <w:color w:val="000000"/>
          <w:lang w:val="en-GB"/>
        </w:rPr>
        <w:t>. ASHM, Darlinghurst, NSW: Commonwealth of Australia; 2015.</w:t>
      </w:r>
    </w:p>
    <w:p w14:paraId="3897EE1E"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National HCV Testing Policy Expert Reference Committee. </w:t>
      </w:r>
      <w:r>
        <w:rPr>
          <w:rFonts w:ascii="Calibri" w:eastAsia="Calibri" w:hAnsi="Calibri" w:cs="Calibri"/>
          <w:i/>
          <w:iCs/>
          <w:color w:val="000000"/>
          <w:lang w:val="en-GB"/>
        </w:rPr>
        <w:t>National hepatitis C testing policy 2012 v1.1</w:t>
      </w:r>
      <w:r>
        <w:rPr>
          <w:rFonts w:ascii="Calibri" w:eastAsia="Calibri" w:hAnsi="Calibri" w:cs="Calibri"/>
          <w:color w:val="000000"/>
          <w:lang w:val="en-GB"/>
        </w:rPr>
        <w:t>. ASHM, Darlinghurst, NSW: Commonwealth of Australia; 2012.</w:t>
      </w:r>
    </w:p>
    <w:p w14:paraId="3796B723"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Heyman D. </w:t>
      </w:r>
      <w:r>
        <w:rPr>
          <w:rFonts w:ascii="Calibri" w:eastAsia="Calibri" w:hAnsi="Calibri" w:cs="Calibri"/>
          <w:i/>
          <w:iCs/>
          <w:color w:val="000000"/>
          <w:lang w:val="en-GB"/>
        </w:rPr>
        <w:t>Control of Communicable Diseases Manual</w:t>
      </w:r>
      <w:r>
        <w:rPr>
          <w:rFonts w:ascii="Calibri" w:eastAsia="Calibri" w:hAnsi="Calibri" w:cs="Calibri"/>
          <w:color w:val="000000"/>
          <w:lang w:val="en-GB"/>
        </w:rPr>
        <w:t xml:space="preserve">. 20th </w:t>
      </w:r>
      <w:proofErr w:type="spellStart"/>
      <w:r>
        <w:rPr>
          <w:rFonts w:ascii="Calibri" w:eastAsia="Calibri" w:hAnsi="Calibri" w:cs="Calibri"/>
          <w:color w:val="000000"/>
          <w:lang w:val="en-GB"/>
        </w:rPr>
        <w:t>edn</w:t>
      </w:r>
      <w:proofErr w:type="spellEnd"/>
      <w:r>
        <w:rPr>
          <w:rFonts w:ascii="Calibri" w:eastAsia="Calibri" w:hAnsi="Calibri" w:cs="Calibri"/>
          <w:color w:val="000000"/>
          <w:lang w:val="en-GB"/>
        </w:rPr>
        <w:t>. American Public Health Association; 2015.</w:t>
      </w:r>
    </w:p>
    <w:p w14:paraId="2BFC8312"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National Centre for Immunisation Research and Surveillance of Vaccine Preventable Diseases. Hepatitis B Vaccines for Australians: Information for Immunisation Providers.</w:t>
      </w:r>
    </w:p>
    <w:p w14:paraId="113D1CB6"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Australian Childhood Immunisation Register – annualised quarterly reports (December 2015, March 2016, June </w:t>
      </w:r>
      <w:proofErr w:type="gramStart"/>
      <w:r>
        <w:rPr>
          <w:rFonts w:ascii="Calibri" w:eastAsia="Calibri" w:hAnsi="Calibri" w:cs="Calibri"/>
          <w:color w:val="000000"/>
          <w:lang w:val="en-GB"/>
        </w:rPr>
        <w:t>2016</w:t>
      </w:r>
      <w:proofErr w:type="gramEnd"/>
      <w:r>
        <w:rPr>
          <w:rFonts w:ascii="Calibri" w:eastAsia="Calibri" w:hAnsi="Calibri" w:cs="Calibri"/>
          <w:color w:val="000000"/>
          <w:lang w:val="en-GB"/>
        </w:rPr>
        <w:t xml:space="preserve"> and September 2016). 2016. Accessed on 21 November. </w:t>
      </w:r>
    </w:p>
    <w:p w14:paraId="70833D6B" w14:textId="54563CAD" w:rsidR="001047AB" w:rsidRPr="009928CF" w:rsidRDefault="00222B5B" w:rsidP="00222B5B">
      <w:pPr>
        <w:numPr>
          <w:ilvl w:val="0"/>
          <w:numId w:val="49"/>
        </w:numPr>
        <w:autoSpaceDE w:val="0"/>
        <w:autoSpaceDN w:val="0"/>
        <w:adjustRightInd w:val="0"/>
        <w:spacing w:after="170" w:line="288" w:lineRule="auto"/>
        <w:ind w:left="567" w:hanging="567"/>
        <w:textAlignment w:val="center"/>
        <w:divId w:val="2110732990"/>
        <w:rPr>
          <w:rStyle w:val="Hyperlink"/>
          <w:rFonts w:ascii="Calibri" w:eastAsia="Calibri" w:hAnsi="Calibri" w:cs="Calibri"/>
          <w:lang w:val="en-GB"/>
        </w:rPr>
      </w:pPr>
      <w:r>
        <w:rPr>
          <w:rFonts w:ascii="Calibri" w:eastAsia="Calibri" w:hAnsi="Calibri" w:cs="Calibri"/>
          <w:color w:val="000000"/>
          <w:lang w:val="en-GB"/>
        </w:rPr>
        <w:lastRenderedPageBreak/>
        <w:t xml:space="preserve">Gidding HF, </w:t>
      </w:r>
      <w:proofErr w:type="spellStart"/>
      <w:r>
        <w:rPr>
          <w:rFonts w:ascii="Calibri" w:eastAsia="Calibri" w:hAnsi="Calibri" w:cs="Calibri"/>
          <w:color w:val="000000"/>
          <w:lang w:val="en-GB"/>
        </w:rPr>
        <w:t>Warlow</w:t>
      </w:r>
      <w:proofErr w:type="spellEnd"/>
      <w:r>
        <w:rPr>
          <w:rFonts w:ascii="Calibri" w:eastAsia="Calibri" w:hAnsi="Calibri" w:cs="Calibri"/>
          <w:color w:val="000000"/>
          <w:lang w:val="en-GB"/>
        </w:rPr>
        <w:t xml:space="preserve"> M, </w:t>
      </w:r>
      <w:proofErr w:type="spellStart"/>
      <w:r>
        <w:rPr>
          <w:rFonts w:ascii="Calibri" w:eastAsia="Calibri" w:hAnsi="Calibri" w:cs="Calibri"/>
          <w:color w:val="000000"/>
          <w:lang w:val="en-GB"/>
        </w:rPr>
        <w:t>MacIntyre</w:t>
      </w:r>
      <w:proofErr w:type="spellEnd"/>
      <w:r>
        <w:rPr>
          <w:rFonts w:ascii="Calibri" w:eastAsia="Calibri" w:hAnsi="Calibri" w:cs="Calibri"/>
          <w:color w:val="000000"/>
          <w:lang w:val="en-GB"/>
        </w:rPr>
        <w:t xml:space="preserve"> CR, Backhouse J, Gilbert GL, Quinn HE, et al. The impact of a new universal infant and school-based adolescent hepatitis B vaccination program in Australia</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Vaccine</w:t>
      </w:r>
      <w:r>
        <w:rPr>
          <w:rFonts w:ascii="Calibri" w:eastAsia="Calibri" w:hAnsi="Calibri" w:cs="Calibri"/>
          <w:color w:val="000000"/>
          <w:lang w:val="en-GB"/>
        </w:rPr>
        <w:t xml:space="preserve"> 2007;25(51):8637–8641. Available at: </w:t>
      </w:r>
      <w:r w:rsidR="001047AB">
        <w:rPr>
          <w:rFonts w:ascii="Calibri" w:eastAsia="Calibri" w:hAnsi="Calibri" w:cs="Calibri"/>
          <w:lang w:val="en-GB"/>
        </w:rPr>
        <w:fldChar w:fldCharType="begin"/>
      </w:r>
      <w:r w:rsidR="0021477A">
        <w:rPr>
          <w:rFonts w:ascii="Calibri" w:eastAsia="Calibri" w:hAnsi="Calibri" w:cs="Calibri"/>
          <w:lang w:val="en-GB"/>
        </w:rPr>
        <w:instrText>HYPERLINK "http://www.sciencedirect.com/science/article/B6TD4-4PDK2FM-2/2/43b6862bf5e37521a11f7a11f280c7e7" \o "http://www.sciencedirect.com/science/article/B6TD4-4PDK2FM-2/2/43b6862bf5e37521a11f7a11f280c7e7 "</w:instrText>
      </w:r>
      <w:r w:rsidR="0021477A">
        <w:rPr>
          <w:rFonts w:ascii="Calibri" w:eastAsia="Calibri" w:hAnsi="Calibri" w:cs="Calibri"/>
          <w:lang w:val="en-GB"/>
        </w:rPr>
      </w:r>
      <w:r w:rsidR="001047AB">
        <w:rPr>
          <w:rFonts w:ascii="Calibri" w:eastAsia="Calibri" w:hAnsi="Calibri" w:cs="Calibri"/>
          <w:lang w:val="en-GB"/>
        </w:rPr>
        <w:fldChar w:fldCharType="separate"/>
      </w:r>
      <w:r w:rsidR="001047AB" w:rsidRPr="009928CF">
        <w:rPr>
          <w:rStyle w:val="Hyperlink"/>
          <w:rFonts w:ascii="Calibri" w:eastAsia="Calibri" w:hAnsi="Calibri" w:cs="Calibri"/>
          <w:lang w:val="en-GB"/>
        </w:rPr>
        <w:t xml:space="preserve">http://www.sciencedirect.com/science/article/B6TD4-4PDK2FM-2/2/43b6862bf5e37521a11f7a11f280c7e7 </w:t>
      </w:r>
    </w:p>
    <w:p w14:paraId="75D820C3" w14:textId="77777777" w:rsidR="00222B5B" w:rsidRDefault="001047A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lang w:val="en-GB"/>
        </w:rPr>
        <w:fldChar w:fldCharType="end"/>
      </w:r>
      <w:r w:rsidR="00222B5B">
        <w:rPr>
          <w:rFonts w:ascii="Calibri" w:eastAsia="Calibri" w:hAnsi="Calibri" w:cs="Calibri"/>
          <w:color w:val="000000"/>
          <w:lang w:val="en-GB"/>
        </w:rPr>
        <w:t xml:space="preserve">National Centre for Immunisation Research and Surveillance of Vaccine Preventable Diseases. Significant events in hepatitis B vaccination practice in Australia. 2014. Accessed </w:t>
      </w:r>
      <w:proofErr w:type="gramStart"/>
      <w:r w:rsidR="00222B5B">
        <w:rPr>
          <w:rFonts w:ascii="Calibri" w:eastAsia="Calibri" w:hAnsi="Calibri" w:cs="Calibri"/>
          <w:color w:val="000000"/>
          <w:lang w:val="en-GB"/>
        </w:rPr>
        <w:t>on</w:t>
      </w:r>
      <w:proofErr w:type="gramEnd"/>
      <w:r w:rsidR="00222B5B">
        <w:rPr>
          <w:rFonts w:ascii="Calibri" w:eastAsia="Calibri" w:hAnsi="Calibri" w:cs="Calibri"/>
          <w:color w:val="000000"/>
          <w:lang w:val="en-GB"/>
        </w:rPr>
        <w:t xml:space="preserve"> July 2014. Available at: </w:t>
      </w:r>
      <w:r w:rsidRPr="001D6AC9">
        <w:rPr>
          <w:rFonts w:ascii="Calibri" w:eastAsia="Calibri" w:hAnsi="Calibri" w:cs="Calibri"/>
          <w:lang w:val="en-GB"/>
        </w:rPr>
        <w:t>http://ncirs.edu.au/immunisation/history/Hepatitis-B-history-July-2014.pdf</w:t>
      </w:r>
      <w:r w:rsidR="00222B5B">
        <w:rPr>
          <w:rFonts w:ascii="Calibri" w:eastAsia="Calibri" w:hAnsi="Calibri" w:cs="Calibri"/>
          <w:color w:val="000000"/>
          <w:lang w:val="en-GB"/>
        </w:rPr>
        <w:t xml:space="preserve"> </w:t>
      </w:r>
    </w:p>
    <w:p w14:paraId="7F6DD272" w14:textId="77777777" w:rsidR="001047AB" w:rsidRPr="001D6AC9"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lang w:val="en-GB"/>
        </w:rPr>
      </w:pPr>
      <w:proofErr w:type="spellStart"/>
      <w:r>
        <w:rPr>
          <w:rFonts w:ascii="Calibri" w:eastAsia="Calibri" w:hAnsi="Calibri" w:cs="Calibri"/>
          <w:color w:val="000000"/>
          <w:lang w:val="en-GB"/>
        </w:rPr>
        <w:t>Maclachlan</w:t>
      </w:r>
      <w:proofErr w:type="spellEnd"/>
      <w:r>
        <w:rPr>
          <w:rFonts w:ascii="Calibri" w:eastAsia="Calibri" w:hAnsi="Calibri" w:cs="Calibri"/>
          <w:color w:val="000000"/>
          <w:lang w:val="en-GB"/>
        </w:rPr>
        <w:t xml:space="preserve"> JH, </w:t>
      </w:r>
      <w:proofErr w:type="spellStart"/>
      <w:r>
        <w:rPr>
          <w:rFonts w:ascii="Calibri" w:eastAsia="Calibri" w:hAnsi="Calibri" w:cs="Calibri"/>
          <w:color w:val="000000"/>
          <w:lang w:val="en-GB"/>
        </w:rPr>
        <w:t>Towell</w:t>
      </w:r>
      <w:proofErr w:type="spellEnd"/>
      <w:r>
        <w:rPr>
          <w:rFonts w:ascii="Calibri" w:eastAsia="Calibri" w:hAnsi="Calibri" w:cs="Calibri"/>
          <w:color w:val="000000"/>
          <w:lang w:val="en-GB"/>
        </w:rPr>
        <w:t xml:space="preserve"> T, Cowie BC. The burden of chronic hepatitis B virus infection in Australia, 2011</w:t>
      </w:r>
      <w:r>
        <w:rPr>
          <w:rFonts w:ascii="Calibri" w:eastAsia="Calibri" w:hAnsi="Calibri" w:cs="Calibri"/>
          <w:i/>
          <w:iCs/>
          <w:color w:val="000000"/>
          <w:lang w:val="en-GB"/>
        </w:rPr>
        <w:t>.</w:t>
      </w:r>
      <w:r>
        <w:rPr>
          <w:rFonts w:ascii="Calibri" w:eastAsia="Calibri" w:hAnsi="Calibri" w:cs="Calibri"/>
          <w:color w:val="000000"/>
          <w:lang w:val="en-GB"/>
        </w:rPr>
        <w:t xml:space="preserve"> </w:t>
      </w:r>
      <w:proofErr w:type="spellStart"/>
      <w:r>
        <w:rPr>
          <w:rFonts w:ascii="Calibri" w:eastAsia="Calibri" w:hAnsi="Calibri" w:cs="Calibri"/>
          <w:i/>
          <w:iCs/>
          <w:color w:val="000000"/>
          <w:lang w:val="en-GB"/>
        </w:rPr>
        <w:t>Aust</w:t>
      </w:r>
      <w:proofErr w:type="spellEnd"/>
      <w:r>
        <w:rPr>
          <w:rFonts w:ascii="Calibri" w:eastAsia="Calibri" w:hAnsi="Calibri" w:cs="Calibri"/>
          <w:i/>
          <w:iCs/>
          <w:color w:val="000000"/>
          <w:lang w:val="en-GB"/>
        </w:rPr>
        <w:t xml:space="preserve"> N Z J Public Health</w:t>
      </w:r>
      <w:r>
        <w:rPr>
          <w:rFonts w:ascii="Calibri" w:eastAsia="Calibri" w:hAnsi="Calibri" w:cs="Calibri"/>
          <w:color w:val="000000"/>
          <w:lang w:val="en-GB"/>
        </w:rPr>
        <w:t xml:space="preserve"> 2013;37(5):416-422. Available at: </w:t>
      </w:r>
      <w:r w:rsidR="001047AB" w:rsidRPr="001D6AC9">
        <w:rPr>
          <w:rFonts w:ascii="Calibri" w:eastAsia="Calibri" w:hAnsi="Calibri" w:cs="Calibri"/>
          <w:lang w:val="en-GB"/>
        </w:rPr>
        <w:t xml:space="preserve">http://onlinelibrary.wiley.com/doi/10.1111/1753-6405.12049/pdf </w:t>
      </w:r>
    </w:p>
    <w:p w14:paraId="332F5820" w14:textId="66AB6ED3"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Naidu L, Chiu C, </w:t>
      </w:r>
      <w:proofErr w:type="spellStart"/>
      <w:r>
        <w:rPr>
          <w:rFonts w:ascii="Calibri" w:eastAsia="Calibri" w:hAnsi="Calibri" w:cs="Calibri"/>
          <w:color w:val="000000"/>
          <w:lang w:val="en-GB"/>
        </w:rPr>
        <w:t>Habig</w:t>
      </w:r>
      <w:proofErr w:type="spellEnd"/>
      <w:r>
        <w:rPr>
          <w:rFonts w:ascii="Calibri" w:eastAsia="Calibri" w:hAnsi="Calibri" w:cs="Calibri"/>
          <w:color w:val="000000"/>
          <w:lang w:val="en-GB"/>
        </w:rPr>
        <w:t xml:space="preserve"> A, </w:t>
      </w:r>
      <w:proofErr w:type="spellStart"/>
      <w:r>
        <w:rPr>
          <w:rFonts w:ascii="Calibri" w:eastAsia="Calibri" w:hAnsi="Calibri" w:cs="Calibri"/>
          <w:color w:val="000000"/>
          <w:lang w:val="en-GB"/>
        </w:rPr>
        <w:t>Lowbridge</w:t>
      </w:r>
      <w:proofErr w:type="spellEnd"/>
      <w:r>
        <w:rPr>
          <w:rFonts w:ascii="Calibri" w:eastAsia="Calibri" w:hAnsi="Calibri" w:cs="Calibri"/>
          <w:color w:val="000000"/>
          <w:lang w:val="en-GB"/>
        </w:rPr>
        <w:t xml:space="preserve"> C, Jayasinghe S, Wang H, et al. Vaccine preventable diseases and vaccination coverage in Aboriginal and Torres Strait Islander people, Australia 2006–2010</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Commun Dis Intell</w:t>
      </w:r>
      <w:r>
        <w:rPr>
          <w:rFonts w:ascii="Calibri" w:eastAsia="Calibri" w:hAnsi="Calibri" w:cs="Calibri"/>
          <w:color w:val="000000"/>
          <w:lang w:val="en-GB"/>
        </w:rPr>
        <w:t xml:space="preserve"> 2013;37(</w:t>
      </w:r>
      <w:proofErr w:type="spellStart"/>
      <w:r>
        <w:rPr>
          <w:rFonts w:ascii="Calibri" w:eastAsia="Calibri" w:hAnsi="Calibri" w:cs="Calibri"/>
          <w:color w:val="000000"/>
          <w:lang w:val="en-GB"/>
        </w:rPr>
        <w:t>Suppl</w:t>
      </w:r>
      <w:proofErr w:type="spellEnd"/>
      <w:proofErr w:type="gramStart"/>
      <w:r>
        <w:rPr>
          <w:rFonts w:ascii="Calibri" w:eastAsia="Calibri" w:hAnsi="Calibri" w:cs="Calibri"/>
          <w:color w:val="000000"/>
          <w:lang w:val="en-GB"/>
        </w:rPr>
        <w:t>):S</w:t>
      </w:r>
      <w:proofErr w:type="gramEnd"/>
      <w:r>
        <w:rPr>
          <w:rFonts w:ascii="Calibri" w:eastAsia="Calibri" w:hAnsi="Calibri" w:cs="Calibri"/>
          <w:color w:val="000000"/>
          <w:lang w:val="en-GB"/>
        </w:rPr>
        <w:t xml:space="preserve">1–S95. Available at: </w:t>
      </w:r>
      <w:hyperlink r:id="rId145" w:tooltip="http://www.ncbi.nlm.nih.gov/pubmed/24410428" w:history="1">
        <w:r w:rsidR="001047AB" w:rsidRPr="009928CF">
          <w:rPr>
            <w:rStyle w:val="Hyperlink"/>
            <w:rFonts w:ascii="Calibri" w:eastAsia="Calibri" w:hAnsi="Calibri" w:cs="Calibri"/>
            <w:lang w:val="en-GB"/>
          </w:rPr>
          <w:t>http://www.ncbi.nlm.nih.gov/pubmed/24410428</w:t>
        </w:r>
      </w:hyperlink>
      <w:r>
        <w:rPr>
          <w:rFonts w:ascii="Calibri" w:eastAsia="Calibri" w:hAnsi="Calibri" w:cs="Calibri"/>
          <w:color w:val="000000"/>
          <w:lang w:val="en-GB"/>
        </w:rPr>
        <w:t xml:space="preserve"> </w:t>
      </w:r>
    </w:p>
    <w:p w14:paraId="3A548F14" w14:textId="77777777" w:rsidR="001047AB" w:rsidRPr="001D6AC9"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lang w:val="en-GB"/>
        </w:rPr>
      </w:pPr>
      <w:r>
        <w:rPr>
          <w:rFonts w:ascii="Calibri" w:eastAsia="Calibri" w:hAnsi="Calibri" w:cs="Calibri"/>
          <w:color w:val="000000"/>
          <w:lang w:val="en-GB"/>
        </w:rPr>
        <w:t xml:space="preserve">National Centre for Immunisation Research and Surveillance of Vaccine Preventable Diseases. Hepatitis B vaccines for Australians, NCIRS fact sheet: June 2012. 2012. Accessed on March 2015. Available at: </w:t>
      </w:r>
      <w:r w:rsidR="001047AB" w:rsidRPr="001D6AC9">
        <w:rPr>
          <w:rFonts w:ascii="Calibri" w:eastAsia="Calibri" w:hAnsi="Calibri" w:cs="Calibri"/>
          <w:lang w:val="en-GB"/>
        </w:rPr>
        <w:t xml:space="preserve">http://www.ncirs.edu.au/immunisation/fact-sheets/hepatitis-B-fact-sheet.pdf </w:t>
      </w:r>
    </w:p>
    <w:p w14:paraId="5901C8BB"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Australian Technical Advisory Group on Immunisation. </w:t>
      </w:r>
      <w:r>
        <w:rPr>
          <w:rFonts w:ascii="Calibri" w:eastAsia="Calibri" w:hAnsi="Calibri" w:cs="Calibri"/>
          <w:i/>
          <w:iCs/>
          <w:color w:val="000000"/>
          <w:lang w:val="en-GB"/>
        </w:rPr>
        <w:t>The Australian Immunisation Handbook</w:t>
      </w:r>
      <w:r>
        <w:rPr>
          <w:rFonts w:ascii="Calibri" w:eastAsia="Calibri" w:hAnsi="Calibri" w:cs="Calibri"/>
          <w:color w:val="000000"/>
          <w:lang w:val="en-GB"/>
        </w:rPr>
        <w:t xml:space="preserve">. 10th </w:t>
      </w:r>
      <w:proofErr w:type="spellStart"/>
      <w:r>
        <w:rPr>
          <w:rFonts w:ascii="Calibri" w:eastAsia="Calibri" w:hAnsi="Calibri" w:cs="Calibri"/>
          <w:color w:val="000000"/>
          <w:lang w:val="en-GB"/>
        </w:rPr>
        <w:t>edn</w:t>
      </w:r>
      <w:proofErr w:type="spellEnd"/>
      <w:r>
        <w:rPr>
          <w:rFonts w:ascii="Calibri" w:eastAsia="Calibri" w:hAnsi="Calibri" w:cs="Calibri"/>
          <w:color w:val="000000"/>
          <w:lang w:val="en-GB"/>
        </w:rPr>
        <w:t>. Canberra, Australia: National Health and Medical Research Council and the Department of Health; 2013.</w:t>
      </w:r>
    </w:p>
    <w:p w14:paraId="347E9F4D"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Australian </w:t>
      </w:r>
      <w:proofErr w:type="spellStart"/>
      <w:r>
        <w:rPr>
          <w:rFonts w:ascii="Calibri" w:eastAsia="Calibri" w:hAnsi="Calibri" w:cs="Calibri"/>
          <w:color w:val="000000"/>
          <w:lang w:val="en-GB"/>
        </w:rPr>
        <w:t>insititute</w:t>
      </w:r>
      <w:proofErr w:type="spellEnd"/>
      <w:r>
        <w:rPr>
          <w:rFonts w:ascii="Calibri" w:eastAsia="Calibri" w:hAnsi="Calibri" w:cs="Calibri"/>
          <w:color w:val="000000"/>
          <w:lang w:val="en-GB"/>
        </w:rPr>
        <w:t xml:space="preserve"> of Health and Welfare. National Drug Strategy Household Survey detailed report 2013. Canberra: AIHW; 2014.</w:t>
      </w:r>
    </w:p>
    <w:p w14:paraId="78B21FFD"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Australian </w:t>
      </w:r>
      <w:proofErr w:type="spellStart"/>
      <w:r>
        <w:rPr>
          <w:rFonts w:ascii="Calibri" w:eastAsia="Calibri" w:hAnsi="Calibri" w:cs="Calibri"/>
          <w:color w:val="000000"/>
          <w:lang w:val="en-GB"/>
        </w:rPr>
        <w:t>insititute</w:t>
      </w:r>
      <w:proofErr w:type="spellEnd"/>
      <w:r>
        <w:rPr>
          <w:rFonts w:ascii="Calibri" w:eastAsia="Calibri" w:hAnsi="Calibri" w:cs="Calibri"/>
          <w:color w:val="000000"/>
          <w:lang w:val="en-GB"/>
        </w:rPr>
        <w:t xml:space="preserve"> of Health and Welfare. The health of Australia’s prisoners 2015. Canberra: AIHW; 2015. </w:t>
      </w:r>
    </w:p>
    <w:p w14:paraId="64823700"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Butler TG, Callander D, Simpson M. National Prison Entrants’ Bloodborne Virus Survey Report 2004, 2007, 2010 and 2013. Kirby Institute (UNSW Australia); 2015. </w:t>
      </w:r>
    </w:p>
    <w:p w14:paraId="7284F235" w14:textId="0D7D02D6"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Razali K, Thein HH, Bell J, Cooper-Stanbury M, Dolan K, Dore G, et al. Modelling the hepatitis C virus epidemic in Australia</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Drug Alcohol Depend</w:t>
      </w:r>
      <w:r>
        <w:rPr>
          <w:rFonts w:ascii="Calibri" w:eastAsia="Calibri" w:hAnsi="Calibri" w:cs="Calibri"/>
          <w:color w:val="000000"/>
          <w:lang w:val="en-GB"/>
        </w:rPr>
        <w:t xml:space="preserve"> 2007;91(2–3):228–235. Available at: </w:t>
      </w:r>
      <w:hyperlink r:id="rId146" w:tooltip="http://www.sciencedirect.com/science/article/B6T63-4P9T9DN-1/2/c47a08209436db04e11be1d03794a93f" w:history="1">
        <w:r w:rsidR="001047AB" w:rsidRPr="009928CF">
          <w:rPr>
            <w:rStyle w:val="Hyperlink"/>
            <w:rFonts w:ascii="Calibri" w:eastAsia="Calibri" w:hAnsi="Calibri" w:cs="Calibri"/>
            <w:lang w:val="en-GB"/>
          </w:rPr>
          <w:t>http://www.sciencedirect.com/science/article/B6T63-4P9T9DN-1/2/c47a08209436db04e11be1d03794a93f</w:t>
        </w:r>
      </w:hyperlink>
      <w:r>
        <w:rPr>
          <w:rFonts w:ascii="Calibri" w:eastAsia="Calibri" w:hAnsi="Calibri" w:cs="Calibri"/>
          <w:color w:val="000000"/>
          <w:lang w:val="en-GB"/>
        </w:rPr>
        <w:t xml:space="preserve"> </w:t>
      </w:r>
    </w:p>
    <w:p w14:paraId="714CDB14"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proofErr w:type="spellStart"/>
      <w:r>
        <w:rPr>
          <w:rFonts w:ascii="Calibri" w:eastAsia="Calibri" w:hAnsi="Calibri" w:cs="Calibri"/>
          <w:color w:val="000000"/>
          <w:lang w:val="en-GB"/>
        </w:rPr>
        <w:t>OzFoodNet</w:t>
      </w:r>
      <w:proofErr w:type="spellEnd"/>
      <w:r>
        <w:rPr>
          <w:rFonts w:ascii="Calibri" w:eastAsia="Calibri" w:hAnsi="Calibri" w:cs="Calibri"/>
          <w:color w:val="000000"/>
          <w:lang w:val="en-GB"/>
        </w:rPr>
        <w:t xml:space="preserve"> Working Group. Monitoring the incidence and causes of diseases potentially transmitted by food in Australia: Annual report of the </w:t>
      </w:r>
      <w:proofErr w:type="spellStart"/>
      <w:r>
        <w:rPr>
          <w:rFonts w:ascii="Calibri" w:eastAsia="Calibri" w:hAnsi="Calibri" w:cs="Calibri"/>
          <w:color w:val="000000"/>
          <w:lang w:val="en-GB"/>
        </w:rPr>
        <w:t>OzFoodNet</w:t>
      </w:r>
      <w:proofErr w:type="spellEnd"/>
      <w:r>
        <w:rPr>
          <w:rFonts w:ascii="Calibri" w:eastAsia="Calibri" w:hAnsi="Calibri" w:cs="Calibri"/>
          <w:color w:val="000000"/>
          <w:lang w:val="en-GB"/>
        </w:rPr>
        <w:t xml:space="preserve"> Network, 2010</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Commun Dis Intell</w:t>
      </w:r>
      <w:r>
        <w:rPr>
          <w:rFonts w:ascii="Calibri" w:eastAsia="Calibri" w:hAnsi="Calibri" w:cs="Calibri"/>
          <w:color w:val="000000"/>
          <w:lang w:val="en-GB"/>
        </w:rPr>
        <w:t xml:space="preserve"> 2012;36(3</w:t>
      </w:r>
      <w:proofErr w:type="gramStart"/>
      <w:r>
        <w:rPr>
          <w:rFonts w:ascii="Calibri" w:eastAsia="Calibri" w:hAnsi="Calibri" w:cs="Calibri"/>
          <w:color w:val="000000"/>
          <w:lang w:val="en-GB"/>
        </w:rPr>
        <w:t>):E</w:t>
      </w:r>
      <w:proofErr w:type="gramEnd"/>
      <w:r>
        <w:rPr>
          <w:rFonts w:ascii="Calibri" w:eastAsia="Calibri" w:hAnsi="Calibri" w:cs="Calibri"/>
          <w:color w:val="000000"/>
          <w:lang w:val="en-GB"/>
        </w:rPr>
        <w:t>213–E241.</w:t>
      </w:r>
    </w:p>
    <w:p w14:paraId="2C7D89F9" w14:textId="39B63457" w:rsidR="001047AB" w:rsidRPr="009928CF" w:rsidRDefault="00222B5B" w:rsidP="00222B5B">
      <w:pPr>
        <w:numPr>
          <w:ilvl w:val="0"/>
          <w:numId w:val="49"/>
        </w:numPr>
        <w:autoSpaceDE w:val="0"/>
        <w:autoSpaceDN w:val="0"/>
        <w:adjustRightInd w:val="0"/>
        <w:spacing w:after="170" w:line="288" w:lineRule="auto"/>
        <w:ind w:left="567" w:hanging="567"/>
        <w:textAlignment w:val="center"/>
        <w:divId w:val="2110732990"/>
        <w:rPr>
          <w:rStyle w:val="Hyperlink"/>
          <w:rFonts w:ascii="Calibri" w:eastAsia="Calibri" w:hAnsi="Calibri" w:cs="Calibri"/>
          <w:lang w:val="en-GB"/>
        </w:rPr>
      </w:pPr>
      <w:proofErr w:type="spellStart"/>
      <w:r>
        <w:rPr>
          <w:rFonts w:ascii="Calibri" w:eastAsia="Calibri" w:hAnsi="Calibri" w:cs="Calibri"/>
          <w:color w:val="000000"/>
          <w:lang w:val="en-GB"/>
        </w:rPr>
        <w:t>Donnan</w:t>
      </w:r>
      <w:proofErr w:type="spellEnd"/>
      <w:r>
        <w:rPr>
          <w:rFonts w:ascii="Calibri" w:eastAsia="Calibri" w:hAnsi="Calibri" w:cs="Calibri"/>
          <w:color w:val="000000"/>
          <w:lang w:val="en-GB"/>
        </w:rPr>
        <w:t xml:space="preserve"> EJ, Fielding JE, Gregory JE, Lalor K, Rowe S, Goldsmith P, et al. A multistate outbreak of hepatitis A associated with semidried tomatoes in Australia, 2009</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Clin Infect Dis</w:t>
      </w:r>
      <w:r>
        <w:rPr>
          <w:rFonts w:ascii="Calibri" w:eastAsia="Calibri" w:hAnsi="Calibri" w:cs="Calibri"/>
          <w:color w:val="000000"/>
          <w:lang w:val="en-GB"/>
        </w:rPr>
        <w:t xml:space="preserve"> 2012;54(6):775–781. Available at: </w:t>
      </w:r>
      <w:r w:rsidR="001047AB">
        <w:rPr>
          <w:rFonts w:ascii="Calibri" w:eastAsia="Calibri" w:hAnsi="Calibri" w:cs="Calibri"/>
          <w:lang w:val="en-GB"/>
        </w:rPr>
        <w:fldChar w:fldCharType="begin"/>
      </w:r>
      <w:r w:rsidR="0021477A">
        <w:rPr>
          <w:rFonts w:ascii="Calibri" w:eastAsia="Calibri" w:hAnsi="Calibri" w:cs="Calibri"/>
          <w:lang w:val="en-GB"/>
        </w:rPr>
        <w:instrText>HYPERLINK "http://www.ncbi.nlm.nih.gov/pubmed/22238166" \o "http://www.ncbi.nlm.nih.gov/pubmed/22238166 "</w:instrText>
      </w:r>
      <w:r w:rsidR="0021477A">
        <w:rPr>
          <w:rFonts w:ascii="Calibri" w:eastAsia="Calibri" w:hAnsi="Calibri" w:cs="Calibri"/>
          <w:lang w:val="en-GB"/>
        </w:rPr>
      </w:r>
      <w:r w:rsidR="001047AB">
        <w:rPr>
          <w:rFonts w:ascii="Calibri" w:eastAsia="Calibri" w:hAnsi="Calibri" w:cs="Calibri"/>
          <w:lang w:val="en-GB"/>
        </w:rPr>
        <w:fldChar w:fldCharType="separate"/>
      </w:r>
      <w:r w:rsidR="001047AB" w:rsidRPr="009928CF">
        <w:rPr>
          <w:rStyle w:val="Hyperlink"/>
          <w:rFonts w:ascii="Calibri" w:eastAsia="Calibri" w:hAnsi="Calibri" w:cs="Calibri"/>
          <w:lang w:val="en-GB"/>
        </w:rPr>
        <w:t xml:space="preserve">http://www.ncbi.nlm.nih.gov/pubmed/22238166 </w:t>
      </w:r>
    </w:p>
    <w:p w14:paraId="6722EB19" w14:textId="77777777" w:rsidR="00222B5B" w:rsidRDefault="001047A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lang w:val="en-GB"/>
        </w:rPr>
        <w:fldChar w:fldCharType="end"/>
      </w:r>
      <w:r w:rsidR="00222B5B">
        <w:rPr>
          <w:rFonts w:ascii="Calibri" w:eastAsia="Calibri" w:hAnsi="Calibri" w:cs="Calibri"/>
          <w:color w:val="000000"/>
          <w:lang w:val="en-GB"/>
        </w:rPr>
        <w:t xml:space="preserve">ATAGI. </w:t>
      </w:r>
      <w:r w:rsidR="00222B5B">
        <w:rPr>
          <w:rFonts w:ascii="Calibri" w:eastAsia="Calibri" w:hAnsi="Calibri" w:cs="Calibri"/>
          <w:i/>
          <w:iCs/>
          <w:color w:val="000000"/>
          <w:lang w:val="en-GB"/>
        </w:rPr>
        <w:t>The Australian Immunisation Handbook</w:t>
      </w:r>
      <w:r w:rsidR="00222B5B">
        <w:rPr>
          <w:rFonts w:ascii="Calibri" w:eastAsia="Calibri" w:hAnsi="Calibri" w:cs="Calibri"/>
          <w:color w:val="000000"/>
          <w:lang w:val="en-GB"/>
        </w:rPr>
        <w:t xml:space="preserve">. 10th </w:t>
      </w:r>
      <w:proofErr w:type="spellStart"/>
      <w:r w:rsidR="00222B5B">
        <w:rPr>
          <w:rFonts w:ascii="Calibri" w:eastAsia="Calibri" w:hAnsi="Calibri" w:cs="Calibri"/>
          <w:color w:val="000000"/>
          <w:lang w:val="en-GB"/>
        </w:rPr>
        <w:t>edn</w:t>
      </w:r>
      <w:proofErr w:type="spellEnd"/>
      <w:r w:rsidR="00222B5B">
        <w:rPr>
          <w:rFonts w:ascii="Calibri" w:eastAsia="Calibri" w:hAnsi="Calibri" w:cs="Calibri"/>
          <w:color w:val="000000"/>
          <w:lang w:val="en-GB"/>
        </w:rPr>
        <w:t>. Canberra: Commonwealth of Australia; 2013.</w:t>
      </w:r>
    </w:p>
    <w:p w14:paraId="41A20F86"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Monitoring the incidence and causes of diseases potentially transmitted by food in Australia: annual report of the </w:t>
      </w:r>
      <w:proofErr w:type="spellStart"/>
      <w:r>
        <w:rPr>
          <w:rFonts w:ascii="Calibri" w:eastAsia="Calibri" w:hAnsi="Calibri" w:cs="Calibri"/>
          <w:color w:val="000000"/>
          <w:lang w:val="en-GB"/>
        </w:rPr>
        <w:t>OzFoodNet</w:t>
      </w:r>
      <w:proofErr w:type="spellEnd"/>
      <w:r>
        <w:rPr>
          <w:rFonts w:ascii="Calibri" w:eastAsia="Calibri" w:hAnsi="Calibri" w:cs="Calibri"/>
          <w:color w:val="000000"/>
          <w:lang w:val="en-GB"/>
        </w:rPr>
        <w:t xml:space="preserve"> Network, 2009</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Commun Dis Intell Q Rep</w:t>
      </w:r>
      <w:r>
        <w:rPr>
          <w:rFonts w:ascii="Calibri" w:eastAsia="Calibri" w:hAnsi="Calibri" w:cs="Calibri"/>
          <w:color w:val="000000"/>
          <w:lang w:val="en-GB"/>
        </w:rPr>
        <w:t xml:space="preserve"> 2010;34(4):396–426. </w:t>
      </w:r>
    </w:p>
    <w:p w14:paraId="013A61AC" w14:textId="76357605"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Lamont RF, Sobel J, </w:t>
      </w:r>
      <w:proofErr w:type="spellStart"/>
      <w:r>
        <w:rPr>
          <w:rFonts w:ascii="Calibri" w:eastAsia="Calibri" w:hAnsi="Calibri" w:cs="Calibri"/>
          <w:color w:val="000000"/>
          <w:lang w:val="en-GB"/>
        </w:rPr>
        <w:t>Mazaki-Tovi</w:t>
      </w:r>
      <w:proofErr w:type="spellEnd"/>
      <w:r>
        <w:rPr>
          <w:rFonts w:ascii="Calibri" w:eastAsia="Calibri" w:hAnsi="Calibri" w:cs="Calibri"/>
          <w:color w:val="000000"/>
          <w:lang w:val="en-GB"/>
        </w:rPr>
        <w:t xml:space="preserve"> S, </w:t>
      </w:r>
      <w:proofErr w:type="spellStart"/>
      <w:r>
        <w:rPr>
          <w:rFonts w:ascii="Calibri" w:eastAsia="Calibri" w:hAnsi="Calibri" w:cs="Calibri"/>
          <w:color w:val="000000"/>
          <w:lang w:val="en-GB"/>
        </w:rPr>
        <w:t>Kusanovic</w:t>
      </w:r>
      <w:proofErr w:type="spellEnd"/>
      <w:r>
        <w:rPr>
          <w:rFonts w:ascii="Calibri" w:eastAsia="Calibri" w:hAnsi="Calibri" w:cs="Calibri"/>
          <w:color w:val="000000"/>
          <w:lang w:val="en-GB"/>
        </w:rPr>
        <w:t xml:space="preserve"> JP, </w:t>
      </w:r>
      <w:proofErr w:type="spellStart"/>
      <w:r>
        <w:rPr>
          <w:rFonts w:ascii="Calibri" w:eastAsia="Calibri" w:hAnsi="Calibri" w:cs="Calibri"/>
          <w:color w:val="000000"/>
          <w:lang w:val="en-GB"/>
        </w:rPr>
        <w:t>Vaisbuch</w:t>
      </w:r>
      <w:proofErr w:type="spellEnd"/>
      <w:r>
        <w:rPr>
          <w:rFonts w:ascii="Calibri" w:eastAsia="Calibri" w:hAnsi="Calibri" w:cs="Calibri"/>
          <w:color w:val="000000"/>
          <w:lang w:val="en-GB"/>
        </w:rPr>
        <w:t xml:space="preserve"> E, Kim SK, et al. Listeriosis in human pregnancy: a systematic review</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J Perinat Med</w:t>
      </w:r>
      <w:r>
        <w:rPr>
          <w:rFonts w:ascii="Calibri" w:eastAsia="Calibri" w:hAnsi="Calibri" w:cs="Calibri"/>
          <w:color w:val="000000"/>
          <w:lang w:val="en-GB"/>
        </w:rPr>
        <w:t xml:space="preserve"> 2011;39(3):227-236. </w:t>
      </w:r>
      <w:hyperlink r:id="rId147" w:tooltip="http://www.ncbi.nlm.nih.gov/pubmed/21517700" w:history="1">
        <w:r w:rsidR="001047AB" w:rsidRPr="009928CF">
          <w:rPr>
            <w:rStyle w:val="Hyperlink"/>
            <w:rFonts w:ascii="Calibri" w:eastAsia="Calibri" w:hAnsi="Calibri" w:cs="Calibri"/>
            <w:lang w:val="en-GB"/>
          </w:rPr>
          <w:t>http://www.ncbi.nlm.nih.gov/pubmed/21517700</w:t>
        </w:r>
      </w:hyperlink>
      <w:r>
        <w:rPr>
          <w:rFonts w:ascii="Calibri" w:eastAsia="Calibri" w:hAnsi="Calibri" w:cs="Calibri"/>
          <w:color w:val="000000"/>
          <w:lang w:val="en-GB"/>
        </w:rPr>
        <w:t xml:space="preserve"> </w:t>
      </w:r>
    </w:p>
    <w:p w14:paraId="37C1BCBB"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lastRenderedPageBreak/>
        <w:t xml:space="preserve">van den </w:t>
      </w:r>
      <w:proofErr w:type="spellStart"/>
      <w:r>
        <w:rPr>
          <w:rFonts w:ascii="Calibri" w:eastAsia="Calibri" w:hAnsi="Calibri" w:cs="Calibri"/>
          <w:color w:val="000000"/>
          <w:lang w:val="en-GB"/>
        </w:rPr>
        <w:t>Beld</w:t>
      </w:r>
      <w:proofErr w:type="spellEnd"/>
      <w:r>
        <w:rPr>
          <w:rFonts w:ascii="Calibri" w:eastAsia="Calibri" w:hAnsi="Calibri" w:cs="Calibri"/>
          <w:color w:val="000000"/>
          <w:lang w:val="en-GB"/>
        </w:rPr>
        <w:t xml:space="preserve"> MJ, </w:t>
      </w:r>
      <w:proofErr w:type="spellStart"/>
      <w:r>
        <w:rPr>
          <w:rFonts w:ascii="Calibri" w:eastAsia="Calibri" w:hAnsi="Calibri" w:cs="Calibri"/>
          <w:color w:val="000000"/>
          <w:lang w:val="en-GB"/>
        </w:rPr>
        <w:t>Reubsaet</w:t>
      </w:r>
      <w:proofErr w:type="spellEnd"/>
      <w:r>
        <w:rPr>
          <w:rFonts w:ascii="Calibri" w:eastAsia="Calibri" w:hAnsi="Calibri" w:cs="Calibri"/>
          <w:color w:val="000000"/>
          <w:lang w:val="en-GB"/>
        </w:rPr>
        <w:t xml:space="preserve"> FA. Differentiation between Shigella, </w:t>
      </w:r>
      <w:proofErr w:type="spellStart"/>
      <w:r>
        <w:rPr>
          <w:rFonts w:ascii="Calibri" w:eastAsia="Calibri" w:hAnsi="Calibri" w:cs="Calibri"/>
          <w:color w:val="000000"/>
          <w:lang w:val="en-GB"/>
        </w:rPr>
        <w:t>enteroinvasive</w:t>
      </w:r>
      <w:proofErr w:type="spellEnd"/>
      <w:r>
        <w:rPr>
          <w:rFonts w:ascii="Calibri" w:eastAsia="Calibri" w:hAnsi="Calibri" w:cs="Calibri"/>
          <w:color w:val="000000"/>
          <w:lang w:val="en-GB"/>
        </w:rPr>
        <w:t xml:space="preserve"> </w:t>
      </w:r>
      <w:r>
        <w:rPr>
          <w:rFonts w:ascii="Calibri" w:eastAsia="Calibri" w:hAnsi="Calibri" w:cs="Calibri"/>
          <w:i/>
          <w:iCs/>
          <w:color w:val="000000"/>
          <w:lang w:val="en-GB"/>
        </w:rPr>
        <w:t>Escherichia coli</w:t>
      </w:r>
      <w:r>
        <w:rPr>
          <w:rFonts w:ascii="Calibri" w:eastAsia="Calibri" w:hAnsi="Calibri" w:cs="Calibri"/>
          <w:color w:val="000000"/>
          <w:lang w:val="en-GB"/>
        </w:rPr>
        <w:t xml:space="preserve"> (EIEC) and </w:t>
      </w:r>
      <w:proofErr w:type="spellStart"/>
      <w:r>
        <w:rPr>
          <w:rFonts w:ascii="Calibri" w:eastAsia="Calibri" w:hAnsi="Calibri" w:cs="Calibri"/>
          <w:color w:val="000000"/>
          <w:lang w:val="en-GB"/>
        </w:rPr>
        <w:t>noninvasive</w:t>
      </w:r>
      <w:proofErr w:type="spellEnd"/>
      <w:r>
        <w:rPr>
          <w:rFonts w:ascii="Calibri" w:eastAsia="Calibri" w:hAnsi="Calibri" w:cs="Calibri"/>
          <w:color w:val="000000"/>
          <w:lang w:val="en-GB"/>
        </w:rPr>
        <w:t xml:space="preserve"> </w:t>
      </w:r>
      <w:r>
        <w:rPr>
          <w:rFonts w:ascii="Calibri" w:eastAsia="Calibri" w:hAnsi="Calibri" w:cs="Calibri"/>
          <w:i/>
          <w:iCs/>
          <w:color w:val="000000"/>
          <w:lang w:val="en-GB"/>
        </w:rPr>
        <w:t>Escherichia coli.</w:t>
      </w:r>
      <w:r>
        <w:rPr>
          <w:rFonts w:ascii="Calibri" w:eastAsia="Calibri" w:hAnsi="Calibri" w:cs="Calibri"/>
          <w:color w:val="000000"/>
          <w:lang w:val="en-GB"/>
        </w:rPr>
        <w:t xml:space="preserve"> (1435–4373). </w:t>
      </w:r>
    </w:p>
    <w:p w14:paraId="1E722316"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proofErr w:type="spellStart"/>
      <w:r>
        <w:rPr>
          <w:rFonts w:ascii="Calibri" w:eastAsia="Calibri" w:hAnsi="Calibri" w:cs="Calibri"/>
          <w:color w:val="000000"/>
          <w:lang w:val="en-GB"/>
        </w:rPr>
        <w:t>Cumpston</w:t>
      </w:r>
      <w:proofErr w:type="spellEnd"/>
      <w:r>
        <w:rPr>
          <w:rFonts w:ascii="Calibri" w:eastAsia="Calibri" w:hAnsi="Calibri" w:cs="Calibri"/>
          <w:color w:val="000000"/>
          <w:lang w:val="en-GB"/>
        </w:rPr>
        <w:t xml:space="preserve"> JHL. </w:t>
      </w:r>
      <w:r>
        <w:rPr>
          <w:rFonts w:ascii="Calibri" w:eastAsia="Calibri" w:hAnsi="Calibri" w:cs="Calibri"/>
          <w:i/>
          <w:iCs/>
          <w:color w:val="000000"/>
          <w:lang w:val="en-GB"/>
        </w:rPr>
        <w:t>Health and disease in Australia.</w:t>
      </w:r>
      <w:r>
        <w:rPr>
          <w:rFonts w:ascii="Calibri" w:eastAsia="Calibri" w:hAnsi="Calibri" w:cs="Calibri"/>
          <w:color w:val="000000"/>
          <w:lang w:val="en-GB"/>
        </w:rPr>
        <w:t xml:space="preserve"> Canberra: Australian Government Publishing Service; 1989.</w:t>
      </w:r>
    </w:p>
    <w:p w14:paraId="1BB8B712"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Grattan-Smith PJ ORW, Ellis PS, O’Flaherty SJ, McIntyre PB, Barnes CJ. Rabies. A second Australian case with a long incubation period. </w:t>
      </w:r>
      <w:r>
        <w:rPr>
          <w:rFonts w:ascii="Calibri" w:eastAsia="Calibri" w:hAnsi="Calibri" w:cs="Calibri"/>
          <w:i/>
          <w:iCs/>
          <w:color w:val="000000"/>
          <w:lang w:val="en-GB"/>
        </w:rPr>
        <w:t xml:space="preserve">Med J </w:t>
      </w:r>
      <w:proofErr w:type="spellStart"/>
      <w:r>
        <w:rPr>
          <w:rFonts w:ascii="Calibri" w:eastAsia="Calibri" w:hAnsi="Calibri" w:cs="Calibri"/>
          <w:i/>
          <w:iCs/>
          <w:color w:val="000000"/>
          <w:lang w:val="en-GB"/>
        </w:rPr>
        <w:t>Aust</w:t>
      </w:r>
      <w:proofErr w:type="spellEnd"/>
      <w:r>
        <w:rPr>
          <w:rFonts w:ascii="Calibri" w:eastAsia="Calibri" w:hAnsi="Calibri" w:cs="Calibri"/>
          <w:color w:val="000000"/>
          <w:lang w:val="en-GB"/>
        </w:rPr>
        <w:t xml:space="preserve"> 1992;156(9):651–654. </w:t>
      </w:r>
    </w:p>
    <w:p w14:paraId="1853EA3C"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proofErr w:type="spellStart"/>
      <w:r>
        <w:rPr>
          <w:rFonts w:ascii="Calibri" w:eastAsia="Calibri" w:hAnsi="Calibri" w:cs="Calibri"/>
          <w:color w:val="000000"/>
          <w:lang w:val="en-GB"/>
        </w:rPr>
        <w:t>Fenner</w:t>
      </w:r>
      <w:proofErr w:type="spellEnd"/>
      <w:r>
        <w:rPr>
          <w:rFonts w:ascii="Calibri" w:eastAsia="Calibri" w:hAnsi="Calibri" w:cs="Calibri"/>
          <w:color w:val="000000"/>
          <w:lang w:val="en-GB"/>
        </w:rPr>
        <w:t xml:space="preserve"> F, Henderson D, </w:t>
      </w:r>
      <w:proofErr w:type="spellStart"/>
      <w:r>
        <w:rPr>
          <w:rFonts w:ascii="Calibri" w:eastAsia="Calibri" w:hAnsi="Calibri" w:cs="Calibri"/>
          <w:color w:val="000000"/>
          <w:lang w:val="en-GB"/>
        </w:rPr>
        <w:t>Arita</w:t>
      </w:r>
      <w:proofErr w:type="spellEnd"/>
      <w:r>
        <w:rPr>
          <w:rFonts w:ascii="Calibri" w:eastAsia="Calibri" w:hAnsi="Calibri" w:cs="Calibri"/>
          <w:color w:val="000000"/>
          <w:lang w:val="en-GB"/>
        </w:rPr>
        <w:t xml:space="preserve"> I, </w:t>
      </w:r>
      <w:proofErr w:type="spellStart"/>
      <w:r>
        <w:rPr>
          <w:rFonts w:ascii="Calibri" w:eastAsia="Calibri" w:hAnsi="Calibri" w:cs="Calibri"/>
          <w:color w:val="000000"/>
          <w:lang w:val="en-GB"/>
        </w:rPr>
        <w:t>Jezek</w:t>
      </w:r>
      <w:proofErr w:type="spellEnd"/>
      <w:r>
        <w:rPr>
          <w:rFonts w:ascii="Calibri" w:eastAsia="Calibri" w:hAnsi="Calibri" w:cs="Calibri"/>
          <w:color w:val="000000"/>
          <w:lang w:val="en-GB"/>
        </w:rPr>
        <w:t xml:space="preserve"> Z, </w:t>
      </w:r>
      <w:proofErr w:type="spellStart"/>
      <w:r>
        <w:rPr>
          <w:rFonts w:ascii="Calibri" w:eastAsia="Calibri" w:hAnsi="Calibri" w:cs="Calibri"/>
          <w:color w:val="000000"/>
          <w:lang w:val="en-GB"/>
        </w:rPr>
        <w:t>Ladnyi</w:t>
      </w:r>
      <w:proofErr w:type="spellEnd"/>
      <w:r>
        <w:rPr>
          <w:rFonts w:ascii="Calibri" w:eastAsia="Calibri" w:hAnsi="Calibri" w:cs="Calibri"/>
          <w:color w:val="000000"/>
          <w:lang w:val="en-GB"/>
        </w:rPr>
        <w:t xml:space="preserve"> I. </w:t>
      </w:r>
      <w:proofErr w:type="gramStart"/>
      <w:r>
        <w:rPr>
          <w:rFonts w:ascii="Calibri" w:eastAsia="Calibri" w:hAnsi="Calibri" w:cs="Calibri"/>
          <w:color w:val="000000"/>
          <w:lang w:val="en-GB"/>
        </w:rPr>
        <w:t>Smallpox</w:t>
      </w:r>
      <w:proofErr w:type="gramEnd"/>
      <w:r>
        <w:rPr>
          <w:rFonts w:ascii="Calibri" w:eastAsia="Calibri" w:hAnsi="Calibri" w:cs="Calibri"/>
          <w:color w:val="000000"/>
          <w:lang w:val="en-GB"/>
        </w:rPr>
        <w:t xml:space="preserve"> and its eradication. Geneva, Switzerland; 1988. </w:t>
      </w:r>
    </w:p>
    <w:p w14:paraId="664DB837" w14:textId="2CAF5DCC" w:rsidR="001047AB" w:rsidRPr="009928CF" w:rsidRDefault="00222B5B" w:rsidP="00222B5B">
      <w:pPr>
        <w:numPr>
          <w:ilvl w:val="0"/>
          <w:numId w:val="49"/>
        </w:numPr>
        <w:autoSpaceDE w:val="0"/>
        <w:autoSpaceDN w:val="0"/>
        <w:adjustRightInd w:val="0"/>
        <w:spacing w:after="170" w:line="288" w:lineRule="auto"/>
        <w:ind w:left="567" w:hanging="567"/>
        <w:textAlignment w:val="center"/>
        <w:divId w:val="2110732990"/>
        <w:rPr>
          <w:rStyle w:val="Hyperlink"/>
          <w:rFonts w:ascii="Calibri" w:eastAsia="Calibri" w:hAnsi="Calibri" w:cs="Calibri"/>
          <w:lang w:val="en-GB"/>
        </w:rPr>
      </w:pPr>
      <w:r>
        <w:rPr>
          <w:rFonts w:ascii="Calibri" w:eastAsia="Calibri" w:hAnsi="Calibri" w:cs="Calibri"/>
          <w:color w:val="000000"/>
          <w:lang w:val="en-GB"/>
        </w:rPr>
        <w:t xml:space="preserve">Australian Government Department of Health and Ageing. Guidelines for smallpox outbreak, preparedness, </w:t>
      </w:r>
      <w:proofErr w:type="gramStart"/>
      <w:r>
        <w:rPr>
          <w:rFonts w:ascii="Calibri" w:eastAsia="Calibri" w:hAnsi="Calibri" w:cs="Calibri"/>
          <w:color w:val="000000"/>
          <w:lang w:val="en-GB"/>
        </w:rPr>
        <w:t>response</w:t>
      </w:r>
      <w:proofErr w:type="gramEnd"/>
      <w:r>
        <w:rPr>
          <w:rFonts w:ascii="Calibri" w:eastAsia="Calibri" w:hAnsi="Calibri" w:cs="Calibri"/>
          <w:color w:val="000000"/>
          <w:lang w:val="en-GB"/>
        </w:rPr>
        <w:t xml:space="preserve"> and management. 2004. Accessed on 12/02/2019. Available at: </w:t>
      </w:r>
      <w:r w:rsidR="001047AB">
        <w:rPr>
          <w:rFonts w:ascii="Calibri" w:eastAsia="Calibri" w:hAnsi="Calibri" w:cs="Calibri"/>
          <w:lang w:val="en-GB"/>
        </w:rPr>
        <w:fldChar w:fldCharType="begin"/>
      </w:r>
      <w:r w:rsidR="0021477A">
        <w:rPr>
          <w:rFonts w:ascii="Calibri" w:eastAsia="Calibri" w:hAnsi="Calibri" w:cs="Calibri"/>
          <w:lang w:val="en-GB"/>
        </w:rPr>
        <w:instrText>HYPERLINK "http://www.health.gov.au/internet/main/publishing.nsf/Content/health-pubhlth-publicat-document-metadata-smallpox.htm" \o "http://www.health.gov.au/internet/main/publishing.nsf/Content/health-pubhlth-publicat-document-metadata-smallpox.htm "</w:instrText>
      </w:r>
      <w:r w:rsidR="0021477A">
        <w:rPr>
          <w:rFonts w:ascii="Calibri" w:eastAsia="Calibri" w:hAnsi="Calibri" w:cs="Calibri"/>
          <w:lang w:val="en-GB"/>
        </w:rPr>
      </w:r>
      <w:r w:rsidR="001047AB">
        <w:rPr>
          <w:rFonts w:ascii="Calibri" w:eastAsia="Calibri" w:hAnsi="Calibri" w:cs="Calibri"/>
          <w:lang w:val="en-GB"/>
        </w:rPr>
        <w:fldChar w:fldCharType="separate"/>
      </w:r>
      <w:r w:rsidR="001047AB" w:rsidRPr="009928CF">
        <w:rPr>
          <w:rStyle w:val="Hyperlink"/>
          <w:rFonts w:ascii="Calibri" w:eastAsia="Calibri" w:hAnsi="Calibri" w:cs="Calibri"/>
          <w:lang w:val="en-GB"/>
        </w:rPr>
        <w:t xml:space="preserve">http://www.health.gov.au/internet/main/publishing.nsf/Content/health-pubhlth-publicat-document-metadata-smallpox.htm </w:t>
      </w:r>
    </w:p>
    <w:p w14:paraId="4EA10D91" w14:textId="61FAC511" w:rsidR="00222B5B" w:rsidRDefault="001047A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lang w:val="en-GB"/>
        </w:rPr>
        <w:fldChar w:fldCharType="end"/>
      </w:r>
      <w:r w:rsidR="00222B5B">
        <w:rPr>
          <w:rFonts w:ascii="Calibri" w:eastAsia="Calibri" w:hAnsi="Calibri" w:cs="Calibri"/>
          <w:color w:val="000000"/>
          <w:lang w:val="en-GB"/>
        </w:rPr>
        <w:t>NNDSS Annual Report Writing Group. Australia’s notifiable disease status, 2013: Annual report of the National Notifiable Diseases Surveillance System</w:t>
      </w:r>
      <w:r w:rsidR="00222B5B">
        <w:rPr>
          <w:rFonts w:ascii="Calibri" w:eastAsia="Calibri" w:hAnsi="Calibri" w:cs="Calibri"/>
          <w:i/>
          <w:iCs/>
          <w:color w:val="000000"/>
          <w:lang w:val="en-GB"/>
        </w:rPr>
        <w:t>.</w:t>
      </w:r>
      <w:r w:rsidR="00222B5B">
        <w:rPr>
          <w:rFonts w:ascii="Calibri" w:eastAsia="Calibri" w:hAnsi="Calibri" w:cs="Calibri"/>
          <w:color w:val="000000"/>
          <w:lang w:val="en-GB"/>
        </w:rPr>
        <w:t xml:space="preserve"> </w:t>
      </w:r>
      <w:r w:rsidR="00222B5B">
        <w:rPr>
          <w:rFonts w:ascii="Calibri" w:eastAsia="Calibri" w:hAnsi="Calibri" w:cs="Calibri"/>
          <w:i/>
          <w:iCs/>
          <w:color w:val="000000"/>
          <w:lang w:val="en-GB"/>
        </w:rPr>
        <w:t>Commun Dis Intell</w:t>
      </w:r>
      <w:r w:rsidR="00222B5B">
        <w:rPr>
          <w:rFonts w:ascii="Calibri" w:eastAsia="Calibri" w:hAnsi="Calibri" w:cs="Calibri"/>
          <w:color w:val="000000"/>
          <w:lang w:val="en-GB"/>
        </w:rPr>
        <w:t xml:space="preserve"> 2015;39(3</w:t>
      </w:r>
      <w:proofErr w:type="gramStart"/>
      <w:r w:rsidR="00222B5B">
        <w:rPr>
          <w:rFonts w:ascii="Calibri" w:eastAsia="Calibri" w:hAnsi="Calibri" w:cs="Calibri"/>
          <w:color w:val="000000"/>
          <w:lang w:val="en-GB"/>
        </w:rPr>
        <w:t>):E</w:t>
      </w:r>
      <w:proofErr w:type="gramEnd"/>
      <w:r w:rsidR="00222B5B">
        <w:rPr>
          <w:rFonts w:ascii="Calibri" w:eastAsia="Calibri" w:hAnsi="Calibri" w:cs="Calibri"/>
          <w:color w:val="000000"/>
          <w:lang w:val="en-GB"/>
        </w:rPr>
        <w:t xml:space="preserve">387–E477. Available at: </w:t>
      </w:r>
      <w:hyperlink r:id="rId148" w:tooltip="http://www.ncbi.nlm.nih.gov/pubmed/26620352" w:history="1">
        <w:r w:rsidRPr="009928CF">
          <w:rPr>
            <w:rStyle w:val="Hyperlink"/>
            <w:rFonts w:ascii="Calibri" w:eastAsia="Calibri" w:hAnsi="Calibri" w:cs="Calibri"/>
            <w:lang w:val="en-GB"/>
          </w:rPr>
          <w:t>http://www.ncbi.nlm.nih.gov/pubmed/26620352</w:t>
        </w:r>
      </w:hyperlink>
      <w:r w:rsidR="00222B5B">
        <w:rPr>
          <w:rFonts w:ascii="Calibri" w:eastAsia="Calibri" w:hAnsi="Calibri" w:cs="Calibri"/>
          <w:color w:val="000000"/>
          <w:lang w:val="en-GB"/>
        </w:rPr>
        <w:t xml:space="preserve"> </w:t>
      </w:r>
    </w:p>
    <w:p w14:paraId="1392499F"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Miller M, Roche P, Yohannes K, Spencer J, Bartlett M, Brotherton J, et al. Australia’s notifiable diseases status, 2003: Annual report of the National Notifiable Diseases Surveillance System</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Commun Dis Intell</w:t>
      </w:r>
      <w:r>
        <w:rPr>
          <w:rFonts w:ascii="Calibri" w:eastAsia="Calibri" w:hAnsi="Calibri" w:cs="Calibri"/>
          <w:color w:val="000000"/>
          <w:lang w:val="en-GB"/>
        </w:rPr>
        <w:t xml:space="preserve"> 2005;29(1):1–61.</w:t>
      </w:r>
    </w:p>
    <w:p w14:paraId="6E1F1959" w14:textId="401DD2E8" w:rsidR="001047AB" w:rsidRPr="009928CF" w:rsidRDefault="00222B5B" w:rsidP="00222B5B">
      <w:pPr>
        <w:numPr>
          <w:ilvl w:val="0"/>
          <w:numId w:val="49"/>
        </w:numPr>
        <w:autoSpaceDE w:val="0"/>
        <w:autoSpaceDN w:val="0"/>
        <w:adjustRightInd w:val="0"/>
        <w:spacing w:after="170" w:line="288" w:lineRule="auto"/>
        <w:ind w:left="567" w:hanging="567"/>
        <w:textAlignment w:val="center"/>
        <w:divId w:val="2110732990"/>
        <w:rPr>
          <w:rStyle w:val="Hyperlink"/>
          <w:rFonts w:ascii="Calibri" w:eastAsia="Calibri" w:hAnsi="Calibri" w:cs="Calibri"/>
          <w:lang w:val="en-GB"/>
        </w:rPr>
      </w:pPr>
      <w:r>
        <w:rPr>
          <w:rFonts w:ascii="Calibri" w:eastAsia="Calibri" w:hAnsi="Calibri" w:cs="Calibri"/>
          <w:color w:val="000000"/>
          <w:lang w:val="en-GB"/>
        </w:rPr>
        <w:t xml:space="preserve">World Health Organization. Cumulative number of confirmed human cases of avian influenza A(H5N1) reported to WHO. 2013. Accessed on 11/02/2019. Available at: </w:t>
      </w:r>
      <w:r w:rsidR="001047AB">
        <w:rPr>
          <w:rFonts w:ascii="Calibri" w:eastAsia="Calibri" w:hAnsi="Calibri" w:cs="Calibri"/>
          <w:lang w:val="en-GB"/>
        </w:rPr>
        <w:fldChar w:fldCharType="begin"/>
      </w:r>
      <w:r w:rsidR="0021477A">
        <w:rPr>
          <w:rFonts w:ascii="Calibri" w:eastAsia="Calibri" w:hAnsi="Calibri" w:cs="Calibri"/>
          <w:lang w:val="en-GB"/>
        </w:rPr>
        <w:instrText>HYPERLINK "http://www.who.int/influenza/human_animal_interface/H5N1_cumulative_table_archives/en/index.html" \o "http://www.who.int/influenza/human_animal_interface/H5N1_cumulative_table_archives/en/index.html "</w:instrText>
      </w:r>
      <w:r w:rsidR="0021477A">
        <w:rPr>
          <w:rFonts w:ascii="Calibri" w:eastAsia="Calibri" w:hAnsi="Calibri" w:cs="Calibri"/>
          <w:lang w:val="en-GB"/>
        </w:rPr>
      </w:r>
      <w:r w:rsidR="001047AB">
        <w:rPr>
          <w:rFonts w:ascii="Calibri" w:eastAsia="Calibri" w:hAnsi="Calibri" w:cs="Calibri"/>
          <w:lang w:val="en-GB"/>
        </w:rPr>
        <w:fldChar w:fldCharType="separate"/>
      </w:r>
      <w:r w:rsidR="001047AB" w:rsidRPr="009928CF">
        <w:rPr>
          <w:rStyle w:val="Hyperlink"/>
          <w:rFonts w:ascii="Calibri" w:eastAsia="Calibri" w:hAnsi="Calibri" w:cs="Calibri"/>
          <w:lang w:val="en-GB"/>
        </w:rPr>
        <w:t xml:space="preserve">http://www.who.int/influenza/human_animal_interface/H5N1_cumulative_table_archives/en/index.html </w:t>
      </w:r>
    </w:p>
    <w:p w14:paraId="3A1C5B33" w14:textId="77777777" w:rsidR="00222B5B" w:rsidRDefault="001047A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lang w:val="en-GB"/>
        </w:rPr>
        <w:fldChar w:fldCharType="end"/>
      </w:r>
      <w:r w:rsidR="00222B5B">
        <w:rPr>
          <w:rFonts w:ascii="Calibri" w:eastAsia="Calibri" w:hAnsi="Calibri" w:cs="Calibri"/>
          <w:color w:val="000000"/>
          <w:lang w:val="en-GB"/>
        </w:rPr>
        <w:t>Curran M, Harvey B, Crerar S. Annual report of the National Notifiable Diseases Surveillance System, 1996</w:t>
      </w:r>
      <w:r w:rsidR="00222B5B">
        <w:rPr>
          <w:rFonts w:ascii="Calibri" w:eastAsia="Calibri" w:hAnsi="Calibri" w:cs="Calibri"/>
          <w:i/>
          <w:iCs/>
          <w:color w:val="000000"/>
          <w:lang w:val="en-GB"/>
        </w:rPr>
        <w:t>.</w:t>
      </w:r>
      <w:r w:rsidR="00222B5B">
        <w:rPr>
          <w:rFonts w:ascii="Calibri" w:eastAsia="Calibri" w:hAnsi="Calibri" w:cs="Calibri"/>
          <w:color w:val="000000"/>
          <w:lang w:val="en-GB"/>
        </w:rPr>
        <w:t xml:space="preserve"> </w:t>
      </w:r>
      <w:r w:rsidR="00222B5B">
        <w:rPr>
          <w:rFonts w:ascii="Calibri" w:eastAsia="Calibri" w:hAnsi="Calibri" w:cs="Calibri"/>
          <w:i/>
          <w:iCs/>
          <w:color w:val="000000"/>
          <w:lang w:val="en-GB"/>
        </w:rPr>
        <w:t>Commun Dis Intell</w:t>
      </w:r>
      <w:r w:rsidR="00222B5B">
        <w:rPr>
          <w:rFonts w:ascii="Calibri" w:eastAsia="Calibri" w:hAnsi="Calibri" w:cs="Calibri"/>
          <w:color w:val="000000"/>
          <w:lang w:val="en-GB"/>
        </w:rPr>
        <w:t xml:space="preserve"> </w:t>
      </w:r>
      <w:proofErr w:type="gramStart"/>
      <w:r w:rsidR="00222B5B">
        <w:rPr>
          <w:rFonts w:ascii="Calibri" w:eastAsia="Calibri" w:hAnsi="Calibri" w:cs="Calibri"/>
          <w:color w:val="000000"/>
          <w:lang w:val="en-GB"/>
        </w:rPr>
        <w:t>1997;21:281</w:t>
      </w:r>
      <w:proofErr w:type="gramEnd"/>
      <w:r w:rsidR="00222B5B">
        <w:rPr>
          <w:rFonts w:ascii="Calibri" w:eastAsia="Calibri" w:hAnsi="Calibri" w:cs="Calibri"/>
          <w:color w:val="000000"/>
          <w:lang w:val="en-GB"/>
        </w:rPr>
        <w:t xml:space="preserve">–307. </w:t>
      </w:r>
    </w:p>
    <w:p w14:paraId="6CE394B5" w14:textId="3D6436AC"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Forssman B, Mannes T, Musto J, Gottlieb T, Robertson G, </w:t>
      </w:r>
      <w:proofErr w:type="spellStart"/>
      <w:r>
        <w:rPr>
          <w:rFonts w:ascii="Calibri" w:eastAsia="Calibri" w:hAnsi="Calibri" w:cs="Calibri"/>
          <w:color w:val="000000"/>
          <w:lang w:val="en-GB"/>
        </w:rPr>
        <w:t>Natoli</w:t>
      </w:r>
      <w:proofErr w:type="spellEnd"/>
      <w:r>
        <w:rPr>
          <w:rFonts w:ascii="Calibri" w:eastAsia="Calibri" w:hAnsi="Calibri" w:cs="Calibri"/>
          <w:color w:val="000000"/>
          <w:lang w:val="en-GB"/>
        </w:rPr>
        <w:t xml:space="preserve"> JD, et al. </w:t>
      </w:r>
      <w:r>
        <w:rPr>
          <w:rFonts w:ascii="Calibri" w:eastAsia="Calibri" w:hAnsi="Calibri" w:cs="Calibri"/>
          <w:i/>
          <w:iCs/>
          <w:color w:val="000000"/>
          <w:lang w:val="en-GB"/>
        </w:rPr>
        <w:t>Vibrio cholerae</w:t>
      </w:r>
      <w:r>
        <w:rPr>
          <w:rFonts w:ascii="Calibri" w:eastAsia="Calibri" w:hAnsi="Calibri" w:cs="Calibri"/>
          <w:color w:val="000000"/>
          <w:lang w:val="en-GB"/>
        </w:rPr>
        <w:t xml:space="preserve"> O1 El Tor cluster in Sydney linked to imported whitebait</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 xml:space="preserve">Med J </w:t>
      </w:r>
      <w:proofErr w:type="spellStart"/>
      <w:r>
        <w:rPr>
          <w:rFonts w:ascii="Calibri" w:eastAsia="Calibri" w:hAnsi="Calibri" w:cs="Calibri"/>
          <w:i/>
          <w:iCs/>
          <w:color w:val="000000"/>
          <w:lang w:val="en-GB"/>
        </w:rPr>
        <w:t>Aust</w:t>
      </w:r>
      <w:proofErr w:type="spellEnd"/>
      <w:r>
        <w:rPr>
          <w:rFonts w:ascii="Calibri" w:eastAsia="Calibri" w:hAnsi="Calibri" w:cs="Calibri"/>
          <w:color w:val="000000"/>
          <w:lang w:val="en-GB"/>
        </w:rPr>
        <w:t xml:space="preserve"> 2007;187(6):345–347. Available at: </w:t>
      </w:r>
      <w:hyperlink r:id="rId149" w:tooltip="http://www.ncbi.nlm.nih.gov/entrez/query.fcgi?cmd=Retrieve&amp;db=PubMed&amp;dopt=Citation&amp;list_uids=17874982" w:history="1">
        <w:r w:rsidR="001047AB" w:rsidRPr="009928CF">
          <w:rPr>
            <w:rStyle w:val="Hyperlink"/>
            <w:rFonts w:ascii="Calibri" w:eastAsia="Calibri" w:hAnsi="Calibri" w:cs="Calibri"/>
            <w:lang w:val="en-GB"/>
          </w:rPr>
          <w:t>http://www.ncbi.nlm.nih.gov/entrez/query.fcgi?cmd=Retrieve&amp;db=PubMed&amp;dopt=Citation&amp;list_uids=17874982</w:t>
        </w:r>
      </w:hyperlink>
      <w:r>
        <w:rPr>
          <w:rFonts w:ascii="Calibri" w:eastAsia="Calibri" w:hAnsi="Calibri" w:cs="Calibri"/>
          <w:color w:val="000000"/>
          <w:lang w:val="en-GB"/>
        </w:rPr>
        <w:t xml:space="preserve"> </w:t>
      </w:r>
    </w:p>
    <w:p w14:paraId="71CCD425" w14:textId="572DD5C8"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Geisler W, Lensing S, Press C, Hook EW, 3rd </w:t>
      </w:r>
      <w:proofErr w:type="spellStart"/>
      <w:r>
        <w:rPr>
          <w:rFonts w:ascii="Calibri" w:eastAsia="Calibri" w:hAnsi="Calibri" w:cs="Calibri"/>
          <w:color w:val="000000"/>
          <w:lang w:val="en-GB"/>
        </w:rPr>
        <w:t>edn</w:t>
      </w:r>
      <w:proofErr w:type="spellEnd"/>
      <w:r>
        <w:rPr>
          <w:rFonts w:ascii="Calibri" w:eastAsia="Calibri" w:hAnsi="Calibri" w:cs="Calibri"/>
          <w:color w:val="000000"/>
          <w:lang w:val="en-GB"/>
        </w:rPr>
        <w:t xml:space="preserve">. Spontaneous resolution of genital </w:t>
      </w:r>
      <w:r>
        <w:rPr>
          <w:rFonts w:ascii="Calibri" w:eastAsia="Calibri" w:hAnsi="Calibri" w:cs="Calibri"/>
          <w:i/>
          <w:iCs/>
          <w:color w:val="000000"/>
          <w:lang w:val="en-GB"/>
        </w:rPr>
        <w:t>Chlamydia trachomatis</w:t>
      </w:r>
      <w:r>
        <w:rPr>
          <w:rFonts w:ascii="Calibri" w:eastAsia="Calibri" w:hAnsi="Calibri" w:cs="Calibri"/>
          <w:color w:val="000000"/>
          <w:lang w:val="en-GB"/>
        </w:rPr>
        <w:t xml:space="preserve"> infection in women and protection from reinfection</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J Infect Dis</w:t>
      </w:r>
      <w:r>
        <w:rPr>
          <w:rFonts w:ascii="Calibri" w:eastAsia="Calibri" w:hAnsi="Calibri" w:cs="Calibri"/>
          <w:color w:val="000000"/>
          <w:lang w:val="en-GB"/>
        </w:rPr>
        <w:t xml:space="preserve"> 2013;207(12):1850–1856. Available at: </w:t>
      </w:r>
      <w:hyperlink r:id="rId150" w:tooltip="http://www.ncbi.nlm.nih.gov/pmc/articles/PMC3654745/" w:history="1">
        <w:r w:rsidR="001047AB" w:rsidRPr="009928CF">
          <w:rPr>
            <w:rStyle w:val="Hyperlink"/>
            <w:rFonts w:ascii="Calibri" w:eastAsia="Calibri" w:hAnsi="Calibri" w:cs="Calibri"/>
            <w:lang w:val="en-GB"/>
          </w:rPr>
          <w:t>http://www.ncbi.nlm.nih.gov/pmc/articles/PMC3654745/</w:t>
        </w:r>
      </w:hyperlink>
      <w:r>
        <w:rPr>
          <w:rFonts w:ascii="Calibri" w:eastAsia="Calibri" w:hAnsi="Calibri" w:cs="Calibri"/>
          <w:color w:val="000000"/>
          <w:lang w:val="en-GB"/>
        </w:rPr>
        <w:t xml:space="preserve"> </w:t>
      </w:r>
    </w:p>
    <w:p w14:paraId="59F37AF6"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The Kirby Institute. </w:t>
      </w:r>
      <w:r>
        <w:rPr>
          <w:rFonts w:ascii="Calibri" w:eastAsia="Calibri" w:hAnsi="Calibri" w:cs="Calibri"/>
          <w:i/>
          <w:iCs/>
          <w:color w:val="000000"/>
          <w:lang w:val="en-GB"/>
        </w:rPr>
        <w:t xml:space="preserve">HIV, viral </w:t>
      </w:r>
      <w:proofErr w:type="gramStart"/>
      <w:r>
        <w:rPr>
          <w:rFonts w:ascii="Calibri" w:eastAsia="Calibri" w:hAnsi="Calibri" w:cs="Calibri"/>
          <w:i/>
          <w:iCs/>
          <w:color w:val="000000"/>
          <w:lang w:val="en-GB"/>
        </w:rPr>
        <w:t>hepatitis</w:t>
      </w:r>
      <w:proofErr w:type="gramEnd"/>
      <w:r>
        <w:rPr>
          <w:rFonts w:ascii="Calibri" w:eastAsia="Calibri" w:hAnsi="Calibri" w:cs="Calibri"/>
          <w:i/>
          <w:iCs/>
          <w:color w:val="000000"/>
          <w:lang w:val="en-GB"/>
        </w:rPr>
        <w:t xml:space="preserve"> and sexually transmissible infections in Australia Annual Surveillance Report 2014</w:t>
      </w:r>
      <w:r>
        <w:rPr>
          <w:rFonts w:ascii="Calibri" w:eastAsia="Calibri" w:hAnsi="Calibri" w:cs="Calibri"/>
          <w:color w:val="000000"/>
          <w:lang w:val="en-GB"/>
        </w:rPr>
        <w:t>; 2014.</w:t>
      </w:r>
    </w:p>
    <w:p w14:paraId="6CC12261" w14:textId="6CE12682"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Victoria Department of Health. Blue book: Guidelines for the control of infectious diseases. 2009. Accessed on 3 April 2014. Available at: </w:t>
      </w:r>
      <w:hyperlink r:id="rId151" w:tooltip="http://ideas.health.vic.gov.au/bluebook/" w:history="1">
        <w:r w:rsidR="001047AB" w:rsidRPr="009928CF">
          <w:rPr>
            <w:rStyle w:val="Hyperlink"/>
            <w:rFonts w:ascii="Calibri" w:eastAsia="Calibri" w:hAnsi="Calibri" w:cs="Calibri"/>
            <w:lang w:val="en-GB"/>
          </w:rPr>
          <w:t>http://ideas.health.vic.gov.au/bluebook/</w:t>
        </w:r>
      </w:hyperlink>
      <w:r>
        <w:rPr>
          <w:rFonts w:ascii="Calibri" w:eastAsia="Calibri" w:hAnsi="Calibri" w:cs="Calibri"/>
          <w:color w:val="000000"/>
          <w:lang w:val="en-GB"/>
        </w:rPr>
        <w:t xml:space="preserve"> </w:t>
      </w:r>
    </w:p>
    <w:p w14:paraId="4850DC79"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Australasian Society for HIV Medicine. </w:t>
      </w:r>
      <w:r>
        <w:rPr>
          <w:rFonts w:ascii="Calibri" w:eastAsia="Calibri" w:hAnsi="Calibri" w:cs="Calibri"/>
          <w:i/>
          <w:iCs/>
          <w:color w:val="000000"/>
          <w:lang w:val="en-GB"/>
        </w:rPr>
        <w:t>HIV, viral hepatitis and STIs: a guide for primary care providers</w:t>
      </w:r>
      <w:r>
        <w:rPr>
          <w:rFonts w:ascii="Calibri" w:eastAsia="Calibri" w:hAnsi="Calibri" w:cs="Calibri"/>
          <w:color w:val="000000"/>
          <w:lang w:val="en-GB"/>
        </w:rPr>
        <w:t>. Darlinghurst: Australasian Society for HIV Medicine; 2014.</w:t>
      </w:r>
    </w:p>
    <w:p w14:paraId="6126E3E6" w14:textId="24A18840" w:rsidR="001047AB" w:rsidRPr="009928CF" w:rsidRDefault="00222B5B" w:rsidP="00222B5B">
      <w:pPr>
        <w:numPr>
          <w:ilvl w:val="0"/>
          <w:numId w:val="49"/>
        </w:numPr>
        <w:autoSpaceDE w:val="0"/>
        <w:autoSpaceDN w:val="0"/>
        <w:adjustRightInd w:val="0"/>
        <w:spacing w:after="170" w:line="288" w:lineRule="auto"/>
        <w:ind w:left="567" w:hanging="567"/>
        <w:textAlignment w:val="center"/>
        <w:divId w:val="2110732990"/>
        <w:rPr>
          <w:rStyle w:val="Hyperlink"/>
          <w:rFonts w:ascii="Calibri" w:eastAsia="Calibri" w:hAnsi="Calibri" w:cs="Calibri"/>
          <w:lang w:val="en-GB"/>
        </w:rPr>
      </w:pPr>
      <w:r>
        <w:rPr>
          <w:rFonts w:ascii="Calibri" w:eastAsia="Calibri" w:hAnsi="Calibri" w:cs="Calibri"/>
          <w:color w:val="000000"/>
          <w:lang w:val="en-GB"/>
        </w:rPr>
        <w:t xml:space="preserve">Bowden FJ, on behalf of the National Donovanosis Eradication Advisory Committee. Donovanosis in Australia: going, going ... </w:t>
      </w:r>
      <w:r>
        <w:rPr>
          <w:rFonts w:ascii="Calibri" w:eastAsia="Calibri" w:hAnsi="Calibri" w:cs="Calibri"/>
          <w:i/>
          <w:iCs/>
          <w:color w:val="000000"/>
          <w:lang w:val="en-GB"/>
        </w:rPr>
        <w:t xml:space="preserve">Sex </w:t>
      </w:r>
      <w:proofErr w:type="spellStart"/>
      <w:r>
        <w:rPr>
          <w:rFonts w:ascii="Calibri" w:eastAsia="Calibri" w:hAnsi="Calibri" w:cs="Calibri"/>
          <w:i/>
          <w:iCs/>
          <w:color w:val="000000"/>
          <w:lang w:val="en-GB"/>
        </w:rPr>
        <w:t>Transm</w:t>
      </w:r>
      <w:proofErr w:type="spellEnd"/>
      <w:r>
        <w:rPr>
          <w:rFonts w:ascii="Calibri" w:eastAsia="Calibri" w:hAnsi="Calibri" w:cs="Calibri"/>
          <w:i/>
          <w:iCs/>
          <w:color w:val="000000"/>
          <w:lang w:val="en-GB"/>
        </w:rPr>
        <w:t xml:space="preserve"> Infect</w:t>
      </w:r>
      <w:r>
        <w:rPr>
          <w:rFonts w:ascii="Calibri" w:eastAsia="Calibri" w:hAnsi="Calibri" w:cs="Calibri"/>
          <w:color w:val="000000"/>
          <w:lang w:val="en-GB"/>
        </w:rPr>
        <w:t xml:space="preserve"> 2005;81(5):365–366. Available at: </w:t>
      </w:r>
      <w:r w:rsidR="001047AB">
        <w:rPr>
          <w:rFonts w:ascii="Calibri" w:eastAsia="Calibri" w:hAnsi="Calibri" w:cs="Calibri"/>
          <w:lang w:val="en-GB"/>
        </w:rPr>
        <w:fldChar w:fldCharType="begin"/>
      </w:r>
      <w:r w:rsidR="0021477A">
        <w:rPr>
          <w:rFonts w:ascii="Calibri" w:eastAsia="Calibri" w:hAnsi="Calibri" w:cs="Calibri"/>
          <w:lang w:val="en-GB"/>
        </w:rPr>
        <w:instrText>HYPERLINK "http://sti.bmj.com/cgi/content/abstract/81/5/365" \o "http://sti.bmj.com/cgi/content/abstract/81/5/365 "</w:instrText>
      </w:r>
      <w:r w:rsidR="0021477A">
        <w:rPr>
          <w:rFonts w:ascii="Calibri" w:eastAsia="Calibri" w:hAnsi="Calibri" w:cs="Calibri"/>
          <w:lang w:val="en-GB"/>
        </w:rPr>
      </w:r>
      <w:r w:rsidR="001047AB">
        <w:rPr>
          <w:rFonts w:ascii="Calibri" w:eastAsia="Calibri" w:hAnsi="Calibri" w:cs="Calibri"/>
          <w:lang w:val="en-GB"/>
        </w:rPr>
        <w:fldChar w:fldCharType="separate"/>
      </w:r>
      <w:r w:rsidR="001047AB" w:rsidRPr="009928CF">
        <w:rPr>
          <w:rStyle w:val="Hyperlink"/>
          <w:rFonts w:ascii="Calibri" w:eastAsia="Calibri" w:hAnsi="Calibri" w:cs="Calibri"/>
          <w:lang w:val="en-GB"/>
        </w:rPr>
        <w:t xml:space="preserve">http://sti.bmj.com/cgi/content/abstract/81/5/365 </w:t>
      </w:r>
    </w:p>
    <w:p w14:paraId="2C01D582" w14:textId="77777777" w:rsidR="00222B5B" w:rsidRDefault="001047A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lang w:val="en-GB"/>
        </w:rPr>
        <w:lastRenderedPageBreak/>
        <w:fldChar w:fldCharType="end"/>
      </w:r>
      <w:r w:rsidR="00222B5B">
        <w:rPr>
          <w:rFonts w:ascii="Calibri" w:eastAsia="Calibri" w:hAnsi="Calibri" w:cs="Calibri"/>
          <w:color w:val="000000"/>
          <w:lang w:val="en-GB"/>
        </w:rPr>
        <w:t xml:space="preserve">Donovan B, Dimech W, Ali H, Guy R, </w:t>
      </w:r>
      <w:proofErr w:type="spellStart"/>
      <w:r w:rsidR="00222B5B">
        <w:rPr>
          <w:rFonts w:ascii="Calibri" w:eastAsia="Calibri" w:hAnsi="Calibri" w:cs="Calibri"/>
          <w:color w:val="000000"/>
          <w:lang w:val="en-GB"/>
        </w:rPr>
        <w:t>Hellard</w:t>
      </w:r>
      <w:proofErr w:type="spellEnd"/>
      <w:r w:rsidR="00222B5B">
        <w:rPr>
          <w:rFonts w:ascii="Calibri" w:eastAsia="Calibri" w:hAnsi="Calibri" w:cs="Calibri"/>
          <w:color w:val="000000"/>
          <w:lang w:val="en-GB"/>
        </w:rPr>
        <w:t xml:space="preserve"> M. Increased testing for Neisseria gonorrhoeae with duplex nucleic acid amplification tests in Australia: implications for surveillance</w:t>
      </w:r>
      <w:r w:rsidR="00222B5B">
        <w:rPr>
          <w:rFonts w:ascii="Calibri" w:eastAsia="Calibri" w:hAnsi="Calibri" w:cs="Calibri"/>
          <w:i/>
          <w:iCs/>
          <w:color w:val="000000"/>
          <w:lang w:val="en-GB"/>
        </w:rPr>
        <w:t>.</w:t>
      </w:r>
      <w:r w:rsidR="00222B5B">
        <w:rPr>
          <w:rFonts w:ascii="Calibri" w:eastAsia="Calibri" w:hAnsi="Calibri" w:cs="Calibri"/>
          <w:color w:val="000000"/>
          <w:lang w:val="en-GB"/>
        </w:rPr>
        <w:t xml:space="preserve"> </w:t>
      </w:r>
      <w:r w:rsidR="00222B5B">
        <w:rPr>
          <w:rFonts w:ascii="Calibri" w:eastAsia="Calibri" w:hAnsi="Calibri" w:cs="Calibri"/>
          <w:i/>
          <w:iCs/>
          <w:color w:val="000000"/>
          <w:lang w:val="en-GB"/>
        </w:rPr>
        <w:t>Sexual Health</w:t>
      </w:r>
      <w:r w:rsidR="00222B5B">
        <w:rPr>
          <w:rFonts w:ascii="Calibri" w:eastAsia="Calibri" w:hAnsi="Calibri" w:cs="Calibri"/>
          <w:color w:val="000000"/>
          <w:lang w:val="en-GB"/>
        </w:rPr>
        <w:t xml:space="preserve"> 2015;12(1):48–50. </w:t>
      </w:r>
    </w:p>
    <w:p w14:paraId="5D68A5BB" w14:textId="16CB65A6"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Roberts-Witteveen A, Pennington K, Higgins N, Lang C, Lahra M, Waddell R, et al. Epidemiology of gonorrhoea notifications in Australia, 2007–12</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Sex Health</w:t>
      </w:r>
      <w:r>
        <w:rPr>
          <w:rFonts w:ascii="Calibri" w:eastAsia="Calibri" w:hAnsi="Calibri" w:cs="Calibri"/>
          <w:color w:val="000000"/>
          <w:lang w:val="en-GB"/>
        </w:rPr>
        <w:t xml:space="preserve"> 2014;11(4):324–331. Available at: </w:t>
      </w:r>
      <w:hyperlink r:id="rId152" w:tooltip="http://www.publish.csiro.au/paper/SH13205" w:history="1">
        <w:r w:rsidR="001047AB" w:rsidRPr="009928CF">
          <w:rPr>
            <w:rStyle w:val="Hyperlink"/>
            <w:rFonts w:ascii="Calibri" w:eastAsia="Calibri" w:hAnsi="Calibri" w:cs="Calibri"/>
            <w:lang w:val="en-GB"/>
          </w:rPr>
          <w:t>http://www.publish.csiro.au/paper/SH13205</w:t>
        </w:r>
      </w:hyperlink>
      <w:r>
        <w:rPr>
          <w:rFonts w:ascii="Calibri" w:eastAsia="Calibri" w:hAnsi="Calibri" w:cs="Calibri"/>
          <w:color w:val="000000"/>
          <w:lang w:val="en-GB"/>
        </w:rPr>
        <w:t xml:space="preserve"> </w:t>
      </w:r>
    </w:p>
    <w:p w14:paraId="12AAD80B" w14:textId="547CBA78"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Australasian Society for HIV Viral Hepatitis and Sexual Health Medicine. Australian STI management guidelines for use in primary care. 2016. Accessed on 27 January. Available at: </w:t>
      </w:r>
      <w:hyperlink r:id="rId153" w:tooltip="http://sti.guidelines.org.au/" w:history="1">
        <w:r w:rsidR="001047AB" w:rsidRPr="009928CF">
          <w:rPr>
            <w:rStyle w:val="Hyperlink"/>
            <w:rFonts w:ascii="Calibri" w:eastAsia="Calibri" w:hAnsi="Calibri" w:cs="Calibri"/>
            <w:lang w:val="en-GB"/>
          </w:rPr>
          <w:t>http://sti.guidelines.org.au/</w:t>
        </w:r>
      </w:hyperlink>
      <w:r>
        <w:rPr>
          <w:rFonts w:ascii="Calibri" w:eastAsia="Calibri" w:hAnsi="Calibri" w:cs="Calibri"/>
          <w:color w:val="000000"/>
          <w:lang w:val="en-GB"/>
        </w:rPr>
        <w:t xml:space="preserve"> </w:t>
      </w:r>
    </w:p>
    <w:p w14:paraId="3F2EE10F" w14:textId="5A678EF6" w:rsidR="001047AB" w:rsidRPr="009928CF" w:rsidRDefault="00222B5B" w:rsidP="00222B5B">
      <w:pPr>
        <w:numPr>
          <w:ilvl w:val="0"/>
          <w:numId w:val="49"/>
        </w:numPr>
        <w:autoSpaceDE w:val="0"/>
        <w:autoSpaceDN w:val="0"/>
        <w:adjustRightInd w:val="0"/>
        <w:spacing w:after="170" w:line="288" w:lineRule="auto"/>
        <w:ind w:left="567" w:hanging="567"/>
        <w:textAlignment w:val="center"/>
        <w:divId w:val="2110732990"/>
        <w:rPr>
          <w:rStyle w:val="Hyperlink"/>
          <w:rFonts w:ascii="Calibri" w:eastAsia="Calibri" w:hAnsi="Calibri" w:cs="Calibri"/>
          <w:lang w:val="en-GB"/>
        </w:rPr>
      </w:pPr>
      <w:r>
        <w:rPr>
          <w:rFonts w:ascii="Calibri" w:eastAsia="Calibri" w:hAnsi="Calibri" w:cs="Calibri"/>
          <w:color w:val="000000"/>
          <w:lang w:val="en-GB"/>
        </w:rPr>
        <w:t xml:space="preserve">Communicable Diseases Network Australia. Syphilis – infectious (primary, </w:t>
      </w:r>
      <w:proofErr w:type="gramStart"/>
      <w:r>
        <w:rPr>
          <w:rFonts w:ascii="Calibri" w:eastAsia="Calibri" w:hAnsi="Calibri" w:cs="Calibri"/>
          <w:color w:val="000000"/>
          <w:lang w:val="en-GB"/>
        </w:rPr>
        <w:t>secondary</w:t>
      </w:r>
      <w:proofErr w:type="gramEnd"/>
      <w:r>
        <w:rPr>
          <w:rFonts w:ascii="Calibri" w:eastAsia="Calibri" w:hAnsi="Calibri" w:cs="Calibri"/>
          <w:color w:val="000000"/>
          <w:lang w:val="en-GB"/>
        </w:rPr>
        <w:t xml:space="preserve"> and early latent), less than 2 years duration case definition. 2015. Accessed on 27 January. Available at: </w:t>
      </w:r>
      <w:r w:rsidR="001047AB">
        <w:rPr>
          <w:rFonts w:ascii="Calibri" w:eastAsia="Calibri" w:hAnsi="Calibri" w:cs="Calibri"/>
          <w:lang w:val="en-GB"/>
        </w:rPr>
        <w:fldChar w:fldCharType="begin"/>
      </w:r>
      <w:r w:rsidR="0021477A">
        <w:rPr>
          <w:rFonts w:ascii="Calibri" w:eastAsia="Calibri" w:hAnsi="Calibri" w:cs="Calibri"/>
          <w:lang w:val="en-GB"/>
        </w:rPr>
        <w:instrText>HYPERLINK "http://www.health.gov.au/internet/main/publishing.nsf/Content/cda-surveil-nndss-casedefs-cd_syphl2.htm" \o "http://www.health.gov.au/internet/main/publishing.nsf/Content/cda-surveil-nndss-casedefs-cd_syphl2.htm "</w:instrText>
      </w:r>
      <w:r w:rsidR="0021477A">
        <w:rPr>
          <w:rFonts w:ascii="Calibri" w:eastAsia="Calibri" w:hAnsi="Calibri" w:cs="Calibri"/>
          <w:lang w:val="en-GB"/>
        </w:rPr>
      </w:r>
      <w:r w:rsidR="001047AB">
        <w:rPr>
          <w:rFonts w:ascii="Calibri" w:eastAsia="Calibri" w:hAnsi="Calibri" w:cs="Calibri"/>
          <w:lang w:val="en-GB"/>
        </w:rPr>
        <w:fldChar w:fldCharType="separate"/>
      </w:r>
      <w:r w:rsidR="001047AB" w:rsidRPr="009928CF">
        <w:rPr>
          <w:rStyle w:val="Hyperlink"/>
          <w:rFonts w:ascii="Calibri" w:eastAsia="Calibri" w:hAnsi="Calibri" w:cs="Calibri"/>
          <w:lang w:val="en-GB"/>
        </w:rPr>
        <w:t xml:space="preserve">http://www.health.gov.au/internet/main/publishing.nsf/Content/cda-surveil-nndss-casedefs-cd_syphl2.htm </w:t>
      </w:r>
    </w:p>
    <w:p w14:paraId="047CC5BC" w14:textId="77777777" w:rsidR="00222B5B" w:rsidRDefault="001047A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lang w:val="en-GB"/>
        </w:rPr>
        <w:fldChar w:fldCharType="end"/>
      </w:r>
      <w:r w:rsidR="00222B5B">
        <w:rPr>
          <w:rFonts w:ascii="Calibri" w:eastAsia="Calibri" w:hAnsi="Calibri" w:cs="Calibri"/>
          <w:color w:val="000000"/>
          <w:lang w:val="en-GB"/>
        </w:rPr>
        <w:t xml:space="preserve">Australian Bureau of Statistics. Census of Population and Housing: Characteristics of Aboriginal and Torres Strait Islander Australians, 2011, ABS. cat. no. 2076.0. Canberra: ABS; 2011. </w:t>
      </w:r>
    </w:p>
    <w:p w14:paraId="41BA6323" w14:textId="7BDCC95A"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proofErr w:type="spellStart"/>
      <w:r>
        <w:rPr>
          <w:rFonts w:ascii="Calibri" w:eastAsia="Calibri" w:hAnsi="Calibri" w:cs="Calibri"/>
          <w:color w:val="000000"/>
          <w:lang w:val="en-GB"/>
        </w:rPr>
        <w:t>Prestage</w:t>
      </w:r>
      <w:proofErr w:type="spellEnd"/>
      <w:r>
        <w:rPr>
          <w:rFonts w:ascii="Calibri" w:eastAsia="Calibri" w:hAnsi="Calibri" w:cs="Calibri"/>
          <w:color w:val="000000"/>
          <w:lang w:val="en-GB"/>
        </w:rPr>
        <w:t xml:space="preserve"> G, Ferris J, Grierson J, Thorpe R, </w:t>
      </w:r>
      <w:proofErr w:type="spellStart"/>
      <w:r>
        <w:rPr>
          <w:rFonts w:ascii="Calibri" w:eastAsia="Calibri" w:hAnsi="Calibri" w:cs="Calibri"/>
          <w:color w:val="000000"/>
          <w:lang w:val="en-GB"/>
        </w:rPr>
        <w:t>Zablotska</w:t>
      </w:r>
      <w:proofErr w:type="spellEnd"/>
      <w:r>
        <w:rPr>
          <w:rFonts w:ascii="Calibri" w:eastAsia="Calibri" w:hAnsi="Calibri" w:cs="Calibri"/>
          <w:color w:val="000000"/>
          <w:lang w:val="en-GB"/>
        </w:rPr>
        <w:t xml:space="preserve"> I, Imrie J, et al. Homosexual men in Australia: population, </w:t>
      </w:r>
      <w:proofErr w:type="gramStart"/>
      <w:r>
        <w:rPr>
          <w:rFonts w:ascii="Calibri" w:eastAsia="Calibri" w:hAnsi="Calibri" w:cs="Calibri"/>
          <w:color w:val="000000"/>
          <w:lang w:val="en-GB"/>
        </w:rPr>
        <w:t>distribution</w:t>
      </w:r>
      <w:proofErr w:type="gramEnd"/>
      <w:r>
        <w:rPr>
          <w:rFonts w:ascii="Calibri" w:eastAsia="Calibri" w:hAnsi="Calibri" w:cs="Calibri"/>
          <w:color w:val="000000"/>
          <w:lang w:val="en-GB"/>
        </w:rPr>
        <w:t xml:space="preserve"> and HIV prevalence</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Sex Health</w:t>
      </w:r>
      <w:r>
        <w:rPr>
          <w:rFonts w:ascii="Calibri" w:eastAsia="Calibri" w:hAnsi="Calibri" w:cs="Calibri"/>
          <w:color w:val="000000"/>
          <w:lang w:val="en-GB"/>
        </w:rPr>
        <w:t xml:space="preserve"> 2008;5(2):97–102. Available at </w:t>
      </w:r>
      <w:hyperlink r:id="rId154" w:tooltip="http://www.ncbi.nlm.nih.gov/pubmed/18588772" w:history="1">
        <w:r w:rsidR="001047AB" w:rsidRPr="009928CF">
          <w:rPr>
            <w:rStyle w:val="Hyperlink"/>
            <w:rFonts w:ascii="Calibri" w:eastAsia="Calibri" w:hAnsi="Calibri" w:cs="Calibri"/>
            <w:lang w:val="en-GB"/>
          </w:rPr>
          <w:t>http://www.ncbi.nlm.nih.gov/pubmed/18588772</w:t>
        </w:r>
      </w:hyperlink>
      <w:r>
        <w:rPr>
          <w:rFonts w:ascii="Calibri" w:eastAsia="Calibri" w:hAnsi="Calibri" w:cs="Calibri"/>
          <w:color w:val="000000"/>
          <w:lang w:val="en-GB"/>
        </w:rPr>
        <w:t xml:space="preserve"> </w:t>
      </w:r>
    </w:p>
    <w:p w14:paraId="267A0524"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Centre for Disease Control Northern Territory. Syphilis outbreak in the NT: 2015 update</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The Northern Territory Disease Control Bulletin</w:t>
      </w:r>
      <w:r>
        <w:rPr>
          <w:rFonts w:ascii="Calibri" w:eastAsia="Calibri" w:hAnsi="Calibri" w:cs="Calibri"/>
          <w:color w:val="000000"/>
          <w:lang w:val="en-GB"/>
        </w:rPr>
        <w:t xml:space="preserve"> 2015;22(1):1–30. Available at: </w:t>
      </w:r>
      <w:r w:rsidR="001047AB" w:rsidRPr="001D6AC9">
        <w:rPr>
          <w:rFonts w:ascii="Calibri" w:eastAsia="Calibri" w:hAnsi="Calibri" w:cs="Calibri"/>
          <w:lang w:val="en-GB"/>
        </w:rPr>
        <w:t>http://www.health.nt.gov.au/library/scripts/objectifyMedia.aspx?file=pdf/98/71.pdf&amp;siteID=1&amp;str_title=Bulletin%20March%202015.pdf</w:t>
      </w:r>
      <w:r>
        <w:rPr>
          <w:rFonts w:ascii="Calibri" w:eastAsia="Calibri" w:hAnsi="Calibri" w:cs="Calibri"/>
          <w:color w:val="000000"/>
          <w:lang w:val="en-GB"/>
        </w:rPr>
        <w:t xml:space="preserve"> </w:t>
      </w:r>
    </w:p>
    <w:p w14:paraId="3223FE3C"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Ward J, Guy RJ, </w:t>
      </w:r>
      <w:proofErr w:type="spellStart"/>
      <w:r>
        <w:rPr>
          <w:rFonts w:ascii="Calibri" w:eastAsia="Calibri" w:hAnsi="Calibri" w:cs="Calibri"/>
          <w:color w:val="000000"/>
          <w:lang w:val="en-GB"/>
        </w:rPr>
        <w:t>Akre</w:t>
      </w:r>
      <w:proofErr w:type="spellEnd"/>
      <w:r>
        <w:rPr>
          <w:rFonts w:ascii="Calibri" w:eastAsia="Calibri" w:hAnsi="Calibri" w:cs="Calibri"/>
          <w:color w:val="000000"/>
          <w:lang w:val="en-GB"/>
        </w:rPr>
        <w:t xml:space="preserve"> S, Middleton M, </w:t>
      </w:r>
      <w:proofErr w:type="spellStart"/>
      <w:r>
        <w:rPr>
          <w:rFonts w:ascii="Calibri" w:eastAsia="Calibri" w:hAnsi="Calibri" w:cs="Calibri"/>
          <w:color w:val="000000"/>
          <w:lang w:val="en-GB"/>
        </w:rPr>
        <w:t>Giele</w:t>
      </w:r>
      <w:proofErr w:type="spellEnd"/>
      <w:r>
        <w:rPr>
          <w:rFonts w:ascii="Calibri" w:eastAsia="Calibri" w:hAnsi="Calibri" w:cs="Calibri"/>
          <w:color w:val="000000"/>
          <w:lang w:val="en-GB"/>
        </w:rPr>
        <w:t xml:space="preserve"> C, Su J, et al. Epidemiology of syphilis in Australia: moving toward elimination of infectious syphilis from Aboriginal and Torres Strait Islander communities? </w:t>
      </w:r>
      <w:r>
        <w:rPr>
          <w:rFonts w:ascii="Calibri" w:eastAsia="Calibri" w:hAnsi="Calibri" w:cs="Calibri"/>
          <w:i/>
          <w:iCs/>
          <w:color w:val="000000"/>
          <w:lang w:val="en-GB"/>
        </w:rPr>
        <w:t xml:space="preserve">Med J </w:t>
      </w:r>
      <w:proofErr w:type="spellStart"/>
      <w:r>
        <w:rPr>
          <w:rFonts w:ascii="Calibri" w:eastAsia="Calibri" w:hAnsi="Calibri" w:cs="Calibri"/>
          <w:i/>
          <w:iCs/>
          <w:color w:val="000000"/>
          <w:lang w:val="en-GB"/>
        </w:rPr>
        <w:t>Aust</w:t>
      </w:r>
      <w:proofErr w:type="spellEnd"/>
      <w:r>
        <w:rPr>
          <w:rFonts w:ascii="Calibri" w:eastAsia="Calibri" w:hAnsi="Calibri" w:cs="Calibri"/>
          <w:color w:val="000000"/>
          <w:lang w:val="en-GB"/>
        </w:rPr>
        <w:t xml:space="preserve"> 2011;194(10):525–529. </w:t>
      </w:r>
    </w:p>
    <w:p w14:paraId="29DD1A91"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Australian Government Department of Health. </w:t>
      </w:r>
      <w:r>
        <w:rPr>
          <w:rFonts w:ascii="Calibri" w:eastAsia="Calibri" w:hAnsi="Calibri" w:cs="Calibri"/>
          <w:i/>
          <w:iCs/>
          <w:color w:val="000000"/>
          <w:lang w:val="en-GB"/>
        </w:rPr>
        <w:t>Fourth National Aboriginal and Torres Strait Islander Blood-borne Viruses and Sexually Transmissible Infections Strategy, 2014–2014</w:t>
      </w:r>
      <w:r>
        <w:rPr>
          <w:rFonts w:ascii="Calibri" w:eastAsia="Calibri" w:hAnsi="Calibri" w:cs="Calibri"/>
          <w:color w:val="000000"/>
          <w:lang w:val="en-GB"/>
        </w:rPr>
        <w:t>. Canberra: Australian Government Department of Health; 2014.</w:t>
      </w:r>
    </w:p>
    <w:p w14:paraId="2250ED31"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Australian Government Department of Health. </w:t>
      </w:r>
      <w:r>
        <w:rPr>
          <w:rFonts w:ascii="Calibri" w:eastAsia="Calibri" w:hAnsi="Calibri" w:cs="Calibri"/>
          <w:i/>
          <w:iCs/>
          <w:color w:val="000000"/>
          <w:lang w:val="en-GB"/>
        </w:rPr>
        <w:t>Third National Sexually Transmissible Infections Strategy 2014–2017</w:t>
      </w:r>
      <w:r>
        <w:rPr>
          <w:rFonts w:ascii="Calibri" w:eastAsia="Calibri" w:hAnsi="Calibri" w:cs="Calibri"/>
          <w:color w:val="000000"/>
          <w:lang w:val="en-GB"/>
        </w:rPr>
        <w:t>. Canberra: Australian Government Department of Health; 2014.</w:t>
      </w:r>
    </w:p>
    <w:p w14:paraId="15A83357"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Impact of vaccines universally recommended for children. 1900–1998</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 xml:space="preserve">MMWR </w:t>
      </w:r>
      <w:proofErr w:type="spellStart"/>
      <w:r>
        <w:rPr>
          <w:rFonts w:ascii="Calibri" w:eastAsia="Calibri" w:hAnsi="Calibri" w:cs="Calibri"/>
          <w:i/>
          <w:iCs/>
          <w:color w:val="000000"/>
          <w:lang w:val="en-GB"/>
        </w:rPr>
        <w:t>Morb</w:t>
      </w:r>
      <w:proofErr w:type="spellEnd"/>
      <w:r>
        <w:rPr>
          <w:rFonts w:ascii="Calibri" w:eastAsia="Calibri" w:hAnsi="Calibri" w:cs="Calibri"/>
          <w:i/>
          <w:iCs/>
          <w:color w:val="000000"/>
          <w:lang w:val="en-GB"/>
        </w:rPr>
        <w:t xml:space="preserve"> Mortal </w:t>
      </w:r>
      <w:proofErr w:type="spellStart"/>
      <w:r>
        <w:rPr>
          <w:rFonts w:ascii="Calibri" w:eastAsia="Calibri" w:hAnsi="Calibri" w:cs="Calibri"/>
          <w:i/>
          <w:iCs/>
          <w:color w:val="000000"/>
          <w:lang w:val="en-GB"/>
        </w:rPr>
        <w:t>Wkly</w:t>
      </w:r>
      <w:proofErr w:type="spellEnd"/>
      <w:r>
        <w:rPr>
          <w:rFonts w:ascii="Calibri" w:eastAsia="Calibri" w:hAnsi="Calibri" w:cs="Calibri"/>
          <w:i/>
          <w:iCs/>
          <w:color w:val="000000"/>
          <w:lang w:val="en-GB"/>
        </w:rPr>
        <w:t xml:space="preserve"> Rep</w:t>
      </w:r>
      <w:r>
        <w:rPr>
          <w:rFonts w:ascii="Calibri" w:eastAsia="Calibri" w:hAnsi="Calibri" w:cs="Calibri"/>
          <w:color w:val="000000"/>
          <w:lang w:val="en-GB"/>
        </w:rPr>
        <w:t xml:space="preserve"> 1999;48(12):243–248. </w:t>
      </w:r>
    </w:p>
    <w:p w14:paraId="70C64F78"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Andre FE, </w:t>
      </w:r>
      <w:proofErr w:type="spellStart"/>
      <w:r>
        <w:rPr>
          <w:rFonts w:ascii="Calibri" w:eastAsia="Calibri" w:hAnsi="Calibri" w:cs="Calibri"/>
          <w:color w:val="000000"/>
          <w:lang w:val="en-GB"/>
        </w:rPr>
        <w:t>Booy</w:t>
      </w:r>
      <w:proofErr w:type="spellEnd"/>
      <w:r>
        <w:rPr>
          <w:rFonts w:ascii="Calibri" w:eastAsia="Calibri" w:hAnsi="Calibri" w:cs="Calibri"/>
          <w:color w:val="000000"/>
          <w:lang w:val="en-GB"/>
        </w:rPr>
        <w:t xml:space="preserve"> R, Bock HL, Clemens J, Datta SK, John TJ, et al. Vaccination greatly reduces disease, disability, </w:t>
      </w:r>
      <w:proofErr w:type="gramStart"/>
      <w:r>
        <w:rPr>
          <w:rFonts w:ascii="Calibri" w:eastAsia="Calibri" w:hAnsi="Calibri" w:cs="Calibri"/>
          <w:color w:val="000000"/>
          <w:lang w:val="en-GB"/>
        </w:rPr>
        <w:t>death</w:t>
      </w:r>
      <w:proofErr w:type="gramEnd"/>
      <w:r>
        <w:rPr>
          <w:rFonts w:ascii="Calibri" w:eastAsia="Calibri" w:hAnsi="Calibri" w:cs="Calibri"/>
          <w:color w:val="000000"/>
          <w:lang w:val="en-GB"/>
        </w:rPr>
        <w:t xml:space="preserve"> and inequity worldwide</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Bull World Health Organ</w:t>
      </w:r>
      <w:r>
        <w:rPr>
          <w:rFonts w:ascii="Calibri" w:eastAsia="Calibri" w:hAnsi="Calibri" w:cs="Calibri"/>
          <w:color w:val="000000"/>
          <w:lang w:val="en-GB"/>
        </w:rPr>
        <w:t xml:space="preserve"> 2008;86(2):81–60. </w:t>
      </w:r>
    </w:p>
    <w:p w14:paraId="02E397A6"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proofErr w:type="spellStart"/>
      <w:r>
        <w:rPr>
          <w:rFonts w:ascii="Calibri" w:eastAsia="Calibri" w:hAnsi="Calibri" w:cs="Calibri"/>
          <w:color w:val="000000"/>
          <w:lang w:val="en-GB"/>
        </w:rPr>
        <w:t>Ehreth</w:t>
      </w:r>
      <w:proofErr w:type="spellEnd"/>
      <w:r>
        <w:rPr>
          <w:rFonts w:ascii="Calibri" w:eastAsia="Calibri" w:hAnsi="Calibri" w:cs="Calibri"/>
          <w:color w:val="000000"/>
          <w:lang w:val="en-GB"/>
        </w:rPr>
        <w:t xml:space="preserve"> J. The global value of vaccination</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Vaccine</w:t>
      </w:r>
      <w:r>
        <w:rPr>
          <w:rFonts w:ascii="Calibri" w:eastAsia="Calibri" w:hAnsi="Calibri" w:cs="Calibri"/>
          <w:color w:val="000000"/>
          <w:lang w:val="en-GB"/>
        </w:rPr>
        <w:t xml:space="preserve"> 2003;21(7–8):596–600. </w:t>
      </w:r>
    </w:p>
    <w:p w14:paraId="703D61E4"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proofErr w:type="spellStart"/>
      <w:r>
        <w:rPr>
          <w:rFonts w:ascii="Calibri" w:eastAsia="Calibri" w:hAnsi="Calibri" w:cs="Calibri"/>
          <w:color w:val="000000"/>
          <w:lang w:val="en-GB"/>
        </w:rPr>
        <w:t>Préziosi</w:t>
      </w:r>
      <w:proofErr w:type="spellEnd"/>
      <w:r>
        <w:rPr>
          <w:rFonts w:ascii="Calibri" w:eastAsia="Calibri" w:hAnsi="Calibri" w:cs="Calibri"/>
          <w:color w:val="000000"/>
          <w:lang w:val="en-GB"/>
        </w:rPr>
        <w:t xml:space="preserve"> M, Halloran ME. Effects of pertussis vaccination on disease: Vaccine efficacy in reducing clinical severity</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Clin Infect Dis</w:t>
      </w:r>
      <w:r>
        <w:rPr>
          <w:rFonts w:ascii="Calibri" w:eastAsia="Calibri" w:hAnsi="Calibri" w:cs="Calibri"/>
          <w:color w:val="000000"/>
          <w:lang w:val="en-GB"/>
        </w:rPr>
        <w:t xml:space="preserve"> 2003;37(6):772–779. </w:t>
      </w:r>
    </w:p>
    <w:p w14:paraId="7DE15692"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proofErr w:type="spellStart"/>
      <w:r>
        <w:rPr>
          <w:rFonts w:ascii="Calibri" w:eastAsia="Calibri" w:hAnsi="Calibri" w:cs="Calibri"/>
          <w:color w:val="000000"/>
          <w:lang w:val="en-GB"/>
        </w:rPr>
        <w:t>Schlenker</w:t>
      </w:r>
      <w:proofErr w:type="spellEnd"/>
      <w:r>
        <w:rPr>
          <w:rFonts w:ascii="Calibri" w:eastAsia="Calibri" w:hAnsi="Calibri" w:cs="Calibri"/>
          <w:color w:val="000000"/>
          <w:lang w:val="en-GB"/>
        </w:rPr>
        <w:t xml:space="preserve"> TL, Bain C, Baughman AL, </w:t>
      </w:r>
      <w:proofErr w:type="spellStart"/>
      <w:r>
        <w:rPr>
          <w:rFonts w:ascii="Calibri" w:eastAsia="Calibri" w:hAnsi="Calibri" w:cs="Calibri"/>
          <w:color w:val="000000"/>
          <w:lang w:val="en-GB"/>
        </w:rPr>
        <w:t>Hadler</w:t>
      </w:r>
      <w:proofErr w:type="spellEnd"/>
      <w:r>
        <w:rPr>
          <w:rFonts w:ascii="Calibri" w:eastAsia="Calibri" w:hAnsi="Calibri" w:cs="Calibri"/>
          <w:color w:val="000000"/>
          <w:lang w:val="en-GB"/>
        </w:rPr>
        <w:t xml:space="preserve"> SC. Measles herd immunity: the association of attack rates with immunization rates in preschool children</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JAMA</w:t>
      </w:r>
      <w:r>
        <w:rPr>
          <w:rFonts w:ascii="Calibri" w:eastAsia="Calibri" w:hAnsi="Calibri" w:cs="Calibri"/>
          <w:color w:val="000000"/>
          <w:lang w:val="en-GB"/>
        </w:rPr>
        <w:t xml:space="preserve"> 1992;267(6):823–826. </w:t>
      </w:r>
    </w:p>
    <w:p w14:paraId="48C321CA"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lastRenderedPageBreak/>
        <w:t xml:space="preserve">National Centre for Immunisation Research and Surveillance of Vaccine Preventable Diseases. </w:t>
      </w:r>
      <w:r>
        <w:rPr>
          <w:rFonts w:ascii="Calibri" w:eastAsia="Calibri" w:hAnsi="Calibri" w:cs="Calibri"/>
          <w:i/>
          <w:iCs/>
          <w:color w:val="000000"/>
          <w:lang w:val="en-GB"/>
        </w:rPr>
        <w:t>Haemophilus influenzae</w:t>
      </w:r>
      <w:r>
        <w:rPr>
          <w:rFonts w:ascii="Calibri" w:eastAsia="Calibri" w:hAnsi="Calibri" w:cs="Calibri"/>
          <w:color w:val="000000"/>
          <w:lang w:val="en-GB"/>
        </w:rPr>
        <w:t xml:space="preserve"> type b (Hib) vaccines for Australian children, NCIRS Fact sheet: October 2009. Sydney: National Centre for Immunisation Research and Surveillance for Vaccine Preventable Diseases; 2009. </w:t>
      </w:r>
    </w:p>
    <w:p w14:paraId="00F41AE1"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Chandran A, Watt J, </w:t>
      </w:r>
      <w:proofErr w:type="spellStart"/>
      <w:r>
        <w:rPr>
          <w:rFonts w:ascii="Calibri" w:eastAsia="Calibri" w:hAnsi="Calibri" w:cs="Calibri"/>
          <w:color w:val="000000"/>
          <w:lang w:val="en-GB"/>
        </w:rPr>
        <w:t>Santosham</w:t>
      </w:r>
      <w:proofErr w:type="spellEnd"/>
      <w:r>
        <w:rPr>
          <w:rFonts w:ascii="Calibri" w:eastAsia="Calibri" w:hAnsi="Calibri" w:cs="Calibri"/>
          <w:color w:val="000000"/>
          <w:lang w:val="en-GB"/>
        </w:rPr>
        <w:t xml:space="preserve"> M. </w:t>
      </w:r>
      <w:r>
        <w:rPr>
          <w:rFonts w:ascii="Calibri" w:eastAsia="Calibri" w:hAnsi="Calibri" w:cs="Calibri"/>
          <w:i/>
          <w:iCs/>
          <w:color w:val="000000"/>
          <w:lang w:val="en-GB"/>
        </w:rPr>
        <w:t>Haemophilus influenzae</w:t>
      </w:r>
      <w:r>
        <w:rPr>
          <w:rFonts w:ascii="Calibri" w:eastAsia="Calibri" w:hAnsi="Calibri" w:cs="Calibri"/>
          <w:color w:val="000000"/>
          <w:lang w:val="en-GB"/>
        </w:rPr>
        <w:t xml:space="preserve">. In: Plotkin SA, Orenstein WA, Offit PA, editors. </w:t>
      </w:r>
      <w:r>
        <w:rPr>
          <w:rFonts w:ascii="Calibri" w:eastAsia="Calibri" w:hAnsi="Calibri" w:cs="Calibri"/>
          <w:i/>
          <w:iCs/>
          <w:color w:val="000000"/>
          <w:lang w:val="en-GB"/>
        </w:rPr>
        <w:t>Vaccines</w:t>
      </w:r>
      <w:r>
        <w:rPr>
          <w:rFonts w:ascii="Calibri" w:eastAsia="Calibri" w:hAnsi="Calibri" w:cs="Calibri"/>
          <w:color w:val="000000"/>
          <w:lang w:val="en-GB"/>
        </w:rPr>
        <w:t>. Philadelphia, PA, USA: Saunders Elsevier; 2008.</w:t>
      </w:r>
    </w:p>
    <w:p w14:paraId="2FB7CAB5" w14:textId="13B1A21A" w:rsidR="001047AB" w:rsidRPr="009928CF" w:rsidRDefault="00222B5B" w:rsidP="00222B5B">
      <w:pPr>
        <w:numPr>
          <w:ilvl w:val="0"/>
          <w:numId w:val="49"/>
        </w:numPr>
        <w:autoSpaceDE w:val="0"/>
        <w:autoSpaceDN w:val="0"/>
        <w:adjustRightInd w:val="0"/>
        <w:spacing w:after="170" w:line="288" w:lineRule="auto"/>
        <w:ind w:left="567" w:hanging="567"/>
        <w:textAlignment w:val="center"/>
        <w:divId w:val="2110732990"/>
        <w:rPr>
          <w:rStyle w:val="Hyperlink"/>
          <w:rFonts w:ascii="Calibri" w:eastAsia="Calibri" w:hAnsi="Calibri" w:cs="Calibri"/>
          <w:lang w:val="en-GB"/>
        </w:rPr>
      </w:pPr>
      <w:proofErr w:type="spellStart"/>
      <w:r>
        <w:rPr>
          <w:rFonts w:ascii="Calibri" w:eastAsia="Calibri" w:hAnsi="Calibri" w:cs="Calibri"/>
          <w:color w:val="000000"/>
          <w:lang w:val="en-GB"/>
        </w:rPr>
        <w:t>Punpanich</w:t>
      </w:r>
      <w:proofErr w:type="spellEnd"/>
      <w:r>
        <w:rPr>
          <w:rFonts w:ascii="Calibri" w:eastAsia="Calibri" w:hAnsi="Calibri" w:cs="Calibri"/>
          <w:color w:val="000000"/>
          <w:lang w:val="en-GB"/>
        </w:rPr>
        <w:t xml:space="preserve"> W, </w:t>
      </w:r>
      <w:proofErr w:type="spellStart"/>
      <w:r>
        <w:rPr>
          <w:rFonts w:ascii="Calibri" w:eastAsia="Calibri" w:hAnsi="Calibri" w:cs="Calibri"/>
          <w:color w:val="000000"/>
          <w:lang w:val="en-GB"/>
        </w:rPr>
        <w:t>Chotpitayasunondh</w:t>
      </w:r>
      <w:proofErr w:type="spellEnd"/>
      <w:r>
        <w:rPr>
          <w:rFonts w:ascii="Calibri" w:eastAsia="Calibri" w:hAnsi="Calibri" w:cs="Calibri"/>
          <w:color w:val="000000"/>
          <w:lang w:val="en-GB"/>
        </w:rPr>
        <w:t xml:space="preserve"> T. A review on the clinical spectrum and natural history of human influenza</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Int J Infect Dis</w:t>
      </w:r>
      <w:r>
        <w:rPr>
          <w:rFonts w:ascii="Calibri" w:eastAsia="Calibri" w:hAnsi="Calibri" w:cs="Calibri"/>
          <w:color w:val="000000"/>
          <w:lang w:val="en-GB"/>
        </w:rPr>
        <w:t xml:space="preserve"> 2012;16(10</w:t>
      </w:r>
      <w:proofErr w:type="gramStart"/>
      <w:r>
        <w:rPr>
          <w:rFonts w:ascii="Calibri" w:eastAsia="Calibri" w:hAnsi="Calibri" w:cs="Calibri"/>
          <w:color w:val="000000"/>
          <w:lang w:val="en-GB"/>
        </w:rPr>
        <w:t>):E</w:t>
      </w:r>
      <w:proofErr w:type="gramEnd"/>
      <w:r>
        <w:rPr>
          <w:rFonts w:ascii="Calibri" w:eastAsia="Calibri" w:hAnsi="Calibri" w:cs="Calibri"/>
          <w:color w:val="000000"/>
          <w:lang w:val="en-GB"/>
        </w:rPr>
        <w:t xml:space="preserve">714-E723. Available at: </w:t>
      </w:r>
      <w:r w:rsidR="001047AB">
        <w:rPr>
          <w:rFonts w:ascii="Calibri" w:eastAsia="Calibri" w:hAnsi="Calibri" w:cs="Calibri"/>
          <w:lang w:val="en-GB"/>
        </w:rPr>
        <w:fldChar w:fldCharType="begin"/>
      </w:r>
      <w:r w:rsidR="0021477A">
        <w:rPr>
          <w:rFonts w:ascii="Calibri" w:eastAsia="Calibri" w:hAnsi="Calibri" w:cs="Calibri"/>
          <w:lang w:val="en-GB"/>
        </w:rPr>
        <w:instrText>HYPERLINK "http://www.sciencedirect.com/science/article/pii/S1201971212011770" \o "http://www.sciencedirect.com/science/article/pii/S1201971212011770 "</w:instrText>
      </w:r>
      <w:r w:rsidR="0021477A">
        <w:rPr>
          <w:rFonts w:ascii="Calibri" w:eastAsia="Calibri" w:hAnsi="Calibri" w:cs="Calibri"/>
          <w:lang w:val="en-GB"/>
        </w:rPr>
      </w:r>
      <w:r w:rsidR="001047AB">
        <w:rPr>
          <w:rFonts w:ascii="Calibri" w:eastAsia="Calibri" w:hAnsi="Calibri" w:cs="Calibri"/>
          <w:lang w:val="en-GB"/>
        </w:rPr>
        <w:fldChar w:fldCharType="separate"/>
      </w:r>
      <w:r w:rsidR="001047AB" w:rsidRPr="009928CF">
        <w:rPr>
          <w:rStyle w:val="Hyperlink"/>
          <w:rFonts w:ascii="Calibri" w:eastAsia="Calibri" w:hAnsi="Calibri" w:cs="Calibri"/>
          <w:lang w:val="en-GB"/>
        </w:rPr>
        <w:t xml:space="preserve">http://www.sciencedirect.com/science/article/pii/S1201971212011770 </w:t>
      </w:r>
    </w:p>
    <w:p w14:paraId="38E85899" w14:textId="77777777" w:rsidR="00222B5B" w:rsidRDefault="001047A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lang w:val="en-GB"/>
        </w:rPr>
        <w:fldChar w:fldCharType="end"/>
      </w:r>
      <w:proofErr w:type="spellStart"/>
      <w:r w:rsidR="00222B5B">
        <w:rPr>
          <w:rFonts w:ascii="Calibri" w:eastAsia="Calibri" w:hAnsi="Calibri" w:cs="Calibri"/>
          <w:color w:val="000000"/>
          <w:lang w:val="en-GB"/>
        </w:rPr>
        <w:t>Carrat</w:t>
      </w:r>
      <w:proofErr w:type="spellEnd"/>
      <w:r w:rsidR="00222B5B">
        <w:rPr>
          <w:rFonts w:ascii="Calibri" w:eastAsia="Calibri" w:hAnsi="Calibri" w:cs="Calibri"/>
          <w:color w:val="000000"/>
          <w:lang w:val="en-GB"/>
        </w:rPr>
        <w:t xml:space="preserve"> F, </w:t>
      </w:r>
      <w:proofErr w:type="spellStart"/>
      <w:r w:rsidR="00222B5B">
        <w:rPr>
          <w:rFonts w:ascii="Calibri" w:eastAsia="Calibri" w:hAnsi="Calibri" w:cs="Calibri"/>
          <w:color w:val="000000"/>
          <w:lang w:val="en-GB"/>
        </w:rPr>
        <w:t>Vergu</w:t>
      </w:r>
      <w:proofErr w:type="spellEnd"/>
      <w:r w:rsidR="00222B5B">
        <w:rPr>
          <w:rFonts w:ascii="Calibri" w:eastAsia="Calibri" w:hAnsi="Calibri" w:cs="Calibri"/>
          <w:color w:val="000000"/>
          <w:lang w:val="en-GB"/>
        </w:rPr>
        <w:t xml:space="preserve"> E, Ferguson NM, Lemaitre M, </w:t>
      </w:r>
      <w:proofErr w:type="spellStart"/>
      <w:r w:rsidR="00222B5B">
        <w:rPr>
          <w:rFonts w:ascii="Calibri" w:eastAsia="Calibri" w:hAnsi="Calibri" w:cs="Calibri"/>
          <w:color w:val="000000"/>
          <w:lang w:val="en-GB"/>
        </w:rPr>
        <w:t>Cauchemez</w:t>
      </w:r>
      <w:proofErr w:type="spellEnd"/>
      <w:r w:rsidR="00222B5B">
        <w:rPr>
          <w:rFonts w:ascii="Calibri" w:eastAsia="Calibri" w:hAnsi="Calibri" w:cs="Calibri"/>
          <w:color w:val="000000"/>
          <w:lang w:val="en-GB"/>
        </w:rPr>
        <w:t xml:space="preserve"> S, Leach S, et al. </w:t>
      </w:r>
      <w:proofErr w:type="gramStart"/>
      <w:r w:rsidR="00222B5B">
        <w:rPr>
          <w:rFonts w:ascii="Calibri" w:eastAsia="Calibri" w:hAnsi="Calibri" w:cs="Calibri"/>
          <w:color w:val="000000"/>
          <w:lang w:val="en-GB"/>
        </w:rPr>
        <w:t>Time lines</w:t>
      </w:r>
      <w:proofErr w:type="gramEnd"/>
      <w:r w:rsidR="00222B5B">
        <w:rPr>
          <w:rFonts w:ascii="Calibri" w:eastAsia="Calibri" w:hAnsi="Calibri" w:cs="Calibri"/>
          <w:color w:val="000000"/>
          <w:lang w:val="en-GB"/>
        </w:rPr>
        <w:t xml:space="preserve"> of infection and disease in human influenza: a review of volunteer challenge studies</w:t>
      </w:r>
      <w:r w:rsidR="00222B5B">
        <w:rPr>
          <w:rFonts w:ascii="Calibri" w:eastAsia="Calibri" w:hAnsi="Calibri" w:cs="Calibri"/>
          <w:i/>
          <w:iCs/>
          <w:color w:val="000000"/>
          <w:lang w:val="en-GB"/>
        </w:rPr>
        <w:t>.</w:t>
      </w:r>
      <w:r w:rsidR="00222B5B">
        <w:rPr>
          <w:rFonts w:ascii="Calibri" w:eastAsia="Calibri" w:hAnsi="Calibri" w:cs="Calibri"/>
          <w:color w:val="000000"/>
          <w:lang w:val="en-GB"/>
        </w:rPr>
        <w:t xml:space="preserve"> </w:t>
      </w:r>
      <w:r w:rsidR="00222B5B">
        <w:rPr>
          <w:rFonts w:ascii="Calibri" w:eastAsia="Calibri" w:hAnsi="Calibri" w:cs="Calibri"/>
          <w:i/>
          <w:iCs/>
          <w:color w:val="000000"/>
          <w:lang w:val="en-GB"/>
        </w:rPr>
        <w:t xml:space="preserve">Am J </w:t>
      </w:r>
      <w:proofErr w:type="spellStart"/>
      <w:r w:rsidR="00222B5B">
        <w:rPr>
          <w:rFonts w:ascii="Calibri" w:eastAsia="Calibri" w:hAnsi="Calibri" w:cs="Calibri"/>
          <w:i/>
          <w:iCs/>
          <w:color w:val="000000"/>
          <w:lang w:val="en-GB"/>
        </w:rPr>
        <w:t>Epidemiol</w:t>
      </w:r>
      <w:proofErr w:type="spellEnd"/>
      <w:r w:rsidR="00222B5B">
        <w:rPr>
          <w:rFonts w:ascii="Calibri" w:eastAsia="Calibri" w:hAnsi="Calibri" w:cs="Calibri"/>
          <w:color w:val="000000"/>
          <w:lang w:val="en-GB"/>
        </w:rPr>
        <w:t xml:space="preserve"> </w:t>
      </w:r>
      <w:proofErr w:type="gramStart"/>
      <w:r w:rsidR="00222B5B">
        <w:rPr>
          <w:rFonts w:ascii="Calibri" w:eastAsia="Calibri" w:hAnsi="Calibri" w:cs="Calibri"/>
          <w:color w:val="000000"/>
          <w:lang w:val="en-GB"/>
        </w:rPr>
        <w:t>2008;167:775</w:t>
      </w:r>
      <w:proofErr w:type="gramEnd"/>
      <w:r w:rsidR="00222B5B">
        <w:rPr>
          <w:rFonts w:ascii="Calibri" w:eastAsia="Calibri" w:hAnsi="Calibri" w:cs="Calibri"/>
          <w:color w:val="000000"/>
          <w:lang w:val="en-GB"/>
        </w:rPr>
        <w:t xml:space="preserve">–785. </w:t>
      </w:r>
    </w:p>
    <w:p w14:paraId="449BB891" w14:textId="151019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proofErr w:type="spellStart"/>
      <w:r>
        <w:rPr>
          <w:rFonts w:ascii="Calibri" w:eastAsia="Calibri" w:hAnsi="Calibri" w:cs="Calibri"/>
          <w:color w:val="000000"/>
          <w:lang w:val="en-GB"/>
        </w:rPr>
        <w:t>Mauskopf</w:t>
      </w:r>
      <w:proofErr w:type="spellEnd"/>
      <w:r>
        <w:rPr>
          <w:rFonts w:ascii="Calibri" w:eastAsia="Calibri" w:hAnsi="Calibri" w:cs="Calibri"/>
          <w:color w:val="000000"/>
          <w:lang w:val="en-GB"/>
        </w:rPr>
        <w:t xml:space="preserve"> J, </w:t>
      </w:r>
      <w:proofErr w:type="spellStart"/>
      <w:r>
        <w:rPr>
          <w:rFonts w:ascii="Calibri" w:eastAsia="Calibri" w:hAnsi="Calibri" w:cs="Calibri"/>
          <w:color w:val="000000"/>
          <w:lang w:val="en-GB"/>
        </w:rPr>
        <w:t>Klesse</w:t>
      </w:r>
      <w:proofErr w:type="spellEnd"/>
      <w:r>
        <w:rPr>
          <w:rFonts w:ascii="Calibri" w:eastAsia="Calibri" w:hAnsi="Calibri" w:cs="Calibri"/>
          <w:color w:val="000000"/>
          <w:lang w:val="en-GB"/>
        </w:rPr>
        <w:t xml:space="preserve"> M, Lee S, Herrera-</w:t>
      </w:r>
      <w:proofErr w:type="spellStart"/>
      <w:r>
        <w:rPr>
          <w:rFonts w:ascii="Calibri" w:eastAsia="Calibri" w:hAnsi="Calibri" w:cs="Calibri"/>
          <w:color w:val="000000"/>
          <w:lang w:val="en-GB"/>
        </w:rPr>
        <w:t>Taracena</w:t>
      </w:r>
      <w:proofErr w:type="spellEnd"/>
      <w:r>
        <w:rPr>
          <w:rFonts w:ascii="Calibri" w:eastAsia="Calibri" w:hAnsi="Calibri" w:cs="Calibri"/>
          <w:color w:val="000000"/>
          <w:lang w:val="en-GB"/>
        </w:rPr>
        <w:t xml:space="preserve"> G. The burden of influenza complications in different high-risk groups: a targeted literature review</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J Med Econ</w:t>
      </w:r>
      <w:r>
        <w:rPr>
          <w:rFonts w:ascii="Calibri" w:eastAsia="Calibri" w:hAnsi="Calibri" w:cs="Calibri"/>
          <w:color w:val="000000"/>
          <w:lang w:val="en-GB"/>
        </w:rPr>
        <w:t xml:space="preserve"> 2013;16(2):264–277. Available at </w:t>
      </w:r>
      <w:hyperlink r:id="rId155" w:tooltip="http://informahealthcare.com/doi/abs/10.3111/13696998.2012.752376" w:history="1">
        <w:r w:rsidR="001047AB" w:rsidRPr="009928CF">
          <w:rPr>
            <w:rStyle w:val="Hyperlink"/>
            <w:rFonts w:ascii="Calibri" w:eastAsia="Calibri" w:hAnsi="Calibri" w:cs="Calibri"/>
            <w:lang w:val="en-GB"/>
          </w:rPr>
          <w:t>http://informahealthcare.com/doi/abs/10.3111/13696998.2012.752376</w:t>
        </w:r>
      </w:hyperlink>
      <w:r>
        <w:rPr>
          <w:rFonts w:ascii="Calibri" w:eastAsia="Calibri" w:hAnsi="Calibri" w:cs="Calibri"/>
          <w:color w:val="000000"/>
          <w:lang w:val="en-GB"/>
        </w:rPr>
        <w:t xml:space="preserve"> </w:t>
      </w:r>
    </w:p>
    <w:p w14:paraId="25045FB4"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Bennett JE, Dolin R, Blaser MJ. </w:t>
      </w:r>
      <w:r>
        <w:rPr>
          <w:rFonts w:ascii="Calibri" w:eastAsia="Calibri" w:hAnsi="Calibri" w:cs="Calibri"/>
          <w:i/>
          <w:iCs/>
          <w:color w:val="000000"/>
          <w:lang w:val="en-GB"/>
        </w:rPr>
        <w:t>Principles and Practice of Infectious Diseases</w:t>
      </w:r>
      <w:r>
        <w:rPr>
          <w:rFonts w:ascii="Calibri" w:eastAsia="Calibri" w:hAnsi="Calibri" w:cs="Calibri"/>
          <w:color w:val="000000"/>
          <w:lang w:val="en-GB"/>
        </w:rPr>
        <w:t xml:space="preserve">. 8th </w:t>
      </w:r>
      <w:proofErr w:type="spellStart"/>
      <w:r>
        <w:rPr>
          <w:rFonts w:ascii="Calibri" w:eastAsia="Calibri" w:hAnsi="Calibri" w:cs="Calibri"/>
          <w:color w:val="000000"/>
          <w:lang w:val="en-GB"/>
        </w:rPr>
        <w:t>edn</w:t>
      </w:r>
      <w:proofErr w:type="spellEnd"/>
      <w:r>
        <w:rPr>
          <w:rFonts w:ascii="Calibri" w:eastAsia="Calibri" w:hAnsi="Calibri" w:cs="Calibri"/>
          <w:color w:val="000000"/>
          <w:lang w:val="en-GB"/>
        </w:rPr>
        <w:t>. Elsevier Health Sciences; 2014.</w:t>
      </w:r>
    </w:p>
    <w:p w14:paraId="33D84BBE"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Barr I, </w:t>
      </w:r>
      <w:proofErr w:type="spellStart"/>
      <w:r>
        <w:rPr>
          <w:rFonts w:ascii="Calibri" w:eastAsia="Calibri" w:hAnsi="Calibri" w:cs="Calibri"/>
          <w:color w:val="000000"/>
          <w:lang w:val="en-GB"/>
        </w:rPr>
        <w:t>Vijaykrishna</w:t>
      </w:r>
      <w:proofErr w:type="spellEnd"/>
      <w:r>
        <w:rPr>
          <w:rFonts w:ascii="Calibri" w:eastAsia="Calibri" w:hAnsi="Calibri" w:cs="Calibri"/>
          <w:color w:val="000000"/>
          <w:lang w:val="en-GB"/>
        </w:rPr>
        <w:t xml:space="preserve"> D, </w:t>
      </w:r>
      <w:proofErr w:type="spellStart"/>
      <w:r>
        <w:rPr>
          <w:rFonts w:ascii="Calibri" w:eastAsia="Calibri" w:hAnsi="Calibri" w:cs="Calibri"/>
          <w:color w:val="000000"/>
          <w:lang w:val="en-GB"/>
        </w:rPr>
        <w:t>Sulliva</w:t>
      </w:r>
      <w:proofErr w:type="spellEnd"/>
      <w:r>
        <w:rPr>
          <w:rFonts w:ascii="Calibri" w:eastAsia="Calibri" w:hAnsi="Calibri" w:cs="Calibri"/>
          <w:color w:val="000000"/>
          <w:lang w:val="en-GB"/>
        </w:rPr>
        <w:t xml:space="preserve"> S. Differential age susceptibility to influenza B/Victoria lineage viruses in the 2015 Australian influenza season</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Eurosurveillance</w:t>
      </w:r>
      <w:r>
        <w:rPr>
          <w:rFonts w:ascii="Calibri" w:eastAsia="Calibri" w:hAnsi="Calibri" w:cs="Calibri"/>
          <w:color w:val="000000"/>
          <w:lang w:val="en-GB"/>
        </w:rPr>
        <w:t xml:space="preserve"> 2016;21(4). </w:t>
      </w:r>
    </w:p>
    <w:p w14:paraId="0BDE7937"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University of Adelaide. National GP Sentinel Surveillance Fortnightly Report No. 26, 2015. 2015. Accessed on 13 February 2017. Available at: </w:t>
      </w:r>
      <w:r w:rsidR="001047AB" w:rsidRPr="004508EE">
        <w:rPr>
          <w:rFonts w:ascii="Calibri" w:eastAsia="Calibri" w:hAnsi="Calibri" w:cs="Calibri"/>
          <w:lang w:val="en-GB"/>
        </w:rPr>
        <w:t>https://aspren.dmac.adelaide.edu.au/documents/20714/23808/ASPREN+Report+No+26+2015/0b8511e8-0193-42c9-b4ef-a0bbc9b2f6e0?version=1.1</w:t>
      </w:r>
      <w:r>
        <w:rPr>
          <w:rFonts w:ascii="Calibri" w:eastAsia="Calibri" w:hAnsi="Calibri" w:cs="Calibri"/>
          <w:color w:val="000000"/>
          <w:lang w:val="en-GB"/>
        </w:rPr>
        <w:t xml:space="preserve"> </w:t>
      </w:r>
    </w:p>
    <w:p w14:paraId="70DCE781"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proofErr w:type="spellStart"/>
      <w:r>
        <w:rPr>
          <w:rFonts w:ascii="Calibri" w:eastAsia="Calibri" w:hAnsi="Calibri" w:cs="Calibri"/>
          <w:color w:val="000000"/>
          <w:lang w:val="en-GB"/>
        </w:rPr>
        <w:t>Centers</w:t>
      </w:r>
      <w:proofErr w:type="spellEnd"/>
      <w:r>
        <w:rPr>
          <w:rFonts w:ascii="Calibri" w:eastAsia="Calibri" w:hAnsi="Calibri" w:cs="Calibri"/>
          <w:color w:val="000000"/>
          <w:lang w:val="en-GB"/>
        </w:rPr>
        <w:t xml:space="preserve"> for Disease Control and Prevention. Measles. In: Atkinson W, Wolfe C, </w:t>
      </w:r>
      <w:proofErr w:type="spellStart"/>
      <w:r>
        <w:rPr>
          <w:rFonts w:ascii="Calibri" w:eastAsia="Calibri" w:hAnsi="Calibri" w:cs="Calibri"/>
          <w:color w:val="000000"/>
          <w:lang w:val="en-GB"/>
        </w:rPr>
        <w:t>Hamborsky</w:t>
      </w:r>
      <w:proofErr w:type="spellEnd"/>
      <w:r>
        <w:rPr>
          <w:rFonts w:ascii="Calibri" w:eastAsia="Calibri" w:hAnsi="Calibri" w:cs="Calibri"/>
          <w:color w:val="000000"/>
          <w:lang w:val="en-GB"/>
        </w:rPr>
        <w:t xml:space="preserve"> J, editors. </w:t>
      </w:r>
      <w:r>
        <w:rPr>
          <w:rFonts w:ascii="Calibri" w:eastAsia="Calibri" w:hAnsi="Calibri" w:cs="Calibri"/>
          <w:i/>
          <w:iCs/>
          <w:color w:val="000000"/>
          <w:lang w:val="en-GB"/>
        </w:rPr>
        <w:t>Epidemiology and prevention of vaccine preventable diseases</w:t>
      </w:r>
      <w:r>
        <w:rPr>
          <w:rFonts w:ascii="Calibri" w:eastAsia="Calibri" w:hAnsi="Calibri" w:cs="Calibri"/>
          <w:color w:val="000000"/>
          <w:lang w:val="en-GB"/>
        </w:rPr>
        <w:t xml:space="preserve">. 12th </w:t>
      </w:r>
      <w:proofErr w:type="spellStart"/>
      <w:r>
        <w:rPr>
          <w:rFonts w:ascii="Calibri" w:eastAsia="Calibri" w:hAnsi="Calibri" w:cs="Calibri"/>
          <w:color w:val="000000"/>
          <w:lang w:val="en-GB"/>
        </w:rPr>
        <w:t>edn</w:t>
      </w:r>
      <w:proofErr w:type="spellEnd"/>
      <w:r>
        <w:rPr>
          <w:rFonts w:ascii="Calibri" w:eastAsia="Calibri" w:hAnsi="Calibri" w:cs="Calibri"/>
          <w:color w:val="000000"/>
          <w:lang w:val="en-GB"/>
        </w:rPr>
        <w:t>. Washington, D.C.: Public Health Foundation; 2011.</w:t>
      </w:r>
    </w:p>
    <w:p w14:paraId="65AA265D"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World Health Organization. Measles. In: </w:t>
      </w:r>
      <w:r>
        <w:rPr>
          <w:rFonts w:ascii="Calibri" w:eastAsia="Calibri" w:hAnsi="Calibri" w:cs="Calibri"/>
          <w:i/>
          <w:iCs/>
          <w:color w:val="000000"/>
          <w:lang w:val="en-GB"/>
        </w:rPr>
        <w:t>Disease Fact Sheets</w:t>
      </w:r>
      <w:r>
        <w:rPr>
          <w:rFonts w:ascii="Calibri" w:eastAsia="Calibri" w:hAnsi="Calibri" w:cs="Calibri"/>
          <w:color w:val="000000"/>
          <w:lang w:val="en-GB"/>
        </w:rPr>
        <w:t>. Geneva; 2014.</w:t>
      </w:r>
    </w:p>
    <w:p w14:paraId="4B8EAA35"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proofErr w:type="spellStart"/>
      <w:r>
        <w:rPr>
          <w:rFonts w:ascii="Calibri" w:eastAsia="Calibri" w:hAnsi="Calibri" w:cs="Calibri"/>
          <w:color w:val="000000"/>
          <w:lang w:val="en-GB"/>
        </w:rPr>
        <w:t>Strebel</w:t>
      </w:r>
      <w:proofErr w:type="spellEnd"/>
      <w:r>
        <w:rPr>
          <w:rFonts w:ascii="Calibri" w:eastAsia="Calibri" w:hAnsi="Calibri" w:cs="Calibri"/>
          <w:color w:val="000000"/>
          <w:lang w:val="en-GB"/>
        </w:rPr>
        <w:t xml:space="preserve"> P, </w:t>
      </w:r>
      <w:proofErr w:type="spellStart"/>
      <w:r>
        <w:rPr>
          <w:rFonts w:ascii="Calibri" w:eastAsia="Calibri" w:hAnsi="Calibri" w:cs="Calibri"/>
          <w:color w:val="000000"/>
          <w:lang w:val="en-GB"/>
        </w:rPr>
        <w:t>Papania</w:t>
      </w:r>
      <w:proofErr w:type="spellEnd"/>
      <w:r>
        <w:rPr>
          <w:rFonts w:ascii="Calibri" w:eastAsia="Calibri" w:hAnsi="Calibri" w:cs="Calibri"/>
          <w:color w:val="000000"/>
          <w:lang w:val="en-GB"/>
        </w:rPr>
        <w:t xml:space="preserve"> M, Dayan G, Halsey N. Vaccines. In: Plotkin SA, Orenstein WA, Offit PA, editors. Philadelphia: Saunders Elsevier; 2008.</w:t>
      </w:r>
    </w:p>
    <w:p w14:paraId="3B2486BA"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Heywood AE, Gidding HF, Riddell MA, McIntyre PB, </w:t>
      </w:r>
      <w:proofErr w:type="spellStart"/>
      <w:r>
        <w:rPr>
          <w:rFonts w:ascii="Calibri" w:eastAsia="Calibri" w:hAnsi="Calibri" w:cs="Calibri"/>
          <w:color w:val="000000"/>
          <w:lang w:val="en-GB"/>
        </w:rPr>
        <w:t>MacIntyre</w:t>
      </w:r>
      <w:proofErr w:type="spellEnd"/>
      <w:r>
        <w:rPr>
          <w:rFonts w:ascii="Calibri" w:eastAsia="Calibri" w:hAnsi="Calibri" w:cs="Calibri"/>
          <w:color w:val="000000"/>
          <w:lang w:val="en-GB"/>
        </w:rPr>
        <w:t xml:space="preserve"> CR, Kelly HA. Elimination of endemic measles transmission in Australia</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Bull World Health Organ</w:t>
      </w:r>
      <w:r>
        <w:rPr>
          <w:rFonts w:ascii="Calibri" w:eastAsia="Calibri" w:hAnsi="Calibri" w:cs="Calibri"/>
          <w:color w:val="000000"/>
          <w:lang w:val="en-GB"/>
        </w:rPr>
        <w:t xml:space="preserve"> 2009;87(1):64–71.</w:t>
      </w:r>
    </w:p>
    <w:p w14:paraId="03514E63"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Gidding H, Wood J, </w:t>
      </w:r>
      <w:proofErr w:type="spellStart"/>
      <w:r>
        <w:rPr>
          <w:rFonts w:ascii="Calibri" w:eastAsia="Calibri" w:hAnsi="Calibri" w:cs="Calibri"/>
          <w:color w:val="000000"/>
          <w:lang w:val="en-GB"/>
        </w:rPr>
        <w:t>MacIntyre</w:t>
      </w:r>
      <w:proofErr w:type="spellEnd"/>
      <w:r>
        <w:rPr>
          <w:rFonts w:ascii="Calibri" w:eastAsia="Calibri" w:hAnsi="Calibri" w:cs="Calibri"/>
          <w:color w:val="000000"/>
          <w:lang w:val="en-GB"/>
        </w:rPr>
        <w:t xml:space="preserve"> CR, Kelly H, Lambert SB, Gilbert GL, et al. Sustained measles elimination in Australia and priorities for long-term maintenance</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Vaccine</w:t>
      </w:r>
      <w:r>
        <w:rPr>
          <w:rFonts w:ascii="Calibri" w:eastAsia="Calibri" w:hAnsi="Calibri" w:cs="Calibri"/>
          <w:color w:val="000000"/>
          <w:lang w:val="en-GB"/>
        </w:rPr>
        <w:t xml:space="preserve"> 2007;25(18):3574–3580.</w:t>
      </w:r>
    </w:p>
    <w:p w14:paraId="6138E402"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Gidding HF, Gilbert GL. Measles immunity in young Australian adults</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Commun Dis Intell</w:t>
      </w:r>
      <w:r>
        <w:rPr>
          <w:rFonts w:ascii="Calibri" w:eastAsia="Calibri" w:hAnsi="Calibri" w:cs="Calibri"/>
          <w:color w:val="000000"/>
          <w:lang w:val="en-GB"/>
        </w:rPr>
        <w:t xml:space="preserve"> 2001;25(3):133–136. </w:t>
      </w:r>
    </w:p>
    <w:p w14:paraId="5E901BD6"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Australian Government Department of Health. The Australian Immunisation Handbook. 10th </w:t>
      </w:r>
      <w:proofErr w:type="spellStart"/>
      <w:r>
        <w:rPr>
          <w:rFonts w:ascii="Calibri" w:eastAsia="Calibri" w:hAnsi="Calibri" w:cs="Calibri"/>
          <w:color w:val="000000"/>
          <w:lang w:val="en-GB"/>
        </w:rPr>
        <w:t>edn</w:t>
      </w:r>
      <w:proofErr w:type="spellEnd"/>
      <w:r>
        <w:rPr>
          <w:rFonts w:ascii="Calibri" w:eastAsia="Calibri" w:hAnsi="Calibri" w:cs="Calibri"/>
          <w:color w:val="000000"/>
          <w:lang w:val="en-GB"/>
        </w:rPr>
        <w:t>. 2016.</w:t>
      </w:r>
    </w:p>
    <w:p w14:paraId="5988BBEE"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de Serres G, Gay NJ, Farrington CP. Epidemiology of transmissible diseases after elimination</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 xml:space="preserve">Am J </w:t>
      </w:r>
      <w:proofErr w:type="spellStart"/>
      <w:r>
        <w:rPr>
          <w:rFonts w:ascii="Calibri" w:eastAsia="Calibri" w:hAnsi="Calibri" w:cs="Calibri"/>
          <w:i/>
          <w:iCs/>
          <w:color w:val="000000"/>
          <w:lang w:val="en-GB"/>
        </w:rPr>
        <w:t>Epidemiol</w:t>
      </w:r>
      <w:proofErr w:type="spellEnd"/>
      <w:r>
        <w:rPr>
          <w:rFonts w:ascii="Calibri" w:eastAsia="Calibri" w:hAnsi="Calibri" w:cs="Calibri"/>
          <w:color w:val="000000"/>
          <w:lang w:val="en-GB"/>
        </w:rPr>
        <w:t xml:space="preserve"> 2000;151(11):1039-1048. </w:t>
      </w:r>
    </w:p>
    <w:p w14:paraId="6D9E7578" w14:textId="1C66E4D0"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lastRenderedPageBreak/>
        <w:t xml:space="preserve">World Health Organization. Four Western Pacific countries and areas are the first in their Region to be measles-free. 2014. Accessed on 12/02/2019. </w:t>
      </w:r>
      <w:hyperlink r:id="rId156" w:tooltip="https://www.who.int/westernpacific/news/detail/20-03-2014-four-western-pacific-countries-and-areas-are-the-first-in-their-region-to-be-measles-free" w:history="1">
        <w:r w:rsidR="001047AB" w:rsidRPr="009928CF">
          <w:rPr>
            <w:rStyle w:val="Hyperlink"/>
            <w:rFonts w:ascii="Calibri" w:eastAsia="Calibri" w:hAnsi="Calibri" w:cs="Calibri"/>
            <w:lang w:val="en-GB"/>
          </w:rPr>
          <w:t>https://www.who.int/westernpacific/news/detail/20-03-2014-four-western-pacific-countries-and-areas-are-the-first-in-their-region-to-be-measles-free</w:t>
        </w:r>
      </w:hyperlink>
    </w:p>
    <w:p w14:paraId="730D7EE4" w14:textId="22D1288B" w:rsidR="001047AB" w:rsidRPr="009928CF" w:rsidRDefault="00222B5B" w:rsidP="00222B5B">
      <w:pPr>
        <w:numPr>
          <w:ilvl w:val="0"/>
          <w:numId w:val="49"/>
        </w:numPr>
        <w:autoSpaceDE w:val="0"/>
        <w:autoSpaceDN w:val="0"/>
        <w:adjustRightInd w:val="0"/>
        <w:spacing w:after="170" w:line="288" w:lineRule="auto"/>
        <w:ind w:left="567" w:hanging="567"/>
        <w:textAlignment w:val="center"/>
        <w:divId w:val="2110732990"/>
        <w:rPr>
          <w:rStyle w:val="Hyperlink"/>
          <w:rFonts w:ascii="Calibri" w:eastAsia="Calibri" w:hAnsi="Calibri" w:cs="Calibri"/>
          <w:lang w:val="en-GB"/>
        </w:rPr>
      </w:pPr>
      <w:proofErr w:type="gramStart"/>
      <w:r>
        <w:rPr>
          <w:rFonts w:ascii="Calibri" w:eastAsia="Calibri" w:hAnsi="Calibri" w:cs="Calibri"/>
          <w:color w:val="000000"/>
          <w:lang w:val="en-GB"/>
        </w:rPr>
        <w:t>Gidding  HF</w:t>
      </w:r>
      <w:proofErr w:type="gramEnd"/>
      <w:r>
        <w:rPr>
          <w:rFonts w:ascii="Calibri" w:eastAsia="Calibri" w:hAnsi="Calibri" w:cs="Calibri"/>
          <w:color w:val="000000"/>
          <w:lang w:val="en-GB"/>
        </w:rPr>
        <w:t xml:space="preserve">, Martin NV, </w:t>
      </w:r>
      <w:proofErr w:type="spellStart"/>
      <w:r>
        <w:rPr>
          <w:rFonts w:ascii="Calibri" w:eastAsia="Calibri" w:hAnsi="Calibri" w:cs="Calibri"/>
          <w:color w:val="000000"/>
          <w:lang w:val="en-GB"/>
        </w:rPr>
        <w:t>Stambos</w:t>
      </w:r>
      <w:proofErr w:type="spellEnd"/>
      <w:r>
        <w:rPr>
          <w:rFonts w:ascii="Calibri" w:eastAsia="Calibri" w:hAnsi="Calibri" w:cs="Calibri"/>
          <w:color w:val="000000"/>
          <w:lang w:val="en-GB"/>
        </w:rPr>
        <w:t xml:space="preserve"> V, Tran T, Dey  A, Dowse GK, et al. Verification of measles elimination in Australia: Application of World Health Organization regional guidelines</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Journal of Epidemiology and Global Health</w:t>
      </w:r>
      <w:r>
        <w:rPr>
          <w:rFonts w:ascii="Calibri" w:eastAsia="Calibri" w:hAnsi="Calibri" w:cs="Calibri"/>
          <w:color w:val="000000"/>
          <w:lang w:val="en-GB"/>
        </w:rPr>
        <w:t xml:space="preserve"> 2016;6(3):197–209. Available at: </w:t>
      </w:r>
      <w:r w:rsidR="001047AB">
        <w:rPr>
          <w:rFonts w:ascii="Calibri" w:eastAsia="Calibri" w:hAnsi="Calibri" w:cs="Calibri"/>
          <w:lang w:val="en-GB"/>
        </w:rPr>
        <w:fldChar w:fldCharType="begin"/>
      </w:r>
      <w:r w:rsidR="0021477A">
        <w:rPr>
          <w:rFonts w:ascii="Calibri" w:eastAsia="Calibri" w:hAnsi="Calibri" w:cs="Calibri"/>
          <w:lang w:val="en-GB"/>
        </w:rPr>
        <w:instrText>HYPERLINK "http://www.sciencedirect.com/science/article/pii/S2210600615300903" \o "http://www.sciencedirect.com/science/article/pii/S2210600615300903 "</w:instrText>
      </w:r>
      <w:r w:rsidR="0021477A">
        <w:rPr>
          <w:rFonts w:ascii="Calibri" w:eastAsia="Calibri" w:hAnsi="Calibri" w:cs="Calibri"/>
          <w:lang w:val="en-GB"/>
        </w:rPr>
      </w:r>
      <w:r w:rsidR="001047AB">
        <w:rPr>
          <w:rFonts w:ascii="Calibri" w:eastAsia="Calibri" w:hAnsi="Calibri" w:cs="Calibri"/>
          <w:lang w:val="en-GB"/>
        </w:rPr>
        <w:fldChar w:fldCharType="separate"/>
      </w:r>
      <w:r w:rsidR="001047AB" w:rsidRPr="009928CF">
        <w:rPr>
          <w:rStyle w:val="Hyperlink"/>
          <w:rFonts w:ascii="Calibri" w:eastAsia="Calibri" w:hAnsi="Calibri" w:cs="Calibri"/>
          <w:lang w:val="en-GB"/>
        </w:rPr>
        <w:t xml:space="preserve">http://www.sciencedirect.com/science/article/pii/S2210600615300903 </w:t>
      </w:r>
    </w:p>
    <w:p w14:paraId="67C9EC3C" w14:textId="77777777" w:rsidR="00222B5B" w:rsidRDefault="001047A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lang w:val="en-GB"/>
        </w:rPr>
        <w:fldChar w:fldCharType="end"/>
      </w:r>
      <w:r w:rsidR="00222B5B">
        <w:rPr>
          <w:rFonts w:ascii="Calibri" w:eastAsia="Calibri" w:hAnsi="Calibri" w:cs="Calibri"/>
          <w:color w:val="000000"/>
          <w:lang w:val="en-GB"/>
        </w:rPr>
        <w:t xml:space="preserve">Plotkin SA, Rubin S. </w:t>
      </w:r>
      <w:r w:rsidR="00222B5B">
        <w:rPr>
          <w:rFonts w:ascii="Calibri" w:eastAsia="Calibri" w:hAnsi="Calibri" w:cs="Calibri"/>
          <w:i/>
          <w:iCs/>
          <w:color w:val="000000"/>
          <w:lang w:val="en-GB"/>
        </w:rPr>
        <w:t>Mumps vaccine</w:t>
      </w:r>
      <w:r w:rsidR="00222B5B">
        <w:rPr>
          <w:rFonts w:ascii="Calibri" w:eastAsia="Calibri" w:hAnsi="Calibri" w:cs="Calibri"/>
          <w:color w:val="000000"/>
          <w:lang w:val="en-GB"/>
        </w:rPr>
        <w:t xml:space="preserve">. 5th </w:t>
      </w:r>
      <w:proofErr w:type="spellStart"/>
      <w:r w:rsidR="00222B5B">
        <w:rPr>
          <w:rFonts w:ascii="Calibri" w:eastAsia="Calibri" w:hAnsi="Calibri" w:cs="Calibri"/>
          <w:color w:val="000000"/>
          <w:lang w:val="en-GB"/>
        </w:rPr>
        <w:t>edn</w:t>
      </w:r>
      <w:proofErr w:type="spellEnd"/>
      <w:r w:rsidR="00222B5B">
        <w:rPr>
          <w:rFonts w:ascii="Calibri" w:eastAsia="Calibri" w:hAnsi="Calibri" w:cs="Calibri"/>
          <w:color w:val="000000"/>
          <w:lang w:val="en-GB"/>
        </w:rPr>
        <w:t>. Philadelphia, PA: Saunders Elsevier; 2008.</w:t>
      </w:r>
    </w:p>
    <w:p w14:paraId="487899EE"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Westphal D, Huppatz C, Eastwood A, Davies J, </w:t>
      </w:r>
      <w:proofErr w:type="spellStart"/>
      <w:r>
        <w:rPr>
          <w:rFonts w:ascii="Calibri" w:eastAsia="Calibri" w:hAnsi="Calibri" w:cs="Calibri"/>
          <w:color w:val="000000"/>
          <w:lang w:val="en-GB"/>
        </w:rPr>
        <w:t>Lyttle</w:t>
      </w:r>
      <w:proofErr w:type="spellEnd"/>
      <w:r>
        <w:rPr>
          <w:rFonts w:ascii="Calibri" w:eastAsia="Calibri" w:hAnsi="Calibri" w:cs="Calibri"/>
          <w:color w:val="000000"/>
          <w:lang w:val="en-GB"/>
        </w:rPr>
        <w:t xml:space="preserve"> H, Gilles M, et al. The epidemiology of a large mumps outbreak in Western Australia 2015–2016. In: Government of Western Australia Department of Health, </w:t>
      </w:r>
      <w:proofErr w:type="spellStart"/>
      <w:r>
        <w:rPr>
          <w:rFonts w:ascii="Calibri" w:eastAsia="Calibri" w:hAnsi="Calibri" w:cs="Calibri"/>
          <w:color w:val="000000"/>
          <w:lang w:val="en-GB"/>
        </w:rPr>
        <w:t>PathWest</w:t>
      </w:r>
      <w:proofErr w:type="spellEnd"/>
      <w:r>
        <w:rPr>
          <w:rFonts w:ascii="Calibri" w:eastAsia="Calibri" w:hAnsi="Calibri" w:cs="Calibri"/>
          <w:color w:val="000000"/>
          <w:lang w:val="en-GB"/>
        </w:rPr>
        <w:t xml:space="preserve">, Australian National University, Telethon Kids Institute, editors. </w:t>
      </w:r>
      <w:r>
        <w:rPr>
          <w:rFonts w:ascii="Calibri" w:eastAsia="Calibri" w:hAnsi="Calibri" w:cs="Calibri"/>
          <w:i/>
          <w:iCs/>
          <w:color w:val="000000"/>
          <w:lang w:val="en-GB"/>
        </w:rPr>
        <w:t xml:space="preserve">Communicable Diseases Control Conference, Infectious Diseases: a global challenge. </w:t>
      </w:r>
      <w:r>
        <w:rPr>
          <w:rFonts w:ascii="Calibri" w:eastAsia="Calibri" w:hAnsi="Calibri" w:cs="Calibri"/>
          <w:color w:val="000000"/>
          <w:lang w:val="en-GB"/>
        </w:rPr>
        <w:t>Melbourne, Australia: Public Health Association of Australia; 2017. p. 7.</w:t>
      </w:r>
    </w:p>
    <w:p w14:paraId="55B61B06"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Bangor-Jones RD, Dowse GK, </w:t>
      </w:r>
      <w:proofErr w:type="spellStart"/>
      <w:r>
        <w:rPr>
          <w:rFonts w:ascii="Calibri" w:eastAsia="Calibri" w:hAnsi="Calibri" w:cs="Calibri"/>
          <w:color w:val="000000"/>
          <w:lang w:val="en-GB"/>
        </w:rPr>
        <w:t>Giele</w:t>
      </w:r>
      <w:proofErr w:type="spellEnd"/>
      <w:r>
        <w:rPr>
          <w:rFonts w:ascii="Calibri" w:eastAsia="Calibri" w:hAnsi="Calibri" w:cs="Calibri"/>
          <w:color w:val="000000"/>
          <w:lang w:val="en-GB"/>
        </w:rPr>
        <w:t xml:space="preserve"> CM, van </w:t>
      </w:r>
      <w:proofErr w:type="spellStart"/>
      <w:r>
        <w:rPr>
          <w:rFonts w:ascii="Calibri" w:eastAsia="Calibri" w:hAnsi="Calibri" w:cs="Calibri"/>
          <w:color w:val="000000"/>
          <w:lang w:val="en-GB"/>
        </w:rPr>
        <w:t>Buynder</w:t>
      </w:r>
      <w:proofErr w:type="spellEnd"/>
      <w:r>
        <w:rPr>
          <w:rFonts w:ascii="Calibri" w:eastAsia="Calibri" w:hAnsi="Calibri" w:cs="Calibri"/>
          <w:color w:val="000000"/>
          <w:lang w:val="en-GB"/>
        </w:rPr>
        <w:t xml:space="preserve"> PG, Hodge MM, Whitty MM. A prolonged mumps outbreak among highly vaccinated Aboriginal people in the Kimberley region of Western Australia</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 xml:space="preserve">Med J </w:t>
      </w:r>
      <w:proofErr w:type="spellStart"/>
      <w:r>
        <w:rPr>
          <w:rFonts w:ascii="Calibri" w:eastAsia="Calibri" w:hAnsi="Calibri" w:cs="Calibri"/>
          <w:i/>
          <w:iCs/>
          <w:color w:val="000000"/>
          <w:lang w:val="en-GB"/>
        </w:rPr>
        <w:t>Aust</w:t>
      </w:r>
      <w:proofErr w:type="spellEnd"/>
      <w:r>
        <w:rPr>
          <w:rFonts w:ascii="Calibri" w:eastAsia="Calibri" w:hAnsi="Calibri" w:cs="Calibri"/>
          <w:color w:val="000000"/>
          <w:lang w:val="en-GB"/>
        </w:rPr>
        <w:t xml:space="preserve"> 2009;191(7):4. </w:t>
      </w:r>
    </w:p>
    <w:p w14:paraId="46378DAC"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Westphal D, </w:t>
      </w:r>
      <w:proofErr w:type="spellStart"/>
      <w:r>
        <w:rPr>
          <w:rFonts w:ascii="Calibri" w:eastAsia="Calibri" w:hAnsi="Calibri" w:cs="Calibri"/>
          <w:color w:val="000000"/>
          <w:lang w:val="en-GB"/>
        </w:rPr>
        <w:t>Giele</w:t>
      </w:r>
      <w:proofErr w:type="spellEnd"/>
      <w:r>
        <w:rPr>
          <w:rFonts w:ascii="Calibri" w:eastAsia="Calibri" w:hAnsi="Calibri" w:cs="Calibri"/>
          <w:color w:val="000000"/>
          <w:lang w:val="en-GB"/>
        </w:rPr>
        <w:t xml:space="preserve"> C, Levy A, </w:t>
      </w:r>
      <w:proofErr w:type="spellStart"/>
      <w:r>
        <w:rPr>
          <w:rFonts w:ascii="Calibri" w:eastAsia="Calibri" w:hAnsi="Calibri" w:cs="Calibri"/>
          <w:color w:val="000000"/>
          <w:lang w:val="en-GB"/>
        </w:rPr>
        <w:t>Chuad</w:t>
      </w:r>
      <w:proofErr w:type="spellEnd"/>
      <w:r>
        <w:rPr>
          <w:rFonts w:ascii="Calibri" w:eastAsia="Calibri" w:hAnsi="Calibri" w:cs="Calibri"/>
          <w:color w:val="000000"/>
          <w:lang w:val="en-GB"/>
        </w:rPr>
        <w:t xml:space="preserve"> J, Williams S, </w:t>
      </w:r>
      <w:proofErr w:type="spellStart"/>
      <w:r>
        <w:rPr>
          <w:rFonts w:ascii="Calibri" w:eastAsia="Calibri" w:hAnsi="Calibri" w:cs="Calibri"/>
          <w:color w:val="000000"/>
          <w:lang w:val="en-GB"/>
        </w:rPr>
        <w:t>Effler</w:t>
      </w:r>
      <w:proofErr w:type="spellEnd"/>
      <w:r>
        <w:rPr>
          <w:rFonts w:ascii="Calibri" w:eastAsia="Calibri" w:hAnsi="Calibri" w:cs="Calibri"/>
          <w:color w:val="000000"/>
          <w:lang w:val="en-GB"/>
        </w:rPr>
        <w:t xml:space="preserve"> P, et al. A second prolonged mumps outbreak in highly vaccinated Aboriginal Western Australians. In: Government of Western Australia Department of Health, </w:t>
      </w:r>
      <w:proofErr w:type="spellStart"/>
      <w:r>
        <w:rPr>
          <w:rFonts w:ascii="Calibri" w:eastAsia="Calibri" w:hAnsi="Calibri" w:cs="Calibri"/>
          <w:color w:val="000000"/>
          <w:lang w:val="en-GB"/>
        </w:rPr>
        <w:t>PathWest</w:t>
      </w:r>
      <w:proofErr w:type="spellEnd"/>
      <w:r>
        <w:rPr>
          <w:rFonts w:ascii="Calibri" w:eastAsia="Calibri" w:hAnsi="Calibri" w:cs="Calibri"/>
          <w:color w:val="000000"/>
          <w:lang w:val="en-GB"/>
        </w:rPr>
        <w:t xml:space="preserve">, Australian National University, Telethon Kids Institute, editors. </w:t>
      </w:r>
      <w:r>
        <w:rPr>
          <w:rFonts w:ascii="Calibri" w:eastAsia="Calibri" w:hAnsi="Calibri" w:cs="Calibri"/>
          <w:i/>
          <w:iCs/>
          <w:color w:val="000000"/>
          <w:lang w:val="en-GB"/>
        </w:rPr>
        <w:t>Public Health Association of Australia 15th National Immunisation Conference</w:t>
      </w:r>
      <w:r>
        <w:rPr>
          <w:rFonts w:ascii="Calibri" w:eastAsia="Calibri" w:hAnsi="Calibri" w:cs="Calibri"/>
          <w:color w:val="000000"/>
          <w:lang w:val="en-GB"/>
        </w:rPr>
        <w:t>. Brisbane, Australia; 2016.</w:t>
      </w:r>
    </w:p>
    <w:p w14:paraId="5C42C6D1"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Deeks S, Lim G, Simpson M, </w:t>
      </w:r>
      <w:proofErr w:type="spellStart"/>
      <w:r>
        <w:rPr>
          <w:rFonts w:ascii="Calibri" w:eastAsia="Calibri" w:hAnsi="Calibri" w:cs="Calibri"/>
          <w:color w:val="000000"/>
          <w:lang w:val="en-GB"/>
        </w:rPr>
        <w:t>Gagné</w:t>
      </w:r>
      <w:proofErr w:type="spellEnd"/>
      <w:r>
        <w:rPr>
          <w:rFonts w:ascii="Calibri" w:eastAsia="Calibri" w:hAnsi="Calibri" w:cs="Calibri"/>
          <w:color w:val="000000"/>
          <w:lang w:val="en-GB"/>
        </w:rPr>
        <w:t xml:space="preserve"> L, </w:t>
      </w:r>
      <w:proofErr w:type="spellStart"/>
      <w:r>
        <w:rPr>
          <w:rFonts w:ascii="Calibri" w:eastAsia="Calibri" w:hAnsi="Calibri" w:cs="Calibri"/>
          <w:color w:val="000000"/>
          <w:lang w:val="en-GB"/>
        </w:rPr>
        <w:t>Kristjanson</w:t>
      </w:r>
      <w:proofErr w:type="spellEnd"/>
      <w:r>
        <w:rPr>
          <w:rFonts w:ascii="Calibri" w:eastAsia="Calibri" w:hAnsi="Calibri" w:cs="Calibri"/>
          <w:color w:val="000000"/>
          <w:lang w:val="en-GB"/>
        </w:rPr>
        <w:t xml:space="preserve"> E, Fung C, et al. An assessment of mumps vaccine effectiveness by dose during an outbreak in Canada</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Can Med Assoc J</w:t>
      </w:r>
      <w:r>
        <w:rPr>
          <w:rFonts w:ascii="Calibri" w:eastAsia="Calibri" w:hAnsi="Calibri" w:cs="Calibri"/>
          <w:color w:val="000000"/>
          <w:lang w:val="en-GB"/>
        </w:rPr>
        <w:t xml:space="preserve"> 2011;183(9):1014–1020. </w:t>
      </w:r>
    </w:p>
    <w:p w14:paraId="08D216C5"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proofErr w:type="spellStart"/>
      <w:r>
        <w:rPr>
          <w:rFonts w:ascii="Calibri" w:eastAsia="Calibri" w:hAnsi="Calibri" w:cs="Calibri"/>
          <w:color w:val="000000"/>
          <w:lang w:val="en-GB"/>
        </w:rPr>
        <w:t>Demicheli</w:t>
      </w:r>
      <w:proofErr w:type="spellEnd"/>
      <w:r>
        <w:rPr>
          <w:rFonts w:ascii="Calibri" w:eastAsia="Calibri" w:hAnsi="Calibri" w:cs="Calibri"/>
          <w:color w:val="000000"/>
          <w:lang w:val="en-GB"/>
        </w:rPr>
        <w:t xml:space="preserve"> V, </w:t>
      </w:r>
      <w:proofErr w:type="spellStart"/>
      <w:r>
        <w:rPr>
          <w:rFonts w:ascii="Calibri" w:eastAsia="Calibri" w:hAnsi="Calibri" w:cs="Calibri"/>
          <w:color w:val="000000"/>
          <w:lang w:val="en-GB"/>
        </w:rPr>
        <w:t>Rivetti</w:t>
      </w:r>
      <w:proofErr w:type="spellEnd"/>
      <w:r>
        <w:rPr>
          <w:rFonts w:ascii="Calibri" w:eastAsia="Calibri" w:hAnsi="Calibri" w:cs="Calibri"/>
          <w:color w:val="000000"/>
          <w:lang w:val="en-GB"/>
        </w:rPr>
        <w:t xml:space="preserve"> A, </w:t>
      </w:r>
      <w:proofErr w:type="spellStart"/>
      <w:r>
        <w:rPr>
          <w:rFonts w:ascii="Calibri" w:eastAsia="Calibri" w:hAnsi="Calibri" w:cs="Calibri"/>
          <w:color w:val="000000"/>
          <w:lang w:val="en-GB"/>
        </w:rPr>
        <w:t>Debalini</w:t>
      </w:r>
      <w:proofErr w:type="spellEnd"/>
      <w:r>
        <w:rPr>
          <w:rFonts w:ascii="Calibri" w:eastAsia="Calibri" w:hAnsi="Calibri" w:cs="Calibri"/>
          <w:color w:val="000000"/>
          <w:lang w:val="en-GB"/>
        </w:rPr>
        <w:t xml:space="preserve"> M, Di </w:t>
      </w:r>
      <w:proofErr w:type="spellStart"/>
      <w:r>
        <w:rPr>
          <w:rFonts w:ascii="Calibri" w:eastAsia="Calibri" w:hAnsi="Calibri" w:cs="Calibri"/>
          <w:color w:val="000000"/>
          <w:lang w:val="en-GB"/>
        </w:rPr>
        <w:t>Pietrantonj</w:t>
      </w:r>
      <w:proofErr w:type="spellEnd"/>
      <w:r>
        <w:rPr>
          <w:rFonts w:ascii="Calibri" w:eastAsia="Calibri" w:hAnsi="Calibri" w:cs="Calibri"/>
          <w:color w:val="000000"/>
          <w:lang w:val="en-GB"/>
        </w:rPr>
        <w:t xml:space="preserve"> C. Vaccines for measles, </w:t>
      </w:r>
      <w:proofErr w:type="gramStart"/>
      <w:r>
        <w:rPr>
          <w:rFonts w:ascii="Calibri" w:eastAsia="Calibri" w:hAnsi="Calibri" w:cs="Calibri"/>
          <w:color w:val="000000"/>
          <w:lang w:val="en-GB"/>
        </w:rPr>
        <w:t>mumps</w:t>
      </w:r>
      <w:proofErr w:type="gramEnd"/>
      <w:r>
        <w:rPr>
          <w:rFonts w:ascii="Calibri" w:eastAsia="Calibri" w:hAnsi="Calibri" w:cs="Calibri"/>
          <w:color w:val="000000"/>
          <w:lang w:val="en-GB"/>
        </w:rPr>
        <w:t xml:space="preserve"> and rubella in children</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Cochrane Database Sys Rev</w:t>
      </w:r>
      <w:r>
        <w:rPr>
          <w:rFonts w:ascii="Calibri" w:eastAsia="Calibri" w:hAnsi="Calibri" w:cs="Calibri"/>
          <w:color w:val="000000"/>
          <w:lang w:val="en-GB"/>
        </w:rPr>
        <w:t xml:space="preserve"> 2012;2:CD004407. </w:t>
      </w:r>
    </w:p>
    <w:p w14:paraId="7EC04B0B"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Gupta R, Best J, </w:t>
      </w:r>
      <w:proofErr w:type="spellStart"/>
      <w:r>
        <w:rPr>
          <w:rFonts w:ascii="Calibri" w:eastAsia="Calibri" w:hAnsi="Calibri" w:cs="Calibri"/>
          <w:color w:val="000000"/>
          <w:lang w:val="en-GB"/>
        </w:rPr>
        <w:t>MacMahon</w:t>
      </w:r>
      <w:proofErr w:type="spellEnd"/>
      <w:r>
        <w:rPr>
          <w:rFonts w:ascii="Calibri" w:eastAsia="Calibri" w:hAnsi="Calibri" w:cs="Calibri"/>
          <w:color w:val="000000"/>
          <w:lang w:val="en-GB"/>
        </w:rPr>
        <w:t xml:space="preserve"> E. </w:t>
      </w:r>
      <w:proofErr w:type="gramStart"/>
      <w:r>
        <w:rPr>
          <w:rFonts w:ascii="Calibri" w:eastAsia="Calibri" w:hAnsi="Calibri" w:cs="Calibri"/>
          <w:color w:val="000000"/>
          <w:lang w:val="en-GB"/>
        </w:rPr>
        <w:t>Mumps</w:t>
      </w:r>
      <w:proofErr w:type="gramEnd"/>
      <w:r>
        <w:rPr>
          <w:rFonts w:ascii="Calibri" w:eastAsia="Calibri" w:hAnsi="Calibri" w:cs="Calibri"/>
          <w:color w:val="000000"/>
          <w:lang w:val="en-GB"/>
        </w:rPr>
        <w:t xml:space="preserve"> and the UK epidemic 2005</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BMJ</w:t>
      </w:r>
      <w:r>
        <w:rPr>
          <w:rFonts w:ascii="Calibri" w:eastAsia="Calibri" w:hAnsi="Calibri" w:cs="Calibri"/>
          <w:color w:val="000000"/>
          <w:lang w:val="en-GB"/>
        </w:rPr>
        <w:t xml:space="preserve"> </w:t>
      </w:r>
      <w:proofErr w:type="gramStart"/>
      <w:r>
        <w:rPr>
          <w:rFonts w:ascii="Calibri" w:eastAsia="Calibri" w:hAnsi="Calibri" w:cs="Calibri"/>
          <w:color w:val="000000"/>
          <w:lang w:val="en-GB"/>
        </w:rPr>
        <w:t>2005;330:1132</w:t>
      </w:r>
      <w:proofErr w:type="gramEnd"/>
      <w:r>
        <w:rPr>
          <w:rFonts w:ascii="Calibri" w:eastAsia="Calibri" w:hAnsi="Calibri" w:cs="Calibri"/>
          <w:color w:val="000000"/>
          <w:lang w:val="en-GB"/>
        </w:rPr>
        <w:t xml:space="preserve">–1135. </w:t>
      </w:r>
    </w:p>
    <w:p w14:paraId="320BF024"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Dayan GH, </w:t>
      </w:r>
      <w:proofErr w:type="spellStart"/>
      <w:r>
        <w:rPr>
          <w:rFonts w:ascii="Calibri" w:eastAsia="Calibri" w:hAnsi="Calibri" w:cs="Calibri"/>
          <w:color w:val="000000"/>
          <w:lang w:val="en-GB"/>
        </w:rPr>
        <w:t>Quinlisk</w:t>
      </w:r>
      <w:proofErr w:type="spellEnd"/>
      <w:r>
        <w:rPr>
          <w:rFonts w:ascii="Calibri" w:eastAsia="Calibri" w:hAnsi="Calibri" w:cs="Calibri"/>
          <w:color w:val="000000"/>
          <w:lang w:val="en-GB"/>
        </w:rPr>
        <w:t xml:space="preserve"> MP, Parker AA, </w:t>
      </w:r>
      <w:proofErr w:type="spellStart"/>
      <w:r>
        <w:rPr>
          <w:rFonts w:ascii="Calibri" w:eastAsia="Calibri" w:hAnsi="Calibri" w:cs="Calibri"/>
          <w:color w:val="000000"/>
          <w:lang w:val="en-GB"/>
        </w:rPr>
        <w:t>Barskey</w:t>
      </w:r>
      <w:proofErr w:type="spellEnd"/>
      <w:r>
        <w:rPr>
          <w:rFonts w:ascii="Calibri" w:eastAsia="Calibri" w:hAnsi="Calibri" w:cs="Calibri"/>
          <w:color w:val="000000"/>
          <w:lang w:val="en-GB"/>
        </w:rPr>
        <w:t xml:space="preserve"> AE, Harris ML, Schwartz JM, et al. Recent resurgence of mumps in the United States</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N Engl J Med</w:t>
      </w:r>
      <w:r>
        <w:rPr>
          <w:rFonts w:ascii="Calibri" w:eastAsia="Calibri" w:hAnsi="Calibri" w:cs="Calibri"/>
          <w:color w:val="000000"/>
          <w:lang w:val="en-GB"/>
        </w:rPr>
        <w:t xml:space="preserve"> 2008;358(15):1580–1589. </w:t>
      </w:r>
    </w:p>
    <w:p w14:paraId="0F085465"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Whelan J, Van </w:t>
      </w:r>
      <w:proofErr w:type="spellStart"/>
      <w:r>
        <w:rPr>
          <w:rFonts w:ascii="Calibri" w:eastAsia="Calibri" w:hAnsi="Calibri" w:cs="Calibri"/>
          <w:color w:val="000000"/>
          <w:lang w:val="en-GB"/>
        </w:rPr>
        <w:t>Binnendijk</w:t>
      </w:r>
      <w:proofErr w:type="spellEnd"/>
      <w:r>
        <w:rPr>
          <w:rFonts w:ascii="Calibri" w:eastAsia="Calibri" w:hAnsi="Calibri" w:cs="Calibri"/>
          <w:color w:val="000000"/>
          <w:lang w:val="en-GB"/>
        </w:rPr>
        <w:t xml:space="preserve"> R, Greenland K, </w:t>
      </w:r>
      <w:proofErr w:type="spellStart"/>
      <w:r>
        <w:rPr>
          <w:rFonts w:ascii="Calibri" w:eastAsia="Calibri" w:hAnsi="Calibri" w:cs="Calibri"/>
          <w:color w:val="000000"/>
          <w:lang w:val="en-GB"/>
        </w:rPr>
        <w:t>Fanoy</w:t>
      </w:r>
      <w:proofErr w:type="spellEnd"/>
      <w:r>
        <w:rPr>
          <w:rFonts w:ascii="Calibri" w:eastAsia="Calibri" w:hAnsi="Calibri" w:cs="Calibri"/>
          <w:color w:val="000000"/>
          <w:lang w:val="en-GB"/>
        </w:rPr>
        <w:t xml:space="preserve"> E, </w:t>
      </w:r>
      <w:proofErr w:type="spellStart"/>
      <w:r>
        <w:rPr>
          <w:rFonts w:ascii="Calibri" w:eastAsia="Calibri" w:hAnsi="Calibri" w:cs="Calibri"/>
          <w:color w:val="000000"/>
          <w:lang w:val="en-GB"/>
        </w:rPr>
        <w:t>Kharqi</w:t>
      </w:r>
      <w:proofErr w:type="spellEnd"/>
      <w:r>
        <w:rPr>
          <w:rFonts w:ascii="Calibri" w:eastAsia="Calibri" w:hAnsi="Calibri" w:cs="Calibri"/>
          <w:color w:val="000000"/>
          <w:lang w:val="en-GB"/>
        </w:rPr>
        <w:t xml:space="preserve"> M, Yap K, et al. Ongoing mumps outbreak in a student population with high vaccination coverage, Netherlands</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 xml:space="preserve">Euro </w:t>
      </w:r>
      <w:proofErr w:type="spellStart"/>
      <w:r>
        <w:rPr>
          <w:rFonts w:ascii="Calibri" w:eastAsia="Calibri" w:hAnsi="Calibri" w:cs="Calibri"/>
          <w:i/>
          <w:iCs/>
          <w:color w:val="000000"/>
          <w:lang w:val="en-GB"/>
        </w:rPr>
        <w:t>Surveill</w:t>
      </w:r>
      <w:proofErr w:type="spellEnd"/>
      <w:r>
        <w:rPr>
          <w:rFonts w:ascii="Calibri" w:eastAsia="Calibri" w:hAnsi="Calibri" w:cs="Calibri"/>
          <w:color w:val="000000"/>
          <w:lang w:val="en-GB"/>
        </w:rPr>
        <w:t xml:space="preserve"> 2010;15(17</w:t>
      </w:r>
      <w:proofErr w:type="gramStart"/>
      <w:r>
        <w:rPr>
          <w:rFonts w:ascii="Calibri" w:eastAsia="Calibri" w:hAnsi="Calibri" w:cs="Calibri"/>
          <w:color w:val="000000"/>
          <w:lang w:val="en-GB"/>
        </w:rPr>
        <w:t>):pii</w:t>
      </w:r>
      <w:proofErr w:type="gramEnd"/>
      <w:r>
        <w:rPr>
          <w:rFonts w:ascii="Calibri" w:eastAsia="Calibri" w:hAnsi="Calibri" w:cs="Calibri"/>
          <w:color w:val="000000"/>
          <w:lang w:val="en-GB"/>
        </w:rPr>
        <w:t xml:space="preserve">:19554. </w:t>
      </w:r>
    </w:p>
    <w:p w14:paraId="4D9A6CD3"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Cohen C, White JM, Savage EJ, Glynn JR, Choi Y, Andrews N, et al. Vaccine effectiveness estimates, 2004–2005 mumps outbreak, England</w:t>
      </w:r>
      <w:r>
        <w:rPr>
          <w:rFonts w:ascii="Calibri" w:eastAsia="Calibri" w:hAnsi="Calibri" w:cs="Calibri"/>
          <w:i/>
          <w:iCs/>
          <w:color w:val="000000"/>
          <w:lang w:val="en-GB"/>
        </w:rPr>
        <w:t>.</w:t>
      </w:r>
      <w:r>
        <w:rPr>
          <w:rFonts w:ascii="Calibri" w:eastAsia="Calibri" w:hAnsi="Calibri" w:cs="Calibri"/>
          <w:color w:val="000000"/>
          <w:lang w:val="en-GB"/>
        </w:rPr>
        <w:t xml:space="preserve"> </w:t>
      </w:r>
      <w:proofErr w:type="spellStart"/>
      <w:r>
        <w:rPr>
          <w:rFonts w:ascii="Calibri" w:eastAsia="Calibri" w:hAnsi="Calibri" w:cs="Calibri"/>
          <w:i/>
          <w:iCs/>
          <w:color w:val="000000"/>
          <w:lang w:val="en-GB"/>
        </w:rPr>
        <w:t>Emerg</w:t>
      </w:r>
      <w:proofErr w:type="spellEnd"/>
      <w:r>
        <w:rPr>
          <w:rFonts w:ascii="Calibri" w:eastAsia="Calibri" w:hAnsi="Calibri" w:cs="Calibri"/>
          <w:i/>
          <w:iCs/>
          <w:color w:val="000000"/>
          <w:lang w:val="en-GB"/>
        </w:rPr>
        <w:t xml:space="preserve"> Infect Dis</w:t>
      </w:r>
      <w:r>
        <w:rPr>
          <w:rFonts w:ascii="Calibri" w:eastAsia="Calibri" w:hAnsi="Calibri" w:cs="Calibri"/>
          <w:color w:val="000000"/>
          <w:lang w:val="en-GB"/>
        </w:rPr>
        <w:t xml:space="preserve"> 2007;13(1):12–17. </w:t>
      </w:r>
    </w:p>
    <w:p w14:paraId="384DB517"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Pertussis. In: Atkinson W, Wolfe C, </w:t>
      </w:r>
      <w:proofErr w:type="spellStart"/>
      <w:r>
        <w:rPr>
          <w:rFonts w:ascii="Calibri" w:eastAsia="Calibri" w:hAnsi="Calibri" w:cs="Calibri"/>
          <w:color w:val="000000"/>
          <w:lang w:val="en-GB"/>
        </w:rPr>
        <w:t>Hamborsky</w:t>
      </w:r>
      <w:proofErr w:type="spellEnd"/>
      <w:r>
        <w:rPr>
          <w:rFonts w:ascii="Calibri" w:eastAsia="Calibri" w:hAnsi="Calibri" w:cs="Calibri"/>
          <w:color w:val="000000"/>
          <w:lang w:val="en-GB"/>
        </w:rPr>
        <w:t xml:space="preserve"> J, editors. </w:t>
      </w:r>
      <w:r>
        <w:rPr>
          <w:rFonts w:ascii="Calibri" w:eastAsia="Calibri" w:hAnsi="Calibri" w:cs="Calibri"/>
          <w:i/>
          <w:iCs/>
          <w:color w:val="000000"/>
          <w:lang w:val="en-GB"/>
        </w:rPr>
        <w:t>Epidemiology and prevention of vaccine preventable diseases</w:t>
      </w:r>
      <w:r>
        <w:rPr>
          <w:rFonts w:ascii="Calibri" w:eastAsia="Calibri" w:hAnsi="Calibri" w:cs="Calibri"/>
          <w:color w:val="000000"/>
          <w:lang w:val="en-GB"/>
        </w:rPr>
        <w:t xml:space="preserve">. 12th </w:t>
      </w:r>
      <w:proofErr w:type="spellStart"/>
      <w:r>
        <w:rPr>
          <w:rFonts w:ascii="Calibri" w:eastAsia="Calibri" w:hAnsi="Calibri" w:cs="Calibri"/>
          <w:color w:val="000000"/>
          <w:lang w:val="en-GB"/>
        </w:rPr>
        <w:t>edn</w:t>
      </w:r>
      <w:proofErr w:type="spellEnd"/>
      <w:r>
        <w:rPr>
          <w:rFonts w:ascii="Calibri" w:eastAsia="Calibri" w:hAnsi="Calibri" w:cs="Calibri"/>
          <w:color w:val="000000"/>
          <w:lang w:val="en-GB"/>
        </w:rPr>
        <w:t xml:space="preserve">. Washington, DC: Public Health Foundation, </w:t>
      </w:r>
      <w:proofErr w:type="spellStart"/>
      <w:r>
        <w:rPr>
          <w:rFonts w:ascii="Calibri" w:eastAsia="Calibri" w:hAnsi="Calibri" w:cs="Calibri"/>
          <w:color w:val="000000"/>
          <w:lang w:val="en-GB"/>
        </w:rPr>
        <w:t>Centers</w:t>
      </w:r>
      <w:proofErr w:type="spellEnd"/>
      <w:r>
        <w:rPr>
          <w:rFonts w:ascii="Calibri" w:eastAsia="Calibri" w:hAnsi="Calibri" w:cs="Calibri"/>
          <w:color w:val="000000"/>
          <w:lang w:val="en-GB"/>
        </w:rPr>
        <w:t xml:space="preserve"> for Disease Control and Prevention; 2011.</w:t>
      </w:r>
    </w:p>
    <w:p w14:paraId="1829166A" w14:textId="0A84DFC5"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Communicable Diseases Network Australia. Series of National Guidelines: Pertussis. 2013. Accessed on March 2015. Available at: </w:t>
      </w:r>
      <w:hyperlink r:id="rId157" w:tooltip="https://www.health.gov.au/internet/main/publishing.nsf/Content/cdna-song-pertussis.htm" w:history="1">
        <w:r w:rsidR="001047AB" w:rsidRPr="009928CF">
          <w:rPr>
            <w:rStyle w:val="Hyperlink"/>
            <w:rFonts w:ascii="Calibri" w:eastAsia="Calibri" w:hAnsi="Calibri" w:cs="Calibri"/>
            <w:lang w:val="en-GB"/>
          </w:rPr>
          <w:t>https://www.health.gov.au/internet/main/publishing.nsf/Content/cdna-song-pertussis.htm</w:t>
        </w:r>
      </w:hyperlink>
      <w:r>
        <w:rPr>
          <w:rFonts w:ascii="Calibri" w:eastAsia="Calibri" w:hAnsi="Calibri" w:cs="Calibri"/>
          <w:color w:val="000000"/>
          <w:lang w:val="en-GB"/>
        </w:rPr>
        <w:t xml:space="preserve"> </w:t>
      </w:r>
    </w:p>
    <w:p w14:paraId="7B4D98ED"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lastRenderedPageBreak/>
        <w:t xml:space="preserve">Quinn H, McIntyre PB. Impact of removal of the </w:t>
      </w:r>
      <w:proofErr w:type="gramStart"/>
      <w:r>
        <w:rPr>
          <w:rFonts w:ascii="Calibri" w:eastAsia="Calibri" w:hAnsi="Calibri" w:cs="Calibri"/>
          <w:color w:val="000000"/>
          <w:lang w:val="en-GB"/>
        </w:rPr>
        <w:t>18 month</w:t>
      </w:r>
      <w:proofErr w:type="gramEnd"/>
      <w:r>
        <w:rPr>
          <w:rFonts w:ascii="Calibri" w:eastAsia="Calibri" w:hAnsi="Calibri" w:cs="Calibri"/>
          <w:color w:val="000000"/>
          <w:lang w:val="en-GB"/>
        </w:rPr>
        <w:t xml:space="preserve"> </w:t>
      </w:r>
      <w:proofErr w:type="spellStart"/>
      <w:r>
        <w:rPr>
          <w:rFonts w:ascii="Calibri" w:eastAsia="Calibri" w:hAnsi="Calibri" w:cs="Calibri"/>
          <w:color w:val="000000"/>
          <w:lang w:val="en-GB"/>
        </w:rPr>
        <w:t>DTPa</w:t>
      </w:r>
      <w:proofErr w:type="spellEnd"/>
      <w:r>
        <w:rPr>
          <w:rFonts w:ascii="Calibri" w:eastAsia="Calibri" w:hAnsi="Calibri" w:cs="Calibri"/>
          <w:color w:val="000000"/>
          <w:lang w:val="en-GB"/>
        </w:rPr>
        <w:t xml:space="preserve"> dose on pertussis vaccine effectiveness. In: </w:t>
      </w:r>
      <w:r>
        <w:rPr>
          <w:rFonts w:ascii="Calibri" w:eastAsia="Calibri" w:hAnsi="Calibri" w:cs="Calibri"/>
          <w:i/>
          <w:iCs/>
          <w:color w:val="000000"/>
          <w:lang w:val="en-GB"/>
        </w:rPr>
        <w:t>12th National Immunisation Conference</w:t>
      </w:r>
      <w:r>
        <w:rPr>
          <w:rFonts w:ascii="Calibri" w:eastAsia="Calibri" w:hAnsi="Calibri" w:cs="Calibri"/>
          <w:color w:val="000000"/>
          <w:lang w:val="en-GB"/>
        </w:rPr>
        <w:t>. Adelaide, South Australia; 2010.</w:t>
      </w:r>
    </w:p>
    <w:p w14:paraId="6AF0B3AE" w14:textId="267456F9" w:rsidR="001047AB" w:rsidRPr="009928CF" w:rsidRDefault="00222B5B" w:rsidP="00222B5B">
      <w:pPr>
        <w:numPr>
          <w:ilvl w:val="0"/>
          <w:numId w:val="49"/>
        </w:numPr>
        <w:tabs>
          <w:tab w:val="left" w:pos="720"/>
        </w:tabs>
        <w:autoSpaceDE w:val="0"/>
        <w:autoSpaceDN w:val="0"/>
        <w:adjustRightInd w:val="0"/>
        <w:spacing w:after="170" w:line="288" w:lineRule="auto"/>
        <w:ind w:left="567" w:hanging="567"/>
        <w:textAlignment w:val="center"/>
        <w:divId w:val="2110732990"/>
        <w:rPr>
          <w:rStyle w:val="Hyperlink"/>
          <w:rFonts w:ascii="Calibri" w:eastAsia="Calibri" w:hAnsi="Calibri" w:cs="Calibri"/>
          <w:lang w:val="en-GB"/>
        </w:rPr>
      </w:pPr>
      <w:r>
        <w:rPr>
          <w:rFonts w:ascii="Calibri" w:eastAsia="Calibri" w:hAnsi="Calibri" w:cs="Calibri"/>
          <w:color w:val="000000"/>
          <w:lang w:val="en-GB"/>
        </w:rPr>
        <w:t>Quinn HE, Snelling TL, Macartney KK, McIntyre PB. Duration of protection after first dose of acellular pertussis vaccine in infants</w:t>
      </w:r>
      <w:r>
        <w:rPr>
          <w:rFonts w:ascii="Calibri" w:eastAsia="Calibri" w:hAnsi="Calibri" w:cs="Calibri"/>
          <w:i/>
          <w:iCs/>
          <w:color w:val="000000"/>
          <w:lang w:val="en-GB"/>
        </w:rPr>
        <w:t>.</w:t>
      </w:r>
      <w:r>
        <w:rPr>
          <w:rFonts w:ascii="Calibri" w:eastAsia="Calibri" w:hAnsi="Calibri" w:cs="Calibri"/>
          <w:color w:val="000000"/>
          <w:lang w:val="en-GB"/>
        </w:rPr>
        <w:t xml:space="preserve"> </w:t>
      </w:r>
      <w:proofErr w:type="spellStart"/>
      <w:r>
        <w:rPr>
          <w:rFonts w:ascii="Calibri" w:eastAsia="Calibri" w:hAnsi="Calibri" w:cs="Calibri"/>
          <w:i/>
          <w:iCs/>
          <w:color w:val="000000"/>
          <w:lang w:val="en-GB"/>
        </w:rPr>
        <w:t>Pediatrics</w:t>
      </w:r>
      <w:proofErr w:type="spellEnd"/>
      <w:r>
        <w:rPr>
          <w:rFonts w:ascii="Calibri" w:eastAsia="Calibri" w:hAnsi="Calibri" w:cs="Calibri"/>
          <w:color w:val="000000"/>
          <w:lang w:val="en-GB"/>
        </w:rPr>
        <w:t xml:space="preserve"> 2014;133(3</w:t>
      </w:r>
      <w:proofErr w:type="gramStart"/>
      <w:r>
        <w:rPr>
          <w:rFonts w:ascii="Calibri" w:eastAsia="Calibri" w:hAnsi="Calibri" w:cs="Calibri"/>
          <w:color w:val="000000"/>
          <w:lang w:val="en-GB"/>
        </w:rPr>
        <w:t>):E</w:t>
      </w:r>
      <w:proofErr w:type="gramEnd"/>
      <w:r>
        <w:rPr>
          <w:rFonts w:ascii="Calibri" w:eastAsia="Calibri" w:hAnsi="Calibri" w:cs="Calibri"/>
          <w:color w:val="000000"/>
          <w:lang w:val="en-GB"/>
        </w:rPr>
        <w:t xml:space="preserve">513-E519. Available at </w:t>
      </w:r>
      <w:r w:rsidR="001047AB">
        <w:rPr>
          <w:rFonts w:ascii="Calibri" w:eastAsia="Calibri" w:hAnsi="Calibri" w:cs="Calibri"/>
          <w:lang w:val="en-GB"/>
        </w:rPr>
        <w:fldChar w:fldCharType="begin"/>
      </w:r>
      <w:r w:rsidR="0021477A">
        <w:rPr>
          <w:rFonts w:ascii="Calibri" w:eastAsia="Calibri" w:hAnsi="Calibri" w:cs="Calibri"/>
          <w:lang w:val="en-GB"/>
        </w:rPr>
        <w:instrText>HYPERLINK "http://pediatrics.aappublications.org/content/early/2014/02/04/peds.2013-3181.abstract" \o "http://pediatrics.aappublications.org/content/early/2014/02/04/peds.2013-3181.abstract "</w:instrText>
      </w:r>
      <w:r w:rsidR="0021477A">
        <w:rPr>
          <w:rFonts w:ascii="Calibri" w:eastAsia="Calibri" w:hAnsi="Calibri" w:cs="Calibri"/>
          <w:lang w:val="en-GB"/>
        </w:rPr>
      </w:r>
      <w:r w:rsidR="001047AB">
        <w:rPr>
          <w:rFonts w:ascii="Calibri" w:eastAsia="Calibri" w:hAnsi="Calibri" w:cs="Calibri"/>
          <w:lang w:val="en-GB"/>
        </w:rPr>
        <w:fldChar w:fldCharType="separate"/>
      </w:r>
      <w:r w:rsidR="001047AB" w:rsidRPr="009928CF">
        <w:rPr>
          <w:rStyle w:val="Hyperlink"/>
          <w:rFonts w:ascii="Calibri" w:eastAsia="Calibri" w:hAnsi="Calibri" w:cs="Calibri"/>
          <w:lang w:val="en-GB"/>
        </w:rPr>
        <w:t xml:space="preserve">http://pediatrics.aappublications.org/content/early/2014/02/04/peds.2013-3181.abstract </w:t>
      </w:r>
    </w:p>
    <w:p w14:paraId="2F2A1685" w14:textId="77777777" w:rsidR="00222B5B" w:rsidRDefault="001047A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lang w:val="en-GB"/>
        </w:rPr>
        <w:fldChar w:fldCharType="end"/>
      </w:r>
      <w:r w:rsidR="00222B5B">
        <w:rPr>
          <w:rFonts w:ascii="Calibri" w:eastAsia="Calibri" w:hAnsi="Calibri" w:cs="Calibri"/>
          <w:color w:val="000000"/>
          <w:lang w:val="en-GB"/>
        </w:rPr>
        <w:t xml:space="preserve">Sheridan SL, McCall BJ, Davis CA, Robson JM, Hull BP, </w:t>
      </w:r>
      <w:proofErr w:type="spellStart"/>
      <w:r w:rsidR="00222B5B">
        <w:rPr>
          <w:rFonts w:ascii="Calibri" w:eastAsia="Calibri" w:hAnsi="Calibri" w:cs="Calibri"/>
          <w:color w:val="000000"/>
          <w:lang w:val="en-GB"/>
        </w:rPr>
        <w:t>Selvey</w:t>
      </w:r>
      <w:proofErr w:type="spellEnd"/>
      <w:r w:rsidR="00222B5B">
        <w:rPr>
          <w:rFonts w:ascii="Calibri" w:eastAsia="Calibri" w:hAnsi="Calibri" w:cs="Calibri"/>
          <w:color w:val="000000"/>
          <w:lang w:val="en-GB"/>
        </w:rPr>
        <w:t xml:space="preserve"> CE, et al. Acellular pertussis vaccine effectiveness for children during the 2009–2010 pertussis epidemic in Queensland</w:t>
      </w:r>
      <w:r w:rsidR="00222B5B">
        <w:rPr>
          <w:rFonts w:ascii="Calibri" w:eastAsia="Calibri" w:hAnsi="Calibri" w:cs="Calibri"/>
          <w:i/>
          <w:iCs/>
          <w:color w:val="000000"/>
          <w:lang w:val="en-GB"/>
        </w:rPr>
        <w:t>.</w:t>
      </w:r>
      <w:r w:rsidR="00222B5B">
        <w:rPr>
          <w:rFonts w:ascii="Calibri" w:eastAsia="Calibri" w:hAnsi="Calibri" w:cs="Calibri"/>
          <w:color w:val="000000"/>
          <w:lang w:val="en-GB"/>
        </w:rPr>
        <w:t xml:space="preserve"> </w:t>
      </w:r>
      <w:r w:rsidR="00222B5B">
        <w:rPr>
          <w:rFonts w:ascii="Calibri" w:eastAsia="Calibri" w:hAnsi="Calibri" w:cs="Calibri"/>
          <w:i/>
          <w:iCs/>
          <w:color w:val="000000"/>
          <w:lang w:val="en-GB"/>
        </w:rPr>
        <w:t xml:space="preserve">Med J </w:t>
      </w:r>
      <w:proofErr w:type="spellStart"/>
      <w:r w:rsidR="00222B5B">
        <w:rPr>
          <w:rFonts w:ascii="Calibri" w:eastAsia="Calibri" w:hAnsi="Calibri" w:cs="Calibri"/>
          <w:i/>
          <w:iCs/>
          <w:color w:val="000000"/>
          <w:lang w:val="en-GB"/>
        </w:rPr>
        <w:t>Aust</w:t>
      </w:r>
      <w:proofErr w:type="spellEnd"/>
      <w:r w:rsidR="00222B5B">
        <w:rPr>
          <w:rFonts w:ascii="Calibri" w:eastAsia="Calibri" w:hAnsi="Calibri" w:cs="Calibri"/>
          <w:color w:val="000000"/>
          <w:lang w:val="en-GB"/>
        </w:rPr>
        <w:t xml:space="preserve"> 2014;200(6):334–338. </w:t>
      </w:r>
    </w:p>
    <w:p w14:paraId="7CAEACFA"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proofErr w:type="spellStart"/>
      <w:r>
        <w:rPr>
          <w:rFonts w:ascii="Calibri" w:eastAsia="Calibri" w:hAnsi="Calibri" w:cs="Calibri"/>
          <w:color w:val="000000"/>
          <w:lang w:val="en-GB"/>
        </w:rPr>
        <w:t>Wendelboe</w:t>
      </w:r>
      <w:proofErr w:type="spellEnd"/>
      <w:r>
        <w:rPr>
          <w:rFonts w:ascii="Calibri" w:eastAsia="Calibri" w:hAnsi="Calibri" w:cs="Calibri"/>
          <w:color w:val="000000"/>
          <w:lang w:val="en-GB"/>
        </w:rPr>
        <w:t xml:space="preserve"> AM, van Rie A, Salmaso S, Englund JA. Duration of immunity against pertussis after natural infection or vaccination</w:t>
      </w:r>
      <w:r>
        <w:rPr>
          <w:rFonts w:ascii="Calibri" w:eastAsia="Calibri" w:hAnsi="Calibri" w:cs="Calibri"/>
          <w:i/>
          <w:iCs/>
          <w:color w:val="000000"/>
          <w:lang w:val="en-GB"/>
        </w:rPr>
        <w:t>.</w:t>
      </w:r>
      <w:r>
        <w:rPr>
          <w:rFonts w:ascii="Calibri" w:eastAsia="Calibri" w:hAnsi="Calibri" w:cs="Calibri"/>
          <w:color w:val="000000"/>
          <w:lang w:val="en-GB"/>
        </w:rPr>
        <w:t xml:space="preserve"> </w:t>
      </w:r>
      <w:proofErr w:type="spellStart"/>
      <w:r>
        <w:rPr>
          <w:rFonts w:ascii="Calibri" w:eastAsia="Calibri" w:hAnsi="Calibri" w:cs="Calibri"/>
          <w:i/>
          <w:iCs/>
          <w:color w:val="000000"/>
          <w:lang w:val="en-GB"/>
        </w:rPr>
        <w:t>Pediatr</w:t>
      </w:r>
      <w:proofErr w:type="spellEnd"/>
      <w:r>
        <w:rPr>
          <w:rFonts w:ascii="Calibri" w:eastAsia="Calibri" w:hAnsi="Calibri" w:cs="Calibri"/>
          <w:i/>
          <w:iCs/>
          <w:color w:val="000000"/>
          <w:lang w:val="en-GB"/>
        </w:rPr>
        <w:t xml:space="preserve"> Infect Dis J</w:t>
      </w:r>
      <w:r>
        <w:rPr>
          <w:rFonts w:ascii="Calibri" w:eastAsia="Calibri" w:hAnsi="Calibri" w:cs="Calibri"/>
          <w:color w:val="000000"/>
          <w:lang w:val="en-GB"/>
        </w:rPr>
        <w:t xml:space="preserve"> 2005;24(5 </w:t>
      </w:r>
      <w:proofErr w:type="spellStart"/>
      <w:r>
        <w:rPr>
          <w:rFonts w:ascii="Calibri" w:eastAsia="Calibri" w:hAnsi="Calibri" w:cs="Calibri"/>
          <w:color w:val="000000"/>
          <w:lang w:val="en-GB"/>
        </w:rPr>
        <w:t>Suppl</w:t>
      </w:r>
      <w:proofErr w:type="spellEnd"/>
      <w:proofErr w:type="gramStart"/>
      <w:r>
        <w:rPr>
          <w:rFonts w:ascii="Calibri" w:eastAsia="Calibri" w:hAnsi="Calibri" w:cs="Calibri"/>
          <w:color w:val="000000"/>
          <w:lang w:val="en-GB"/>
        </w:rPr>
        <w:t>):S</w:t>
      </w:r>
      <w:proofErr w:type="gramEnd"/>
      <w:r>
        <w:rPr>
          <w:rFonts w:ascii="Calibri" w:eastAsia="Calibri" w:hAnsi="Calibri" w:cs="Calibri"/>
          <w:color w:val="000000"/>
          <w:lang w:val="en-GB"/>
        </w:rPr>
        <w:t xml:space="preserve">58-S61. </w:t>
      </w:r>
    </w:p>
    <w:p w14:paraId="542EE9A8"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Munoz FM. Pertussis in infants, children, and adolescents: diagnosis, treatment, and prevention</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 xml:space="preserve">Semin </w:t>
      </w:r>
      <w:proofErr w:type="spellStart"/>
      <w:r>
        <w:rPr>
          <w:rFonts w:ascii="Calibri" w:eastAsia="Calibri" w:hAnsi="Calibri" w:cs="Calibri"/>
          <w:i/>
          <w:iCs/>
          <w:color w:val="000000"/>
          <w:lang w:val="en-GB"/>
        </w:rPr>
        <w:t>Pediatr</w:t>
      </w:r>
      <w:proofErr w:type="spellEnd"/>
      <w:r>
        <w:rPr>
          <w:rFonts w:ascii="Calibri" w:eastAsia="Calibri" w:hAnsi="Calibri" w:cs="Calibri"/>
          <w:i/>
          <w:iCs/>
          <w:color w:val="000000"/>
          <w:lang w:val="en-GB"/>
        </w:rPr>
        <w:t xml:space="preserve"> Infect Dis</w:t>
      </w:r>
      <w:r>
        <w:rPr>
          <w:rFonts w:ascii="Calibri" w:eastAsia="Calibri" w:hAnsi="Calibri" w:cs="Calibri"/>
          <w:color w:val="000000"/>
          <w:lang w:val="en-GB"/>
        </w:rPr>
        <w:t xml:space="preserve"> 2006;17(1):14–19. </w:t>
      </w:r>
    </w:p>
    <w:p w14:paraId="26C6AF2B" w14:textId="4D67DA83"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Beard F. Pertussis immunisation in pregnancy: a summary of funded Australian state and territory programs</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Communicable Disease Intelligence</w:t>
      </w:r>
      <w:r>
        <w:rPr>
          <w:rFonts w:ascii="Calibri" w:eastAsia="Calibri" w:hAnsi="Calibri" w:cs="Calibri"/>
          <w:color w:val="000000"/>
          <w:lang w:val="en-GB"/>
        </w:rPr>
        <w:t xml:space="preserve"> 2015;39(3</w:t>
      </w:r>
      <w:proofErr w:type="gramStart"/>
      <w:r>
        <w:rPr>
          <w:rFonts w:ascii="Calibri" w:eastAsia="Calibri" w:hAnsi="Calibri" w:cs="Calibri"/>
          <w:color w:val="000000"/>
          <w:lang w:val="en-GB"/>
        </w:rPr>
        <w:t>):E</w:t>
      </w:r>
      <w:proofErr w:type="gramEnd"/>
      <w:r>
        <w:rPr>
          <w:rFonts w:ascii="Calibri" w:eastAsia="Calibri" w:hAnsi="Calibri" w:cs="Calibri"/>
          <w:color w:val="000000"/>
          <w:lang w:val="en-GB"/>
        </w:rPr>
        <w:t xml:space="preserve">329–E336. Available at: </w:t>
      </w:r>
      <w:hyperlink r:id="rId158" w:tooltip="http://www.health.gov.au/internet/main/publishing.nsf/content/cda-cdi3903c.htm" w:history="1">
        <w:r w:rsidR="001047AB" w:rsidRPr="009928CF">
          <w:rPr>
            <w:rStyle w:val="Hyperlink"/>
            <w:rFonts w:ascii="Calibri" w:eastAsia="Calibri" w:hAnsi="Calibri" w:cs="Calibri"/>
            <w:lang w:val="en-GB"/>
          </w:rPr>
          <w:t>http://www.health.gov.au/internet/main/publishing.nsf/content/cda-cdi3903c.htm</w:t>
        </w:r>
      </w:hyperlink>
      <w:r>
        <w:rPr>
          <w:rFonts w:ascii="Calibri" w:eastAsia="Calibri" w:hAnsi="Calibri" w:cs="Calibri"/>
          <w:color w:val="000000"/>
          <w:lang w:val="en-GB"/>
        </w:rPr>
        <w:t xml:space="preserve"> </w:t>
      </w:r>
    </w:p>
    <w:p w14:paraId="2F3AD5FF"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National Health and Medical Research Council (NHMRC). </w:t>
      </w:r>
      <w:r>
        <w:rPr>
          <w:rFonts w:ascii="Calibri" w:eastAsia="Calibri" w:hAnsi="Calibri" w:cs="Calibri"/>
          <w:i/>
          <w:iCs/>
          <w:color w:val="000000"/>
          <w:lang w:val="en-GB"/>
        </w:rPr>
        <w:t>The Australian Immunisation Handbook</w:t>
      </w:r>
      <w:r>
        <w:rPr>
          <w:rFonts w:ascii="Calibri" w:eastAsia="Calibri" w:hAnsi="Calibri" w:cs="Calibri"/>
          <w:color w:val="000000"/>
          <w:lang w:val="en-GB"/>
        </w:rPr>
        <w:t xml:space="preserve">. 10th </w:t>
      </w:r>
      <w:proofErr w:type="spellStart"/>
      <w:r>
        <w:rPr>
          <w:rFonts w:ascii="Calibri" w:eastAsia="Calibri" w:hAnsi="Calibri" w:cs="Calibri"/>
          <w:color w:val="000000"/>
          <w:lang w:val="en-GB"/>
        </w:rPr>
        <w:t>edn</w:t>
      </w:r>
      <w:proofErr w:type="spellEnd"/>
      <w:r>
        <w:rPr>
          <w:rFonts w:ascii="Calibri" w:eastAsia="Calibri" w:hAnsi="Calibri" w:cs="Calibri"/>
          <w:color w:val="000000"/>
          <w:lang w:val="en-GB"/>
        </w:rPr>
        <w:t>. Canberra: Australian Government; 2013.</w:t>
      </w:r>
    </w:p>
    <w:p w14:paraId="7F305526" w14:textId="6359CA3B"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World Health Organization. WHO-recommended surveillance standard of poliomyelitis. 2017. Accessed on 27 November. Available at: </w:t>
      </w:r>
      <w:hyperlink r:id="rId159" w:tooltip="http://www.who.int/immunization/monitoring_surveillance/burden/vpd/surveillance_type/active/poliomyelitis_standards/en/" w:history="1">
        <w:r w:rsidR="001047AB" w:rsidRPr="009928CF">
          <w:rPr>
            <w:rStyle w:val="Hyperlink"/>
            <w:rFonts w:ascii="Calibri" w:eastAsia="Calibri" w:hAnsi="Calibri" w:cs="Calibri"/>
            <w:lang w:val="en-GB"/>
          </w:rPr>
          <w:t>http://www.who.int/immunization/monitoring_surveillance/burden/vpd/surveillance_type/active/poliomyelitis_standards/en/</w:t>
        </w:r>
      </w:hyperlink>
      <w:r>
        <w:rPr>
          <w:rFonts w:ascii="Calibri" w:eastAsia="Calibri" w:hAnsi="Calibri" w:cs="Calibri"/>
          <w:color w:val="000000"/>
          <w:lang w:val="en-GB"/>
        </w:rPr>
        <w:t xml:space="preserve"> </w:t>
      </w:r>
    </w:p>
    <w:p w14:paraId="7C3F97E0" w14:textId="73797D24"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The Australian Department of Health. Polio – Australian National Enterovirus Reference Laboratory annual reports. 2015. Accessed on 27 November. Available at: </w:t>
      </w:r>
      <w:hyperlink r:id="rId160" w:tooltip="http://www.health.gov.au/internet/main/publishing.nsf/content/cda-pubs-annlrpt-polioanrep.htm" w:history="1">
        <w:r w:rsidR="001047AB" w:rsidRPr="009928CF">
          <w:rPr>
            <w:rStyle w:val="Hyperlink"/>
            <w:rFonts w:ascii="Calibri" w:eastAsia="Calibri" w:hAnsi="Calibri" w:cs="Calibri"/>
            <w:lang w:val="en-GB"/>
          </w:rPr>
          <w:t>http://www.health.gov.au/internet/main/publishing.nsf/content/cda-pubs-annlrpt-polioanrep.htm</w:t>
        </w:r>
      </w:hyperlink>
    </w:p>
    <w:p w14:paraId="2EB25CFE" w14:textId="7AEE95C1"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Global Polio Eradication Initiative. Wild Polio Virus List 2017. Accessed on 22 November 2017. Available at: </w:t>
      </w:r>
      <w:hyperlink r:id="rId161" w:tooltip="http://polioeradication.org/polio-today/polio-now/wild-poliovirus-list/" w:history="1">
        <w:r w:rsidR="001047AB" w:rsidRPr="009928CF">
          <w:rPr>
            <w:rStyle w:val="Hyperlink"/>
            <w:rFonts w:ascii="Calibri" w:eastAsia="Calibri" w:hAnsi="Calibri" w:cs="Calibri"/>
            <w:lang w:val="en-GB"/>
          </w:rPr>
          <w:t>http://polioeradication.org/polio-today/polio-now/wild-poliovirus-list/</w:t>
        </w:r>
      </w:hyperlink>
      <w:r>
        <w:rPr>
          <w:rFonts w:ascii="Calibri" w:eastAsia="Calibri" w:hAnsi="Calibri" w:cs="Calibri"/>
          <w:color w:val="000000"/>
          <w:lang w:val="en-GB"/>
        </w:rPr>
        <w:t xml:space="preserve"> </w:t>
      </w:r>
    </w:p>
    <w:p w14:paraId="0BA6566A"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World Health Organization Western Pacific Regional Office. Polio Bulletin – Week 1 as of 5 January 2016: World Health Organization; 2016. </w:t>
      </w:r>
    </w:p>
    <w:p w14:paraId="074DE7B2"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McLean H, Redd S, Abernathy E, Icenogle J, Wallace G. Chapter 15: Congenital rubella syndrome. In: </w:t>
      </w:r>
      <w:r>
        <w:rPr>
          <w:rFonts w:ascii="Calibri" w:eastAsia="Calibri" w:hAnsi="Calibri" w:cs="Calibri"/>
          <w:i/>
          <w:iCs/>
          <w:color w:val="000000"/>
          <w:lang w:val="en-GB"/>
        </w:rPr>
        <w:t>Manual for the Surveillance of Vaccine-Preventable Diseases</w:t>
      </w:r>
      <w:r>
        <w:rPr>
          <w:rFonts w:ascii="Calibri" w:eastAsia="Calibri" w:hAnsi="Calibri" w:cs="Calibri"/>
          <w:color w:val="000000"/>
          <w:lang w:val="en-GB"/>
        </w:rPr>
        <w:t xml:space="preserve">. Atlanta: </w:t>
      </w:r>
      <w:proofErr w:type="spellStart"/>
      <w:r>
        <w:rPr>
          <w:rFonts w:ascii="Calibri" w:eastAsia="Calibri" w:hAnsi="Calibri" w:cs="Calibri"/>
          <w:color w:val="000000"/>
          <w:lang w:val="en-GB"/>
        </w:rPr>
        <w:t>Centers</w:t>
      </w:r>
      <w:proofErr w:type="spellEnd"/>
      <w:r>
        <w:rPr>
          <w:rFonts w:ascii="Calibri" w:eastAsia="Calibri" w:hAnsi="Calibri" w:cs="Calibri"/>
          <w:color w:val="000000"/>
          <w:lang w:val="en-GB"/>
        </w:rPr>
        <w:t xml:space="preserve"> for Disease Control and Prevention; 2012.</w:t>
      </w:r>
    </w:p>
    <w:p w14:paraId="52BE3A35"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Song N, Gao Z, Wood J, </w:t>
      </w:r>
      <w:proofErr w:type="spellStart"/>
      <w:r>
        <w:rPr>
          <w:rFonts w:ascii="Calibri" w:eastAsia="Calibri" w:hAnsi="Calibri" w:cs="Calibri"/>
          <w:color w:val="000000"/>
          <w:lang w:val="en-GB"/>
        </w:rPr>
        <w:t>Hueston</w:t>
      </w:r>
      <w:proofErr w:type="spellEnd"/>
      <w:r>
        <w:rPr>
          <w:rFonts w:ascii="Calibri" w:eastAsia="Calibri" w:hAnsi="Calibri" w:cs="Calibri"/>
          <w:color w:val="000000"/>
          <w:lang w:val="en-GB"/>
        </w:rPr>
        <w:t xml:space="preserve"> L, Gilbert C, </w:t>
      </w:r>
      <w:proofErr w:type="spellStart"/>
      <w:r>
        <w:rPr>
          <w:rFonts w:ascii="Calibri" w:eastAsia="Calibri" w:hAnsi="Calibri" w:cs="Calibri"/>
          <w:color w:val="000000"/>
          <w:lang w:val="en-GB"/>
        </w:rPr>
        <w:t>MacIntyre</w:t>
      </w:r>
      <w:proofErr w:type="spellEnd"/>
      <w:r>
        <w:rPr>
          <w:rFonts w:ascii="Calibri" w:eastAsia="Calibri" w:hAnsi="Calibri" w:cs="Calibri"/>
          <w:color w:val="000000"/>
          <w:lang w:val="en-GB"/>
        </w:rPr>
        <w:t xml:space="preserve"> R, et al. Current epidemiology of rubella and congenital rubella syndrome in Australia: Progress towards elimination</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Vaccine</w:t>
      </w:r>
      <w:r>
        <w:rPr>
          <w:rFonts w:ascii="Calibri" w:eastAsia="Calibri" w:hAnsi="Calibri" w:cs="Calibri"/>
          <w:color w:val="000000"/>
          <w:lang w:val="en-GB"/>
        </w:rPr>
        <w:t xml:space="preserve"> 2012;30(27):4073–4078. </w:t>
      </w:r>
    </w:p>
    <w:p w14:paraId="66CBD2FA"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Western Pacific Regional Office. </w:t>
      </w:r>
      <w:r>
        <w:rPr>
          <w:rFonts w:ascii="Calibri" w:eastAsia="Calibri" w:hAnsi="Calibri" w:cs="Calibri"/>
          <w:i/>
          <w:iCs/>
          <w:color w:val="000000"/>
          <w:lang w:val="en-GB"/>
        </w:rPr>
        <w:t xml:space="preserve">Rubella and congenital rubella syndrome </w:t>
      </w:r>
      <w:r>
        <w:rPr>
          <w:rFonts w:ascii="Calibri" w:eastAsia="Calibri" w:hAnsi="Calibri" w:cs="Calibri"/>
          <w:color w:val="000000"/>
          <w:lang w:val="en-GB"/>
        </w:rPr>
        <w:t>Geneva: World Health Organization; 2012.</w:t>
      </w:r>
    </w:p>
    <w:p w14:paraId="3469A4DA"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Khandaker G, </w:t>
      </w:r>
      <w:proofErr w:type="spellStart"/>
      <w:r>
        <w:rPr>
          <w:rFonts w:ascii="Calibri" w:eastAsia="Calibri" w:hAnsi="Calibri" w:cs="Calibri"/>
          <w:color w:val="000000"/>
          <w:lang w:val="en-GB"/>
        </w:rPr>
        <w:t>Zyrynski</w:t>
      </w:r>
      <w:proofErr w:type="spellEnd"/>
      <w:r>
        <w:rPr>
          <w:rFonts w:ascii="Calibri" w:eastAsia="Calibri" w:hAnsi="Calibri" w:cs="Calibri"/>
          <w:color w:val="000000"/>
          <w:lang w:val="en-GB"/>
        </w:rPr>
        <w:t xml:space="preserve"> Y, Jones C. Surveillance for congenital rubella syndrome in Australia since 1993: cases reported between 2004 and 2013</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Vaccine</w:t>
      </w:r>
      <w:r>
        <w:rPr>
          <w:rFonts w:ascii="Calibri" w:eastAsia="Calibri" w:hAnsi="Calibri" w:cs="Calibri"/>
          <w:color w:val="000000"/>
          <w:lang w:val="en-GB"/>
        </w:rPr>
        <w:t xml:space="preserve"> 2014;32(50):6746–6751. </w:t>
      </w:r>
    </w:p>
    <w:p w14:paraId="53E6057A"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lastRenderedPageBreak/>
        <w:t>Quinn H, McIntyre P. Tetanus in the elderly – An important preventable disease in Australia</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Vaccine</w:t>
      </w:r>
      <w:r>
        <w:rPr>
          <w:rFonts w:ascii="Calibri" w:eastAsia="Calibri" w:hAnsi="Calibri" w:cs="Calibri"/>
          <w:color w:val="000000"/>
          <w:lang w:val="en-GB"/>
        </w:rPr>
        <w:t xml:space="preserve"> 2007;25(7):1304–1309. </w:t>
      </w:r>
    </w:p>
    <w:p w14:paraId="3A6D01B2" w14:textId="79C55FCD"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Mackenzie JS, Lindsay MD, </w:t>
      </w:r>
      <w:proofErr w:type="spellStart"/>
      <w:r>
        <w:rPr>
          <w:rFonts w:ascii="Calibri" w:eastAsia="Calibri" w:hAnsi="Calibri" w:cs="Calibri"/>
          <w:color w:val="000000"/>
          <w:lang w:val="en-GB"/>
        </w:rPr>
        <w:t>Coelen</w:t>
      </w:r>
      <w:proofErr w:type="spellEnd"/>
      <w:r>
        <w:rPr>
          <w:rFonts w:ascii="Calibri" w:eastAsia="Calibri" w:hAnsi="Calibri" w:cs="Calibri"/>
          <w:color w:val="000000"/>
          <w:lang w:val="en-GB"/>
        </w:rPr>
        <w:t xml:space="preserve"> RJ, Broom AK, Hall RA, Smith DW. Arboviruses causing human disease in the Australasian zoogeographic region</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 xml:space="preserve">Arch </w:t>
      </w:r>
      <w:proofErr w:type="spellStart"/>
      <w:r>
        <w:rPr>
          <w:rFonts w:ascii="Calibri" w:eastAsia="Calibri" w:hAnsi="Calibri" w:cs="Calibri"/>
          <w:i/>
          <w:iCs/>
          <w:color w:val="000000"/>
          <w:lang w:val="en-GB"/>
        </w:rPr>
        <w:t>Virol</w:t>
      </w:r>
      <w:proofErr w:type="spellEnd"/>
      <w:r>
        <w:rPr>
          <w:rFonts w:ascii="Calibri" w:eastAsia="Calibri" w:hAnsi="Calibri" w:cs="Calibri"/>
          <w:color w:val="000000"/>
          <w:lang w:val="en-GB"/>
        </w:rPr>
        <w:t xml:space="preserve"> 1994;136(3–4):447-467. Available at: </w:t>
      </w:r>
      <w:hyperlink r:id="rId162" w:tooltip="http://www.ncbi.nlm.nih.gov/entrez/query.fcgi?cmd=Retrieve&amp;db=PubMed&amp;dopt=Citation&amp;list_uids=8031248" w:history="1">
        <w:r w:rsidR="001047AB" w:rsidRPr="009928CF">
          <w:rPr>
            <w:rStyle w:val="Hyperlink"/>
            <w:rFonts w:ascii="Calibri" w:eastAsia="Calibri" w:hAnsi="Calibri" w:cs="Calibri"/>
            <w:lang w:val="en-GB"/>
          </w:rPr>
          <w:t>http://www.ncbi.nlm.nih.gov/entrez/query.fcgi?cmd=Retrieve&amp;db=PubMed&amp;dopt=Citation&amp;list_uids=8031248</w:t>
        </w:r>
      </w:hyperlink>
      <w:r>
        <w:rPr>
          <w:rFonts w:ascii="Calibri" w:eastAsia="Calibri" w:hAnsi="Calibri" w:cs="Calibri"/>
          <w:color w:val="000000"/>
          <w:lang w:val="en-GB"/>
        </w:rPr>
        <w:t xml:space="preserve"> </w:t>
      </w:r>
    </w:p>
    <w:p w14:paraId="02E6E47B"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Russell RC, Dwyer DE. Arboviruses associated with human disease in Australia</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Microbes Infect</w:t>
      </w:r>
      <w:r>
        <w:rPr>
          <w:rFonts w:ascii="Calibri" w:eastAsia="Calibri" w:hAnsi="Calibri" w:cs="Calibri"/>
          <w:color w:val="000000"/>
          <w:lang w:val="en-GB"/>
        </w:rPr>
        <w:t xml:space="preserve"> 2000;2(14):1693–1704. </w:t>
      </w:r>
    </w:p>
    <w:p w14:paraId="6ED7FBDA" w14:textId="48EF47BE" w:rsidR="001047AB" w:rsidRPr="009928CF" w:rsidRDefault="00222B5B" w:rsidP="00222B5B">
      <w:pPr>
        <w:numPr>
          <w:ilvl w:val="0"/>
          <w:numId w:val="49"/>
        </w:numPr>
        <w:autoSpaceDE w:val="0"/>
        <w:autoSpaceDN w:val="0"/>
        <w:adjustRightInd w:val="0"/>
        <w:spacing w:after="170" w:line="288" w:lineRule="auto"/>
        <w:ind w:left="567" w:hanging="567"/>
        <w:textAlignment w:val="center"/>
        <w:divId w:val="2110732990"/>
        <w:rPr>
          <w:rStyle w:val="Hyperlink"/>
          <w:rFonts w:ascii="Calibri" w:eastAsia="Calibri" w:hAnsi="Calibri" w:cs="Calibri"/>
          <w:lang w:val="en-GB"/>
        </w:rPr>
      </w:pPr>
      <w:r>
        <w:rPr>
          <w:rFonts w:ascii="Calibri" w:eastAsia="Calibri" w:hAnsi="Calibri" w:cs="Calibri"/>
          <w:color w:val="000000"/>
          <w:lang w:val="en-GB"/>
        </w:rPr>
        <w:t xml:space="preserve">Communicable Diseases Network Australia. Australian National Notifiable Diseases Case Definitions. 2016. Accessed on 18 October 2016. Available at: </w:t>
      </w:r>
      <w:r w:rsidR="001047AB">
        <w:rPr>
          <w:rFonts w:ascii="Calibri" w:eastAsia="Calibri" w:hAnsi="Calibri" w:cs="Calibri"/>
          <w:lang w:val="en-GB"/>
        </w:rPr>
        <w:fldChar w:fldCharType="begin"/>
      </w:r>
      <w:r w:rsidR="0021477A">
        <w:rPr>
          <w:rFonts w:ascii="Calibri" w:eastAsia="Calibri" w:hAnsi="Calibri" w:cs="Calibri"/>
          <w:lang w:val="en-GB"/>
        </w:rPr>
        <w:instrText>HYPERLINK "http://www.health.gov.au/casedefinitions" \o "http://www.health.gov.au/casedefinitions "</w:instrText>
      </w:r>
      <w:r w:rsidR="0021477A">
        <w:rPr>
          <w:rFonts w:ascii="Calibri" w:eastAsia="Calibri" w:hAnsi="Calibri" w:cs="Calibri"/>
          <w:lang w:val="en-GB"/>
        </w:rPr>
      </w:r>
      <w:r w:rsidR="001047AB">
        <w:rPr>
          <w:rFonts w:ascii="Calibri" w:eastAsia="Calibri" w:hAnsi="Calibri" w:cs="Calibri"/>
          <w:lang w:val="en-GB"/>
        </w:rPr>
        <w:fldChar w:fldCharType="separate"/>
      </w:r>
      <w:r w:rsidR="001047AB" w:rsidRPr="009928CF">
        <w:rPr>
          <w:rStyle w:val="Hyperlink"/>
          <w:rFonts w:ascii="Calibri" w:eastAsia="Calibri" w:hAnsi="Calibri" w:cs="Calibri"/>
          <w:lang w:val="en-GB"/>
        </w:rPr>
        <w:t xml:space="preserve">http://www.health.gov.au/casedefinitions </w:t>
      </w:r>
    </w:p>
    <w:p w14:paraId="6EE5CABD" w14:textId="77777777" w:rsidR="00222B5B" w:rsidRDefault="001047A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lang w:val="en-GB"/>
        </w:rPr>
        <w:fldChar w:fldCharType="end"/>
      </w:r>
      <w:proofErr w:type="spellStart"/>
      <w:r w:rsidR="00222B5B">
        <w:rPr>
          <w:rFonts w:ascii="Calibri" w:eastAsia="Calibri" w:hAnsi="Calibri" w:cs="Calibri"/>
          <w:color w:val="000000"/>
          <w:lang w:val="en-GB"/>
        </w:rPr>
        <w:t>Parida</w:t>
      </w:r>
      <w:proofErr w:type="spellEnd"/>
      <w:r w:rsidR="00222B5B">
        <w:rPr>
          <w:rFonts w:ascii="Calibri" w:eastAsia="Calibri" w:hAnsi="Calibri" w:cs="Calibri"/>
          <w:color w:val="000000"/>
          <w:lang w:val="en-GB"/>
        </w:rPr>
        <w:t xml:space="preserve"> MM, Santhosh SR, Dash PK, Lakshmana Rao PV. Rapid and real-time assays for detection and quantification of chikungunya virus</w:t>
      </w:r>
      <w:r w:rsidR="00222B5B">
        <w:rPr>
          <w:rFonts w:ascii="Calibri" w:eastAsia="Calibri" w:hAnsi="Calibri" w:cs="Calibri"/>
          <w:i/>
          <w:iCs/>
          <w:color w:val="000000"/>
          <w:lang w:val="en-GB"/>
        </w:rPr>
        <w:t>.</w:t>
      </w:r>
      <w:r w:rsidR="00222B5B">
        <w:rPr>
          <w:rFonts w:ascii="Calibri" w:eastAsia="Calibri" w:hAnsi="Calibri" w:cs="Calibri"/>
          <w:color w:val="000000"/>
          <w:lang w:val="en-GB"/>
        </w:rPr>
        <w:t xml:space="preserve"> </w:t>
      </w:r>
      <w:r w:rsidR="00222B5B">
        <w:rPr>
          <w:rFonts w:ascii="Calibri" w:eastAsia="Calibri" w:hAnsi="Calibri" w:cs="Calibri"/>
          <w:i/>
          <w:iCs/>
          <w:color w:val="000000"/>
          <w:lang w:val="en-GB"/>
        </w:rPr>
        <w:t xml:space="preserve">Future </w:t>
      </w:r>
      <w:proofErr w:type="spellStart"/>
      <w:r w:rsidR="00222B5B">
        <w:rPr>
          <w:rFonts w:ascii="Calibri" w:eastAsia="Calibri" w:hAnsi="Calibri" w:cs="Calibri"/>
          <w:i/>
          <w:iCs/>
          <w:color w:val="000000"/>
          <w:lang w:val="en-GB"/>
        </w:rPr>
        <w:t>Virol</w:t>
      </w:r>
      <w:proofErr w:type="spellEnd"/>
      <w:r w:rsidR="00222B5B">
        <w:rPr>
          <w:rFonts w:ascii="Calibri" w:eastAsia="Calibri" w:hAnsi="Calibri" w:cs="Calibri"/>
          <w:color w:val="000000"/>
          <w:lang w:val="en-GB"/>
        </w:rPr>
        <w:t xml:space="preserve"> 2008;3(2):179–192. </w:t>
      </w:r>
    </w:p>
    <w:p w14:paraId="009F9ED6"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Harrington S, Lindsay M, Douglas A.</w:t>
      </w:r>
      <w:r>
        <w:rPr>
          <w:rFonts w:ascii="Calibri" w:eastAsia="Calibri" w:hAnsi="Calibri" w:cs="Calibri"/>
          <w:i/>
          <w:iCs/>
          <w:color w:val="000000"/>
          <w:lang w:val="en-GB"/>
        </w:rPr>
        <w:t xml:space="preserve"> Christmas Island and Cocos (Keeling) Islands, Indian Ocean: Mosquito fauna and mosquito-borne disease risk assessment and management recommendations. Final report of investigations undertaken in 2007–08</w:t>
      </w:r>
      <w:r>
        <w:rPr>
          <w:rFonts w:ascii="Calibri" w:eastAsia="Calibri" w:hAnsi="Calibri" w:cs="Calibri"/>
          <w:color w:val="000000"/>
          <w:lang w:val="en-GB"/>
        </w:rPr>
        <w:t>: Public Health Division, Western Australian Department of Health; 2009.</w:t>
      </w:r>
    </w:p>
    <w:p w14:paraId="069D3A0F"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Pacific Public Health Surveillance Network. Chikungunya in the Pacific region. In: </w:t>
      </w:r>
      <w:r>
        <w:rPr>
          <w:rFonts w:ascii="Calibri" w:eastAsia="Calibri" w:hAnsi="Calibri" w:cs="Calibri"/>
          <w:i/>
          <w:iCs/>
          <w:color w:val="000000"/>
          <w:lang w:val="en-GB"/>
        </w:rPr>
        <w:t xml:space="preserve">Email to members of </w:t>
      </w:r>
      <w:proofErr w:type="spellStart"/>
      <w:r>
        <w:rPr>
          <w:rFonts w:ascii="Calibri" w:eastAsia="Calibri" w:hAnsi="Calibri" w:cs="Calibri"/>
          <w:i/>
          <w:iCs/>
          <w:color w:val="000000"/>
          <w:lang w:val="en-GB"/>
        </w:rPr>
        <w:t>PacNet</w:t>
      </w:r>
      <w:proofErr w:type="spellEnd"/>
      <w:r>
        <w:rPr>
          <w:rFonts w:ascii="Calibri" w:eastAsia="Calibri" w:hAnsi="Calibri" w:cs="Calibri"/>
          <w:color w:val="000000"/>
          <w:lang w:val="en-GB"/>
        </w:rPr>
        <w:t>; 2015.</w:t>
      </w:r>
    </w:p>
    <w:p w14:paraId="58C8FB69" w14:textId="3874C340"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World Health Organization. Dengue and severe dengue. 2016. Available at: </w:t>
      </w:r>
      <w:hyperlink r:id="rId163" w:tooltip="http://www.who.int/mediacentre/factsheets/fs117/en/" w:history="1">
        <w:r w:rsidR="001047AB" w:rsidRPr="009928CF">
          <w:rPr>
            <w:rStyle w:val="Hyperlink"/>
            <w:rFonts w:ascii="Calibri" w:eastAsia="Calibri" w:hAnsi="Calibri" w:cs="Calibri"/>
            <w:lang w:val="en-GB"/>
          </w:rPr>
          <w:t>http://www.who.int/mediacentre/factsheets/fs117/en/</w:t>
        </w:r>
      </w:hyperlink>
      <w:r>
        <w:rPr>
          <w:rFonts w:ascii="Calibri" w:eastAsia="Calibri" w:hAnsi="Calibri" w:cs="Calibri"/>
          <w:color w:val="000000"/>
          <w:lang w:val="en-GB"/>
        </w:rPr>
        <w:t xml:space="preserve"> </w:t>
      </w:r>
    </w:p>
    <w:p w14:paraId="3161C5B1"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Guzman MG, </w:t>
      </w:r>
      <w:proofErr w:type="spellStart"/>
      <w:r>
        <w:rPr>
          <w:rFonts w:ascii="Calibri" w:eastAsia="Calibri" w:hAnsi="Calibri" w:cs="Calibri"/>
          <w:color w:val="000000"/>
          <w:lang w:val="en-GB"/>
        </w:rPr>
        <w:t>Kouri</w:t>
      </w:r>
      <w:proofErr w:type="spellEnd"/>
      <w:r>
        <w:rPr>
          <w:rFonts w:ascii="Calibri" w:eastAsia="Calibri" w:hAnsi="Calibri" w:cs="Calibri"/>
          <w:color w:val="000000"/>
          <w:lang w:val="en-GB"/>
        </w:rPr>
        <w:t xml:space="preserve"> G, Martinez E, Bravo J, </w:t>
      </w:r>
      <w:proofErr w:type="spellStart"/>
      <w:r>
        <w:rPr>
          <w:rFonts w:ascii="Calibri" w:eastAsia="Calibri" w:hAnsi="Calibri" w:cs="Calibri"/>
          <w:color w:val="000000"/>
          <w:lang w:val="en-GB"/>
        </w:rPr>
        <w:t>Riveron</w:t>
      </w:r>
      <w:proofErr w:type="spellEnd"/>
      <w:r>
        <w:rPr>
          <w:rFonts w:ascii="Calibri" w:eastAsia="Calibri" w:hAnsi="Calibri" w:cs="Calibri"/>
          <w:color w:val="000000"/>
          <w:lang w:val="en-GB"/>
        </w:rPr>
        <w:t xml:space="preserve"> R, Soler M, et al. Clinical and serologic study of Cuban children with dengue </w:t>
      </w:r>
      <w:proofErr w:type="spellStart"/>
      <w:r>
        <w:rPr>
          <w:rFonts w:ascii="Calibri" w:eastAsia="Calibri" w:hAnsi="Calibri" w:cs="Calibri"/>
          <w:color w:val="000000"/>
          <w:lang w:val="en-GB"/>
        </w:rPr>
        <w:t>hemorrhagic</w:t>
      </w:r>
      <w:proofErr w:type="spellEnd"/>
      <w:r>
        <w:rPr>
          <w:rFonts w:ascii="Calibri" w:eastAsia="Calibri" w:hAnsi="Calibri" w:cs="Calibri"/>
          <w:color w:val="000000"/>
          <w:lang w:val="en-GB"/>
        </w:rPr>
        <w:t xml:space="preserve"> fever/dengue shock syndrome (DHF/DSS)</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Bull Pan Am Health Organ</w:t>
      </w:r>
      <w:r>
        <w:rPr>
          <w:rFonts w:ascii="Calibri" w:eastAsia="Calibri" w:hAnsi="Calibri" w:cs="Calibri"/>
          <w:color w:val="000000"/>
          <w:lang w:val="en-GB"/>
        </w:rPr>
        <w:t xml:space="preserve"> 1987;21(3):270–279.</w:t>
      </w:r>
    </w:p>
    <w:p w14:paraId="0EE9EA06" w14:textId="407DDCFE"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Mackenzie JS, </w:t>
      </w:r>
      <w:proofErr w:type="spellStart"/>
      <w:r>
        <w:rPr>
          <w:rFonts w:ascii="Calibri" w:eastAsia="Calibri" w:hAnsi="Calibri" w:cs="Calibri"/>
          <w:color w:val="000000"/>
          <w:lang w:val="en-GB"/>
        </w:rPr>
        <w:t>Gubler</w:t>
      </w:r>
      <w:proofErr w:type="spellEnd"/>
      <w:r>
        <w:rPr>
          <w:rFonts w:ascii="Calibri" w:eastAsia="Calibri" w:hAnsi="Calibri" w:cs="Calibri"/>
          <w:color w:val="000000"/>
          <w:lang w:val="en-GB"/>
        </w:rPr>
        <w:t xml:space="preserve"> DJ, Petersen LR. Emerging flaviviruses: the spread and resurgence of Japanese encephalitis, West </w:t>
      </w:r>
      <w:proofErr w:type="gramStart"/>
      <w:r>
        <w:rPr>
          <w:rFonts w:ascii="Calibri" w:eastAsia="Calibri" w:hAnsi="Calibri" w:cs="Calibri"/>
          <w:color w:val="000000"/>
          <w:lang w:val="en-GB"/>
        </w:rPr>
        <w:t>Nile</w:t>
      </w:r>
      <w:proofErr w:type="gramEnd"/>
      <w:r>
        <w:rPr>
          <w:rFonts w:ascii="Calibri" w:eastAsia="Calibri" w:hAnsi="Calibri" w:cs="Calibri"/>
          <w:color w:val="000000"/>
          <w:lang w:val="en-GB"/>
        </w:rPr>
        <w:t xml:space="preserve"> and dengue viruses</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Nat Med</w:t>
      </w:r>
      <w:r>
        <w:rPr>
          <w:rFonts w:ascii="Calibri" w:eastAsia="Calibri" w:hAnsi="Calibri" w:cs="Calibri"/>
          <w:color w:val="000000"/>
          <w:lang w:val="en-GB"/>
        </w:rPr>
        <w:t xml:space="preserve"> 2004;10(12 </w:t>
      </w:r>
      <w:proofErr w:type="spellStart"/>
      <w:r>
        <w:rPr>
          <w:rFonts w:ascii="Calibri" w:eastAsia="Calibri" w:hAnsi="Calibri" w:cs="Calibri"/>
          <w:color w:val="000000"/>
          <w:lang w:val="en-GB"/>
        </w:rPr>
        <w:t>Suppl</w:t>
      </w:r>
      <w:proofErr w:type="spellEnd"/>
      <w:proofErr w:type="gramStart"/>
      <w:r>
        <w:rPr>
          <w:rFonts w:ascii="Calibri" w:eastAsia="Calibri" w:hAnsi="Calibri" w:cs="Calibri"/>
          <w:color w:val="000000"/>
          <w:lang w:val="en-GB"/>
        </w:rPr>
        <w:t>):S</w:t>
      </w:r>
      <w:proofErr w:type="gramEnd"/>
      <w:r>
        <w:rPr>
          <w:rFonts w:ascii="Calibri" w:eastAsia="Calibri" w:hAnsi="Calibri" w:cs="Calibri"/>
          <w:color w:val="000000"/>
          <w:lang w:val="en-GB"/>
        </w:rPr>
        <w:t xml:space="preserve">98–S109. Available at: </w:t>
      </w:r>
      <w:hyperlink r:id="rId164" w:tooltip="http://search.ebscohost.com/login.aspx?direct=true&amp;db=mnh&amp;AN=15577938&amp;site=ehost-live" w:history="1">
        <w:r w:rsidR="001047AB" w:rsidRPr="009928CF">
          <w:rPr>
            <w:rStyle w:val="Hyperlink"/>
            <w:rFonts w:ascii="Calibri" w:eastAsia="Calibri" w:hAnsi="Calibri" w:cs="Calibri"/>
            <w:lang w:val="en-GB"/>
          </w:rPr>
          <w:t>http://search.ebscohost.com/login.aspx?direct=true&amp;db=mnh&amp;AN=15577938&amp;site=ehost-live</w:t>
        </w:r>
      </w:hyperlink>
      <w:r>
        <w:rPr>
          <w:rFonts w:ascii="Calibri" w:eastAsia="Calibri" w:hAnsi="Calibri" w:cs="Calibri"/>
          <w:color w:val="000000"/>
          <w:lang w:val="en-GB"/>
        </w:rPr>
        <w:t xml:space="preserve"> </w:t>
      </w:r>
    </w:p>
    <w:p w14:paraId="3EC3B009" w14:textId="1960B858" w:rsidR="001047AB" w:rsidRPr="009928CF" w:rsidRDefault="00222B5B" w:rsidP="00222B5B">
      <w:pPr>
        <w:numPr>
          <w:ilvl w:val="0"/>
          <w:numId w:val="49"/>
        </w:numPr>
        <w:autoSpaceDE w:val="0"/>
        <w:autoSpaceDN w:val="0"/>
        <w:adjustRightInd w:val="0"/>
        <w:spacing w:after="170" w:line="288" w:lineRule="auto"/>
        <w:ind w:left="567" w:hanging="567"/>
        <w:textAlignment w:val="center"/>
        <w:divId w:val="2110732990"/>
        <w:rPr>
          <w:rStyle w:val="Hyperlink"/>
          <w:rFonts w:ascii="Calibri" w:eastAsia="Calibri" w:hAnsi="Calibri" w:cs="Calibri"/>
          <w:lang w:val="en-GB"/>
        </w:rPr>
      </w:pPr>
      <w:r>
        <w:rPr>
          <w:rFonts w:ascii="Calibri" w:eastAsia="Calibri" w:hAnsi="Calibri" w:cs="Calibri"/>
          <w:color w:val="000000"/>
          <w:lang w:val="en-GB"/>
        </w:rPr>
        <w:t xml:space="preserve">Vaughn DW, Green S, </w:t>
      </w:r>
      <w:proofErr w:type="spellStart"/>
      <w:r>
        <w:rPr>
          <w:rFonts w:ascii="Calibri" w:eastAsia="Calibri" w:hAnsi="Calibri" w:cs="Calibri"/>
          <w:color w:val="000000"/>
          <w:lang w:val="en-GB"/>
        </w:rPr>
        <w:t>Kalayanarooj</w:t>
      </w:r>
      <w:proofErr w:type="spellEnd"/>
      <w:r>
        <w:rPr>
          <w:rFonts w:ascii="Calibri" w:eastAsia="Calibri" w:hAnsi="Calibri" w:cs="Calibri"/>
          <w:color w:val="000000"/>
          <w:lang w:val="en-GB"/>
        </w:rPr>
        <w:t xml:space="preserve"> S, Innis BL, </w:t>
      </w:r>
      <w:proofErr w:type="spellStart"/>
      <w:r>
        <w:rPr>
          <w:rFonts w:ascii="Calibri" w:eastAsia="Calibri" w:hAnsi="Calibri" w:cs="Calibri"/>
          <w:color w:val="000000"/>
          <w:lang w:val="en-GB"/>
        </w:rPr>
        <w:t>Nimmannitya</w:t>
      </w:r>
      <w:proofErr w:type="spellEnd"/>
      <w:r>
        <w:rPr>
          <w:rFonts w:ascii="Calibri" w:eastAsia="Calibri" w:hAnsi="Calibri" w:cs="Calibri"/>
          <w:color w:val="000000"/>
          <w:lang w:val="en-GB"/>
        </w:rPr>
        <w:t xml:space="preserve"> S, </w:t>
      </w:r>
      <w:proofErr w:type="spellStart"/>
      <w:r>
        <w:rPr>
          <w:rFonts w:ascii="Calibri" w:eastAsia="Calibri" w:hAnsi="Calibri" w:cs="Calibri"/>
          <w:color w:val="000000"/>
          <w:lang w:val="en-GB"/>
        </w:rPr>
        <w:t>Suntayakorn</w:t>
      </w:r>
      <w:proofErr w:type="spellEnd"/>
      <w:r>
        <w:rPr>
          <w:rFonts w:ascii="Calibri" w:eastAsia="Calibri" w:hAnsi="Calibri" w:cs="Calibri"/>
          <w:color w:val="000000"/>
          <w:lang w:val="en-GB"/>
        </w:rPr>
        <w:t xml:space="preserve"> S, et al. Dengue viremia </w:t>
      </w:r>
      <w:proofErr w:type="spellStart"/>
      <w:r>
        <w:rPr>
          <w:rFonts w:ascii="Calibri" w:eastAsia="Calibri" w:hAnsi="Calibri" w:cs="Calibri"/>
          <w:color w:val="000000"/>
          <w:lang w:val="en-GB"/>
        </w:rPr>
        <w:t>titer</w:t>
      </w:r>
      <w:proofErr w:type="spellEnd"/>
      <w:r>
        <w:rPr>
          <w:rFonts w:ascii="Calibri" w:eastAsia="Calibri" w:hAnsi="Calibri" w:cs="Calibri"/>
          <w:color w:val="000000"/>
          <w:lang w:val="en-GB"/>
        </w:rPr>
        <w:t>, antibody response pattern, and virus serotype correlate with disease severity</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J Infect Dis</w:t>
      </w:r>
      <w:r>
        <w:rPr>
          <w:rFonts w:ascii="Calibri" w:eastAsia="Calibri" w:hAnsi="Calibri" w:cs="Calibri"/>
          <w:color w:val="000000"/>
          <w:lang w:val="en-GB"/>
        </w:rPr>
        <w:t xml:space="preserve"> 2000;181(1):2–9. Available at: </w:t>
      </w:r>
      <w:r w:rsidR="001047AB">
        <w:rPr>
          <w:rFonts w:ascii="Calibri" w:eastAsia="Calibri" w:hAnsi="Calibri" w:cs="Calibri"/>
          <w:lang w:val="en-GB"/>
        </w:rPr>
        <w:fldChar w:fldCharType="begin"/>
      </w:r>
      <w:r w:rsidR="0021477A">
        <w:rPr>
          <w:rFonts w:ascii="Calibri" w:eastAsia="Calibri" w:hAnsi="Calibri" w:cs="Calibri"/>
          <w:lang w:val="en-GB"/>
        </w:rPr>
        <w:instrText>HYPERLINK "http://www.ncbi.nlm.nih.gov/pubmed/10608744" \o "http://www.ncbi.nlm.nih.gov/pubmed/10608744 "</w:instrText>
      </w:r>
      <w:r w:rsidR="0021477A">
        <w:rPr>
          <w:rFonts w:ascii="Calibri" w:eastAsia="Calibri" w:hAnsi="Calibri" w:cs="Calibri"/>
          <w:lang w:val="en-GB"/>
        </w:rPr>
      </w:r>
      <w:r w:rsidR="001047AB">
        <w:rPr>
          <w:rFonts w:ascii="Calibri" w:eastAsia="Calibri" w:hAnsi="Calibri" w:cs="Calibri"/>
          <w:lang w:val="en-GB"/>
        </w:rPr>
        <w:fldChar w:fldCharType="separate"/>
      </w:r>
      <w:r w:rsidR="001047AB" w:rsidRPr="009928CF">
        <w:rPr>
          <w:rStyle w:val="Hyperlink"/>
          <w:rFonts w:ascii="Calibri" w:eastAsia="Calibri" w:hAnsi="Calibri" w:cs="Calibri"/>
          <w:lang w:val="en-GB"/>
        </w:rPr>
        <w:t xml:space="preserve">http://www.ncbi.nlm.nih.gov/pubmed/10608744 </w:t>
      </w:r>
    </w:p>
    <w:p w14:paraId="74452A86" w14:textId="77777777" w:rsidR="00222B5B" w:rsidRDefault="001047A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lang w:val="en-GB"/>
        </w:rPr>
        <w:fldChar w:fldCharType="end"/>
      </w:r>
      <w:r w:rsidR="00222B5B">
        <w:rPr>
          <w:rFonts w:ascii="Calibri" w:eastAsia="Calibri" w:hAnsi="Calibri" w:cs="Calibri"/>
          <w:color w:val="000000"/>
          <w:lang w:val="en-GB"/>
        </w:rPr>
        <w:t xml:space="preserve">Queensland Health. </w:t>
      </w:r>
      <w:r w:rsidR="00222B5B">
        <w:rPr>
          <w:rFonts w:ascii="Calibri" w:eastAsia="Calibri" w:hAnsi="Calibri" w:cs="Calibri"/>
          <w:i/>
          <w:iCs/>
          <w:color w:val="000000"/>
          <w:lang w:val="en-GB"/>
        </w:rPr>
        <w:t>Queensland Dengue Management Plan 2015–2020</w:t>
      </w:r>
      <w:r w:rsidR="00222B5B">
        <w:rPr>
          <w:rFonts w:ascii="Calibri" w:eastAsia="Calibri" w:hAnsi="Calibri" w:cs="Calibri"/>
          <w:color w:val="000000"/>
          <w:lang w:val="en-GB"/>
        </w:rPr>
        <w:t>.</w:t>
      </w:r>
    </w:p>
    <w:p w14:paraId="1C7D4E0B"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proofErr w:type="spellStart"/>
      <w:r>
        <w:rPr>
          <w:rFonts w:ascii="Calibri" w:eastAsia="Calibri" w:hAnsi="Calibri" w:cs="Calibri"/>
          <w:color w:val="000000"/>
          <w:lang w:val="en-GB"/>
        </w:rPr>
        <w:t>Knope</w:t>
      </w:r>
      <w:proofErr w:type="spellEnd"/>
      <w:r>
        <w:rPr>
          <w:rFonts w:ascii="Calibri" w:eastAsia="Calibri" w:hAnsi="Calibri" w:cs="Calibri"/>
          <w:color w:val="000000"/>
          <w:lang w:val="en-GB"/>
        </w:rPr>
        <w:t xml:space="preserve"> K, Muller M, </w:t>
      </w:r>
      <w:proofErr w:type="spellStart"/>
      <w:r>
        <w:rPr>
          <w:rFonts w:ascii="Calibri" w:eastAsia="Calibri" w:hAnsi="Calibri" w:cs="Calibri"/>
          <w:color w:val="000000"/>
          <w:lang w:val="en-GB"/>
        </w:rPr>
        <w:t>Kurucz</w:t>
      </w:r>
      <w:proofErr w:type="spellEnd"/>
      <w:r>
        <w:rPr>
          <w:rFonts w:ascii="Calibri" w:eastAsia="Calibri" w:hAnsi="Calibri" w:cs="Calibri"/>
          <w:color w:val="000000"/>
          <w:lang w:val="en-GB"/>
        </w:rPr>
        <w:t xml:space="preserve"> N, Doggett S, Feldman R, Johansen C, et al. Arboviral diseases and malaria in Australia, 2013–14: annual report of the National Arbovirus and Malaria Advisory Committee</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Commun Dis Intell</w:t>
      </w:r>
      <w:r>
        <w:rPr>
          <w:rFonts w:ascii="Calibri" w:eastAsia="Calibri" w:hAnsi="Calibri" w:cs="Calibri"/>
          <w:color w:val="000000"/>
          <w:lang w:val="en-GB"/>
        </w:rPr>
        <w:t xml:space="preserve"> 2016;40(3). </w:t>
      </w:r>
    </w:p>
    <w:p w14:paraId="0E27BD1D" w14:textId="05E692BC"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Whelan P, Nguyen H, </w:t>
      </w:r>
      <w:proofErr w:type="spellStart"/>
      <w:r>
        <w:rPr>
          <w:rFonts w:ascii="Calibri" w:eastAsia="Calibri" w:hAnsi="Calibri" w:cs="Calibri"/>
          <w:color w:val="000000"/>
          <w:lang w:val="en-GB"/>
        </w:rPr>
        <w:t>Hajkowicz</w:t>
      </w:r>
      <w:proofErr w:type="spellEnd"/>
      <w:r>
        <w:rPr>
          <w:rFonts w:ascii="Calibri" w:eastAsia="Calibri" w:hAnsi="Calibri" w:cs="Calibri"/>
          <w:color w:val="000000"/>
          <w:lang w:val="en-GB"/>
        </w:rPr>
        <w:t xml:space="preserve"> K, Davis J, Smith D, Pyke A, et al. Evidence in Australia for a Case of Airport Dengue</w:t>
      </w:r>
      <w:r>
        <w:rPr>
          <w:rFonts w:ascii="Calibri" w:eastAsia="Calibri" w:hAnsi="Calibri" w:cs="Calibri"/>
          <w:i/>
          <w:iCs/>
          <w:color w:val="000000"/>
          <w:lang w:val="en-GB"/>
        </w:rPr>
        <w:t>.</w:t>
      </w:r>
      <w:r>
        <w:rPr>
          <w:rFonts w:ascii="Calibri" w:eastAsia="Calibri" w:hAnsi="Calibri" w:cs="Calibri"/>
          <w:color w:val="000000"/>
          <w:lang w:val="en-GB"/>
        </w:rPr>
        <w:t xml:space="preserve"> </w:t>
      </w:r>
      <w:proofErr w:type="spellStart"/>
      <w:r>
        <w:rPr>
          <w:rFonts w:ascii="Calibri" w:eastAsia="Calibri" w:hAnsi="Calibri" w:cs="Calibri"/>
          <w:i/>
          <w:iCs/>
          <w:color w:val="000000"/>
          <w:lang w:val="en-GB"/>
        </w:rPr>
        <w:t>PLoS</w:t>
      </w:r>
      <w:proofErr w:type="spellEnd"/>
      <w:r>
        <w:rPr>
          <w:rFonts w:ascii="Calibri" w:eastAsia="Calibri" w:hAnsi="Calibri" w:cs="Calibri"/>
          <w:i/>
          <w:iCs/>
          <w:color w:val="000000"/>
          <w:lang w:val="en-GB"/>
        </w:rPr>
        <w:t xml:space="preserve"> </w:t>
      </w:r>
      <w:proofErr w:type="spellStart"/>
      <w:r>
        <w:rPr>
          <w:rFonts w:ascii="Calibri" w:eastAsia="Calibri" w:hAnsi="Calibri" w:cs="Calibri"/>
          <w:i/>
          <w:iCs/>
          <w:color w:val="000000"/>
          <w:lang w:val="en-GB"/>
        </w:rPr>
        <w:t>Negl</w:t>
      </w:r>
      <w:proofErr w:type="spellEnd"/>
      <w:r>
        <w:rPr>
          <w:rFonts w:ascii="Calibri" w:eastAsia="Calibri" w:hAnsi="Calibri" w:cs="Calibri"/>
          <w:i/>
          <w:iCs/>
          <w:color w:val="000000"/>
          <w:lang w:val="en-GB"/>
        </w:rPr>
        <w:t xml:space="preserve"> Trop Dis</w:t>
      </w:r>
      <w:r>
        <w:rPr>
          <w:rFonts w:ascii="Calibri" w:eastAsia="Calibri" w:hAnsi="Calibri" w:cs="Calibri"/>
          <w:color w:val="000000"/>
          <w:lang w:val="en-GB"/>
        </w:rPr>
        <w:t xml:space="preserve"> 2012;6(9</w:t>
      </w:r>
      <w:proofErr w:type="gramStart"/>
      <w:r>
        <w:rPr>
          <w:rFonts w:ascii="Calibri" w:eastAsia="Calibri" w:hAnsi="Calibri" w:cs="Calibri"/>
          <w:color w:val="000000"/>
          <w:lang w:val="en-GB"/>
        </w:rPr>
        <w:t>):e</w:t>
      </w:r>
      <w:proofErr w:type="gramEnd"/>
      <w:r>
        <w:rPr>
          <w:rFonts w:ascii="Calibri" w:eastAsia="Calibri" w:hAnsi="Calibri" w:cs="Calibri"/>
          <w:color w:val="000000"/>
          <w:lang w:val="en-GB"/>
        </w:rPr>
        <w:t xml:space="preserve">1619. Available at </w:t>
      </w:r>
      <w:hyperlink r:id="rId165" w:history="1">
        <w:r w:rsidR="001047AB" w:rsidRPr="009928CF">
          <w:rPr>
            <w:rStyle w:val="Hyperlink"/>
            <w:rFonts w:ascii="Calibri" w:eastAsia="Calibri" w:hAnsi="Calibri" w:cs="Calibri"/>
            <w:lang w:val="en-GB"/>
          </w:rPr>
          <w:t>http://dx.doi.org/10.1371%2Fjournal.pntd.0001619</w:t>
        </w:r>
      </w:hyperlink>
      <w:r>
        <w:rPr>
          <w:rFonts w:ascii="Calibri" w:eastAsia="Calibri" w:hAnsi="Calibri" w:cs="Calibri"/>
          <w:color w:val="000000"/>
          <w:lang w:val="en-GB"/>
        </w:rPr>
        <w:t xml:space="preserve"> </w:t>
      </w:r>
    </w:p>
    <w:p w14:paraId="258EAF18" w14:textId="2C8A7220" w:rsidR="001047AB" w:rsidRPr="009928CF" w:rsidRDefault="00222B5B" w:rsidP="00222B5B">
      <w:pPr>
        <w:numPr>
          <w:ilvl w:val="0"/>
          <w:numId w:val="49"/>
        </w:numPr>
        <w:autoSpaceDE w:val="0"/>
        <w:autoSpaceDN w:val="0"/>
        <w:adjustRightInd w:val="0"/>
        <w:spacing w:after="170" w:line="288" w:lineRule="auto"/>
        <w:ind w:left="567" w:hanging="567"/>
        <w:textAlignment w:val="center"/>
        <w:divId w:val="2110732990"/>
        <w:rPr>
          <w:rStyle w:val="Hyperlink"/>
          <w:rFonts w:ascii="Calibri" w:eastAsia="Calibri" w:hAnsi="Calibri" w:cs="Calibri"/>
          <w:lang w:val="en-GB"/>
        </w:rPr>
      </w:pPr>
      <w:r>
        <w:rPr>
          <w:rFonts w:ascii="Calibri" w:eastAsia="Calibri" w:hAnsi="Calibri" w:cs="Calibri"/>
          <w:color w:val="000000"/>
          <w:lang w:val="en-GB"/>
        </w:rPr>
        <w:t xml:space="preserve">Lindsay MD, Jardine A, </w:t>
      </w:r>
      <w:proofErr w:type="spellStart"/>
      <w:r>
        <w:rPr>
          <w:rFonts w:ascii="Calibri" w:eastAsia="Calibri" w:hAnsi="Calibri" w:cs="Calibri"/>
          <w:color w:val="000000"/>
          <w:lang w:val="en-GB"/>
        </w:rPr>
        <w:t>Giele</w:t>
      </w:r>
      <w:proofErr w:type="spellEnd"/>
      <w:r>
        <w:rPr>
          <w:rFonts w:ascii="Calibri" w:eastAsia="Calibri" w:hAnsi="Calibri" w:cs="Calibri"/>
          <w:color w:val="000000"/>
          <w:lang w:val="en-GB"/>
        </w:rPr>
        <w:t xml:space="preserve"> C, Armstrong P, McCarthy S, Whittle A, et al. Investigation of the first case of dengue virus infection acquired in Western Australia in seven decades: Evidence of importation of infected </w:t>
      </w:r>
      <w:r>
        <w:rPr>
          <w:rFonts w:ascii="Calibri" w:eastAsia="Calibri" w:hAnsi="Calibri" w:cs="Calibri"/>
          <w:color w:val="000000"/>
          <w:lang w:val="en-GB"/>
        </w:rPr>
        <w:lastRenderedPageBreak/>
        <w:t xml:space="preserve">mosquitoes? </w:t>
      </w:r>
      <w:proofErr w:type="spellStart"/>
      <w:r>
        <w:rPr>
          <w:rFonts w:ascii="Calibri" w:eastAsia="Calibri" w:hAnsi="Calibri" w:cs="Calibri"/>
          <w:i/>
          <w:iCs/>
          <w:color w:val="000000"/>
          <w:lang w:val="en-GB"/>
        </w:rPr>
        <w:t>PLoS</w:t>
      </w:r>
      <w:proofErr w:type="spellEnd"/>
      <w:r>
        <w:rPr>
          <w:rFonts w:ascii="Calibri" w:eastAsia="Calibri" w:hAnsi="Calibri" w:cs="Calibri"/>
          <w:i/>
          <w:iCs/>
          <w:color w:val="000000"/>
          <w:lang w:val="en-GB"/>
        </w:rPr>
        <w:t xml:space="preserve"> </w:t>
      </w:r>
      <w:proofErr w:type="spellStart"/>
      <w:r>
        <w:rPr>
          <w:rFonts w:ascii="Calibri" w:eastAsia="Calibri" w:hAnsi="Calibri" w:cs="Calibri"/>
          <w:i/>
          <w:iCs/>
          <w:color w:val="000000"/>
          <w:lang w:val="en-GB"/>
        </w:rPr>
        <w:t>Negl</w:t>
      </w:r>
      <w:proofErr w:type="spellEnd"/>
      <w:r>
        <w:rPr>
          <w:rFonts w:ascii="Calibri" w:eastAsia="Calibri" w:hAnsi="Calibri" w:cs="Calibri"/>
          <w:i/>
          <w:iCs/>
          <w:color w:val="000000"/>
          <w:lang w:val="en-GB"/>
        </w:rPr>
        <w:t xml:space="preserve"> Trop Dis</w:t>
      </w:r>
      <w:r>
        <w:rPr>
          <w:rFonts w:ascii="Calibri" w:eastAsia="Calibri" w:hAnsi="Calibri" w:cs="Calibri"/>
          <w:color w:val="000000"/>
          <w:lang w:val="en-GB"/>
        </w:rPr>
        <w:t xml:space="preserve"> 2015;9(9</w:t>
      </w:r>
      <w:proofErr w:type="gramStart"/>
      <w:r>
        <w:rPr>
          <w:rFonts w:ascii="Calibri" w:eastAsia="Calibri" w:hAnsi="Calibri" w:cs="Calibri"/>
          <w:color w:val="000000"/>
          <w:lang w:val="en-GB"/>
        </w:rPr>
        <w:t>):E</w:t>
      </w:r>
      <w:proofErr w:type="gramEnd"/>
      <w:r>
        <w:rPr>
          <w:rFonts w:ascii="Calibri" w:eastAsia="Calibri" w:hAnsi="Calibri" w:cs="Calibri"/>
          <w:color w:val="000000"/>
          <w:lang w:val="en-GB"/>
        </w:rPr>
        <w:t xml:space="preserve">0004114. Available at: </w:t>
      </w:r>
      <w:r w:rsidR="001047AB">
        <w:rPr>
          <w:rFonts w:ascii="Calibri" w:eastAsia="Calibri" w:hAnsi="Calibri" w:cs="Calibri"/>
          <w:lang w:val="en-GB"/>
        </w:rPr>
        <w:fldChar w:fldCharType="begin"/>
      </w:r>
      <w:r w:rsidR="0021477A">
        <w:rPr>
          <w:rFonts w:ascii="Calibri" w:eastAsia="Calibri" w:hAnsi="Calibri" w:cs="Calibri"/>
          <w:lang w:val="en-GB"/>
        </w:rPr>
        <w:instrText>HYPERLINK "http://www.ncbi.nlm.nih.gov/pubmed/26406471" \o "http://www.ncbi.nlm.nih.gov/pubmed/26406471 "</w:instrText>
      </w:r>
      <w:r w:rsidR="0021477A">
        <w:rPr>
          <w:rFonts w:ascii="Calibri" w:eastAsia="Calibri" w:hAnsi="Calibri" w:cs="Calibri"/>
          <w:lang w:val="en-GB"/>
        </w:rPr>
      </w:r>
      <w:r w:rsidR="001047AB">
        <w:rPr>
          <w:rFonts w:ascii="Calibri" w:eastAsia="Calibri" w:hAnsi="Calibri" w:cs="Calibri"/>
          <w:lang w:val="en-GB"/>
        </w:rPr>
        <w:fldChar w:fldCharType="separate"/>
      </w:r>
      <w:r w:rsidR="001047AB" w:rsidRPr="009928CF">
        <w:rPr>
          <w:rStyle w:val="Hyperlink"/>
          <w:rFonts w:ascii="Calibri" w:eastAsia="Calibri" w:hAnsi="Calibri" w:cs="Calibri"/>
          <w:lang w:val="en-GB"/>
        </w:rPr>
        <w:t xml:space="preserve">http://www.ncbi.nlm.nih.gov/pubmed/26406471 </w:t>
      </w:r>
    </w:p>
    <w:p w14:paraId="6DDFEFFA" w14:textId="77777777" w:rsidR="00222B5B" w:rsidRDefault="001047A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lang w:val="en-GB"/>
        </w:rPr>
        <w:fldChar w:fldCharType="end"/>
      </w:r>
      <w:proofErr w:type="spellStart"/>
      <w:r w:rsidR="00222B5B">
        <w:rPr>
          <w:rFonts w:ascii="Calibri" w:eastAsia="Calibri" w:hAnsi="Calibri" w:cs="Calibri"/>
          <w:color w:val="000000"/>
          <w:lang w:val="en-GB"/>
        </w:rPr>
        <w:t>Knope</w:t>
      </w:r>
      <w:proofErr w:type="spellEnd"/>
      <w:r w:rsidR="00222B5B">
        <w:rPr>
          <w:rFonts w:ascii="Calibri" w:eastAsia="Calibri" w:hAnsi="Calibri" w:cs="Calibri"/>
          <w:color w:val="000000"/>
          <w:lang w:val="en-GB"/>
        </w:rPr>
        <w:t xml:space="preserve"> K, National Arbovirus and Malaria Advisory Committee, </w:t>
      </w:r>
      <w:proofErr w:type="spellStart"/>
      <w:r w:rsidR="00222B5B">
        <w:rPr>
          <w:rFonts w:ascii="Calibri" w:eastAsia="Calibri" w:hAnsi="Calibri" w:cs="Calibri"/>
          <w:color w:val="000000"/>
          <w:lang w:val="en-GB"/>
        </w:rPr>
        <w:t>Giele</w:t>
      </w:r>
      <w:proofErr w:type="spellEnd"/>
      <w:r w:rsidR="00222B5B">
        <w:rPr>
          <w:rFonts w:ascii="Calibri" w:eastAsia="Calibri" w:hAnsi="Calibri" w:cs="Calibri"/>
          <w:color w:val="000000"/>
          <w:lang w:val="en-GB"/>
        </w:rPr>
        <w:t>, C. Increasing notifications of dengue related to overseas travel, 1991 to 2012</w:t>
      </w:r>
      <w:r w:rsidR="00222B5B">
        <w:rPr>
          <w:rFonts w:ascii="Calibri" w:eastAsia="Calibri" w:hAnsi="Calibri" w:cs="Calibri"/>
          <w:i/>
          <w:iCs/>
          <w:color w:val="000000"/>
          <w:lang w:val="en-GB"/>
        </w:rPr>
        <w:t>.</w:t>
      </w:r>
      <w:r w:rsidR="00222B5B">
        <w:rPr>
          <w:rFonts w:ascii="Calibri" w:eastAsia="Calibri" w:hAnsi="Calibri" w:cs="Calibri"/>
          <w:color w:val="000000"/>
          <w:lang w:val="en-GB"/>
        </w:rPr>
        <w:t xml:space="preserve"> </w:t>
      </w:r>
      <w:r w:rsidR="00222B5B">
        <w:rPr>
          <w:rFonts w:ascii="Calibri" w:eastAsia="Calibri" w:hAnsi="Calibri" w:cs="Calibri"/>
          <w:i/>
          <w:iCs/>
          <w:color w:val="000000"/>
          <w:lang w:val="en-GB"/>
        </w:rPr>
        <w:t>Commun Dis Intell</w:t>
      </w:r>
      <w:r w:rsidR="00222B5B">
        <w:rPr>
          <w:rFonts w:ascii="Calibri" w:eastAsia="Calibri" w:hAnsi="Calibri" w:cs="Calibri"/>
          <w:color w:val="000000"/>
          <w:lang w:val="en-GB"/>
        </w:rPr>
        <w:t xml:space="preserve"> 2013;37(1</w:t>
      </w:r>
      <w:proofErr w:type="gramStart"/>
      <w:r w:rsidR="00222B5B">
        <w:rPr>
          <w:rFonts w:ascii="Calibri" w:eastAsia="Calibri" w:hAnsi="Calibri" w:cs="Calibri"/>
          <w:color w:val="000000"/>
          <w:lang w:val="en-GB"/>
        </w:rPr>
        <w:t>):E</w:t>
      </w:r>
      <w:proofErr w:type="gramEnd"/>
      <w:r w:rsidR="00222B5B">
        <w:rPr>
          <w:rFonts w:ascii="Calibri" w:eastAsia="Calibri" w:hAnsi="Calibri" w:cs="Calibri"/>
          <w:color w:val="000000"/>
          <w:lang w:val="en-GB"/>
        </w:rPr>
        <w:t xml:space="preserve">55–E59. </w:t>
      </w:r>
    </w:p>
    <w:p w14:paraId="430635DE"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Tonga Ministry of Health. Situation report and update on the dengue fever outbreak in Tonga. In: </w:t>
      </w:r>
      <w:r>
        <w:rPr>
          <w:rFonts w:ascii="Calibri" w:eastAsia="Calibri" w:hAnsi="Calibri" w:cs="Calibri"/>
          <w:i/>
          <w:iCs/>
          <w:color w:val="000000"/>
          <w:lang w:val="en-GB"/>
        </w:rPr>
        <w:t xml:space="preserve">Email to </w:t>
      </w:r>
      <w:proofErr w:type="spellStart"/>
      <w:r>
        <w:rPr>
          <w:rFonts w:ascii="Calibri" w:eastAsia="Calibri" w:hAnsi="Calibri" w:cs="Calibri"/>
          <w:i/>
          <w:iCs/>
          <w:color w:val="000000"/>
          <w:lang w:val="en-GB"/>
        </w:rPr>
        <w:t>PacNet</w:t>
      </w:r>
      <w:proofErr w:type="spellEnd"/>
      <w:r>
        <w:rPr>
          <w:rFonts w:ascii="Calibri" w:eastAsia="Calibri" w:hAnsi="Calibri" w:cs="Calibri"/>
          <w:i/>
          <w:iCs/>
          <w:color w:val="000000"/>
          <w:lang w:val="en-GB"/>
        </w:rPr>
        <w:t xml:space="preserve"> members</w:t>
      </w:r>
      <w:r>
        <w:rPr>
          <w:rFonts w:ascii="Calibri" w:eastAsia="Calibri" w:hAnsi="Calibri" w:cs="Calibri"/>
          <w:color w:val="000000"/>
          <w:lang w:val="en-GB"/>
        </w:rPr>
        <w:t>; 2015.</w:t>
      </w:r>
    </w:p>
    <w:p w14:paraId="604D5CCA" w14:textId="7D24133F"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proofErr w:type="spellStart"/>
      <w:r>
        <w:rPr>
          <w:rFonts w:ascii="Calibri" w:eastAsia="Calibri" w:hAnsi="Calibri" w:cs="Calibri"/>
          <w:color w:val="000000"/>
          <w:lang w:val="en-GB"/>
        </w:rPr>
        <w:t>Musso</w:t>
      </w:r>
      <w:proofErr w:type="spellEnd"/>
      <w:r>
        <w:rPr>
          <w:rFonts w:ascii="Calibri" w:eastAsia="Calibri" w:hAnsi="Calibri" w:cs="Calibri"/>
          <w:color w:val="000000"/>
          <w:lang w:val="en-GB"/>
        </w:rPr>
        <w:t xml:space="preserve"> D, Roche C, Robin E, Nhan T, </w:t>
      </w:r>
      <w:proofErr w:type="spellStart"/>
      <w:r>
        <w:rPr>
          <w:rFonts w:ascii="Calibri" w:eastAsia="Calibri" w:hAnsi="Calibri" w:cs="Calibri"/>
          <w:color w:val="000000"/>
          <w:lang w:val="en-GB"/>
        </w:rPr>
        <w:t>Teissier</w:t>
      </w:r>
      <w:proofErr w:type="spellEnd"/>
      <w:r>
        <w:rPr>
          <w:rFonts w:ascii="Calibri" w:eastAsia="Calibri" w:hAnsi="Calibri" w:cs="Calibri"/>
          <w:color w:val="000000"/>
          <w:lang w:val="en-GB"/>
        </w:rPr>
        <w:t xml:space="preserve"> A, Cao-</w:t>
      </w:r>
      <w:proofErr w:type="spellStart"/>
      <w:r>
        <w:rPr>
          <w:rFonts w:ascii="Calibri" w:eastAsia="Calibri" w:hAnsi="Calibri" w:cs="Calibri"/>
          <w:color w:val="000000"/>
          <w:lang w:val="en-GB"/>
        </w:rPr>
        <w:t>Lormeau</w:t>
      </w:r>
      <w:proofErr w:type="spellEnd"/>
      <w:r>
        <w:rPr>
          <w:rFonts w:ascii="Calibri" w:eastAsia="Calibri" w:hAnsi="Calibri" w:cs="Calibri"/>
          <w:color w:val="000000"/>
          <w:lang w:val="en-GB"/>
        </w:rPr>
        <w:t xml:space="preserve"> VM. Potential sexual transmission of Zika virus</w:t>
      </w:r>
      <w:r>
        <w:rPr>
          <w:rFonts w:ascii="Calibri" w:eastAsia="Calibri" w:hAnsi="Calibri" w:cs="Calibri"/>
          <w:i/>
          <w:iCs/>
          <w:color w:val="000000"/>
          <w:lang w:val="en-GB"/>
        </w:rPr>
        <w:t>.</w:t>
      </w:r>
      <w:r>
        <w:rPr>
          <w:rFonts w:ascii="Calibri" w:eastAsia="Calibri" w:hAnsi="Calibri" w:cs="Calibri"/>
          <w:color w:val="000000"/>
          <w:lang w:val="en-GB"/>
        </w:rPr>
        <w:t xml:space="preserve"> </w:t>
      </w:r>
      <w:proofErr w:type="spellStart"/>
      <w:r>
        <w:rPr>
          <w:rFonts w:ascii="Calibri" w:eastAsia="Calibri" w:hAnsi="Calibri" w:cs="Calibri"/>
          <w:i/>
          <w:iCs/>
          <w:color w:val="000000"/>
          <w:lang w:val="en-GB"/>
        </w:rPr>
        <w:t>Emerg</w:t>
      </w:r>
      <w:proofErr w:type="spellEnd"/>
      <w:r>
        <w:rPr>
          <w:rFonts w:ascii="Calibri" w:eastAsia="Calibri" w:hAnsi="Calibri" w:cs="Calibri"/>
          <w:i/>
          <w:iCs/>
          <w:color w:val="000000"/>
          <w:lang w:val="en-GB"/>
        </w:rPr>
        <w:t xml:space="preserve"> Infect Dis</w:t>
      </w:r>
      <w:r>
        <w:rPr>
          <w:rFonts w:ascii="Calibri" w:eastAsia="Calibri" w:hAnsi="Calibri" w:cs="Calibri"/>
          <w:color w:val="000000"/>
          <w:lang w:val="en-GB"/>
        </w:rPr>
        <w:t xml:space="preserve"> 2015;21(2):359–361. Available at: </w:t>
      </w:r>
      <w:hyperlink r:id="rId166" w:tooltip="http://www.ncbi.nlm.nih.gov/pubmed/25625872" w:history="1">
        <w:r w:rsidR="001047AB" w:rsidRPr="009928CF">
          <w:rPr>
            <w:rStyle w:val="Hyperlink"/>
            <w:rFonts w:ascii="Calibri" w:eastAsia="Calibri" w:hAnsi="Calibri" w:cs="Calibri"/>
            <w:lang w:val="en-GB"/>
          </w:rPr>
          <w:t>http://www.ncbi.nlm.nih.gov/pubmed/25625872</w:t>
        </w:r>
      </w:hyperlink>
      <w:r>
        <w:rPr>
          <w:rFonts w:ascii="Calibri" w:eastAsia="Calibri" w:hAnsi="Calibri" w:cs="Calibri"/>
          <w:color w:val="000000"/>
          <w:lang w:val="en-GB"/>
        </w:rPr>
        <w:t xml:space="preserve"> </w:t>
      </w:r>
    </w:p>
    <w:p w14:paraId="12ED94BE" w14:textId="35D919CB" w:rsidR="001047AB" w:rsidRPr="009928CF" w:rsidRDefault="00222B5B" w:rsidP="00222B5B">
      <w:pPr>
        <w:numPr>
          <w:ilvl w:val="0"/>
          <w:numId w:val="49"/>
        </w:numPr>
        <w:autoSpaceDE w:val="0"/>
        <w:autoSpaceDN w:val="0"/>
        <w:adjustRightInd w:val="0"/>
        <w:spacing w:after="170" w:line="288" w:lineRule="auto"/>
        <w:ind w:left="567" w:hanging="567"/>
        <w:textAlignment w:val="center"/>
        <w:divId w:val="2110732990"/>
        <w:rPr>
          <w:rStyle w:val="Hyperlink"/>
          <w:rFonts w:ascii="Calibri" w:eastAsia="Calibri" w:hAnsi="Calibri" w:cs="Calibri"/>
          <w:lang w:val="en-GB"/>
        </w:rPr>
      </w:pPr>
      <w:proofErr w:type="spellStart"/>
      <w:r>
        <w:rPr>
          <w:rFonts w:ascii="Calibri" w:eastAsia="Calibri" w:hAnsi="Calibri" w:cs="Calibri"/>
          <w:color w:val="000000"/>
          <w:lang w:val="en-GB"/>
        </w:rPr>
        <w:t>Ministério</w:t>
      </w:r>
      <w:proofErr w:type="spellEnd"/>
      <w:r>
        <w:rPr>
          <w:rFonts w:ascii="Calibri" w:eastAsia="Calibri" w:hAnsi="Calibri" w:cs="Calibri"/>
          <w:color w:val="000000"/>
          <w:lang w:val="en-GB"/>
        </w:rPr>
        <w:t xml:space="preserve"> da </w:t>
      </w:r>
      <w:proofErr w:type="spellStart"/>
      <w:r>
        <w:rPr>
          <w:rFonts w:ascii="Calibri" w:eastAsia="Calibri" w:hAnsi="Calibri" w:cs="Calibri"/>
          <w:color w:val="000000"/>
          <w:lang w:val="en-GB"/>
        </w:rPr>
        <w:t>Saúde</w:t>
      </w:r>
      <w:proofErr w:type="spellEnd"/>
      <w:r>
        <w:rPr>
          <w:rFonts w:ascii="Calibri" w:eastAsia="Calibri" w:hAnsi="Calibri" w:cs="Calibri"/>
          <w:color w:val="000000"/>
          <w:lang w:val="en-GB"/>
        </w:rPr>
        <w:t xml:space="preserve"> (Brazil). </w:t>
      </w:r>
      <w:proofErr w:type="spellStart"/>
      <w:r>
        <w:rPr>
          <w:rFonts w:ascii="Calibri" w:eastAsia="Calibri" w:hAnsi="Calibri" w:cs="Calibri"/>
          <w:color w:val="000000"/>
          <w:lang w:val="en-GB"/>
        </w:rPr>
        <w:t>Confirmação</w:t>
      </w:r>
      <w:proofErr w:type="spellEnd"/>
      <w:r>
        <w:rPr>
          <w:rFonts w:ascii="Calibri" w:eastAsia="Calibri" w:hAnsi="Calibri" w:cs="Calibri"/>
          <w:color w:val="000000"/>
          <w:lang w:val="en-GB"/>
        </w:rPr>
        <w:t xml:space="preserve"> do Zika </w:t>
      </w:r>
      <w:proofErr w:type="spellStart"/>
      <w:r>
        <w:rPr>
          <w:rFonts w:ascii="Calibri" w:eastAsia="Calibri" w:hAnsi="Calibri" w:cs="Calibri"/>
          <w:color w:val="000000"/>
          <w:lang w:val="en-GB"/>
        </w:rPr>
        <w:t>Vírus</w:t>
      </w:r>
      <w:proofErr w:type="spellEnd"/>
      <w:r>
        <w:rPr>
          <w:rFonts w:ascii="Calibri" w:eastAsia="Calibri" w:hAnsi="Calibri" w:cs="Calibri"/>
          <w:color w:val="000000"/>
          <w:lang w:val="en-GB"/>
        </w:rPr>
        <w:t xml:space="preserve"> no </w:t>
      </w:r>
      <w:proofErr w:type="spellStart"/>
      <w:r>
        <w:rPr>
          <w:rFonts w:ascii="Calibri" w:eastAsia="Calibri" w:hAnsi="Calibri" w:cs="Calibri"/>
          <w:color w:val="000000"/>
          <w:lang w:val="en-GB"/>
        </w:rPr>
        <w:t>Brasil</w:t>
      </w:r>
      <w:proofErr w:type="spellEnd"/>
      <w:r>
        <w:rPr>
          <w:rFonts w:ascii="Calibri" w:eastAsia="Calibri" w:hAnsi="Calibri" w:cs="Calibri"/>
          <w:color w:val="000000"/>
          <w:lang w:val="en-GB"/>
        </w:rPr>
        <w:t xml:space="preserve">, [Internet]. Brasília: </w:t>
      </w:r>
      <w:proofErr w:type="spellStart"/>
      <w:r>
        <w:rPr>
          <w:rFonts w:ascii="Calibri" w:eastAsia="Calibri" w:hAnsi="Calibri" w:cs="Calibri"/>
          <w:color w:val="000000"/>
          <w:lang w:val="en-GB"/>
        </w:rPr>
        <w:t>Ministério</w:t>
      </w:r>
      <w:proofErr w:type="spellEnd"/>
      <w:r>
        <w:rPr>
          <w:rFonts w:ascii="Calibri" w:eastAsia="Calibri" w:hAnsi="Calibri" w:cs="Calibri"/>
          <w:color w:val="000000"/>
          <w:lang w:val="en-GB"/>
        </w:rPr>
        <w:t xml:space="preserve"> da </w:t>
      </w:r>
      <w:proofErr w:type="spellStart"/>
      <w:r>
        <w:rPr>
          <w:rFonts w:ascii="Calibri" w:eastAsia="Calibri" w:hAnsi="Calibri" w:cs="Calibri"/>
          <w:color w:val="000000"/>
          <w:lang w:val="en-GB"/>
        </w:rPr>
        <w:t>Saúde</w:t>
      </w:r>
      <w:proofErr w:type="spellEnd"/>
      <w:r>
        <w:rPr>
          <w:rFonts w:ascii="Calibri" w:eastAsia="Calibri" w:hAnsi="Calibri" w:cs="Calibri"/>
          <w:color w:val="000000"/>
          <w:lang w:val="en-GB"/>
        </w:rPr>
        <w:t xml:space="preserve"> (Brazil); 2015 [updated 14 May 2015; cited 14 May 2015]. Available at: </w:t>
      </w:r>
      <w:r w:rsidR="001047AB">
        <w:rPr>
          <w:rFonts w:ascii="Calibri" w:eastAsia="Calibri" w:hAnsi="Calibri" w:cs="Calibri"/>
          <w:lang w:val="en-GB"/>
        </w:rPr>
        <w:fldChar w:fldCharType="begin"/>
      </w:r>
      <w:r w:rsidR="0021477A">
        <w:rPr>
          <w:rFonts w:ascii="Calibri" w:eastAsia="Calibri" w:hAnsi="Calibri" w:cs="Calibri"/>
          <w:lang w:val="en-GB"/>
        </w:rPr>
        <w:instrText>HYPERLINK "http://portalsaude.saude.gov.br/index.php/cidadao/principal/agencia-saude/17701-confirmacao-do-zika-virus-no-brasil." \o "http://portalsaude.saude.gov.br/index.php/cidadao/principal/agencia-saude/17701-confirmacao-do-zika-virus-no-brasil. "</w:instrText>
      </w:r>
      <w:r w:rsidR="0021477A">
        <w:rPr>
          <w:rFonts w:ascii="Calibri" w:eastAsia="Calibri" w:hAnsi="Calibri" w:cs="Calibri"/>
          <w:lang w:val="en-GB"/>
        </w:rPr>
      </w:r>
      <w:r w:rsidR="001047AB">
        <w:rPr>
          <w:rFonts w:ascii="Calibri" w:eastAsia="Calibri" w:hAnsi="Calibri" w:cs="Calibri"/>
          <w:lang w:val="en-GB"/>
        </w:rPr>
        <w:fldChar w:fldCharType="separate"/>
      </w:r>
      <w:r w:rsidR="001047AB" w:rsidRPr="009928CF">
        <w:rPr>
          <w:rStyle w:val="Hyperlink"/>
          <w:rFonts w:ascii="Calibri" w:eastAsia="Calibri" w:hAnsi="Calibri" w:cs="Calibri"/>
          <w:lang w:val="en-GB"/>
        </w:rPr>
        <w:t xml:space="preserve">http://portalsaude.saude.gov.br/index.php/cidadao/principal/agencia-saude/17701-confirmacao-do-zika-virus-no-brasil. </w:t>
      </w:r>
    </w:p>
    <w:p w14:paraId="3F6FEAF4" w14:textId="77777777" w:rsidR="00222B5B" w:rsidRDefault="001047A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lang w:val="en-GB"/>
        </w:rPr>
        <w:fldChar w:fldCharType="end"/>
      </w:r>
      <w:r w:rsidR="00222B5B">
        <w:rPr>
          <w:rFonts w:ascii="Calibri" w:eastAsia="Calibri" w:hAnsi="Calibri" w:cs="Calibri"/>
          <w:color w:val="000000"/>
          <w:lang w:val="en-GB"/>
        </w:rPr>
        <w:t xml:space="preserve">Cardoso CW, </w:t>
      </w:r>
      <w:proofErr w:type="spellStart"/>
      <w:r w:rsidR="00222B5B">
        <w:rPr>
          <w:rFonts w:ascii="Calibri" w:eastAsia="Calibri" w:hAnsi="Calibri" w:cs="Calibri"/>
          <w:color w:val="000000"/>
          <w:lang w:val="en-GB"/>
        </w:rPr>
        <w:t>Paploski</w:t>
      </w:r>
      <w:proofErr w:type="spellEnd"/>
      <w:r w:rsidR="00222B5B">
        <w:rPr>
          <w:rFonts w:ascii="Calibri" w:eastAsia="Calibri" w:hAnsi="Calibri" w:cs="Calibri"/>
          <w:color w:val="000000"/>
          <w:lang w:val="en-GB"/>
        </w:rPr>
        <w:t xml:space="preserve"> IA, </w:t>
      </w:r>
      <w:proofErr w:type="spellStart"/>
      <w:r w:rsidR="00222B5B">
        <w:rPr>
          <w:rFonts w:ascii="Calibri" w:eastAsia="Calibri" w:hAnsi="Calibri" w:cs="Calibri"/>
          <w:color w:val="000000"/>
          <w:lang w:val="en-GB"/>
        </w:rPr>
        <w:t>Kikuti</w:t>
      </w:r>
      <w:proofErr w:type="spellEnd"/>
      <w:r w:rsidR="00222B5B">
        <w:rPr>
          <w:rFonts w:ascii="Calibri" w:eastAsia="Calibri" w:hAnsi="Calibri" w:cs="Calibri"/>
          <w:color w:val="000000"/>
          <w:lang w:val="en-GB"/>
        </w:rPr>
        <w:t xml:space="preserve"> M, Rodrigues MS, Silva MM, Campos GS, et al. Outbreak of </w:t>
      </w:r>
      <w:proofErr w:type="spellStart"/>
      <w:r w:rsidR="00222B5B">
        <w:rPr>
          <w:rFonts w:ascii="Calibri" w:eastAsia="Calibri" w:hAnsi="Calibri" w:cs="Calibri"/>
          <w:color w:val="000000"/>
          <w:lang w:val="en-GB"/>
        </w:rPr>
        <w:t>exanthematous</w:t>
      </w:r>
      <w:proofErr w:type="spellEnd"/>
      <w:r w:rsidR="00222B5B">
        <w:rPr>
          <w:rFonts w:ascii="Calibri" w:eastAsia="Calibri" w:hAnsi="Calibri" w:cs="Calibri"/>
          <w:color w:val="000000"/>
          <w:lang w:val="en-GB"/>
        </w:rPr>
        <w:t xml:space="preserve"> illness associated with Zika, chikungunya, and dengue viruses, Salvador, Brazil</w:t>
      </w:r>
      <w:r w:rsidR="00222B5B">
        <w:rPr>
          <w:rFonts w:ascii="Calibri" w:eastAsia="Calibri" w:hAnsi="Calibri" w:cs="Calibri"/>
          <w:i/>
          <w:iCs/>
          <w:color w:val="000000"/>
          <w:lang w:val="en-GB"/>
        </w:rPr>
        <w:t>.</w:t>
      </w:r>
      <w:r w:rsidR="00222B5B">
        <w:rPr>
          <w:rFonts w:ascii="Calibri" w:eastAsia="Calibri" w:hAnsi="Calibri" w:cs="Calibri"/>
          <w:color w:val="000000"/>
          <w:lang w:val="en-GB"/>
        </w:rPr>
        <w:t xml:space="preserve"> </w:t>
      </w:r>
      <w:proofErr w:type="spellStart"/>
      <w:r w:rsidR="00222B5B">
        <w:rPr>
          <w:rFonts w:ascii="Calibri" w:eastAsia="Calibri" w:hAnsi="Calibri" w:cs="Calibri"/>
          <w:i/>
          <w:iCs/>
          <w:color w:val="000000"/>
          <w:lang w:val="en-GB"/>
        </w:rPr>
        <w:t>Emerg</w:t>
      </w:r>
      <w:proofErr w:type="spellEnd"/>
      <w:r w:rsidR="00222B5B">
        <w:rPr>
          <w:rFonts w:ascii="Calibri" w:eastAsia="Calibri" w:hAnsi="Calibri" w:cs="Calibri"/>
          <w:i/>
          <w:iCs/>
          <w:color w:val="000000"/>
          <w:lang w:val="en-GB"/>
        </w:rPr>
        <w:t xml:space="preserve"> Infect Dis</w:t>
      </w:r>
      <w:r w:rsidR="00222B5B">
        <w:rPr>
          <w:rFonts w:ascii="Calibri" w:eastAsia="Calibri" w:hAnsi="Calibri" w:cs="Calibri"/>
          <w:color w:val="000000"/>
          <w:lang w:val="en-GB"/>
        </w:rPr>
        <w:t xml:space="preserve"> 2015;21(12):2274–2276. Available </w:t>
      </w:r>
      <w:proofErr w:type="spellStart"/>
      <w:proofErr w:type="gramStart"/>
      <w:r w:rsidR="00222B5B">
        <w:rPr>
          <w:rFonts w:ascii="Calibri" w:eastAsia="Calibri" w:hAnsi="Calibri" w:cs="Calibri"/>
          <w:color w:val="000000"/>
          <w:lang w:val="en-GB"/>
        </w:rPr>
        <w:t>at:</w:t>
      </w:r>
      <w:r w:rsidR="00222B5B">
        <w:rPr>
          <w:rFonts w:ascii="Calibri" w:eastAsia="Calibri" w:hAnsi="Calibri" w:cs="Calibri"/>
          <w:lang w:val="en-GB"/>
        </w:rPr>
        <w:t>http</w:t>
      </w:r>
      <w:proofErr w:type="spellEnd"/>
      <w:r w:rsidR="00222B5B">
        <w:rPr>
          <w:rFonts w:ascii="Calibri" w:eastAsia="Calibri" w:hAnsi="Calibri" w:cs="Calibri"/>
          <w:lang w:val="en-GB"/>
        </w:rPr>
        <w:t>://www.ncbi.nlm.nih.gov/pubmed/26584464</w:t>
      </w:r>
      <w:proofErr w:type="gramEnd"/>
      <w:r w:rsidR="00222B5B">
        <w:rPr>
          <w:rFonts w:ascii="Calibri" w:eastAsia="Calibri" w:hAnsi="Calibri" w:cs="Calibri"/>
          <w:color w:val="000000"/>
          <w:lang w:val="en-GB"/>
        </w:rPr>
        <w:t xml:space="preserve"> </w:t>
      </w:r>
    </w:p>
    <w:p w14:paraId="439579BE" w14:textId="162E8D6C"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World Health Organization. WHO statement on the first meeting of the International Health Regulations (2005) (IHR 2005) Emergency Committee on Zika virus and observed increase in neurological disorders and neonatal malformations. 2016. Accessed on 17 February 2016. Available at: </w:t>
      </w:r>
      <w:hyperlink r:id="rId167" w:tooltip="http://www.who.int/mediacentre/news/statements/2016/1st-emergency-committee-zika/en/" w:history="1">
        <w:r w:rsidR="001047AB" w:rsidRPr="009928CF">
          <w:rPr>
            <w:rStyle w:val="Hyperlink"/>
            <w:rFonts w:ascii="Calibri" w:eastAsia="Calibri" w:hAnsi="Calibri" w:cs="Calibri"/>
            <w:lang w:val="en-GB"/>
          </w:rPr>
          <w:t>http://www.who.int/mediacentre/news/statements/2016/1st-emergency-committee-zika/en/</w:t>
        </w:r>
      </w:hyperlink>
      <w:r>
        <w:rPr>
          <w:rFonts w:ascii="Calibri" w:eastAsia="Calibri" w:hAnsi="Calibri" w:cs="Calibri"/>
          <w:color w:val="000000"/>
          <w:lang w:val="en-GB"/>
        </w:rPr>
        <w:t xml:space="preserve"> </w:t>
      </w:r>
    </w:p>
    <w:p w14:paraId="586C4577" w14:textId="74069E47" w:rsidR="001047AB" w:rsidRPr="009928CF" w:rsidRDefault="00222B5B" w:rsidP="00222B5B">
      <w:pPr>
        <w:numPr>
          <w:ilvl w:val="0"/>
          <w:numId w:val="49"/>
        </w:numPr>
        <w:autoSpaceDE w:val="0"/>
        <w:autoSpaceDN w:val="0"/>
        <w:adjustRightInd w:val="0"/>
        <w:spacing w:after="170" w:line="288" w:lineRule="auto"/>
        <w:ind w:left="567" w:hanging="567"/>
        <w:textAlignment w:val="center"/>
        <w:divId w:val="2110732990"/>
        <w:rPr>
          <w:rStyle w:val="Hyperlink"/>
          <w:rFonts w:ascii="Calibri" w:eastAsia="Calibri" w:hAnsi="Calibri" w:cs="Calibri"/>
          <w:lang w:val="en-GB"/>
        </w:rPr>
      </w:pPr>
      <w:r>
        <w:rPr>
          <w:rFonts w:ascii="Calibri" w:eastAsia="Calibri" w:hAnsi="Calibri" w:cs="Calibri"/>
          <w:color w:val="000000"/>
          <w:lang w:val="en-GB"/>
        </w:rPr>
        <w:t xml:space="preserve">Rasmussen SA, Jamieson DJ, </w:t>
      </w:r>
      <w:proofErr w:type="spellStart"/>
      <w:r>
        <w:rPr>
          <w:rFonts w:ascii="Calibri" w:eastAsia="Calibri" w:hAnsi="Calibri" w:cs="Calibri"/>
          <w:color w:val="000000"/>
          <w:lang w:val="en-GB"/>
        </w:rPr>
        <w:t>Honein</w:t>
      </w:r>
      <w:proofErr w:type="spellEnd"/>
      <w:r>
        <w:rPr>
          <w:rFonts w:ascii="Calibri" w:eastAsia="Calibri" w:hAnsi="Calibri" w:cs="Calibri"/>
          <w:color w:val="000000"/>
          <w:lang w:val="en-GB"/>
        </w:rPr>
        <w:t xml:space="preserve"> MA, Petersen LR. Zika virus and birth defects – reviewing the evidence for causality</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N Engl J Med</w:t>
      </w:r>
      <w:r>
        <w:rPr>
          <w:rFonts w:ascii="Calibri" w:eastAsia="Calibri" w:hAnsi="Calibri" w:cs="Calibri"/>
          <w:color w:val="000000"/>
          <w:lang w:val="en-GB"/>
        </w:rPr>
        <w:t xml:space="preserve"> 2016;374(20):1981–1987. Available at </w:t>
      </w:r>
      <w:r w:rsidR="001047AB">
        <w:rPr>
          <w:rFonts w:ascii="Calibri" w:eastAsia="Calibri" w:hAnsi="Calibri" w:cs="Calibri"/>
          <w:lang w:val="en-GB"/>
        </w:rPr>
        <w:fldChar w:fldCharType="begin"/>
      </w:r>
      <w:r w:rsidR="0021477A">
        <w:rPr>
          <w:rFonts w:ascii="Calibri" w:eastAsia="Calibri" w:hAnsi="Calibri" w:cs="Calibri"/>
          <w:lang w:val="en-GB"/>
        </w:rPr>
        <w:instrText>HYPERLINK "http://www.ncbi.nlm.nih.gov/pubmed/27074377" \o "http://www.ncbi.nlm.nih.gov/pubmed/27074377 "</w:instrText>
      </w:r>
      <w:r w:rsidR="0021477A">
        <w:rPr>
          <w:rFonts w:ascii="Calibri" w:eastAsia="Calibri" w:hAnsi="Calibri" w:cs="Calibri"/>
          <w:lang w:val="en-GB"/>
        </w:rPr>
      </w:r>
      <w:r w:rsidR="001047AB">
        <w:rPr>
          <w:rFonts w:ascii="Calibri" w:eastAsia="Calibri" w:hAnsi="Calibri" w:cs="Calibri"/>
          <w:lang w:val="en-GB"/>
        </w:rPr>
        <w:fldChar w:fldCharType="separate"/>
      </w:r>
      <w:r w:rsidR="001047AB" w:rsidRPr="009928CF">
        <w:rPr>
          <w:rStyle w:val="Hyperlink"/>
          <w:rFonts w:ascii="Calibri" w:eastAsia="Calibri" w:hAnsi="Calibri" w:cs="Calibri"/>
          <w:lang w:val="en-GB"/>
        </w:rPr>
        <w:t xml:space="preserve">http://www.ncbi.nlm.nih.gov/pubmed/27074377 </w:t>
      </w:r>
    </w:p>
    <w:p w14:paraId="4CB1BF18" w14:textId="428C6B06" w:rsidR="00222B5B" w:rsidRDefault="001047A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lang w:val="en-GB"/>
        </w:rPr>
        <w:fldChar w:fldCharType="end"/>
      </w:r>
      <w:r w:rsidR="00222B5B">
        <w:rPr>
          <w:rFonts w:ascii="Calibri" w:eastAsia="Calibri" w:hAnsi="Calibri" w:cs="Calibri"/>
          <w:color w:val="000000"/>
          <w:lang w:val="en-GB"/>
        </w:rPr>
        <w:t>Cao-</w:t>
      </w:r>
      <w:proofErr w:type="spellStart"/>
      <w:r w:rsidR="00222B5B">
        <w:rPr>
          <w:rFonts w:ascii="Calibri" w:eastAsia="Calibri" w:hAnsi="Calibri" w:cs="Calibri"/>
          <w:color w:val="000000"/>
          <w:lang w:val="en-GB"/>
        </w:rPr>
        <w:t>Lormeau</w:t>
      </w:r>
      <w:proofErr w:type="spellEnd"/>
      <w:r w:rsidR="00222B5B">
        <w:rPr>
          <w:rFonts w:ascii="Calibri" w:eastAsia="Calibri" w:hAnsi="Calibri" w:cs="Calibri"/>
          <w:color w:val="000000"/>
          <w:lang w:val="en-GB"/>
        </w:rPr>
        <w:t xml:space="preserve"> VM, Blake A, Mons S, </w:t>
      </w:r>
      <w:proofErr w:type="spellStart"/>
      <w:r w:rsidR="00222B5B">
        <w:rPr>
          <w:rFonts w:ascii="Calibri" w:eastAsia="Calibri" w:hAnsi="Calibri" w:cs="Calibri"/>
          <w:color w:val="000000"/>
          <w:lang w:val="en-GB"/>
        </w:rPr>
        <w:t>Lastere</w:t>
      </w:r>
      <w:proofErr w:type="spellEnd"/>
      <w:r w:rsidR="00222B5B">
        <w:rPr>
          <w:rFonts w:ascii="Calibri" w:eastAsia="Calibri" w:hAnsi="Calibri" w:cs="Calibri"/>
          <w:color w:val="000000"/>
          <w:lang w:val="en-GB"/>
        </w:rPr>
        <w:t xml:space="preserve"> S, Roche C, </w:t>
      </w:r>
      <w:proofErr w:type="spellStart"/>
      <w:r w:rsidR="00222B5B">
        <w:rPr>
          <w:rFonts w:ascii="Calibri" w:eastAsia="Calibri" w:hAnsi="Calibri" w:cs="Calibri"/>
          <w:color w:val="000000"/>
          <w:lang w:val="en-GB"/>
        </w:rPr>
        <w:t>Vanhomwegen</w:t>
      </w:r>
      <w:proofErr w:type="spellEnd"/>
      <w:r w:rsidR="00222B5B">
        <w:rPr>
          <w:rFonts w:ascii="Calibri" w:eastAsia="Calibri" w:hAnsi="Calibri" w:cs="Calibri"/>
          <w:color w:val="000000"/>
          <w:lang w:val="en-GB"/>
        </w:rPr>
        <w:t xml:space="preserve"> J, et al. Guillain-Barré syndrome outbreak associated with Zika virus infection in French Polynesia: a case-control study</w:t>
      </w:r>
      <w:r w:rsidR="00222B5B">
        <w:rPr>
          <w:rFonts w:ascii="Calibri" w:eastAsia="Calibri" w:hAnsi="Calibri" w:cs="Calibri"/>
          <w:i/>
          <w:iCs/>
          <w:color w:val="000000"/>
          <w:lang w:val="en-GB"/>
        </w:rPr>
        <w:t>.</w:t>
      </w:r>
      <w:r w:rsidR="00222B5B">
        <w:rPr>
          <w:rFonts w:ascii="Calibri" w:eastAsia="Calibri" w:hAnsi="Calibri" w:cs="Calibri"/>
          <w:color w:val="000000"/>
          <w:lang w:val="en-GB"/>
        </w:rPr>
        <w:t xml:space="preserve"> </w:t>
      </w:r>
      <w:r w:rsidR="00222B5B">
        <w:rPr>
          <w:rFonts w:ascii="Calibri" w:eastAsia="Calibri" w:hAnsi="Calibri" w:cs="Calibri"/>
          <w:i/>
          <w:iCs/>
          <w:color w:val="000000"/>
          <w:lang w:val="en-GB"/>
        </w:rPr>
        <w:t>Lancet</w:t>
      </w:r>
      <w:r w:rsidR="00222B5B">
        <w:rPr>
          <w:rFonts w:ascii="Calibri" w:eastAsia="Calibri" w:hAnsi="Calibri" w:cs="Calibri"/>
          <w:color w:val="000000"/>
          <w:lang w:val="en-GB"/>
        </w:rPr>
        <w:t xml:space="preserve"> 2016;387(10027):1531–1539. Available at </w:t>
      </w:r>
      <w:hyperlink r:id="rId168" w:tooltip="http://www.ncbi.nlm.nih.gov/pubmed/26948433" w:history="1">
        <w:r w:rsidRPr="009928CF">
          <w:rPr>
            <w:rStyle w:val="Hyperlink"/>
            <w:rFonts w:ascii="Calibri" w:eastAsia="Calibri" w:hAnsi="Calibri" w:cs="Calibri"/>
            <w:lang w:val="en-GB"/>
          </w:rPr>
          <w:t>http://www.ncbi.nlm.nih.gov/pubmed/26948433</w:t>
        </w:r>
      </w:hyperlink>
      <w:r w:rsidR="00222B5B">
        <w:rPr>
          <w:rFonts w:ascii="Calibri" w:eastAsia="Calibri" w:hAnsi="Calibri" w:cs="Calibri"/>
          <w:color w:val="000000"/>
          <w:lang w:val="en-GB"/>
        </w:rPr>
        <w:t xml:space="preserve"> </w:t>
      </w:r>
    </w:p>
    <w:p w14:paraId="59FCE5E4"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proofErr w:type="spellStart"/>
      <w:r>
        <w:rPr>
          <w:rFonts w:ascii="Calibri" w:eastAsia="Calibri" w:hAnsi="Calibri" w:cs="Calibri"/>
          <w:color w:val="000000"/>
          <w:lang w:val="en-GB"/>
        </w:rPr>
        <w:t>Paploski</w:t>
      </w:r>
      <w:proofErr w:type="spellEnd"/>
      <w:r>
        <w:rPr>
          <w:rFonts w:ascii="Calibri" w:eastAsia="Calibri" w:hAnsi="Calibri" w:cs="Calibri"/>
          <w:color w:val="000000"/>
          <w:lang w:val="en-GB"/>
        </w:rPr>
        <w:t xml:space="preserve"> IA, Prates AP, Cardoso CW, </w:t>
      </w:r>
      <w:proofErr w:type="spellStart"/>
      <w:r>
        <w:rPr>
          <w:rFonts w:ascii="Calibri" w:eastAsia="Calibri" w:hAnsi="Calibri" w:cs="Calibri"/>
          <w:color w:val="000000"/>
          <w:lang w:val="en-GB"/>
        </w:rPr>
        <w:t>Kikuti</w:t>
      </w:r>
      <w:proofErr w:type="spellEnd"/>
      <w:r>
        <w:rPr>
          <w:rFonts w:ascii="Calibri" w:eastAsia="Calibri" w:hAnsi="Calibri" w:cs="Calibri"/>
          <w:color w:val="000000"/>
          <w:lang w:val="en-GB"/>
        </w:rPr>
        <w:t xml:space="preserve"> M, Silva MM, Waller LA, et al. Time lags between </w:t>
      </w:r>
      <w:proofErr w:type="spellStart"/>
      <w:r>
        <w:rPr>
          <w:rFonts w:ascii="Calibri" w:eastAsia="Calibri" w:hAnsi="Calibri" w:cs="Calibri"/>
          <w:color w:val="000000"/>
          <w:lang w:val="en-GB"/>
        </w:rPr>
        <w:t>exanthematous</w:t>
      </w:r>
      <w:proofErr w:type="spellEnd"/>
      <w:r>
        <w:rPr>
          <w:rFonts w:ascii="Calibri" w:eastAsia="Calibri" w:hAnsi="Calibri" w:cs="Calibri"/>
          <w:color w:val="000000"/>
          <w:lang w:val="en-GB"/>
        </w:rPr>
        <w:t xml:space="preserve"> illness attributed to Zika virus, Guillain-Barré syndrome, and microcephaly, Salvador, Brazil</w:t>
      </w:r>
      <w:r>
        <w:rPr>
          <w:rFonts w:ascii="Calibri" w:eastAsia="Calibri" w:hAnsi="Calibri" w:cs="Calibri"/>
          <w:i/>
          <w:iCs/>
          <w:color w:val="000000"/>
          <w:lang w:val="en-GB"/>
        </w:rPr>
        <w:t>.</w:t>
      </w:r>
      <w:r>
        <w:rPr>
          <w:rFonts w:ascii="Calibri" w:eastAsia="Calibri" w:hAnsi="Calibri" w:cs="Calibri"/>
          <w:color w:val="000000"/>
          <w:lang w:val="en-GB"/>
        </w:rPr>
        <w:t xml:space="preserve"> </w:t>
      </w:r>
      <w:proofErr w:type="spellStart"/>
      <w:r>
        <w:rPr>
          <w:rFonts w:ascii="Calibri" w:eastAsia="Calibri" w:hAnsi="Calibri" w:cs="Calibri"/>
          <w:i/>
          <w:iCs/>
          <w:color w:val="000000"/>
          <w:lang w:val="en-GB"/>
        </w:rPr>
        <w:t>Emerg</w:t>
      </w:r>
      <w:proofErr w:type="spellEnd"/>
      <w:r>
        <w:rPr>
          <w:rFonts w:ascii="Calibri" w:eastAsia="Calibri" w:hAnsi="Calibri" w:cs="Calibri"/>
          <w:i/>
          <w:iCs/>
          <w:color w:val="000000"/>
          <w:lang w:val="en-GB"/>
        </w:rPr>
        <w:t xml:space="preserve"> Infect Dis</w:t>
      </w:r>
      <w:r>
        <w:rPr>
          <w:rFonts w:ascii="Calibri" w:eastAsia="Calibri" w:hAnsi="Calibri" w:cs="Calibri"/>
          <w:color w:val="000000"/>
          <w:lang w:val="en-GB"/>
        </w:rPr>
        <w:t xml:space="preserve"> 2016;22(8):1438–1444. </w:t>
      </w:r>
    </w:p>
    <w:p w14:paraId="560C446D"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McCarthy M. Zika virus was transmitted by sexual contact in Texas, health officials report</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BMJ</w:t>
      </w:r>
      <w:r>
        <w:rPr>
          <w:rFonts w:ascii="Calibri" w:eastAsia="Calibri" w:hAnsi="Calibri" w:cs="Calibri"/>
          <w:color w:val="000000"/>
          <w:lang w:val="en-GB"/>
        </w:rPr>
        <w:t xml:space="preserve"> 2016;352. Available at: </w:t>
      </w:r>
      <w:r w:rsidR="001047AB" w:rsidRPr="001D6AC9">
        <w:rPr>
          <w:rFonts w:ascii="Calibri" w:eastAsia="Calibri" w:hAnsi="Calibri" w:cs="Calibri"/>
          <w:lang w:val="en-GB"/>
        </w:rPr>
        <w:t>http://www.bmj.com/bmj/352/bmj.i720.full.pdf</w:t>
      </w:r>
    </w:p>
    <w:p w14:paraId="2FA9F951" w14:textId="2659FAA3" w:rsidR="001047AB" w:rsidRPr="009928CF" w:rsidRDefault="00222B5B" w:rsidP="00222B5B">
      <w:pPr>
        <w:numPr>
          <w:ilvl w:val="0"/>
          <w:numId w:val="49"/>
        </w:numPr>
        <w:autoSpaceDE w:val="0"/>
        <w:autoSpaceDN w:val="0"/>
        <w:adjustRightInd w:val="0"/>
        <w:spacing w:after="170" w:line="288" w:lineRule="auto"/>
        <w:ind w:left="567" w:hanging="567"/>
        <w:textAlignment w:val="center"/>
        <w:divId w:val="2110732990"/>
        <w:rPr>
          <w:rStyle w:val="Hyperlink"/>
          <w:rFonts w:ascii="Calibri" w:eastAsia="Calibri" w:hAnsi="Calibri" w:cs="Calibri"/>
          <w:lang w:val="en-GB"/>
        </w:rPr>
      </w:pPr>
      <w:r>
        <w:rPr>
          <w:rFonts w:ascii="Calibri" w:eastAsia="Calibri" w:hAnsi="Calibri" w:cs="Calibri"/>
          <w:color w:val="000000"/>
          <w:lang w:val="en-GB"/>
        </w:rPr>
        <w:t xml:space="preserve">Foy BD, </w:t>
      </w:r>
      <w:proofErr w:type="spellStart"/>
      <w:r>
        <w:rPr>
          <w:rFonts w:ascii="Calibri" w:eastAsia="Calibri" w:hAnsi="Calibri" w:cs="Calibri"/>
          <w:color w:val="000000"/>
          <w:lang w:val="en-GB"/>
        </w:rPr>
        <w:t>Kobylinski</w:t>
      </w:r>
      <w:proofErr w:type="spellEnd"/>
      <w:r>
        <w:rPr>
          <w:rFonts w:ascii="Calibri" w:eastAsia="Calibri" w:hAnsi="Calibri" w:cs="Calibri"/>
          <w:color w:val="000000"/>
          <w:lang w:val="en-GB"/>
        </w:rPr>
        <w:t xml:space="preserve"> KC, Chilson Foy JL, </w:t>
      </w:r>
      <w:proofErr w:type="spellStart"/>
      <w:r>
        <w:rPr>
          <w:rFonts w:ascii="Calibri" w:eastAsia="Calibri" w:hAnsi="Calibri" w:cs="Calibri"/>
          <w:color w:val="000000"/>
          <w:lang w:val="en-GB"/>
        </w:rPr>
        <w:t>Blitvich</w:t>
      </w:r>
      <w:proofErr w:type="spellEnd"/>
      <w:r>
        <w:rPr>
          <w:rFonts w:ascii="Calibri" w:eastAsia="Calibri" w:hAnsi="Calibri" w:cs="Calibri"/>
          <w:color w:val="000000"/>
          <w:lang w:val="en-GB"/>
        </w:rPr>
        <w:t xml:space="preserve"> BJ, </w:t>
      </w:r>
      <w:proofErr w:type="spellStart"/>
      <w:r>
        <w:rPr>
          <w:rFonts w:ascii="Calibri" w:eastAsia="Calibri" w:hAnsi="Calibri" w:cs="Calibri"/>
          <w:color w:val="000000"/>
          <w:lang w:val="en-GB"/>
        </w:rPr>
        <w:t>Travassos</w:t>
      </w:r>
      <w:proofErr w:type="spellEnd"/>
      <w:r>
        <w:rPr>
          <w:rFonts w:ascii="Calibri" w:eastAsia="Calibri" w:hAnsi="Calibri" w:cs="Calibri"/>
          <w:color w:val="000000"/>
          <w:lang w:val="en-GB"/>
        </w:rPr>
        <w:t xml:space="preserve"> da Rosa A, Haddow AD, et al. Probable non-vector-borne transmission of Zika virus, Colorado, USA</w:t>
      </w:r>
      <w:r>
        <w:rPr>
          <w:rFonts w:ascii="Calibri" w:eastAsia="Calibri" w:hAnsi="Calibri" w:cs="Calibri"/>
          <w:i/>
          <w:iCs/>
          <w:color w:val="000000"/>
          <w:lang w:val="en-GB"/>
        </w:rPr>
        <w:t>.</w:t>
      </w:r>
      <w:r>
        <w:rPr>
          <w:rFonts w:ascii="Calibri" w:eastAsia="Calibri" w:hAnsi="Calibri" w:cs="Calibri"/>
          <w:color w:val="000000"/>
          <w:lang w:val="en-GB"/>
        </w:rPr>
        <w:t xml:space="preserve"> </w:t>
      </w:r>
      <w:proofErr w:type="spellStart"/>
      <w:r>
        <w:rPr>
          <w:rFonts w:ascii="Calibri" w:eastAsia="Calibri" w:hAnsi="Calibri" w:cs="Calibri"/>
          <w:i/>
          <w:iCs/>
          <w:color w:val="000000"/>
          <w:lang w:val="en-GB"/>
        </w:rPr>
        <w:t>Emerg</w:t>
      </w:r>
      <w:proofErr w:type="spellEnd"/>
      <w:r>
        <w:rPr>
          <w:rFonts w:ascii="Calibri" w:eastAsia="Calibri" w:hAnsi="Calibri" w:cs="Calibri"/>
          <w:i/>
          <w:iCs/>
          <w:color w:val="000000"/>
          <w:lang w:val="en-GB"/>
        </w:rPr>
        <w:t xml:space="preserve"> Infect Dis</w:t>
      </w:r>
      <w:r>
        <w:rPr>
          <w:rFonts w:ascii="Calibri" w:eastAsia="Calibri" w:hAnsi="Calibri" w:cs="Calibri"/>
          <w:color w:val="000000"/>
          <w:lang w:val="en-GB"/>
        </w:rPr>
        <w:t xml:space="preserve"> 2011;17(5):880–882. Available at </w:t>
      </w:r>
      <w:r w:rsidR="001047AB">
        <w:rPr>
          <w:rFonts w:ascii="Calibri" w:eastAsia="Calibri" w:hAnsi="Calibri" w:cs="Calibri"/>
          <w:lang w:val="en-GB"/>
        </w:rPr>
        <w:fldChar w:fldCharType="begin"/>
      </w:r>
      <w:r w:rsidR="0021477A">
        <w:rPr>
          <w:rFonts w:ascii="Calibri" w:eastAsia="Calibri" w:hAnsi="Calibri" w:cs="Calibri"/>
          <w:lang w:val="en-GB"/>
        </w:rPr>
        <w:instrText>HYPERLINK "http://www.ncbi.nlm.nih.gov/pubmed/21529401" \o "http://www.ncbi.nlm.nih.gov/pubmed/21529401 "</w:instrText>
      </w:r>
      <w:r w:rsidR="0021477A">
        <w:rPr>
          <w:rFonts w:ascii="Calibri" w:eastAsia="Calibri" w:hAnsi="Calibri" w:cs="Calibri"/>
          <w:lang w:val="en-GB"/>
        </w:rPr>
      </w:r>
      <w:r w:rsidR="001047AB">
        <w:rPr>
          <w:rFonts w:ascii="Calibri" w:eastAsia="Calibri" w:hAnsi="Calibri" w:cs="Calibri"/>
          <w:lang w:val="en-GB"/>
        </w:rPr>
        <w:fldChar w:fldCharType="separate"/>
      </w:r>
      <w:r w:rsidR="001047AB" w:rsidRPr="009928CF">
        <w:rPr>
          <w:rStyle w:val="Hyperlink"/>
          <w:rFonts w:ascii="Calibri" w:eastAsia="Calibri" w:hAnsi="Calibri" w:cs="Calibri"/>
          <w:lang w:val="en-GB"/>
        </w:rPr>
        <w:t xml:space="preserve">http://www.ncbi.nlm.nih.gov/pubmed/21529401 </w:t>
      </w:r>
    </w:p>
    <w:p w14:paraId="26CE6B99" w14:textId="6196104C" w:rsidR="00222B5B" w:rsidRDefault="001047A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lang w:val="en-GB"/>
        </w:rPr>
        <w:fldChar w:fldCharType="end"/>
      </w:r>
      <w:r w:rsidR="00222B5B">
        <w:rPr>
          <w:rFonts w:ascii="Calibri" w:eastAsia="Calibri" w:hAnsi="Calibri" w:cs="Calibri"/>
          <w:color w:val="000000"/>
          <w:lang w:val="en-GB"/>
        </w:rPr>
        <w:t xml:space="preserve">Atkinson B, Hearn P, </w:t>
      </w:r>
      <w:proofErr w:type="spellStart"/>
      <w:r w:rsidR="00222B5B">
        <w:rPr>
          <w:rFonts w:ascii="Calibri" w:eastAsia="Calibri" w:hAnsi="Calibri" w:cs="Calibri"/>
          <w:color w:val="000000"/>
          <w:lang w:val="en-GB"/>
        </w:rPr>
        <w:t>Afrough</w:t>
      </w:r>
      <w:proofErr w:type="spellEnd"/>
      <w:r w:rsidR="00222B5B">
        <w:rPr>
          <w:rFonts w:ascii="Calibri" w:eastAsia="Calibri" w:hAnsi="Calibri" w:cs="Calibri"/>
          <w:color w:val="000000"/>
          <w:lang w:val="en-GB"/>
        </w:rPr>
        <w:t xml:space="preserve"> B, Lumley S, Carter D, Aarons E, J., et al. Detection of Zika Virus in semen</w:t>
      </w:r>
      <w:r w:rsidR="00222B5B">
        <w:rPr>
          <w:rFonts w:ascii="Calibri" w:eastAsia="Calibri" w:hAnsi="Calibri" w:cs="Calibri"/>
          <w:i/>
          <w:iCs/>
          <w:color w:val="000000"/>
          <w:lang w:val="en-GB"/>
        </w:rPr>
        <w:t>.</w:t>
      </w:r>
      <w:r w:rsidR="00222B5B">
        <w:rPr>
          <w:rFonts w:ascii="Calibri" w:eastAsia="Calibri" w:hAnsi="Calibri" w:cs="Calibri"/>
          <w:color w:val="000000"/>
          <w:lang w:val="en-GB"/>
        </w:rPr>
        <w:t xml:space="preserve"> </w:t>
      </w:r>
      <w:proofErr w:type="spellStart"/>
      <w:r w:rsidR="00222B5B">
        <w:rPr>
          <w:rFonts w:ascii="Calibri" w:eastAsia="Calibri" w:hAnsi="Calibri" w:cs="Calibri"/>
          <w:i/>
          <w:iCs/>
          <w:color w:val="000000"/>
          <w:lang w:val="en-GB"/>
        </w:rPr>
        <w:t>Emerg</w:t>
      </w:r>
      <w:proofErr w:type="spellEnd"/>
      <w:r w:rsidR="00222B5B">
        <w:rPr>
          <w:rFonts w:ascii="Calibri" w:eastAsia="Calibri" w:hAnsi="Calibri" w:cs="Calibri"/>
          <w:i/>
          <w:iCs/>
          <w:color w:val="000000"/>
          <w:lang w:val="en-GB"/>
        </w:rPr>
        <w:t xml:space="preserve"> Infect Dis</w:t>
      </w:r>
      <w:r w:rsidR="00222B5B">
        <w:rPr>
          <w:rFonts w:ascii="Calibri" w:eastAsia="Calibri" w:hAnsi="Calibri" w:cs="Calibri"/>
          <w:color w:val="000000"/>
          <w:lang w:val="en-GB"/>
        </w:rPr>
        <w:t xml:space="preserve"> 2016;22(5). Available at: </w:t>
      </w:r>
      <w:hyperlink r:id="rId169" w:tooltip="http://wwwnc.cdc.gov/eid/article/22/5/16-0107" w:history="1">
        <w:r w:rsidRPr="009928CF">
          <w:rPr>
            <w:rStyle w:val="Hyperlink"/>
            <w:rFonts w:ascii="Calibri" w:eastAsia="Calibri" w:hAnsi="Calibri" w:cs="Calibri"/>
            <w:lang w:val="en-GB"/>
          </w:rPr>
          <w:t>http://wwwnc.cdc.gov/eid/article/22/5/16-0107</w:t>
        </w:r>
      </w:hyperlink>
      <w:r w:rsidR="00222B5B">
        <w:rPr>
          <w:rFonts w:ascii="Calibri" w:eastAsia="Calibri" w:hAnsi="Calibri" w:cs="Calibri"/>
          <w:color w:val="000000"/>
          <w:lang w:val="en-GB"/>
        </w:rPr>
        <w:t xml:space="preserve"> </w:t>
      </w:r>
    </w:p>
    <w:p w14:paraId="580297E2" w14:textId="328B39FF" w:rsidR="001047AB" w:rsidRPr="009928CF" w:rsidRDefault="00222B5B" w:rsidP="00222B5B">
      <w:pPr>
        <w:numPr>
          <w:ilvl w:val="0"/>
          <w:numId w:val="49"/>
        </w:numPr>
        <w:autoSpaceDE w:val="0"/>
        <w:autoSpaceDN w:val="0"/>
        <w:adjustRightInd w:val="0"/>
        <w:spacing w:after="170" w:line="288" w:lineRule="auto"/>
        <w:ind w:left="567" w:hanging="567"/>
        <w:textAlignment w:val="center"/>
        <w:divId w:val="2110732990"/>
        <w:rPr>
          <w:rStyle w:val="Hyperlink"/>
          <w:rFonts w:ascii="Calibri" w:eastAsia="Calibri" w:hAnsi="Calibri" w:cs="Calibri"/>
          <w:lang w:val="en-GB"/>
        </w:rPr>
      </w:pPr>
      <w:r>
        <w:rPr>
          <w:rFonts w:ascii="Calibri" w:eastAsia="Calibri" w:hAnsi="Calibri" w:cs="Calibri"/>
          <w:color w:val="000000"/>
          <w:lang w:val="en-GB"/>
        </w:rPr>
        <w:t xml:space="preserve">Deckard DT, Chung WM, Brooks JT, Smith JC, </w:t>
      </w:r>
      <w:proofErr w:type="spellStart"/>
      <w:r>
        <w:rPr>
          <w:rFonts w:ascii="Calibri" w:eastAsia="Calibri" w:hAnsi="Calibri" w:cs="Calibri"/>
          <w:color w:val="000000"/>
          <w:lang w:val="en-GB"/>
        </w:rPr>
        <w:t>Woldai</w:t>
      </w:r>
      <w:proofErr w:type="spellEnd"/>
      <w:r>
        <w:rPr>
          <w:rFonts w:ascii="Calibri" w:eastAsia="Calibri" w:hAnsi="Calibri" w:cs="Calibri"/>
          <w:color w:val="000000"/>
          <w:lang w:val="en-GB"/>
        </w:rPr>
        <w:t xml:space="preserve"> S, Hennessey M, et al. Male-to-Male Sexual Transmission of Zika Virus – Texas, January 2016</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 xml:space="preserve">MMWR </w:t>
      </w:r>
      <w:proofErr w:type="spellStart"/>
      <w:r>
        <w:rPr>
          <w:rFonts w:ascii="Calibri" w:eastAsia="Calibri" w:hAnsi="Calibri" w:cs="Calibri"/>
          <w:i/>
          <w:iCs/>
          <w:color w:val="000000"/>
          <w:lang w:val="en-GB"/>
        </w:rPr>
        <w:t>Morb</w:t>
      </w:r>
      <w:proofErr w:type="spellEnd"/>
      <w:r>
        <w:rPr>
          <w:rFonts w:ascii="Calibri" w:eastAsia="Calibri" w:hAnsi="Calibri" w:cs="Calibri"/>
          <w:i/>
          <w:iCs/>
          <w:color w:val="000000"/>
          <w:lang w:val="en-GB"/>
        </w:rPr>
        <w:t xml:space="preserve"> Mortal </w:t>
      </w:r>
      <w:proofErr w:type="spellStart"/>
      <w:r>
        <w:rPr>
          <w:rFonts w:ascii="Calibri" w:eastAsia="Calibri" w:hAnsi="Calibri" w:cs="Calibri"/>
          <w:i/>
          <w:iCs/>
          <w:color w:val="000000"/>
          <w:lang w:val="en-GB"/>
        </w:rPr>
        <w:t>Wkly</w:t>
      </w:r>
      <w:proofErr w:type="spellEnd"/>
      <w:r>
        <w:rPr>
          <w:rFonts w:ascii="Calibri" w:eastAsia="Calibri" w:hAnsi="Calibri" w:cs="Calibri"/>
          <w:i/>
          <w:iCs/>
          <w:color w:val="000000"/>
          <w:lang w:val="en-GB"/>
        </w:rPr>
        <w:t xml:space="preserve"> Rep</w:t>
      </w:r>
      <w:r>
        <w:rPr>
          <w:rFonts w:ascii="Calibri" w:eastAsia="Calibri" w:hAnsi="Calibri" w:cs="Calibri"/>
          <w:color w:val="000000"/>
          <w:lang w:val="en-GB"/>
        </w:rPr>
        <w:t xml:space="preserve"> 2016;65(14):372–374. Available at: </w:t>
      </w:r>
      <w:r w:rsidR="001047AB">
        <w:rPr>
          <w:rFonts w:ascii="Calibri" w:eastAsia="Calibri" w:hAnsi="Calibri" w:cs="Calibri"/>
          <w:lang w:val="en-GB"/>
        </w:rPr>
        <w:fldChar w:fldCharType="begin"/>
      </w:r>
      <w:r w:rsidR="0021477A">
        <w:rPr>
          <w:rFonts w:ascii="Calibri" w:eastAsia="Calibri" w:hAnsi="Calibri" w:cs="Calibri"/>
          <w:lang w:val="en-GB"/>
        </w:rPr>
        <w:instrText>HYPERLINK "http://www.ncbi.nlm.nih.gov/pubmed/27078057" \o "http://www.ncbi.nlm.nih.gov/pubmed/27078057 "</w:instrText>
      </w:r>
      <w:r w:rsidR="0021477A">
        <w:rPr>
          <w:rFonts w:ascii="Calibri" w:eastAsia="Calibri" w:hAnsi="Calibri" w:cs="Calibri"/>
          <w:lang w:val="en-GB"/>
        </w:rPr>
      </w:r>
      <w:r w:rsidR="001047AB">
        <w:rPr>
          <w:rFonts w:ascii="Calibri" w:eastAsia="Calibri" w:hAnsi="Calibri" w:cs="Calibri"/>
          <w:lang w:val="en-GB"/>
        </w:rPr>
        <w:fldChar w:fldCharType="separate"/>
      </w:r>
      <w:r w:rsidR="001047AB" w:rsidRPr="009928CF">
        <w:rPr>
          <w:rStyle w:val="Hyperlink"/>
          <w:rFonts w:ascii="Calibri" w:eastAsia="Calibri" w:hAnsi="Calibri" w:cs="Calibri"/>
          <w:lang w:val="en-GB"/>
        </w:rPr>
        <w:t xml:space="preserve">http://www.ncbi.nlm.nih.gov/pubmed/27078057 </w:t>
      </w:r>
    </w:p>
    <w:p w14:paraId="7689A7FE" w14:textId="52513E3B" w:rsidR="00222B5B" w:rsidRDefault="001047A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lang w:val="en-GB"/>
        </w:rPr>
        <w:lastRenderedPageBreak/>
        <w:fldChar w:fldCharType="end"/>
      </w:r>
      <w:r w:rsidR="00222B5B">
        <w:rPr>
          <w:rFonts w:ascii="Calibri" w:eastAsia="Calibri" w:hAnsi="Calibri" w:cs="Calibri"/>
          <w:color w:val="000000"/>
          <w:lang w:val="en-GB"/>
        </w:rPr>
        <w:t xml:space="preserve">Davidson A, </w:t>
      </w:r>
      <w:proofErr w:type="spellStart"/>
      <w:r w:rsidR="00222B5B">
        <w:rPr>
          <w:rFonts w:ascii="Calibri" w:eastAsia="Calibri" w:hAnsi="Calibri" w:cs="Calibri"/>
          <w:color w:val="000000"/>
          <w:lang w:val="en-GB"/>
        </w:rPr>
        <w:t>Slavinski</w:t>
      </w:r>
      <w:proofErr w:type="spellEnd"/>
      <w:r w:rsidR="00222B5B">
        <w:rPr>
          <w:rFonts w:ascii="Calibri" w:eastAsia="Calibri" w:hAnsi="Calibri" w:cs="Calibri"/>
          <w:color w:val="000000"/>
          <w:lang w:val="en-GB"/>
        </w:rPr>
        <w:t xml:space="preserve"> S, </w:t>
      </w:r>
      <w:proofErr w:type="spellStart"/>
      <w:r w:rsidR="00222B5B">
        <w:rPr>
          <w:rFonts w:ascii="Calibri" w:eastAsia="Calibri" w:hAnsi="Calibri" w:cs="Calibri"/>
          <w:color w:val="000000"/>
          <w:lang w:val="en-GB"/>
        </w:rPr>
        <w:t>Komoto</w:t>
      </w:r>
      <w:proofErr w:type="spellEnd"/>
      <w:r w:rsidR="00222B5B">
        <w:rPr>
          <w:rFonts w:ascii="Calibri" w:eastAsia="Calibri" w:hAnsi="Calibri" w:cs="Calibri"/>
          <w:color w:val="000000"/>
          <w:lang w:val="en-GB"/>
        </w:rPr>
        <w:t xml:space="preserve"> K, </w:t>
      </w:r>
      <w:proofErr w:type="spellStart"/>
      <w:r w:rsidR="00222B5B">
        <w:rPr>
          <w:rFonts w:ascii="Calibri" w:eastAsia="Calibri" w:hAnsi="Calibri" w:cs="Calibri"/>
          <w:color w:val="000000"/>
          <w:lang w:val="en-GB"/>
        </w:rPr>
        <w:t>Rakeman</w:t>
      </w:r>
      <w:proofErr w:type="spellEnd"/>
      <w:r w:rsidR="00222B5B">
        <w:rPr>
          <w:rFonts w:ascii="Calibri" w:eastAsia="Calibri" w:hAnsi="Calibri" w:cs="Calibri"/>
          <w:color w:val="000000"/>
          <w:lang w:val="en-GB"/>
        </w:rPr>
        <w:t xml:space="preserve"> J, Weiss D. Suspected Female-to-Male Sexual Transmission of Zika Virus – New York City, 2016</w:t>
      </w:r>
      <w:r w:rsidR="00222B5B">
        <w:rPr>
          <w:rFonts w:ascii="Calibri" w:eastAsia="Calibri" w:hAnsi="Calibri" w:cs="Calibri"/>
          <w:i/>
          <w:iCs/>
          <w:color w:val="000000"/>
          <w:lang w:val="en-GB"/>
        </w:rPr>
        <w:t>.</w:t>
      </w:r>
      <w:r w:rsidR="00222B5B">
        <w:rPr>
          <w:rFonts w:ascii="Calibri" w:eastAsia="Calibri" w:hAnsi="Calibri" w:cs="Calibri"/>
          <w:color w:val="000000"/>
          <w:lang w:val="en-GB"/>
        </w:rPr>
        <w:t xml:space="preserve"> </w:t>
      </w:r>
      <w:r w:rsidR="00222B5B">
        <w:rPr>
          <w:rFonts w:ascii="Calibri" w:eastAsia="Calibri" w:hAnsi="Calibri" w:cs="Calibri"/>
          <w:i/>
          <w:iCs/>
          <w:color w:val="000000"/>
          <w:lang w:val="en-GB"/>
        </w:rPr>
        <w:t xml:space="preserve">MMWR </w:t>
      </w:r>
      <w:proofErr w:type="spellStart"/>
      <w:r w:rsidR="00222B5B">
        <w:rPr>
          <w:rFonts w:ascii="Calibri" w:eastAsia="Calibri" w:hAnsi="Calibri" w:cs="Calibri"/>
          <w:i/>
          <w:iCs/>
          <w:color w:val="000000"/>
          <w:lang w:val="en-GB"/>
        </w:rPr>
        <w:t>Morb</w:t>
      </w:r>
      <w:proofErr w:type="spellEnd"/>
      <w:r w:rsidR="00222B5B">
        <w:rPr>
          <w:rFonts w:ascii="Calibri" w:eastAsia="Calibri" w:hAnsi="Calibri" w:cs="Calibri"/>
          <w:i/>
          <w:iCs/>
          <w:color w:val="000000"/>
          <w:lang w:val="en-GB"/>
        </w:rPr>
        <w:t xml:space="preserve"> Mortal </w:t>
      </w:r>
      <w:proofErr w:type="spellStart"/>
      <w:r w:rsidR="00222B5B">
        <w:rPr>
          <w:rFonts w:ascii="Calibri" w:eastAsia="Calibri" w:hAnsi="Calibri" w:cs="Calibri"/>
          <w:i/>
          <w:iCs/>
          <w:color w:val="000000"/>
          <w:lang w:val="en-GB"/>
        </w:rPr>
        <w:t>Wkly</w:t>
      </w:r>
      <w:proofErr w:type="spellEnd"/>
      <w:r w:rsidR="00222B5B">
        <w:rPr>
          <w:rFonts w:ascii="Calibri" w:eastAsia="Calibri" w:hAnsi="Calibri" w:cs="Calibri"/>
          <w:i/>
          <w:iCs/>
          <w:color w:val="000000"/>
          <w:lang w:val="en-GB"/>
        </w:rPr>
        <w:t xml:space="preserve"> Rep</w:t>
      </w:r>
      <w:r w:rsidR="00222B5B">
        <w:rPr>
          <w:rFonts w:ascii="Calibri" w:eastAsia="Calibri" w:hAnsi="Calibri" w:cs="Calibri"/>
          <w:color w:val="000000"/>
          <w:lang w:val="en-GB"/>
        </w:rPr>
        <w:t xml:space="preserve"> 2016;65(28):716–717. Available at: </w:t>
      </w:r>
      <w:hyperlink r:id="rId170" w:tooltip="http://www.ncbi.nlm.nih.gov/pubmed/27442327" w:history="1">
        <w:r w:rsidRPr="009928CF">
          <w:rPr>
            <w:rStyle w:val="Hyperlink"/>
            <w:rFonts w:ascii="Calibri" w:eastAsia="Calibri" w:hAnsi="Calibri" w:cs="Calibri"/>
            <w:lang w:val="en-GB"/>
          </w:rPr>
          <w:t>http://www.ncbi.nlm.nih.gov/pubmed/27442327</w:t>
        </w:r>
      </w:hyperlink>
      <w:r w:rsidR="00222B5B">
        <w:rPr>
          <w:rFonts w:ascii="Calibri" w:eastAsia="Calibri" w:hAnsi="Calibri" w:cs="Calibri"/>
          <w:color w:val="000000"/>
          <w:lang w:val="en-GB"/>
        </w:rPr>
        <w:t xml:space="preserve"> </w:t>
      </w:r>
    </w:p>
    <w:p w14:paraId="19FEB4E2" w14:textId="67D95F5C" w:rsidR="001047AB" w:rsidRPr="009928CF" w:rsidRDefault="00222B5B" w:rsidP="00222B5B">
      <w:pPr>
        <w:numPr>
          <w:ilvl w:val="0"/>
          <w:numId w:val="49"/>
        </w:numPr>
        <w:autoSpaceDE w:val="0"/>
        <w:autoSpaceDN w:val="0"/>
        <w:adjustRightInd w:val="0"/>
        <w:spacing w:after="170" w:line="288" w:lineRule="auto"/>
        <w:ind w:left="567" w:hanging="567"/>
        <w:textAlignment w:val="center"/>
        <w:divId w:val="2110732990"/>
        <w:rPr>
          <w:rStyle w:val="Hyperlink"/>
          <w:rFonts w:ascii="Calibri" w:eastAsia="Calibri" w:hAnsi="Calibri" w:cs="Calibri"/>
          <w:lang w:val="en-GB"/>
        </w:rPr>
      </w:pPr>
      <w:r>
        <w:rPr>
          <w:rFonts w:ascii="Calibri" w:eastAsia="Calibri" w:hAnsi="Calibri" w:cs="Calibri"/>
          <w:color w:val="000000"/>
          <w:lang w:val="en-GB"/>
        </w:rPr>
        <w:t xml:space="preserve">Pacific Public Health Surveillance Network. Pacific Syndromic Surveillance Reports 16 March to 21 May 2015. 2015. Accessed on 12 October 2016. Available at: </w:t>
      </w:r>
      <w:r w:rsidR="001047AB">
        <w:rPr>
          <w:rFonts w:ascii="Calibri" w:eastAsia="Calibri" w:hAnsi="Calibri" w:cs="Calibri"/>
          <w:lang w:val="en-GB"/>
        </w:rPr>
        <w:fldChar w:fldCharType="begin"/>
      </w:r>
      <w:r w:rsidR="0021477A">
        <w:rPr>
          <w:rFonts w:ascii="Calibri" w:eastAsia="Calibri" w:hAnsi="Calibri" w:cs="Calibri"/>
          <w:lang w:val="en-GB"/>
        </w:rPr>
        <w:instrText>HYPERLINK "http://www.wpro.who.int/southpacific/programmes/communicable_diseases/disease_surveillance_response/page/en/index2.html" \o "http://www.wpro.who.int/southpacific/programmes/communicable_diseases/disease_surveillance_response/page/en/index2.html "</w:instrText>
      </w:r>
      <w:r w:rsidR="0021477A">
        <w:rPr>
          <w:rFonts w:ascii="Calibri" w:eastAsia="Calibri" w:hAnsi="Calibri" w:cs="Calibri"/>
          <w:lang w:val="en-GB"/>
        </w:rPr>
      </w:r>
      <w:r w:rsidR="001047AB">
        <w:rPr>
          <w:rFonts w:ascii="Calibri" w:eastAsia="Calibri" w:hAnsi="Calibri" w:cs="Calibri"/>
          <w:lang w:val="en-GB"/>
        </w:rPr>
        <w:fldChar w:fldCharType="separate"/>
      </w:r>
      <w:r w:rsidR="001047AB" w:rsidRPr="009928CF">
        <w:rPr>
          <w:rStyle w:val="Hyperlink"/>
          <w:rFonts w:ascii="Calibri" w:eastAsia="Calibri" w:hAnsi="Calibri" w:cs="Calibri"/>
          <w:lang w:val="en-GB"/>
        </w:rPr>
        <w:t xml:space="preserve">http://www.wpro.who.int/southpacific/programmes/communicable_diseases/disease_surveillance_response/page/en/index2.html </w:t>
      </w:r>
    </w:p>
    <w:p w14:paraId="5B6E1472" w14:textId="3AB53936" w:rsidR="00222B5B" w:rsidRDefault="001047A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lang w:val="en-GB"/>
        </w:rPr>
        <w:fldChar w:fldCharType="end"/>
      </w:r>
      <w:r w:rsidR="00222B5B">
        <w:rPr>
          <w:rFonts w:ascii="Calibri" w:eastAsia="Calibri" w:hAnsi="Calibri" w:cs="Calibri"/>
          <w:color w:val="000000"/>
          <w:lang w:val="en-GB"/>
        </w:rPr>
        <w:t>Hanna JN, Ritchie SA, Phillips DA, Lee JM, Hills SL, van den Hurk AF, et al. Japanese encephalitis in north Queensland, Australia, 1998</w:t>
      </w:r>
      <w:r w:rsidR="00222B5B">
        <w:rPr>
          <w:rFonts w:ascii="Calibri" w:eastAsia="Calibri" w:hAnsi="Calibri" w:cs="Calibri"/>
          <w:i/>
          <w:iCs/>
          <w:color w:val="000000"/>
          <w:lang w:val="en-GB"/>
        </w:rPr>
        <w:t>.</w:t>
      </w:r>
      <w:r w:rsidR="00222B5B">
        <w:rPr>
          <w:rFonts w:ascii="Calibri" w:eastAsia="Calibri" w:hAnsi="Calibri" w:cs="Calibri"/>
          <w:color w:val="000000"/>
          <w:lang w:val="en-GB"/>
        </w:rPr>
        <w:t xml:space="preserve"> </w:t>
      </w:r>
      <w:r w:rsidR="00222B5B">
        <w:rPr>
          <w:rFonts w:ascii="Calibri" w:eastAsia="Calibri" w:hAnsi="Calibri" w:cs="Calibri"/>
          <w:i/>
          <w:iCs/>
          <w:color w:val="000000"/>
          <w:lang w:val="en-GB"/>
        </w:rPr>
        <w:t xml:space="preserve">Med J </w:t>
      </w:r>
      <w:proofErr w:type="spellStart"/>
      <w:r w:rsidR="00222B5B">
        <w:rPr>
          <w:rFonts w:ascii="Calibri" w:eastAsia="Calibri" w:hAnsi="Calibri" w:cs="Calibri"/>
          <w:i/>
          <w:iCs/>
          <w:color w:val="000000"/>
          <w:lang w:val="en-GB"/>
        </w:rPr>
        <w:t>Aust</w:t>
      </w:r>
      <w:proofErr w:type="spellEnd"/>
      <w:r w:rsidR="00222B5B">
        <w:rPr>
          <w:rFonts w:ascii="Calibri" w:eastAsia="Calibri" w:hAnsi="Calibri" w:cs="Calibri"/>
          <w:color w:val="000000"/>
          <w:lang w:val="en-GB"/>
        </w:rPr>
        <w:t xml:space="preserve"> 1999;170(11):533–536. Available at: </w:t>
      </w:r>
      <w:hyperlink r:id="rId171" w:tooltip="http://search.ebscohost.com/login.aspx?direct=true&amp;db=mnh&amp;AN=10397044&amp;site=ehost-live" w:history="1">
        <w:r w:rsidRPr="009928CF">
          <w:rPr>
            <w:rStyle w:val="Hyperlink"/>
            <w:rFonts w:ascii="Calibri" w:eastAsia="Calibri" w:hAnsi="Calibri" w:cs="Calibri"/>
            <w:lang w:val="en-GB"/>
          </w:rPr>
          <w:t>http://search.ebscohost.com/login.aspx?direct=true&amp;db=mnh&amp;AN=10397044&amp;site=ehost-live</w:t>
        </w:r>
      </w:hyperlink>
      <w:r w:rsidR="00222B5B">
        <w:rPr>
          <w:rFonts w:ascii="Calibri" w:eastAsia="Calibri" w:hAnsi="Calibri" w:cs="Calibri"/>
          <w:color w:val="000000"/>
          <w:lang w:val="en-GB"/>
        </w:rPr>
        <w:t xml:space="preserve"> </w:t>
      </w:r>
    </w:p>
    <w:p w14:paraId="29134B28" w14:textId="2AAB68BF"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Cox-Singh J, Davis TM, Lee KS, Shamsul SS, </w:t>
      </w:r>
      <w:proofErr w:type="spellStart"/>
      <w:r>
        <w:rPr>
          <w:rFonts w:ascii="Calibri" w:eastAsia="Calibri" w:hAnsi="Calibri" w:cs="Calibri"/>
          <w:color w:val="000000"/>
          <w:lang w:val="en-GB"/>
        </w:rPr>
        <w:t>Matusop</w:t>
      </w:r>
      <w:proofErr w:type="spellEnd"/>
      <w:r>
        <w:rPr>
          <w:rFonts w:ascii="Calibri" w:eastAsia="Calibri" w:hAnsi="Calibri" w:cs="Calibri"/>
          <w:color w:val="000000"/>
          <w:lang w:val="en-GB"/>
        </w:rPr>
        <w:t xml:space="preserve"> A, Ratnam S, et al. </w:t>
      </w:r>
      <w:r>
        <w:rPr>
          <w:rFonts w:ascii="Calibri" w:eastAsia="Calibri" w:hAnsi="Calibri" w:cs="Calibri"/>
          <w:i/>
          <w:iCs/>
          <w:color w:val="000000"/>
          <w:lang w:val="en-GB"/>
        </w:rPr>
        <w:t xml:space="preserve">Plasmodium </w:t>
      </w:r>
      <w:proofErr w:type="spellStart"/>
      <w:r>
        <w:rPr>
          <w:rFonts w:ascii="Calibri" w:eastAsia="Calibri" w:hAnsi="Calibri" w:cs="Calibri"/>
          <w:i/>
          <w:iCs/>
          <w:color w:val="000000"/>
          <w:lang w:val="en-GB"/>
        </w:rPr>
        <w:t>knowlesi</w:t>
      </w:r>
      <w:proofErr w:type="spellEnd"/>
      <w:r>
        <w:rPr>
          <w:rFonts w:ascii="Calibri" w:eastAsia="Calibri" w:hAnsi="Calibri" w:cs="Calibri"/>
          <w:color w:val="000000"/>
          <w:lang w:val="en-GB"/>
        </w:rPr>
        <w:t xml:space="preserve"> malaria in humans is widely distributed and potentially life threatening</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Clin Infect Dis</w:t>
      </w:r>
      <w:r>
        <w:rPr>
          <w:rFonts w:ascii="Calibri" w:eastAsia="Calibri" w:hAnsi="Calibri" w:cs="Calibri"/>
          <w:color w:val="000000"/>
          <w:lang w:val="en-GB"/>
        </w:rPr>
        <w:t xml:space="preserve"> 2008;46(2):165–171. Available at: </w:t>
      </w:r>
      <w:hyperlink r:id="rId172" w:tooltip="http://www.ncbi.nlm.nih.gov/entrez/query.fcgi?cmd=Retrieve&amp;db=PubMed&amp;dopt=Citation&amp;list_uids=18171245" w:history="1">
        <w:r w:rsidR="001047AB" w:rsidRPr="009928CF">
          <w:rPr>
            <w:rStyle w:val="Hyperlink"/>
            <w:rFonts w:ascii="Calibri" w:eastAsia="Calibri" w:hAnsi="Calibri" w:cs="Calibri"/>
            <w:lang w:val="en-GB"/>
          </w:rPr>
          <w:t>http://www.ncbi.nlm.nih.gov/entrez/query.fcgi?cmd=Retrieve&amp;db=PubMed&amp;dopt=Citation&amp;list_uids=18171245</w:t>
        </w:r>
      </w:hyperlink>
      <w:r>
        <w:rPr>
          <w:rFonts w:ascii="Calibri" w:eastAsia="Calibri" w:hAnsi="Calibri" w:cs="Calibri"/>
          <w:color w:val="000000"/>
          <w:lang w:val="en-GB"/>
        </w:rPr>
        <w:t xml:space="preserve"> </w:t>
      </w:r>
    </w:p>
    <w:p w14:paraId="64370D07" w14:textId="2A4AC60D" w:rsidR="001047AB" w:rsidRPr="009928CF" w:rsidRDefault="00222B5B" w:rsidP="00222B5B">
      <w:pPr>
        <w:numPr>
          <w:ilvl w:val="0"/>
          <w:numId w:val="49"/>
        </w:numPr>
        <w:autoSpaceDE w:val="0"/>
        <w:autoSpaceDN w:val="0"/>
        <w:adjustRightInd w:val="0"/>
        <w:spacing w:after="170" w:line="288" w:lineRule="auto"/>
        <w:ind w:left="567" w:hanging="567"/>
        <w:textAlignment w:val="center"/>
        <w:divId w:val="2110732990"/>
        <w:rPr>
          <w:rStyle w:val="Hyperlink"/>
          <w:rFonts w:ascii="Calibri" w:eastAsia="Calibri" w:hAnsi="Calibri" w:cs="Calibri"/>
          <w:lang w:val="en-GB"/>
        </w:rPr>
      </w:pPr>
      <w:r>
        <w:rPr>
          <w:rFonts w:ascii="Calibri" w:eastAsia="Calibri" w:hAnsi="Calibri" w:cs="Calibri"/>
          <w:color w:val="000000"/>
          <w:lang w:val="en-GB"/>
        </w:rPr>
        <w:t xml:space="preserve">Gray TJ, </w:t>
      </w:r>
      <w:proofErr w:type="spellStart"/>
      <w:r>
        <w:rPr>
          <w:rFonts w:ascii="Calibri" w:eastAsia="Calibri" w:hAnsi="Calibri" w:cs="Calibri"/>
          <w:color w:val="000000"/>
          <w:lang w:val="en-GB"/>
        </w:rPr>
        <w:t>Trauer</w:t>
      </w:r>
      <w:proofErr w:type="spellEnd"/>
      <w:r>
        <w:rPr>
          <w:rFonts w:ascii="Calibri" w:eastAsia="Calibri" w:hAnsi="Calibri" w:cs="Calibri"/>
          <w:color w:val="000000"/>
          <w:lang w:val="en-GB"/>
        </w:rPr>
        <w:t xml:space="preserve"> JM, Fairley M, Krause VL, Markey PG. Imported malaria in the Northern Territory, Australia – 428 consecutive cases</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Commun Dis Intell</w:t>
      </w:r>
      <w:r>
        <w:rPr>
          <w:rFonts w:ascii="Calibri" w:eastAsia="Calibri" w:hAnsi="Calibri" w:cs="Calibri"/>
          <w:color w:val="000000"/>
          <w:lang w:val="en-GB"/>
        </w:rPr>
        <w:t xml:space="preserve"> 2012;36(1):107-113. Available at </w:t>
      </w:r>
      <w:r w:rsidR="001047AB">
        <w:rPr>
          <w:rFonts w:ascii="Calibri" w:eastAsia="Calibri" w:hAnsi="Calibri" w:cs="Calibri"/>
          <w:lang w:val="en-GB"/>
        </w:rPr>
        <w:fldChar w:fldCharType="begin"/>
      </w:r>
      <w:r w:rsidR="0021477A">
        <w:rPr>
          <w:rFonts w:ascii="Calibri" w:eastAsia="Calibri" w:hAnsi="Calibri" w:cs="Calibri"/>
          <w:lang w:val="en-GB"/>
        </w:rPr>
        <w:instrText>HYPERLINK "http://www.ncbi.nlm.nih.gov/pubmed/23153087" \o "http://www.ncbi.nlm.nih.gov/pubmed/23153087 "</w:instrText>
      </w:r>
      <w:r w:rsidR="0021477A">
        <w:rPr>
          <w:rFonts w:ascii="Calibri" w:eastAsia="Calibri" w:hAnsi="Calibri" w:cs="Calibri"/>
          <w:lang w:val="en-GB"/>
        </w:rPr>
      </w:r>
      <w:r w:rsidR="001047AB">
        <w:rPr>
          <w:rFonts w:ascii="Calibri" w:eastAsia="Calibri" w:hAnsi="Calibri" w:cs="Calibri"/>
          <w:lang w:val="en-GB"/>
        </w:rPr>
        <w:fldChar w:fldCharType="separate"/>
      </w:r>
      <w:r w:rsidR="001047AB" w:rsidRPr="009928CF">
        <w:rPr>
          <w:rStyle w:val="Hyperlink"/>
          <w:rFonts w:ascii="Calibri" w:eastAsia="Calibri" w:hAnsi="Calibri" w:cs="Calibri"/>
          <w:lang w:val="en-GB"/>
        </w:rPr>
        <w:t xml:space="preserve">http://www.ncbi.nlm.nih.gov/pubmed/23153087 </w:t>
      </w:r>
    </w:p>
    <w:p w14:paraId="2EFBBB08" w14:textId="34053545" w:rsidR="00222B5B" w:rsidRDefault="001047A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lang w:val="en-GB"/>
        </w:rPr>
        <w:fldChar w:fldCharType="end"/>
      </w:r>
      <w:r w:rsidR="00222B5B">
        <w:rPr>
          <w:rFonts w:ascii="Calibri" w:eastAsia="Calibri" w:hAnsi="Calibri" w:cs="Calibri"/>
          <w:color w:val="000000"/>
          <w:lang w:val="en-GB"/>
        </w:rPr>
        <w:t xml:space="preserve">Hanna JN, Ritchie SA, Eisen DP, Cooper RD, Brookes DL, Montgomery BL. An outbreak of </w:t>
      </w:r>
      <w:r w:rsidR="00222B5B">
        <w:rPr>
          <w:rFonts w:ascii="Calibri" w:eastAsia="Calibri" w:hAnsi="Calibri" w:cs="Calibri"/>
          <w:i/>
          <w:iCs/>
          <w:color w:val="000000"/>
          <w:lang w:val="en-GB"/>
        </w:rPr>
        <w:t xml:space="preserve">Plasmodium vivax </w:t>
      </w:r>
      <w:r w:rsidR="00222B5B">
        <w:rPr>
          <w:rFonts w:ascii="Calibri" w:eastAsia="Calibri" w:hAnsi="Calibri" w:cs="Calibri"/>
          <w:color w:val="000000"/>
          <w:lang w:val="en-GB"/>
        </w:rPr>
        <w:t>malaria in Far North Queensland, 2002</w:t>
      </w:r>
      <w:r w:rsidR="00222B5B">
        <w:rPr>
          <w:rFonts w:ascii="Calibri" w:eastAsia="Calibri" w:hAnsi="Calibri" w:cs="Calibri"/>
          <w:i/>
          <w:iCs/>
          <w:color w:val="000000"/>
          <w:lang w:val="en-GB"/>
        </w:rPr>
        <w:t>.</w:t>
      </w:r>
      <w:r w:rsidR="00222B5B">
        <w:rPr>
          <w:rFonts w:ascii="Calibri" w:eastAsia="Calibri" w:hAnsi="Calibri" w:cs="Calibri"/>
          <w:color w:val="000000"/>
          <w:lang w:val="en-GB"/>
        </w:rPr>
        <w:t xml:space="preserve"> </w:t>
      </w:r>
      <w:r w:rsidR="00222B5B">
        <w:rPr>
          <w:rFonts w:ascii="Calibri" w:eastAsia="Calibri" w:hAnsi="Calibri" w:cs="Calibri"/>
          <w:i/>
          <w:iCs/>
          <w:color w:val="000000"/>
          <w:lang w:val="en-GB"/>
        </w:rPr>
        <w:t xml:space="preserve">Med J </w:t>
      </w:r>
      <w:proofErr w:type="spellStart"/>
      <w:r w:rsidR="00222B5B">
        <w:rPr>
          <w:rFonts w:ascii="Calibri" w:eastAsia="Calibri" w:hAnsi="Calibri" w:cs="Calibri"/>
          <w:i/>
          <w:iCs/>
          <w:color w:val="000000"/>
          <w:lang w:val="en-GB"/>
        </w:rPr>
        <w:t>Aust</w:t>
      </w:r>
      <w:proofErr w:type="spellEnd"/>
      <w:r w:rsidR="00222B5B">
        <w:rPr>
          <w:rFonts w:ascii="Calibri" w:eastAsia="Calibri" w:hAnsi="Calibri" w:cs="Calibri"/>
          <w:color w:val="000000"/>
          <w:lang w:val="en-GB"/>
        </w:rPr>
        <w:t xml:space="preserve"> 2004;180(1):24–28. Available at: </w:t>
      </w:r>
      <w:hyperlink r:id="rId173" w:tooltip="http://www.ncbi.nlm.nih.gov/pubmed/14709124" w:history="1">
        <w:r w:rsidRPr="009928CF">
          <w:rPr>
            <w:rStyle w:val="Hyperlink"/>
            <w:rFonts w:ascii="Calibri" w:eastAsia="Calibri" w:hAnsi="Calibri" w:cs="Calibri"/>
            <w:lang w:val="en-GB"/>
          </w:rPr>
          <w:t>http://www.ncbi.nlm.nih.gov/pubmed/14709124</w:t>
        </w:r>
      </w:hyperlink>
      <w:r w:rsidR="00222B5B">
        <w:rPr>
          <w:rFonts w:ascii="Calibri" w:eastAsia="Calibri" w:hAnsi="Calibri" w:cs="Calibri"/>
          <w:color w:val="000000"/>
          <w:lang w:val="en-GB"/>
        </w:rPr>
        <w:t xml:space="preserve"> </w:t>
      </w:r>
    </w:p>
    <w:p w14:paraId="0A42F48E"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World Health Organization. World Malaria Report 2015. Accessed on 8 July 2016. Available at: </w:t>
      </w:r>
      <w:r w:rsidR="001047AB" w:rsidRPr="001D6AC9">
        <w:rPr>
          <w:rFonts w:ascii="Calibri" w:eastAsia="Calibri" w:hAnsi="Calibri" w:cs="Calibri"/>
          <w:lang w:val="en-GB"/>
        </w:rPr>
        <w:t>http://apps.who.int/iris/bitstream/10665/200018/1/9789241565158_eng.pdf?ua=1</w:t>
      </w:r>
      <w:r>
        <w:rPr>
          <w:rFonts w:ascii="Calibri" w:eastAsia="Calibri" w:hAnsi="Calibri" w:cs="Calibri"/>
          <w:color w:val="000000"/>
          <w:lang w:val="en-GB"/>
        </w:rPr>
        <w:t xml:space="preserve"> </w:t>
      </w:r>
    </w:p>
    <w:p w14:paraId="45ACAC79"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proofErr w:type="spellStart"/>
      <w:r>
        <w:rPr>
          <w:rFonts w:ascii="Calibri" w:eastAsia="Calibri" w:hAnsi="Calibri" w:cs="Calibri"/>
          <w:color w:val="000000"/>
          <w:lang w:val="en-GB"/>
        </w:rPr>
        <w:t>Knope</w:t>
      </w:r>
      <w:proofErr w:type="spellEnd"/>
      <w:r>
        <w:rPr>
          <w:rFonts w:ascii="Calibri" w:eastAsia="Calibri" w:hAnsi="Calibri" w:cs="Calibri"/>
          <w:color w:val="000000"/>
          <w:lang w:val="en-GB"/>
        </w:rPr>
        <w:t xml:space="preserve"> K, Whelan P, Smith D, Johansen C, Moran R, Doggett S, et al. Arboviral diseases and malaria in Australia, 2010–11: annual report of the National Arbovirus and Malaria Advisory Committee</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Commun Dis Intell</w:t>
      </w:r>
      <w:r>
        <w:rPr>
          <w:rFonts w:ascii="Calibri" w:eastAsia="Calibri" w:hAnsi="Calibri" w:cs="Calibri"/>
          <w:color w:val="000000"/>
          <w:lang w:val="en-GB"/>
        </w:rPr>
        <w:t xml:space="preserve"> 2013;37(1</w:t>
      </w:r>
      <w:proofErr w:type="gramStart"/>
      <w:r>
        <w:rPr>
          <w:rFonts w:ascii="Calibri" w:eastAsia="Calibri" w:hAnsi="Calibri" w:cs="Calibri"/>
          <w:color w:val="000000"/>
          <w:lang w:val="en-GB"/>
        </w:rPr>
        <w:t>):E</w:t>
      </w:r>
      <w:proofErr w:type="gramEnd"/>
      <w:r>
        <w:rPr>
          <w:rFonts w:ascii="Calibri" w:eastAsia="Calibri" w:hAnsi="Calibri" w:cs="Calibri"/>
          <w:color w:val="000000"/>
          <w:lang w:val="en-GB"/>
        </w:rPr>
        <w:t xml:space="preserve">1–E20. </w:t>
      </w:r>
    </w:p>
    <w:p w14:paraId="0C618357"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World Health Organization. Zoonoses. Technical report series no. 169. Geneva, Switzerland: World Health Organization; 1959. </w:t>
      </w:r>
    </w:p>
    <w:p w14:paraId="13F84ADE"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Taylor LH, Latham SM, </w:t>
      </w:r>
      <w:proofErr w:type="spellStart"/>
      <w:r>
        <w:rPr>
          <w:rFonts w:ascii="Calibri" w:eastAsia="Calibri" w:hAnsi="Calibri" w:cs="Calibri"/>
          <w:color w:val="000000"/>
          <w:lang w:val="en-GB"/>
        </w:rPr>
        <w:t>Woolhouse</w:t>
      </w:r>
      <w:proofErr w:type="spellEnd"/>
      <w:r>
        <w:rPr>
          <w:rFonts w:ascii="Calibri" w:eastAsia="Calibri" w:hAnsi="Calibri" w:cs="Calibri"/>
          <w:color w:val="000000"/>
          <w:lang w:val="en-GB"/>
        </w:rPr>
        <w:t xml:space="preserve"> ME. Risk factors for human disease emergence</w:t>
      </w:r>
      <w:r>
        <w:rPr>
          <w:rFonts w:ascii="Calibri" w:eastAsia="Calibri" w:hAnsi="Calibri" w:cs="Calibri"/>
          <w:i/>
          <w:iCs/>
          <w:color w:val="000000"/>
          <w:lang w:val="en-GB"/>
        </w:rPr>
        <w:t>.</w:t>
      </w:r>
      <w:r>
        <w:rPr>
          <w:rFonts w:ascii="Calibri" w:eastAsia="Calibri" w:hAnsi="Calibri" w:cs="Calibri"/>
          <w:color w:val="000000"/>
          <w:lang w:val="en-GB"/>
        </w:rPr>
        <w:t xml:space="preserve"> </w:t>
      </w:r>
      <w:proofErr w:type="spellStart"/>
      <w:r>
        <w:rPr>
          <w:rFonts w:ascii="Calibri" w:eastAsia="Calibri" w:hAnsi="Calibri" w:cs="Calibri"/>
          <w:i/>
          <w:iCs/>
          <w:color w:val="000000"/>
          <w:lang w:val="en-GB"/>
        </w:rPr>
        <w:t>Philos</w:t>
      </w:r>
      <w:proofErr w:type="spellEnd"/>
      <w:r>
        <w:rPr>
          <w:rFonts w:ascii="Calibri" w:eastAsia="Calibri" w:hAnsi="Calibri" w:cs="Calibri"/>
          <w:i/>
          <w:iCs/>
          <w:color w:val="000000"/>
          <w:lang w:val="en-GB"/>
        </w:rPr>
        <w:t xml:space="preserve"> Trans R Soc Lond B </w:t>
      </w:r>
      <w:proofErr w:type="spellStart"/>
      <w:r>
        <w:rPr>
          <w:rFonts w:ascii="Calibri" w:eastAsia="Calibri" w:hAnsi="Calibri" w:cs="Calibri"/>
          <w:i/>
          <w:iCs/>
          <w:color w:val="000000"/>
          <w:lang w:val="en-GB"/>
        </w:rPr>
        <w:t>Biol</w:t>
      </w:r>
      <w:proofErr w:type="spellEnd"/>
      <w:r>
        <w:rPr>
          <w:rFonts w:ascii="Calibri" w:eastAsia="Calibri" w:hAnsi="Calibri" w:cs="Calibri"/>
          <w:i/>
          <w:iCs/>
          <w:color w:val="000000"/>
          <w:lang w:val="en-GB"/>
        </w:rPr>
        <w:t xml:space="preserve"> Sci</w:t>
      </w:r>
      <w:r>
        <w:rPr>
          <w:rFonts w:ascii="Calibri" w:eastAsia="Calibri" w:hAnsi="Calibri" w:cs="Calibri"/>
          <w:color w:val="000000"/>
          <w:lang w:val="en-GB"/>
        </w:rPr>
        <w:t xml:space="preserve"> 2001;356(1411):983–989. </w:t>
      </w:r>
    </w:p>
    <w:p w14:paraId="375CEB35"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Jones KE, Patel NG, Levy MA. Global trends in emerging infectious diseases. </w:t>
      </w:r>
      <w:r>
        <w:rPr>
          <w:rFonts w:ascii="Calibri" w:eastAsia="Calibri" w:hAnsi="Calibri" w:cs="Calibri"/>
          <w:i/>
          <w:iCs/>
          <w:color w:val="000000"/>
          <w:lang w:val="en-GB"/>
        </w:rPr>
        <w:t>Nature</w:t>
      </w:r>
      <w:r>
        <w:rPr>
          <w:rFonts w:ascii="Calibri" w:eastAsia="Calibri" w:hAnsi="Calibri" w:cs="Calibri"/>
          <w:color w:val="000000"/>
          <w:lang w:val="en-GB"/>
        </w:rPr>
        <w:t xml:space="preserve"> 2008(451):990–994. </w:t>
      </w:r>
    </w:p>
    <w:p w14:paraId="02B831D1"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proofErr w:type="spellStart"/>
      <w:r>
        <w:rPr>
          <w:rFonts w:ascii="Calibri" w:eastAsia="Calibri" w:hAnsi="Calibri" w:cs="Calibri"/>
          <w:color w:val="000000"/>
          <w:lang w:val="en-GB"/>
        </w:rPr>
        <w:t>Woolhouse</w:t>
      </w:r>
      <w:proofErr w:type="spellEnd"/>
      <w:r>
        <w:rPr>
          <w:rFonts w:ascii="Calibri" w:eastAsia="Calibri" w:hAnsi="Calibri" w:cs="Calibri"/>
          <w:color w:val="000000"/>
          <w:lang w:val="en-GB"/>
        </w:rPr>
        <w:t xml:space="preserve"> MEJ, </w:t>
      </w:r>
      <w:proofErr w:type="spellStart"/>
      <w:r>
        <w:rPr>
          <w:rFonts w:ascii="Calibri" w:eastAsia="Calibri" w:hAnsi="Calibri" w:cs="Calibri"/>
          <w:color w:val="000000"/>
          <w:lang w:val="en-GB"/>
        </w:rPr>
        <w:t>Gowtage-Sequeria</w:t>
      </w:r>
      <w:proofErr w:type="spellEnd"/>
      <w:r>
        <w:rPr>
          <w:rFonts w:ascii="Calibri" w:eastAsia="Calibri" w:hAnsi="Calibri" w:cs="Calibri"/>
          <w:color w:val="000000"/>
          <w:lang w:val="en-GB"/>
        </w:rPr>
        <w:t xml:space="preserve"> S. Host range and emerging and re-emerging pathogens</w:t>
      </w:r>
      <w:r>
        <w:rPr>
          <w:rFonts w:ascii="Calibri" w:eastAsia="Calibri" w:hAnsi="Calibri" w:cs="Calibri"/>
          <w:i/>
          <w:iCs/>
          <w:color w:val="000000"/>
          <w:lang w:val="en-GB"/>
        </w:rPr>
        <w:t>.</w:t>
      </w:r>
      <w:r>
        <w:rPr>
          <w:rFonts w:ascii="Calibri" w:eastAsia="Calibri" w:hAnsi="Calibri" w:cs="Calibri"/>
          <w:color w:val="000000"/>
          <w:lang w:val="en-GB"/>
        </w:rPr>
        <w:t xml:space="preserve"> </w:t>
      </w:r>
      <w:proofErr w:type="spellStart"/>
      <w:r>
        <w:rPr>
          <w:rFonts w:ascii="Calibri" w:eastAsia="Calibri" w:hAnsi="Calibri" w:cs="Calibri"/>
          <w:i/>
          <w:iCs/>
          <w:color w:val="000000"/>
          <w:lang w:val="en-GB"/>
        </w:rPr>
        <w:t>Emerg</w:t>
      </w:r>
      <w:proofErr w:type="spellEnd"/>
      <w:r>
        <w:rPr>
          <w:rFonts w:ascii="Calibri" w:eastAsia="Calibri" w:hAnsi="Calibri" w:cs="Calibri"/>
          <w:i/>
          <w:iCs/>
          <w:color w:val="000000"/>
          <w:lang w:val="en-GB"/>
        </w:rPr>
        <w:t xml:space="preserve"> Infect Dis</w:t>
      </w:r>
      <w:r>
        <w:rPr>
          <w:rFonts w:ascii="Calibri" w:eastAsia="Calibri" w:hAnsi="Calibri" w:cs="Calibri"/>
          <w:color w:val="000000"/>
          <w:lang w:val="en-GB"/>
        </w:rPr>
        <w:t xml:space="preserve"> 2005;11(12):1842–1847. </w:t>
      </w:r>
    </w:p>
    <w:p w14:paraId="6F5BBF11"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World Health Organization. Report of the WHO/FAO/OIE joint consultation on emerging zoonotic diseases. Geneva, Switzerland: World Health Organization; 2004.</w:t>
      </w:r>
    </w:p>
    <w:p w14:paraId="2DBDEC76"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Animal Health Australia. Animal Health in Australia, 2015. In: Animal Health Australia, Canberra; 2015.</w:t>
      </w:r>
    </w:p>
    <w:p w14:paraId="6A252A08"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Kolbe A, Yuen M, Doyle B. A case of human cutaneous anthrax</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 xml:space="preserve">Med J </w:t>
      </w:r>
      <w:proofErr w:type="spellStart"/>
      <w:r>
        <w:rPr>
          <w:rFonts w:ascii="Calibri" w:eastAsia="Calibri" w:hAnsi="Calibri" w:cs="Calibri"/>
          <w:i/>
          <w:iCs/>
          <w:color w:val="000000"/>
          <w:lang w:val="en-GB"/>
        </w:rPr>
        <w:t>Aust</w:t>
      </w:r>
      <w:proofErr w:type="spellEnd"/>
      <w:r>
        <w:rPr>
          <w:rFonts w:ascii="Calibri" w:eastAsia="Calibri" w:hAnsi="Calibri" w:cs="Calibri"/>
          <w:color w:val="000000"/>
          <w:lang w:val="en-GB"/>
        </w:rPr>
        <w:t xml:space="preserve"> 2006;185(5):281–282. </w:t>
      </w:r>
    </w:p>
    <w:p w14:paraId="2ECA5378"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Fielding J. Zoonoses: Anthrax. </w:t>
      </w:r>
      <w:r>
        <w:rPr>
          <w:rFonts w:ascii="Calibri" w:eastAsia="Calibri" w:hAnsi="Calibri" w:cs="Calibri"/>
          <w:i/>
          <w:iCs/>
          <w:color w:val="000000"/>
          <w:lang w:val="en-GB"/>
        </w:rPr>
        <w:t>Victorian Infectious Diseases Bulletin</w:t>
      </w:r>
      <w:r>
        <w:rPr>
          <w:rFonts w:ascii="Calibri" w:eastAsia="Calibri" w:hAnsi="Calibri" w:cs="Calibri"/>
          <w:color w:val="000000"/>
          <w:lang w:val="en-GB"/>
        </w:rPr>
        <w:t xml:space="preserve"> 2007;10(2):47. </w:t>
      </w:r>
    </w:p>
    <w:p w14:paraId="22F0DEEA" w14:textId="7D97D01E" w:rsidR="001047AB" w:rsidRPr="009928CF" w:rsidRDefault="00222B5B" w:rsidP="00222B5B">
      <w:pPr>
        <w:numPr>
          <w:ilvl w:val="0"/>
          <w:numId w:val="49"/>
        </w:numPr>
        <w:autoSpaceDE w:val="0"/>
        <w:autoSpaceDN w:val="0"/>
        <w:adjustRightInd w:val="0"/>
        <w:spacing w:after="170" w:line="288" w:lineRule="auto"/>
        <w:ind w:left="567" w:hanging="567"/>
        <w:textAlignment w:val="center"/>
        <w:divId w:val="2110732990"/>
        <w:rPr>
          <w:rStyle w:val="Hyperlink"/>
          <w:rFonts w:ascii="Calibri" w:eastAsia="Calibri" w:hAnsi="Calibri" w:cs="Calibri"/>
          <w:lang w:val="en-GB"/>
        </w:rPr>
      </w:pPr>
      <w:r>
        <w:rPr>
          <w:rFonts w:ascii="Calibri" w:eastAsia="Calibri" w:hAnsi="Calibri" w:cs="Calibri"/>
          <w:color w:val="000000"/>
          <w:lang w:val="en-GB"/>
        </w:rPr>
        <w:lastRenderedPageBreak/>
        <w:t xml:space="preserve">NSW Department of Health. Communicable Diseases Report, NSW, </w:t>
      </w:r>
      <w:proofErr w:type="gramStart"/>
      <w:r>
        <w:rPr>
          <w:rFonts w:ascii="Calibri" w:eastAsia="Calibri" w:hAnsi="Calibri" w:cs="Calibri"/>
          <w:color w:val="000000"/>
          <w:lang w:val="en-GB"/>
        </w:rPr>
        <w:t>January</w:t>
      </w:r>
      <w:proofErr w:type="gramEnd"/>
      <w:r>
        <w:rPr>
          <w:rFonts w:ascii="Calibri" w:eastAsia="Calibri" w:hAnsi="Calibri" w:cs="Calibri"/>
          <w:color w:val="000000"/>
          <w:lang w:val="en-GB"/>
        </w:rPr>
        <w:t xml:space="preserve"> and February 2010</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N S W Public Health Bull</w:t>
      </w:r>
      <w:r>
        <w:rPr>
          <w:rFonts w:ascii="Calibri" w:eastAsia="Calibri" w:hAnsi="Calibri" w:cs="Calibri"/>
          <w:color w:val="000000"/>
          <w:lang w:val="en-GB"/>
        </w:rPr>
        <w:t xml:space="preserve"> 2010;21(3–4):103-107. Available at: </w:t>
      </w:r>
      <w:r w:rsidR="001047AB">
        <w:rPr>
          <w:rFonts w:ascii="Calibri" w:eastAsia="Calibri" w:hAnsi="Calibri" w:cs="Calibri"/>
          <w:lang w:val="en-GB"/>
        </w:rPr>
        <w:fldChar w:fldCharType="begin"/>
      </w:r>
      <w:r w:rsidR="0021477A">
        <w:rPr>
          <w:rFonts w:ascii="Calibri" w:eastAsia="Calibri" w:hAnsi="Calibri" w:cs="Calibri"/>
          <w:lang w:val="en-GB"/>
        </w:rPr>
        <w:instrText>HYPERLINK "http://www.ncbi.nlm.nih.gov/pubmed/20513312" \o "http://www.ncbi.nlm.nih.gov/pubmed/20513312 "</w:instrText>
      </w:r>
      <w:r w:rsidR="0021477A">
        <w:rPr>
          <w:rFonts w:ascii="Calibri" w:eastAsia="Calibri" w:hAnsi="Calibri" w:cs="Calibri"/>
          <w:lang w:val="en-GB"/>
        </w:rPr>
      </w:r>
      <w:r w:rsidR="001047AB">
        <w:rPr>
          <w:rFonts w:ascii="Calibri" w:eastAsia="Calibri" w:hAnsi="Calibri" w:cs="Calibri"/>
          <w:lang w:val="en-GB"/>
        </w:rPr>
        <w:fldChar w:fldCharType="separate"/>
      </w:r>
      <w:r w:rsidR="001047AB" w:rsidRPr="009928CF">
        <w:rPr>
          <w:rStyle w:val="Hyperlink"/>
          <w:rFonts w:ascii="Calibri" w:eastAsia="Calibri" w:hAnsi="Calibri" w:cs="Calibri"/>
          <w:lang w:val="en-GB"/>
        </w:rPr>
        <w:t xml:space="preserve">http://www.ncbi.nlm.nih.gov/pubmed/20513312 </w:t>
      </w:r>
    </w:p>
    <w:p w14:paraId="0DA472F4" w14:textId="3E408472" w:rsidR="00222B5B" w:rsidRDefault="001047A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lang w:val="en-GB"/>
        </w:rPr>
        <w:fldChar w:fldCharType="end"/>
      </w:r>
      <w:r w:rsidR="00222B5B">
        <w:rPr>
          <w:rFonts w:ascii="Calibri" w:eastAsia="Calibri" w:hAnsi="Calibri" w:cs="Calibri"/>
          <w:color w:val="000000"/>
          <w:lang w:val="en-GB"/>
        </w:rPr>
        <w:t>Calisher CH, Ellison JA. The other rabies viruses: The emergence and importance of lyssaviruses from bats and other vertebrates</w:t>
      </w:r>
      <w:r w:rsidR="00222B5B">
        <w:rPr>
          <w:rFonts w:ascii="Calibri" w:eastAsia="Calibri" w:hAnsi="Calibri" w:cs="Calibri"/>
          <w:i/>
          <w:iCs/>
          <w:color w:val="000000"/>
          <w:lang w:val="en-GB"/>
        </w:rPr>
        <w:t>.</w:t>
      </w:r>
      <w:r w:rsidR="00222B5B">
        <w:rPr>
          <w:rFonts w:ascii="Calibri" w:eastAsia="Calibri" w:hAnsi="Calibri" w:cs="Calibri"/>
          <w:color w:val="000000"/>
          <w:lang w:val="en-GB"/>
        </w:rPr>
        <w:t xml:space="preserve"> </w:t>
      </w:r>
      <w:r w:rsidR="00222B5B">
        <w:rPr>
          <w:rFonts w:ascii="Calibri" w:eastAsia="Calibri" w:hAnsi="Calibri" w:cs="Calibri"/>
          <w:i/>
          <w:iCs/>
          <w:color w:val="000000"/>
          <w:lang w:val="en-GB"/>
        </w:rPr>
        <w:t>Travel Med Infect Dis</w:t>
      </w:r>
      <w:r w:rsidR="00222B5B">
        <w:rPr>
          <w:rFonts w:ascii="Calibri" w:eastAsia="Calibri" w:hAnsi="Calibri" w:cs="Calibri"/>
          <w:color w:val="000000"/>
          <w:lang w:val="en-GB"/>
        </w:rPr>
        <w:t xml:space="preserve"> 2012;10(2):69–79. Available at: </w:t>
      </w:r>
      <w:hyperlink r:id="rId174" w:tooltip="http://www.ncbi.nlm.nih.gov/pubmed/22386761" w:history="1">
        <w:r w:rsidRPr="009928CF">
          <w:rPr>
            <w:rStyle w:val="Hyperlink"/>
            <w:rFonts w:ascii="Calibri" w:eastAsia="Calibri" w:hAnsi="Calibri" w:cs="Calibri"/>
            <w:lang w:val="en-GB"/>
          </w:rPr>
          <w:t>http://www.ncbi.nlm.nih.gov/pubmed/22386761</w:t>
        </w:r>
      </w:hyperlink>
      <w:r w:rsidR="00222B5B">
        <w:rPr>
          <w:rFonts w:ascii="Calibri" w:eastAsia="Calibri" w:hAnsi="Calibri" w:cs="Calibri"/>
          <w:color w:val="000000"/>
          <w:lang w:val="en-GB"/>
        </w:rPr>
        <w:t xml:space="preserve"> </w:t>
      </w:r>
    </w:p>
    <w:p w14:paraId="78DABA1A" w14:textId="16BA5769" w:rsidR="001047AB" w:rsidRPr="009928CF" w:rsidRDefault="00222B5B" w:rsidP="00222B5B">
      <w:pPr>
        <w:numPr>
          <w:ilvl w:val="0"/>
          <w:numId w:val="49"/>
        </w:numPr>
        <w:autoSpaceDE w:val="0"/>
        <w:autoSpaceDN w:val="0"/>
        <w:adjustRightInd w:val="0"/>
        <w:spacing w:after="170" w:line="288" w:lineRule="auto"/>
        <w:ind w:left="567" w:hanging="567"/>
        <w:textAlignment w:val="center"/>
        <w:divId w:val="2110732990"/>
        <w:rPr>
          <w:rStyle w:val="Hyperlink"/>
          <w:rFonts w:ascii="Calibri" w:eastAsia="Calibri" w:hAnsi="Calibri" w:cs="Calibri"/>
          <w:lang w:val="en-GB"/>
        </w:rPr>
      </w:pPr>
      <w:r>
        <w:rPr>
          <w:rFonts w:ascii="Calibri" w:eastAsia="Calibri" w:hAnsi="Calibri" w:cs="Calibri"/>
          <w:color w:val="000000"/>
          <w:lang w:val="en-GB"/>
        </w:rPr>
        <w:t>Fraser GC, Hooper PT, Lunt RA, Gould AR, Gleeson LJ, Hyatt AD, et al. Encephalitis caused by a lyssavirus in fruit bats in Australia</w:t>
      </w:r>
      <w:r>
        <w:rPr>
          <w:rFonts w:ascii="Calibri" w:eastAsia="Calibri" w:hAnsi="Calibri" w:cs="Calibri"/>
          <w:i/>
          <w:iCs/>
          <w:color w:val="000000"/>
          <w:lang w:val="en-GB"/>
        </w:rPr>
        <w:t>.</w:t>
      </w:r>
      <w:r>
        <w:rPr>
          <w:rFonts w:ascii="Calibri" w:eastAsia="Calibri" w:hAnsi="Calibri" w:cs="Calibri"/>
          <w:color w:val="000000"/>
          <w:lang w:val="en-GB"/>
        </w:rPr>
        <w:t xml:space="preserve"> </w:t>
      </w:r>
      <w:proofErr w:type="spellStart"/>
      <w:r>
        <w:rPr>
          <w:rFonts w:ascii="Calibri" w:eastAsia="Calibri" w:hAnsi="Calibri" w:cs="Calibri"/>
          <w:i/>
          <w:iCs/>
          <w:color w:val="000000"/>
          <w:lang w:val="en-GB"/>
        </w:rPr>
        <w:t>Emerg</w:t>
      </w:r>
      <w:proofErr w:type="spellEnd"/>
      <w:r>
        <w:rPr>
          <w:rFonts w:ascii="Calibri" w:eastAsia="Calibri" w:hAnsi="Calibri" w:cs="Calibri"/>
          <w:i/>
          <w:iCs/>
          <w:color w:val="000000"/>
          <w:lang w:val="en-GB"/>
        </w:rPr>
        <w:t xml:space="preserve"> Infect Dis</w:t>
      </w:r>
      <w:r>
        <w:rPr>
          <w:rFonts w:ascii="Calibri" w:eastAsia="Calibri" w:hAnsi="Calibri" w:cs="Calibri"/>
          <w:color w:val="000000"/>
          <w:lang w:val="en-GB"/>
        </w:rPr>
        <w:t xml:space="preserve"> 1996;2(4):327–331. Available at: </w:t>
      </w:r>
      <w:r w:rsidR="001047AB">
        <w:rPr>
          <w:rFonts w:ascii="Calibri" w:eastAsia="Calibri" w:hAnsi="Calibri" w:cs="Calibri"/>
          <w:lang w:val="en-GB"/>
        </w:rPr>
        <w:fldChar w:fldCharType="begin"/>
      </w:r>
      <w:r w:rsidR="0021477A">
        <w:rPr>
          <w:rFonts w:ascii="Calibri" w:eastAsia="Calibri" w:hAnsi="Calibri" w:cs="Calibri"/>
          <w:lang w:val="en-GB"/>
        </w:rPr>
        <w:instrText>HYPERLINK "http://www.ncbi.nlm.nih.gov/pubmed/8969249" \o "http://www.ncbi.nlm.nih.gov/pubmed/8969249 "</w:instrText>
      </w:r>
      <w:r w:rsidR="0021477A">
        <w:rPr>
          <w:rFonts w:ascii="Calibri" w:eastAsia="Calibri" w:hAnsi="Calibri" w:cs="Calibri"/>
          <w:lang w:val="en-GB"/>
        </w:rPr>
      </w:r>
      <w:r w:rsidR="001047AB">
        <w:rPr>
          <w:rFonts w:ascii="Calibri" w:eastAsia="Calibri" w:hAnsi="Calibri" w:cs="Calibri"/>
          <w:lang w:val="en-GB"/>
        </w:rPr>
        <w:fldChar w:fldCharType="separate"/>
      </w:r>
      <w:r w:rsidR="001047AB" w:rsidRPr="009928CF">
        <w:rPr>
          <w:rStyle w:val="Hyperlink"/>
          <w:rFonts w:ascii="Calibri" w:eastAsia="Calibri" w:hAnsi="Calibri" w:cs="Calibri"/>
          <w:lang w:val="en-GB"/>
        </w:rPr>
        <w:t xml:space="preserve">http://www.ncbi.nlm.nih.gov/pubmed/8969249 </w:t>
      </w:r>
    </w:p>
    <w:p w14:paraId="7A2271E0" w14:textId="7BC5CB66" w:rsidR="00222B5B" w:rsidRDefault="001047A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lang w:val="en-GB"/>
        </w:rPr>
        <w:fldChar w:fldCharType="end"/>
      </w:r>
      <w:r w:rsidR="00222B5B">
        <w:rPr>
          <w:rFonts w:ascii="Calibri" w:eastAsia="Calibri" w:hAnsi="Calibri" w:cs="Calibri"/>
          <w:color w:val="000000"/>
          <w:lang w:val="en-GB"/>
        </w:rPr>
        <w:t xml:space="preserve">Hooper PT, Lunt RA, Gould AR, </w:t>
      </w:r>
      <w:proofErr w:type="spellStart"/>
      <w:r w:rsidR="00222B5B">
        <w:rPr>
          <w:rFonts w:ascii="Calibri" w:eastAsia="Calibri" w:hAnsi="Calibri" w:cs="Calibri"/>
          <w:color w:val="000000"/>
          <w:lang w:val="en-GB"/>
        </w:rPr>
        <w:t>Samaratunga</w:t>
      </w:r>
      <w:proofErr w:type="spellEnd"/>
      <w:r w:rsidR="00222B5B">
        <w:rPr>
          <w:rFonts w:ascii="Calibri" w:eastAsia="Calibri" w:hAnsi="Calibri" w:cs="Calibri"/>
          <w:color w:val="000000"/>
          <w:lang w:val="en-GB"/>
        </w:rPr>
        <w:t xml:space="preserve"> H, Hyatt AD, Gleeson LJ, et al. A new lyssavirus – the first endemic rabies-related virus recognized in Australia</w:t>
      </w:r>
      <w:r w:rsidR="00222B5B">
        <w:rPr>
          <w:rFonts w:ascii="Calibri" w:eastAsia="Calibri" w:hAnsi="Calibri" w:cs="Calibri"/>
          <w:i/>
          <w:iCs/>
          <w:color w:val="000000"/>
          <w:lang w:val="en-GB"/>
        </w:rPr>
        <w:t>.</w:t>
      </w:r>
      <w:r w:rsidR="00222B5B">
        <w:rPr>
          <w:rFonts w:ascii="Calibri" w:eastAsia="Calibri" w:hAnsi="Calibri" w:cs="Calibri"/>
          <w:color w:val="000000"/>
          <w:lang w:val="en-GB"/>
        </w:rPr>
        <w:t xml:space="preserve"> </w:t>
      </w:r>
      <w:r w:rsidR="00222B5B">
        <w:rPr>
          <w:rFonts w:ascii="Calibri" w:eastAsia="Calibri" w:hAnsi="Calibri" w:cs="Calibri"/>
          <w:i/>
          <w:iCs/>
          <w:color w:val="000000"/>
          <w:lang w:val="en-GB"/>
        </w:rPr>
        <w:t xml:space="preserve">Bulletin de </w:t>
      </w:r>
      <w:proofErr w:type="spellStart"/>
      <w:r w:rsidR="00222B5B">
        <w:rPr>
          <w:rFonts w:ascii="Calibri" w:eastAsia="Calibri" w:hAnsi="Calibri" w:cs="Calibri"/>
          <w:i/>
          <w:iCs/>
          <w:color w:val="000000"/>
          <w:lang w:val="en-GB"/>
        </w:rPr>
        <w:t>l’Institut</w:t>
      </w:r>
      <w:proofErr w:type="spellEnd"/>
      <w:r w:rsidR="00222B5B">
        <w:rPr>
          <w:rFonts w:ascii="Calibri" w:eastAsia="Calibri" w:hAnsi="Calibri" w:cs="Calibri"/>
          <w:i/>
          <w:iCs/>
          <w:color w:val="000000"/>
          <w:lang w:val="en-GB"/>
        </w:rPr>
        <w:t xml:space="preserve"> Pasteur</w:t>
      </w:r>
      <w:r w:rsidR="00222B5B">
        <w:rPr>
          <w:rFonts w:ascii="Calibri" w:eastAsia="Calibri" w:hAnsi="Calibri" w:cs="Calibri"/>
          <w:color w:val="000000"/>
          <w:lang w:val="en-GB"/>
        </w:rPr>
        <w:t xml:space="preserve"> 1997;95(4):209–218. Available at: </w:t>
      </w:r>
      <w:hyperlink r:id="rId175" w:tooltip="http://www.sciencedirect.com/science/article/pii/S0020245297835295" w:history="1">
        <w:r w:rsidRPr="009928CF">
          <w:rPr>
            <w:rStyle w:val="Hyperlink"/>
            <w:rFonts w:ascii="Calibri" w:eastAsia="Calibri" w:hAnsi="Calibri" w:cs="Calibri"/>
            <w:lang w:val="en-GB"/>
          </w:rPr>
          <w:t>http://www.sciencedirect.com/science/article/pii/S0020245297835295</w:t>
        </w:r>
      </w:hyperlink>
      <w:r w:rsidR="00222B5B">
        <w:rPr>
          <w:rFonts w:ascii="Calibri" w:eastAsia="Calibri" w:hAnsi="Calibri" w:cs="Calibri"/>
          <w:color w:val="000000"/>
          <w:lang w:val="en-GB"/>
        </w:rPr>
        <w:t xml:space="preserve"> </w:t>
      </w:r>
    </w:p>
    <w:p w14:paraId="16779716" w14:textId="100FDF97" w:rsidR="001047AB" w:rsidRPr="009928CF" w:rsidRDefault="00222B5B" w:rsidP="00222B5B">
      <w:pPr>
        <w:numPr>
          <w:ilvl w:val="0"/>
          <w:numId w:val="49"/>
        </w:numPr>
        <w:autoSpaceDE w:val="0"/>
        <w:autoSpaceDN w:val="0"/>
        <w:adjustRightInd w:val="0"/>
        <w:spacing w:after="170" w:line="288" w:lineRule="auto"/>
        <w:ind w:left="567" w:hanging="567"/>
        <w:textAlignment w:val="center"/>
        <w:divId w:val="2110732990"/>
        <w:rPr>
          <w:rStyle w:val="Hyperlink"/>
          <w:rFonts w:ascii="Calibri" w:eastAsia="Calibri" w:hAnsi="Calibri" w:cs="Calibri"/>
          <w:lang w:val="en-GB"/>
        </w:rPr>
      </w:pPr>
      <w:r>
        <w:rPr>
          <w:rFonts w:ascii="Calibri" w:eastAsia="Calibri" w:hAnsi="Calibri" w:cs="Calibri"/>
          <w:color w:val="000000"/>
          <w:lang w:val="en-GB"/>
        </w:rPr>
        <w:t xml:space="preserve">Communicable Diseases Network Australia. Series of National Guidelines: Rabies virus and other lyssavirus including Australian bat lyssavirus) exposures and infections. 2013. Accessed on 7 June 2015. Available at: </w:t>
      </w:r>
      <w:r w:rsidR="001047AB">
        <w:rPr>
          <w:rFonts w:ascii="Calibri" w:eastAsia="Calibri" w:hAnsi="Calibri" w:cs="Calibri"/>
          <w:lang w:val="en-GB"/>
        </w:rPr>
        <w:fldChar w:fldCharType="begin"/>
      </w:r>
      <w:r w:rsidR="0021477A">
        <w:rPr>
          <w:rFonts w:ascii="Calibri" w:eastAsia="Calibri" w:hAnsi="Calibri" w:cs="Calibri"/>
          <w:lang w:val="en-GB"/>
        </w:rPr>
        <w:instrText>HYPERLINK "http://www.health.gov.au/internet/main/publishing.nsf/Content/cdna-song-abvl-rabies.htm" \o "http://www.health.gov.au/internet/main/publishing.nsf/Content/cdna-song-abvl-rabies.htm "</w:instrText>
      </w:r>
      <w:r w:rsidR="0021477A">
        <w:rPr>
          <w:rFonts w:ascii="Calibri" w:eastAsia="Calibri" w:hAnsi="Calibri" w:cs="Calibri"/>
          <w:lang w:val="en-GB"/>
        </w:rPr>
      </w:r>
      <w:r w:rsidR="001047AB">
        <w:rPr>
          <w:rFonts w:ascii="Calibri" w:eastAsia="Calibri" w:hAnsi="Calibri" w:cs="Calibri"/>
          <w:lang w:val="en-GB"/>
        </w:rPr>
        <w:fldChar w:fldCharType="separate"/>
      </w:r>
      <w:r w:rsidR="001047AB" w:rsidRPr="009928CF">
        <w:rPr>
          <w:rStyle w:val="Hyperlink"/>
          <w:rFonts w:ascii="Calibri" w:eastAsia="Calibri" w:hAnsi="Calibri" w:cs="Calibri"/>
          <w:lang w:val="en-GB"/>
        </w:rPr>
        <w:t xml:space="preserve">http://www.health.gov.au/internet/main/publishing.nsf/Content/cdna-song-abvl-rabies.htm </w:t>
      </w:r>
    </w:p>
    <w:p w14:paraId="04EBF273" w14:textId="77777777" w:rsidR="00222B5B" w:rsidRDefault="001047A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lang w:val="en-GB"/>
        </w:rPr>
        <w:fldChar w:fldCharType="end"/>
      </w:r>
      <w:r w:rsidR="00222B5B">
        <w:rPr>
          <w:rFonts w:ascii="Calibri" w:eastAsia="Calibri" w:hAnsi="Calibri" w:cs="Calibri"/>
          <w:color w:val="000000"/>
          <w:lang w:val="en-GB"/>
        </w:rPr>
        <w:t>Allworth A, Murray K, Morgan J. A human case of encephalitis due to a lyssavirus recently identified in fruit bats</w:t>
      </w:r>
      <w:r w:rsidR="00222B5B">
        <w:rPr>
          <w:rFonts w:ascii="Calibri" w:eastAsia="Calibri" w:hAnsi="Calibri" w:cs="Calibri"/>
          <w:i/>
          <w:iCs/>
          <w:color w:val="000000"/>
          <w:lang w:val="en-GB"/>
        </w:rPr>
        <w:t>.</w:t>
      </w:r>
      <w:r w:rsidR="00222B5B">
        <w:rPr>
          <w:rFonts w:ascii="Calibri" w:eastAsia="Calibri" w:hAnsi="Calibri" w:cs="Calibri"/>
          <w:color w:val="000000"/>
          <w:lang w:val="en-GB"/>
        </w:rPr>
        <w:t xml:space="preserve"> </w:t>
      </w:r>
      <w:r w:rsidR="00222B5B">
        <w:rPr>
          <w:rFonts w:ascii="Calibri" w:eastAsia="Calibri" w:hAnsi="Calibri" w:cs="Calibri"/>
          <w:i/>
          <w:iCs/>
          <w:color w:val="000000"/>
          <w:lang w:val="en-GB"/>
        </w:rPr>
        <w:t>Commun Dis Intell</w:t>
      </w:r>
      <w:r w:rsidR="00222B5B">
        <w:rPr>
          <w:rFonts w:ascii="Calibri" w:eastAsia="Calibri" w:hAnsi="Calibri" w:cs="Calibri"/>
          <w:color w:val="000000"/>
          <w:lang w:val="en-GB"/>
        </w:rPr>
        <w:t xml:space="preserve"> 1996;20(24):504.</w:t>
      </w:r>
    </w:p>
    <w:p w14:paraId="6AC0D5E1"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Hanna JN, Carney IK, Smith GA, Tannenberg AEG, </w:t>
      </w:r>
      <w:proofErr w:type="spellStart"/>
      <w:r>
        <w:rPr>
          <w:rFonts w:ascii="Calibri" w:eastAsia="Calibri" w:hAnsi="Calibri" w:cs="Calibri"/>
          <w:color w:val="000000"/>
          <w:lang w:val="en-GB"/>
        </w:rPr>
        <w:t>Deverill</w:t>
      </w:r>
      <w:proofErr w:type="spellEnd"/>
      <w:r>
        <w:rPr>
          <w:rFonts w:ascii="Calibri" w:eastAsia="Calibri" w:hAnsi="Calibri" w:cs="Calibri"/>
          <w:color w:val="000000"/>
          <w:lang w:val="en-GB"/>
        </w:rPr>
        <w:t xml:space="preserve"> JE, Botha JA, et al. Australian bat lyssavirus infection: a second human case, with long incubation period</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 xml:space="preserve">Med J </w:t>
      </w:r>
      <w:proofErr w:type="spellStart"/>
      <w:r>
        <w:rPr>
          <w:rFonts w:ascii="Calibri" w:eastAsia="Calibri" w:hAnsi="Calibri" w:cs="Calibri"/>
          <w:i/>
          <w:iCs/>
          <w:color w:val="000000"/>
          <w:lang w:val="en-GB"/>
        </w:rPr>
        <w:t>Aust</w:t>
      </w:r>
      <w:proofErr w:type="spellEnd"/>
      <w:r>
        <w:rPr>
          <w:rFonts w:ascii="Calibri" w:eastAsia="Calibri" w:hAnsi="Calibri" w:cs="Calibri"/>
          <w:color w:val="000000"/>
          <w:lang w:val="en-GB"/>
        </w:rPr>
        <w:t xml:space="preserve"> 2000;172(12):597–599. </w:t>
      </w:r>
    </w:p>
    <w:p w14:paraId="02DA0A1C" w14:textId="716D3194"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Francis JR, </w:t>
      </w:r>
      <w:proofErr w:type="spellStart"/>
      <w:r>
        <w:rPr>
          <w:rFonts w:ascii="Calibri" w:eastAsia="Calibri" w:hAnsi="Calibri" w:cs="Calibri"/>
          <w:color w:val="000000"/>
          <w:lang w:val="en-GB"/>
        </w:rPr>
        <w:t>Nourse</w:t>
      </w:r>
      <w:proofErr w:type="spellEnd"/>
      <w:r>
        <w:rPr>
          <w:rFonts w:ascii="Calibri" w:eastAsia="Calibri" w:hAnsi="Calibri" w:cs="Calibri"/>
          <w:color w:val="000000"/>
          <w:lang w:val="en-GB"/>
        </w:rPr>
        <w:t xml:space="preserve"> C, Vaska VL, Calvert S, </w:t>
      </w:r>
      <w:proofErr w:type="spellStart"/>
      <w:r>
        <w:rPr>
          <w:rFonts w:ascii="Calibri" w:eastAsia="Calibri" w:hAnsi="Calibri" w:cs="Calibri"/>
          <w:color w:val="000000"/>
          <w:lang w:val="en-GB"/>
        </w:rPr>
        <w:t>Northill</w:t>
      </w:r>
      <w:proofErr w:type="spellEnd"/>
      <w:r>
        <w:rPr>
          <w:rFonts w:ascii="Calibri" w:eastAsia="Calibri" w:hAnsi="Calibri" w:cs="Calibri"/>
          <w:color w:val="000000"/>
          <w:lang w:val="en-GB"/>
        </w:rPr>
        <w:t xml:space="preserve"> JA, McCall B, et al. Australian bat lyssavirus in a child: The first reported case</w:t>
      </w:r>
      <w:r>
        <w:rPr>
          <w:rFonts w:ascii="Calibri" w:eastAsia="Calibri" w:hAnsi="Calibri" w:cs="Calibri"/>
          <w:i/>
          <w:iCs/>
          <w:color w:val="000000"/>
          <w:lang w:val="en-GB"/>
        </w:rPr>
        <w:t>.</w:t>
      </w:r>
      <w:r>
        <w:rPr>
          <w:rFonts w:ascii="Calibri" w:eastAsia="Calibri" w:hAnsi="Calibri" w:cs="Calibri"/>
          <w:color w:val="000000"/>
          <w:lang w:val="en-GB"/>
        </w:rPr>
        <w:t xml:space="preserve"> </w:t>
      </w:r>
      <w:proofErr w:type="spellStart"/>
      <w:r>
        <w:rPr>
          <w:rFonts w:ascii="Calibri" w:eastAsia="Calibri" w:hAnsi="Calibri" w:cs="Calibri"/>
          <w:i/>
          <w:iCs/>
          <w:color w:val="000000"/>
          <w:lang w:val="en-GB"/>
        </w:rPr>
        <w:t>Pediatrics</w:t>
      </w:r>
      <w:proofErr w:type="spellEnd"/>
      <w:r>
        <w:rPr>
          <w:rFonts w:ascii="Calibri" w:eastAsia="Calibri" w:hAnsi="Calibri" w:cs="Calibri"/>
          <w:color w:val="000000"/>
          <w:lang w:val="en-GB"/>
        </w:rPr>
        <w:t xml:space="preserve"> 2014;133(4</w:t>
      </w:r>
      <w:proofErr w:type="gramStart"/>
      <w:r>
        <w:rPr>
          <w:rFonts w:ascii="Calibri" w:eastAsia="Calibri" w:hAnsi="Calibri" w:cs="Calibri"/>
          <w:color w:val="000000"/>
          <w:lang w:val="en-GB"/>
        </w:rPr>
        <w:t>):E</w:t>
      </w:r>
      <w:proofErr w:type="gramEnd"/>
      <w:r>
        <w:rPr>
          <w:rFonts w:ascii="Calibri" w:eastAsia="Calibri" w:hAnsi="Calibri" w:cs="Calibri"/>
          <w:color w:val="000000"/>
          <w:lang w:val="en-GB"/>
        </w:rPr>
        <w:t xml:space="preserve">1063–E1067. Available at: </w:t>
      </w:r>
      <w:hyperlink r:id="rId176" w:tooltip="http://www.ncbi.nlm.nih.gov/pubmed/24590754" w:history="1">
        <w:r w:rsidR="001047AB" w:rsidRPr="009928CF">
          <w:rPr>
            <w:rStyle w:val="Hyperlink"/>
            <w:rFonts w:ascii="Calibri" w:eastAsia="Calibri" w:hAnsi="Calibri" w:cs="Calibri"/>
            <w:lang w:val="en-GB"/>
          </w:rPr>
          <w:t>http://www.ncbi.nlm.nih.gov/pubmed/24590754</w:t>
        </w:r>
      </w:hyperlink>
      <w:r>
        <w:rPr>
          <w:rFonts w:ascii="Calibri" w:eastAsia="Calibri" w:hAnsi="Calibri" w:cs="Calibri"/>
          <w:color w:val="000000"/>
          <w:lang w:val="en-GB"/>
        </w:rPr>
        <w:t xml:space="preserve"> </w:t>
      </w:r>
    </w:p>
    <w:p w14:paraId="01C280D5"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Queensland Department of Agriculture. Australian bat lyssavirus overview. In: </w:t>
      </w:r>
      <w:r>
        <w:rPr>
          <w:rFonts w:ascii="Calibri" w:eastAsia="Calibri" w:hAnsi="Calibri" w:cs="Calibri"/>
          <w:i/>
          <w:iCs/>
          <w:color w:val="000000"/>
          <w:lang w:val="en-GB"/>
        </w:rPr>
        <w:t>Animal Health and Diseases</w:t>
      </w:r>
      <w:r>
        <w:rPr>
          <w:rFonts w:ascii="Calibri" w:eastAsia="Calibri" w:hAnsi="Calibri" w:cs="Calibri"/>
          <w:color w:val="000000"/>
          <w:lang w:val="en-GB"/>
        </w:rPr>
        <w:t>: Queensland Government; 2013.</w:t>
      </w:r>
    </w:p>
    <w:p w14:paraId="1DD528C0"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Crook A. Australian bat lyssavirus communiqué. In: Department of Agriculture, Fisheries and Forestry; 2013.</w:t>
      </w:r>
    </w:p>
    <w:p w14:paraId="15890F29"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Bat Health Focus Group. ABLV Bat Stats, Australian Bat Lyssavirus report – December 2015</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Wildlife Health Australia</w:t>
      </w:r>
      <w:r>
        <w:rPr>
          <w:rFonts w:ascii="Calibri" w:eastAsia="Calibri" w:hAnsi="Calibri" w:cs="Calibri"/>
          <w:color w:val="000000"/>
          <w:lang w:val="en-GB"/>
        </w:rPr>
        <w:t xml:space="preserve"> 2016. Available at: </w:t>
      </w:r>
      <w:r w:rsidR="001047AB" w:rsidRPr="001D6AC9">
        <w:rPr>
          <w:rFonts w:ascii="Calibri" w:eastAsia="Calibri" w:hAnsi="Calibri" w:cs="Calibri"/>
          <w:lang w:val="en-GB"/>
        </w:rPr>
        <w:t>https://wildlifehealthaustralia.com.au/Portals/0/Documents/ProgramProjects/ABLV%20BAT%20STATS%20Dec%202015.pdf</w:t>
      </w:r>
      <w:r>
        <w:rPr>
          <w:rFonts w:ascii="Calibri" w:eastAsia="Calibri" w:hAnsi="Calibri" w:cs="Calibri"/>
          <w:color w:val="000000"/>
          <w:lang w:val="en-GB"/>
        </w:rPr>
        <w:t xml:space="preserve"> </w:t>
      </w:r>
    </w:p>
    <w:p w14:paraId="461759AE" w14:textId="77777777" w:rsidR="001047AB" w:rsidRPr="001D6AC9"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lang w:val="en-GB"/>
        </w:rPr>
      </w:pPr>
      <w:r>
        <w:rPr>
          <w:rFonts w:ascii="Calibri" w:eastAsia="Calibri" w:hAnsi="Calibri" w:cs="Calibri"/>
          <w:color w:val="000000"/>
          <w:lang w:val="en-GB"/>
        </w:rPr>
        <w:t xml:space="preserve">Animal Health Australia. Animal Health in Australia 2012. Canberra; 2013. Available at: </w:t>
      </w:r>
      <w:r w:rsidR="001047AB" w:rsidRPr="001D6AC9">
        <w:rPr>
          <w:rFonts w:ascii="Calibri" w:eastAsia="Calibri" w:hAnsi="Calibri" w:cs="Calibri"/>
          <w:lang w:val="en-GB"/>
        </w:rPr>
        <w:t xml:space="preserve">http://www.animalhealthaustralia.com.au/wp-content/uploads/2011/01/AHIA-2012-full-report.pdf </w:t>
      </w:r>
    </w:p>
    <w:p w14:paraId="08D8547C" w14:textId="58D55EB2"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Eales KM, Norton RE, </w:t>
      </w:r>
      <w:proofErr w:type="spellStart"/>
      <w:r>
        <w:rPr>
          <w:rFonts w:ascii="Calibri" w:eastAsia="Calibri" w:hAnsi="Calibri" w:cs="Calibri"/>
          <w:color w:val="000000"/>
          <w:lang w:val="en-GB"/>
        </w:rPr>
        <w:t>Ketheesan</w:t>
      </w:r>
      <w:proofErr w:type="spellEnd"/>
      <w:r>
        <w:rPr>
          <w:rFonts w:ascii="Calibri" w:eastAsia="Calibri" w:hAnsi="Calibri" w:cs="Calibri"/>
          <w:color w:val="000000"/>
          <w:lang w:val="en-GB"/>
        </w:rPr>
        <w:t xml:space="preserve"> N. Brucellosis in northern Australia</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 xml:space="preserve">Am J Trop Med </w:t>
      </w:r>
      <w:proofErr w:type="spellStart"/>
      <w:r>
        <w:rPr>
          <w:rFonts w:ascii="Calibri" w:eastAsia="Calibri" w:hAnsi="Calibri" w:cs="Calibri"/>
          <w:i/>
          <w:iCs/>
          <w:color w:val="000000"/>
          <w:lang w:val="en-GB"/>
        </w:rPr>
        <w:t>Hyg</w:t>
      </w:r>
      <w:proofErr w:type="spellEnd"/>
      <w:r>
        <w:rPr>
          <w:rFonts w:ascii="Calibri" w:eastAsia="Calibri" w:hAnsi="Calibri" w:cs="Calibri"/>
          <w:color w:val="000000"/>
          <w:lang w:val="en-GB"/>
        </w:rPr>
        <w:t xml:space="preserve"> 2010;83(4):876–878. Available at: </w:t>
      </w:r>
      <w:hyperlink r:id="rId177" w:tooltip="http://www.ncbi.nlm.nih.gov/pubmed/20889883" w:history="1">
        <w:r w:rsidR="001047AB" w:rsidRPr="009928CF">
          <w:rPr>
            <w:rStyle w:val="Hyperlink"/>
            <w:rFonts w:ascii="Calibri" w:eastAsia="Calibri" w:hAnsi="Calibri" w:cs="Calibri"/>
            <w:lang w:val="en-GB"/>
          </w:rPr>
          <w:t>http://www.ncbi.nlm.nih.gov/pubmed/20889883</w:t>
        </w:r>
      </w:hyperlink>
      <w:r>
        <w:rPr>
          <w:rFonts w:ascii="Calibri" w:eastAsia="Calibri" w:hAnsi="Calibri" w:cs="Calibri"/>
          <w:color w:val="000000"/>
          <w:lang w:val="en-GB"/>
        </w:rPr>
        <w:t xml:space="preserve"> </w:t>
      </w:r>
    </w:p>
    <w:p w14:paraId="6E2DDE94" w14:textId="77777777" w:rsidR="001047AB" w:rsidRPr="001D6AC9"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lang w:val="en-GB"/>
        </w:rPr>
      </w:pPr>
      <w:r>
        <w:rPr>
          <w:rFonts w:ascii="Calibri" w:eastAsia="Calibri" w:hAnsi="Calibri" w:cs="Calibri"/>
          <w:color w:val="000000"/>
          <w:lang w:val="en-GB"/>
        </w:rPr>
        <w:t xml:space="preserve">Communicable Diseases Branch. NSW Zoonoses Annual Surveillance Report: 2015. Sydney; 2016. Available at: </w:t>
      </w:r>
      <w:r w:rsidR="001047AB" w:rsidRPr="001D6AC9">
        <w:rPr>
          <w:rFonts w:ascii="Calibri" w:eastAsia="Calibri" w:hAnsi="Calibri" w:cs="Calibri"/>
          <w:lang w:val="en-GB"/>
        </w:rPr>
        <w:t xml:space="preserve">http://www.health.nsw.gov.au/Infectious/reports/Documents/nsw-zoonoses-annual-report-2015.pdf </w:t>
      </w:r>
    </w:p>
    <w:p w14:paraId="70C0C32E"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proofErr w:type="spellStart"/>
      <w:r>
        <w:rPr>
          <w:rFonts w:ascii="Calibri" w:eastAsia="Calibri" w:hAnsi="Calibri" w:cs="Calibri"/>
          <w:color w:val="000000"/>
          <w:lang w:val="en-GB"/>
        </w:rPr>
        <w:t>Levett</w:t>
      </w:r>
      <w:proofErr w:type="spellEnd"/>
      <w:r>
        <w:rPr>
          <w:rFonts w:ascii="Calibri" w:eastAsia="Calibri" w:hAnsi="Calibri" w:cs="Calibri"/>
          <w:color w:val="000000"/>
          <w:lang w:val="en-GB"/>
        </w:rPr>
        <w:t xml:space="preserve"> PN. Leptospirosis. </w:t>
      </w:r>
      <w:r>
        <w:rPr>
          <w:rFonts w:ascii="Calibri" w:eastAsia="Calibri" w:hAnsi="Calibri" w:cs="Calibri"/>
          <w:i/>
          <w:iCs/>
          <w:color w:val="000000"/>
          <w:lang w:val="en-GB"/>
        </w:rPr>
        <w:t>Clin Microbiol Rev</w:t>
      </w:r>
      <w:r>
        <w:rPr>
          <w:rFonts w:ascii="Calibri" w:eastAsia="Calibri" w:hAnsi="Calibri" w:cs="Calibri"/>
          <w:color w:val="000000"/>
          <w:lang w:val="en-GB"/>
        </w:rPr>
        <w:t xml:space="preserve"> 2001;14(2):296-326. </w:t>
      </w:r>
    </w:p>
    <w:p w14:paraId="2E0CBFD0"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World Health Organization, Society IL. Human Leptospirosis: Guidance for Diagnosis, Surveillance and Control; 2003. Available at: </w:t>
      </w:r>
      <w:r w:rsidR="001047AB" w:rsidRPr="001D6AC9">
        <w:rPr>
          <w:rFonts w:ascii="Calibri" w:eastAsia="Calibri" w:hAnsi="Calibri" w:cs="Calibri"/>
          <w:lang w:val="en-GB"/>
        </w:rPr>
        <w:t>http://whqlibdoc.who.int/hq/2003/WHO_CDS_CSR_EPH_2002.23.pdf?ua=1</w:t>
      </w:r>
      <w:r>
        <w:rPr>
          <w:rFonts w:ascii="Calibri" w:eastAsia="Calibri" w:hAnsi="Calibri" w:cs="Calibri"/>
          <w:color w:val="000000"/>
          <w:lang w:val="en-GB"/>
        </w:rPr>
        <w:t xml:space="preserve"> </w:t>
      </w:r>
    </w:p>
    <w:p w14:paraId="3A274B08" w14:textId="32F49BCD"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lastRenderedPageBreak/>
        <w:t xml:space="preserve">O’Leary FM, </w:t>
      </w:r>
      <w:proofErr w:type="spellStart"/>
      <w:r>
        <w:rPr>
          <w:rFonts w:ascii="Calibri" w:eastAsia="Calibri" w:hAnsi="Calibri" w:cs="Calibri"/>
          <w:color w:val="000000"/>
          <w:lang w:val="en-GB"/>
        </w:rPr>
        <w:t>Hunjan</w:t>
      </w:r>
      <w:proofErr w:type="spellEnd"/>
      <w:r>
        <w:rPr>
          <w:rFonts w:ascii="Calibri" w:eastAsia="Calibri" w:hAnsi="Calibri" w:cs="Calibri"/>
          <w:color w:val="000000"/>
          <w:lang w:val="en-GB"/>
        </w:rPr>
        <w:t xml:space="preserve"> JS, Bradbury R, </w:t>
      </w:r>
      <w:proofErr w:type="spellStart"/>
      <w:r>
        <w:rPr>
          <w:rFonts w:ascii="Calibri" w:eastAsia="Calibri" w:hAnsi="Calibri" w:cs="Calibri"/>
          <w:color w:val="000000"/>
          <w:lang w:val="en-GB"/>
        </w:rPr>
        <w:t>Thanakrishnan</w:t>
      </w:r>
      <w:proofErr w:type="spellEnd"/>
      <w:r>
        <w:rPr>
          <w:rFonts w:ascii="Calibri" w:eastAsia="Calibri" w:hAnsi="Calibri" w:cs="Calibri"/>
          <w:color w:val="000000"/>
          <w:lang w:val="en-GB"/>
        </w:rPr>
        <w:t xml:space="preserve"> G. Fatal leptospirosis presenting as musculoskeletal chest pain</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 xml:space="preserve">Med J </w:t>
      </w:r>
      <w:proofErr w:type="spellStart"/>
      <w:r>
        <w:rPr>
          <w:rFonts w:ascii="Calibri" w:eastAsia="Calibri" w:hAnsi="Calibri" w:cs="Calibri"/>
          <w:i/>
          <w:iCs/>
          <w:color w:val="000000"/>
          <w:lang w:val="en-GB"/>
        </w:rPr>
        <w:t>Aust</w:t>
      </w:r>
      <w:proofErr w:type="spellEnd"/>
      <w:r>
        <w:rPr>
          <w:rFonts w:ascii="Calibri" w:eastAsia="Calibri" w:hAnsi="Calibri" w:cs="Calibri"/>
          <w:color w:val="000000"/>
          <w:lang w:val="en-GB"/>
        </w:rPr>
        <w:t xml:space="preserve"> 2004;180(1):29-31. Available at </w:t>
      </w:r>
      <w:hyperlink r:id="rId178" w:tooltip="http://www.ncbi.nlm.nih.gov/entrez/query.fcgi?cmd=Retrieve&amp;db=PubMed&amp;dopt=Citation&amp;list_uids=14709125" w:history="1">
        <w:r w:rsidR="001047AB" w:rsidRPr="009928CF">
          <w:rPr>
            <w:rStyle w:val="Hyperlink"/>
            <w:rFonts w:ascii="Calibri" w:eastAsia="Calibri" w:hAnsi="Calibri" w:cs="Calibri"/>
            <w:lang w:val="en-GB"/>
          </w:rPr>
          <w:t>http://www.ncbi.nlm.nih.gov/entrez/query.fcgi?cmd=Retrieve&amp;db=PubMed&amp;dopt=Citation&amp;list_uids=14709125</w:t>
        </w:r>
      </w:hyperlink>
      <w:r>
        <w:rPr>
          <w:rFonts w:ascii="Calibri" w:eastAsia="Calibri" w:hAnsi="Calibri" w:cs="Calibri"/>
          <w:color w:val="000000"/>
          <w:lang w:val="en-GB"/>
        </w:rPr>
        <w:t xml:space="preserve"> </w:t>
      </w:r>
    </w:p>
    <w:p w14:paraId="10763BCA" w14:textId="36CDD1A2" w:rsidR="001047AB" w:rsidRPr="009928CF" w:rsidRDefault="00222B5B" w:rsidP="00222B5B">
      <w:pPr>
        <w:numPr>
          <w:ilvl w:val="0"/>
          <w:numId w:val="49"/>
        </w:numPr>
        <w:autoSpaceDE w:val="0"/>
        <w:autoSpaceDN w:val="0"/>
        <w:adjustRightInd w:val="0"/>
        <w:spacing w:after="170" w:line="288" w:lineRule="auto"/>
        <w:ind w:left="567" w:hanging="567"/>
        <w:textAlignment w:val="center"/>
        <w:divId w:val="2110732990"/>
        <w:rPr>
          <w:rStyle w:val="Hyperlink"/>
          <w:rFonts w:ascii="Calibri" w:eastAsia="Calibri" w:hAnsi="Calibri" w:cs="Calibri"/>
          <w:lang w:val="en-GB"/>
        </w:rPr>
      </w:pPr>
      <w:proofErr w:type="spellStart"/>
      <w:r>
        <w:rPr>
          <w:rFonts w:ascii="Calibri" w:eastAsia="Calibri" w:hAnsi="Calibri" w:cs="Calibri"/>
          <w:color w:val="000000"/>
          <w:lang w:val="en-GB"/>
        </w:rPr>
        <w:t>Beeckman</w:t>
      </w:r>
      <w:proofErr w:type="spellEnd"/>
      <w:r>
        <w:rPr>
          <w:rFonts w:ascii="Calibri" w:eastAsia="Calibri" w:hAnsi="Calibri" w:cs="Calibri"/>
          <w:color w:val="000000"/>
          <w:lang w:val="en-GB"/>
        </w:rPr>
        <w:t xml:space="preserve"> DS, </w:t>
      </w:r>
      <w:proofErr w:type="spellStart"/>
      <w:r>
        <w:rPr>
          <w:rFonts w:ascii="Calibri" w:eastAsia="Calibri" w:hAnsi="Calibri" w:cs="Calibri"/>
          <w:color w:val="000000"/>
          <w:lang w:val="en-GB"/>
        </w:rPr>
        <w:t>Vanrompay</w:t>
      </w:r>
      <w:proofErr w:type="spellEnd"/>
      <w:r>
        <w:rPr>
          <w:rFonts w:ascii="Calibri" w:eastAsia="Calibri" w:hAnsi="Calibri" w:cs="Calibri"/>
          <w:color w:val="000000"/>
          <w:lang w:val="en-GB"/>
        </w:rPr>
        <w:t xml:space="preserve"> DC. Zoonotic </w:t>
      </w:r>
      <w:r>
        <w:rPr>
          <w:rFonts w:ascii="Calibri" w:eastAsia="Calibri" w:hAnsi="Calibri" w:cs="Calibri"/>
          <w:i/>
          <w:iCs/>
          <w:color w:val="000000"/>
          <w:lang w:val="en-GB"/>
        </w:rPr>
        <w:t xml:space="preserve">Chlamydophila </w:t>
      </w:r>
      <w:proofErr w:type="spellStart"/>
      <w:r>
        <w:rPr>
          <w:rFonts w:ascii="Calibri" w:eastAsia="Calibri" w:hAnsi="Calibri" w:cs="Calibri"/>
          <w:i/>
          <w:iCs/>
          <w:color w:val="000000"/>
          <w:lang w:val="en-GB"/>
        </w:rPr>
        <w:t>psittaci</w:t>
      </w:r>
      <w:proofErr w:type="spellEnd"/>
      <w:r>
        <w:rPr>
          <w:rFonts w:ascii="Calibri" w:eastAsia="Calibri" w:hAnsi="Calibri" w:cs="Calibri"/>
          <w:color w:val="000000"/>
          <w:lang w:val="en-GB"/>
        </w:rPr>
        <w:t xml:space="preserve"> infections from a clinical perspective</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Clin Microbiol Infect</w:t>
      </w:r>
      <w:r>
        <w:rPr>
          <w:rFonts w:ascii="Calibri" w:eastAsia="Calibri" w:hAnsi="Calibri" w:cs="Calibri"/>
          <w:color w:val="000000"/>
          <w:lang w:val="en-GB"/>
        </w:rPr>
        <w:t xml:space="preserve"> 2009;15(1):11–17. Available at: </w:t>
      </w:r>
      <w:r w:rsidR="001047AB">
        <w:rPr>
          <w:rFonts w:ascii="Calibri" w:eastAsia="Calibri" w:hAnsi="Calibri" w:cs="Calibri"/>
          <w:lang w:val="en-GB"/>
        </w:rPr>
        <w:fldChar w:fldCharType="begin"/>
      </w:r>
      <w:r w:rsidR="0021477A">
        <w:rPr>
          <w:rFonts w:ascii="Calibri" w:eastAsia="Calibri" w:hAnsi="Calibri" w:cs="Calibri"/>
          <w:lang w:val="en-GB"/>
        </w:rPr>
        <w:instrText>HYPERLINK "http://www.ncbi.nlm.nih.gov/pubmed/19220335" \o "http://www.ncbi.nlm.nih.gov/pubmed/19220335 "</w:instrText>
      </w:r>
      <w:r w:rsidR="0021477A">
        <w:rPr>
          <w:rFonts w:ascii="Calibri" w:eastAsia="Calibri" w:hAnsi="Calibri" w:cs="Calibri"/>
          <w:lang w:val="en-GB"/>
        </w:rPr>
      </w:r>
      <w:r w:rsidR="001047AB">
        <w:rPr>
          <w:rFonts w:ascii="Calibri" w:eastAsia="Calibri" w:hAnsi="Calibri" w:cs="Calibri"/>
          <w:lang w:val="en-GB"/>
        </w:rPr>
        <w:fldChar w:fldCharType="separate"/>
      </w:r>
      <w:r w:rsidR="001047AB" w:rsidRPr="009928CF">
        <w:rPr>
          <w:rStyle w:val="Hyperlink"/>
          <w:rFonts w:ascii="Calibri" w:eastAsia="Calibri" w:hAnsi="Calibri" w:cs="Calibri"/>
          <w:lang w:val="en-GB"/>
        </w:rPr>
        <w:t xml:space="preserve">http://www.ncbi.nlm.nih.gov/pubmed/19220335 </w:t>
      </w:r>
    </w:p>
    <w:p w14:paraId="22E06B9B" w14:textId="4B642AF6" w:rsidR="00222B5B" w:rsidRDefault="001047A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lang w:val="en-GB"/>
        </w:rPr>
        <w:fldChar w:fldCharType="end"/>
      </w:r>
      <w:proofErr w:type="spellStart"/>
      <w:r w:rsidR="00222B5B">
        <w:rPr>
          <w:rFonts w:ascii="Calibri" w:eastAsia="Calibri" w:hAnsi="Calibri" w:cs="Calibri"/>
          <w:color w:val="000000"/>
          <w:lang w:val="en-GB"/>
        </w:rPr>
        <w:t>Deschuyffeleer</w:t>
      </w:r>
      <w:proofErr w:type="spellEnd"/>
      <w:r w:rsidR="00222B5B">
        <w:rPr>
          <w:rFonts w:ascii="Calibri" w:eastAsia="Calibri" w:hAnsi="Calibri" w:cs="Calibri"/>
          <w:color w:val="000000"/>
          <w:lang w:val="en-GB"/>
        </w:rPr>
        <w:t xml:space="preserve"> TP, </w:t>
      </w:r>
      <w:proofErr w:type="spellStart"/>
      <w:r w:rsidR="00222B5B">
        <w:rPr>
          <w:rFonts w:ascii="Calibri" w:eastAsia="Calibri" w:hAnsi="Calibri" w:cs="Calibri"/>
          <w:color w:val="000000"/>
          <w:lang w:val="en-GB"/>
        </w:rPr>
        <w:t>Tyberghien</w:t>
      </w:r>
      <w:proofErr w:type="spellEnd"/>
      <w:r w:rsidR="00222B5B">
        <w:rPr>
          <w:rFonts w:ascii="Calibri" w:eastAsia="Calibri" w:hAnsi="Calibri" w:cs="Calibri"/>
          <w:color w:val="000000"/>
          <w:lang w:val="en-GB"/>
        </w:rPr>
        <w:t xml:space="preserve"> LF, </w:t>
      </w:r>
      <w:proofErr w:type="spellStart"/>
      <w:r w:rsidR="00222B5B">
        <w:rPr>
          <w:rFonts w:ascii="Calibri" w:eastAsia="Calibri" w:hAnsi="Calibri" w:cs="Calibri"/>
          <w:color w:val="000000"/>
          <w:lang w:val="en-GB"/>
        </w:rPr>
        <w:t>Dickx</w:t>
      </w:r>
      <w:proofErr w:type="spellEnd"/>
      <w:r w:rsidR="00222B5B">
        <w:rPr>
          <w:rFonts w:ascii="Calibri" w:eastAsia="Calibri" w:hAnsi="Calibri" w:cs="Calibri"/>
          <w:color w:val="000000"/>
          <w:lang w:val="en-GB"/>
        </w:rPr>
        <w:t xml:space="preserve"> VL, </w:t>
      </w:r>
      <w:proofErr w:type="spellStart"/>
      <w:r w:rsidR="00222B5B">
        <w:rPr>
          <w:rFonts w:ascii="Calibri" w:eastAsia="Calibri" w:hAnsi="Calibri" w:cs="Calibri"/>
          <w:color w:val="000000"/>
          <w:lang w:val="en-GB"/>
        </w:rPr>
        <w:t>Geens</w:t>
      </w:r>
      <w:proofErr w:type="spellEnd"/>
      <w:r w:rsidR="00222B5B">
        <w:rPr>
          <w:rFonts w:ascii="Calibri" w:eastAsia="Calibri" w:hAnsi="Calibri" w:cs="Calibri"/>
          <w:color w:val="000000"/>
          <w:lang w:val="en-GB"/>
        </w:rPr>
        <w:t xml:space="preserve"> T, </w:t>
      </w:r>
      <w:proofErr w:type="spellStart"/>
      <w:r w:rsidR="00222B5B">
        <w:rPr>
          <w:rFonts w:ascii="Calibri" w:eastAsia="Calibri" w:hAnsi="Calibri" w:cs="Calibri"/>
          <w:color w:val="000000"/>
          <w:lang w:val="en-GB"/>
        </w:rPr>
        <w:t>Saelen</w:t>
      </w:r>
      <w:proofErr w:type="spellEnd"/>
      <w:r w:rsidR="00222B5B">
        <w:rPr>
          <w:rFonts w:ascii="Calibri" w:eastAsia="Calibri" w:hAnsi="Calibri" w:cs="Calibri"/>
          <w:color w:val="000000"/>
          <w:lang w:val="en-GB"/>
        </w:rPr>
        <w:t xml:space="preserve"> JM, </w:t>
      </w:r>
      <w:proofErr w:type="spellStart"/>
      <w:r w:rsidR="00222B5B">
        <w:rPr>
          <w:rFonts w:ascii="Calibri" w:eastAsia="Calibri" w:hAnsi="Calibri" w:cs="Calibri"/>
          <w:color w:val="000000"/>
          <w:lang w:val="en-GB"/>
        </w:rPr>
        <w:t>Vanrompay</w:t>
      </w:r>
      <w:proofErr w:type="spellEnd"/>
      <w:r w:rsidR="00222B5B">
        <w:rPr>
          <w:rFonts w:ascii="Calibri" w:eastAsia="Calibri" w:hAnsi="Calibri" w:cs="Calibri"/>
          <w:color w:val="000000"/>
          <w:lang w:val="en-GB"/>
        </w:rPr>
        <w:t xml:space="preserve"> DC, et al. Risk assessment and management of </w:t>
      </w:r>
      <w:r w:rsidR="00222B5B">
        <w:rPr>
          <w:rFonts w:ascii="Calibri" w:eastAsia="Calibri" w:hAnsi="Calibri" w:cs="Calibri"/>
          <w:i/>
          <w:iCs/>
          <w:color w:val="000000"/>
          <w:lang w:val="en-GB"/>
        </w:rPr>
        <w:t xml:space="preserve">Chlamydia </w:t>
      </w:r>
      <w:proofErr w:type="spellStart"/>
      <w:r w:rsidR="00222B5B">
        <w:rPr>
          <w:rFonts w:ascii="Calibri" w:eastAsia="Calibri" w:hAnsi="Calibri" w:cs="Calibri"/>
          <w:i/>
          <w:iCs/>
          <w:color w:val="000000"/>
          <w:lang w:val="en-GB"/>
        </w:rPr>
        <w:t>psittaci</w:t>
      </w:r>
      <w:proofErr w:type="spellEnd"/>
      <w:r w:rsidR="00222B5B">
        <w:rPr>
          <w:rFonts w:ascii="Calibri" w:eastAsia="Calibri" w:hAnsi="Calibri" w:cs="Calibri"/>
          <w:color w:val="000000"/>
          <w:lang w:val="en-GB"/>
        </w:rPr>
        <w:t xml:space="preserve"> in poultry processing plants</w:t>
      </w:r>
      <w:r w:rsidR="00222B5B">
        <w:rPr>
          <w:rFonts w:ascii="Calibri" w:eastAsia="Calibri" w:hAnsi="Calibri" w:cs="Calibri"/>
          <w:i/>
          <w:iCs/>
          <w:color w:val="000000"/>
          <w:lang w:val="en-GB"/>
        </w:rPr>
        <w:t>.</w:t>
      </w:r>
      <w:r w:rsidR="00222B5B">
        <w:rPr>
          <w:rFonts w:ascii="Calibri" w:eastAsia="Calibri" w:hAnsi="Calibri" w:cs="Calibri"/>
          <w:color w:val="000000"/>
          <w:lang w:val="en-GB"/>
        </w:rPr>
        <w:t xml:space="preserve"> </w:t>
      </w:r>
      <w:r w:rsidR="00222B5B">
        <w:rPr>
          <w:rFonts w:ascii="Calibri" w:eastAsia="Calibri" w:hAnsi="Calibri" w:cs="Calibri"/>
          <w:i/>
          <w:iCs/>
          <w:color w:val="000000"/>
          <w:lang w:val="en-GB"/>
        </w:rPr>
        <w:t xml:space="preserve">Ann </w:t>
      </w:r>
      <w:proofErr w:type="spellStart"/>
      <w:r w:rsidR="00222B5B">
        <w:rPr>
          <w:rFonts w:ascii="Calibri" w:eastAsia="Calibri" w:hAnsi="Calibri" w:cs="Calibri"/>
          <w:i/>
          <w:iCs/>
          <w:color w:val="000000"/>
          <w:lang w:val="en-GB"/>
        </w:rPr>
        <w:t>Occup</w:t>
      </w:r>
      <w:proofErr w:type="spellEnd"/>
      <w:r w:rsidR="00222B5B">
        <w:rPr>
          <w:rFonts w:ascii="Calibri" w:eastAsia="Calibri" w:hAnsi="Calibri" w:cs="Calibri"/>
          <w:i/>
          <w:iCs/>
          <w:color w:val="000000"/>
          <w:lang w:val="en-GB"/>
        </w:rPr>
        <w:t xml:space="preserve"> </w:t>
      </w:r>
      <w:proofErr w:type="spellStart"/>
      <w:r w:rsidR="00222B5B">
        <w:rPr>
          <w:rFonts w:ascii="Calibri" w:eastAsia="Calibri" w:hAnsi="Calibri" w:cs="Calibri"/>
          <w:i/>
          <w:iCs/>
          <w:color w:val="000000"/>
          <w:lang w:val="en-GB"/>
        </w:rPr>
        <w:t>Hyg</w:t>
      </w:r>
      <w:proofErr w:type="spellEnd"/>
      <w:r w:rsidR="00222B5B">
        <w:rPr>
          <w:rFonts w:ascii="Calibri" w:eastAsia="Calibri" w:hAnsi="Calibri" w:cs="Calibri"/>
          <w:color w:val="000000"/>
          <w:lang w:val="en-GB"/>
        </w:rPr>
        <w:t xml:space="preserve"> 2012;56(3):340–349. Available at: </w:t>
      </w:r>
      <w:hyperlink r:id="rId179" w:tooltip="http://www.ncbi.nlm.nih.gov/pubmed/22302240" w:history="1">
        <w:r w:rsidRPr="009928CF">
          <w:rPr>
            <w:rStyle w:val="Hyperlink"/>
            <w:rFonts w:ascii="Calibri" w:eastAsia="Calibri" w:hAnsi="Calibri" w:cs="Calibri"/>
            <w:lang w:val="en-GB"/>
          </w:rPr>
          <w:t>http://www.ncbi.nlm.nih.gov/pubmed/22302240</w:t>
        </w:r>
      </w:hyperlink>
      <w:r w:rsidR="00222B5B">
        <w:rPr>
          <w:rFonts w:ascii="Calibri" w:eastAsia="Calibri" w:hAnsi="Calibri" w:cs="Calibri"/>
          <w:color w:val="000000"/>
          <w:lang w:val="en-GB"/>
        </w:rPr>
        <w:t xml:space="preserve"> </w:t>
      </w:r>
    </w:p>
    <w:p w14:paraId="168CEE21" w14:textId="2F2C97EF" w:rsidR="001047AB" w:rsidRPr="009928CF" w:rsidRDefault="00222B5B" w:rsidP="00222B5B">
      <w:pPr>
        <w:numPr>
          <w:ilvl w:val="0"/>
          <w:numId w:val="49"/>
        </w:numPr>
        <w:autoSpaceDE w:val="0"/>
        <w:autoSpaceDN w:val="0"/>
        <w:adjustRightInd w:val="0"/>
        <w:spacing w:after="170" w:line="288" w:lineRule="auto"/>
        <w:ind w:left="567" w:hanging="567"/>
        <w:textAlignment w:val="center"/>
        <w:divId w:val="2110732990"/>
        <w:rPr>
          <w:rStyle w:val="Hyperlink"/>
          <w:rFonts w:ascii="Calibri" w:eastAsia="Calibri" w:hAnsi="Calibri" w:cs="Calibri"/>
          <w:lang w:val="en-GB"/>
        </w:rPr>
      </w:pPr>
      <w:r>
        <w:rPr>
          <w:rFonts w:ascii="Calibri" w:eastAsia="Calibri" w:hAnsi="Calibri" w:cs="Calibri"/>
          <w:color w:val="000000"/>
          <w:lang w:val="en-GB"/>
        </w:rPr>
        <w:t xml:space="preserve">McCaul TF, Williams JC. Developmental cycle of </w:t>
      </w:r>
      <w:r>
        <w:rPr>
          <w:rFonts w:ascii="Calibri" w:eastAsia="Calibri" w:hAnsi="Calibri" w:cs="Calibri"/>
          <w:i/>
          <w:iCs/>
          <w:color w:val="000000"/>
          <w:lang w:val="en-GB"/>
        </w:rPr>
        <w:t xml:space="preserve">Coxiella </w:t>
      </w:r>
      <w:proofErr w:type="spellStart"/>
      <w:r>
        <w:rPr>
          <w:rFonts w:ascii="Calibri" w:eastAsia="Calibri" w:hAnsi="Calibri" w:cs="Calibri"/>
          <w:i/>
          <w:iCs/>
          <w:color w:val="000000"/>
          <w:lang w:val="en-GB"/>
        </w:rPr>
        <w:t>burnetii</w:t>
      </w:r>
      <w:proofErr w:type="spellEnd"/>
      <w:r>
        <w:rPr>
          <w:rFonts w:ascii="Calibri" w:eastAsia="Calibri" w:hAnsi="Calibri" w:cs="Calibri"/>
          <w:i/>
          <w:iCs/>
          <w:color w:val="000000"/>
          <w:lang w:val="en-GB"/>
        </w:rPr>
        <w:t xml:space="preserve">: </w:t>
      </w:r>
      <w:r>
        <w:rPr>
          <w:rFonts w:ascii="Calibri" w:eastAsia="Calibri" w:hAnsi="Calibri" w:cs="Calibri"/>
          <w:color w:val="000000"/>
          <w:lang w:val="en-GB"/>
        </w:rPr>
        <w:t xml:space="preserve">structure and morphogenesis of vegetative and </w:t>
      </w:r>
      <w:proofErr w:type="spellStart"/>
      <w:r>
        <w:rPr>
          <w:rFonts w:ascii="Calibri" w:eastAsia="Calibri" w:hAnsi="Calibri" w:cs="Calibri"/>
          <w:color w:val="000000"/>
          <w:lang w:val="en-GB"/>
        </w:rPr>
        <w:t>sporogenic</w:t>
      </w:r>
      <w:proofErr w:type="spellEnd"/>
      <w:r>
        <w:rPr>
          <w:rFonts w:ascii="Calibri" w:eastAsia="Calibri" w:hAnsi="Calibri" w:cs="Calibri"/>
          <w:color w:val="000000"/>
          <w:lang w:val="en-GB"/>
        </w:rPr>
        <w:t xml:space="preserve"> differentiations</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 xml:space="preserve">J </w:t>
      </w:r>
      <w:proofErr w:type="spellStart"/>
      <w:r>
        <w:rPr>
          <w:rFonts w:ascii="Calibri" w:eastAsia="Calibri" w:hAnsi="Calibri" w:cs="Calibri"/>
          <w:i/>
          <w:iCs/>
          <w:color w:val="000000"/>
          <w:lang w:val="en-GB"/>
        </w:rPr>
        <w:t>Bacteriol</w:t>
      </w:r>
      <w:proofErr w:type="spellEnd"/>
      <w:r>
        <w:rPr>
          <w:rFonts w:ascii="Calibri" w:eastAsia="Calibri" w:hAnsi="Calibri" w:cs="Calibri"/>
          <w:color w:val="000000"/>
          <w:lang w:val="en-GB"/>
        </w:rPr>
        <w:t xml:space="preserve"> 1981;147(3):1063-1076. Available at: </w:t>
      </w:r>
      <w:r w:rsidR="001047AB">
        <w:rPr>
          <w:rFonts w:ascii="Calibri" w:eastAsia="Calibri" w:hAnsi="Calibri" w:cs="Calibri"/>
          <w:lang w:val="en-GB"/>
        </w:rPr>
        <w:fldChar w:fldCharType="begin"/>
      </w:r>
      <w:r w:rsidR="0021477A">
        <w:rPr>
          <w:rFonts w:ascii="Calibri" w:eastAsia="Calibri" w:hAnsi="Calibri" w:cs="Calibri"/>
          <w:lang w:val="en-GB"/>
        </w:rPr>
        <w:instrText>HYPERLINK "http://www.ncbi.nlm.nih.gov/pubmed/7275931" \o "http://www.ncbi.nlm.nih.gov/pubmed/7275931 "</w:instrText>
      </w:r>
      <w:r w:rsidR="0021477A">
        <w:rPr>
          <w:rFonts w:ascii="Calibri" w:eastAsia="Calibri" w:hAnsi="Calibri" w:cs="Calibri"/>
          <w:lang w:val="en-GB"/>
        </w:rPr>
      </w:r>
      <w:r w:rsidR="001047AB">
        <w:rPr>
          <w:rFonts w:ascii="Calibri" w:eastAsia="Calibri" w:hAnsi="Calibri" w:cs="Calibri"/>
          <w:lang w:val="en-GB"/>
        </w:rPr>
        <w:fldChar w:fldCharType="separate"/>
      </w:r>
      <w:r w:rsidR="001047AB" w:rsidRPr="009928CF">
        <w:rPr>
          <w:rStyle w:val="Hyperlink"/>
          <w:rFonts w:ascii="Calibri" w:eastAsia="Calibri" w:hAnsi="Calibri" w:cs="Calibri"/>
          <w:lang w:val="en-GB"/>
        </w:rPr>
        <w:t xml:space="preserve">http://www.ncbi.nlm.nih.gov/pubmed/7275931 </w:t>
      </w:r>
    </w:p>
    <w:p w14:paraId="37983324" w14:textId="77777777" w:rsidR="00222B5B" w:rsidRDefault="001047A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lang w:val="en-GB"/>
        </w:rPr>
        <w:fldChar w:fldCharType="end"/>
      </w:r>
      <w:proofErr w:type="spellStart"/>
      <w:r w:rsidR="00222B5B">
        <w:rPr>
          <w:rFonts w:ascii="Calibri" w:eastAsia="Calibri" w:hAnsi="Calibri" w:cs="Calibri"/>
          <w:color w:val="000000"/>
          <w:lang w:val="en-GB"/>
        </w:rPr>
        <w:t>Lowbridge</w:t>
      </w:r>
      <w:proofErr w:type="spellEnd"/>
      <w:r w:rsidR="00222B5B">
        <w:rPr>
          <w:rFonts w:ascii="Calibri" w:eastAsia="Calibri" w:hAnsi="Calibri" w:cs="Calibri"/>
          <w:color w:val="000000"/>
          <w:lang w:val="en-GB"/>
        </w:rPr>
        <w:t xml:space="preserve"> CP, Tobin S, Seale H, Ferson MJ. Notifications of Q fever in NSW, 2001–2010</w:t>
      </w:r>
      <w:r w:rsidR="00222B5B">
        <w:rPr>
          <w:rFonts w:ascii="Calibri" w:eastAsia="Calibri" w:hAnsi="Calibri" w:cs="Calibri"/>
          <w:i/>
          <w:iCs/>
          <w:color w:val="000000"/>
          <w:lang w:val="en-GB"/>
        </w:rPr>
        <w:t>.</w:t>
      </w:r>
      <w:r w:rsidR="00222B5B">
        <w:rPr>
          <w:rFonts w:ascii="Calibri" w:eastAsia="Calibri" w:hAnsi="Calibri" w:cs="Calibri"/>
          <w:color w:val="000000"/>
          <w:lang w:val="en-GB"/>
        </w:rPr>
        <w:t xml:space="preserve"> </w:t>
      </w:r>
      <w:r w:rsidR="00222B5B">
        <w:rPr>
          <w:rFonts w:ascii="Calibri" w:eastAsia="Calibri" w:hAnsi="Calibri" w:cs="Calibri"/>
          <w:i/>
          <w:iCs/>
          <w:color w:val="000000"/>
          <w:lang w:val="en-GB"/>
        </w:rPr>
        <w:t>N S W Public Health Bull</w:t>
      </w:r>
      <w:r w:rsidR="00222B5B">
        <w:rPr>
          <w:rFonts w:ascii="Calibri" w:eastAsia="Calibri" w:hAnsi="Calibri" w:cs="Calibri"/>
          <w:color w:val="000000"/>
          <w:lang w:val="en-GB"/>
        </w:rPr>
        <w:t xml:space="preserve"> 2012;23(1-2):31–35. </w:t>
      </w:r>
    </w:p>
    <w:p w14:paraId="64EECD09" w14:textId="2A8EABDA"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Bell M, Patel M, Sheridan J. Q fever vaccination in Queensland abattoirs</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Commun Dis Intell</w:t>
      </w:r>
      <w:r>
        <w:rPr>
          <w:rFonts w:ascii="Calibri" w:eastAsia="Calibri" w:hAnsi="Calibri" w:cs="Calibri"/>
          <w:color w:val="000000"/>
          <w:lang w:val="en-GB"/>
        </w:rPr>
        <w:t xml:space="preserve"> 1997;21(3):29–31. Available at: </w:t>
      </w:r>
      <w:hyperlink r:id="rId180" w:tooltip="http://www.ncbi.nlm.nih.gov/entrez/query.fcgi?cmd=Retrieve&amp;db=PubMed&amp;dopt=Citation&amp;list_uids=9079588" w:history="1">
        <w:r w:rsidR="001047AB" w:rsidRPr="009928CF">
          <w:rPr>
            <w:rStyle w:val="Hyperlink"/>
            <w:rFonts w:ascii="Calibri" w:eastAsia="Calibri" w:hAnsi="Calibri" w:cs="Calibri"/>
            <w:lang w:val="en-GB"/>
          </w:rPr>
          <w:t>http://www.ncbi.nlm.nih.gov/entrez/query.fcgi?cmd=Retrieve&amp;db=PubMed&amp;dopt=Citation&amp;list_uids=9079588</w:t>
        </w:r>
      </w:hyperlink>
      <w:r>
        <w:rPr>
          <w:rFonts w:ascii="Calibri" w:eastAsia="Calibri" w:hAnsi="Calibri" w:cs="Calibri"/>
          <w:color w:val="000000"/>
          <w:lang w:val="en-GB"/>
        </w:rPr>
        <w:t xml:space="preserve"> </w:t>
      </w:r>
    </w:p>
    <w:p w14:paraId="383CADC2"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Lin M, </w:t>
      </w:r>
      <w:proofErr w:type="spellStart"/>
      <w:r>
        <w:rPr>
          <w:rFonts w:ascii="Calibri" w:eastAsia="Calibri" w:hAnsi="Calibri" w:cs="Calibri"/>
          <w:color w:val="000000"/>
          <w:lang w:val="en-GB"/>
        </w:rPr>
        <w:t>Delpech</w:t>
      </w:r>
      <w:proofErr w:type="spellEnd"/>
      <w:r>
        <w:rPr>
          <w:rFonts w:ascii="Calibri" w:eastAsia="Calibri" w:hAnsi="Calibri" w:cs="Calibri"/>
          <w:color w:val="000000"/>
          <w:lang w:val="en-GB"/>
        </w:rPr>
        <w:t xml:space="preserve"> V, McAnulty J, Campbell-Lloyd S. Notifications of Q fever in New South Wales, 1991–2000: </w:t>
      </w:r>
      <w:proofErr w:type="spellStart"/>
      <w:r>
        <w:rPr>
          <w:rFonts w:ascii="Calibri" w:eastAsia="Calibri" w:hAnsi="Calibri" w:cs="Calibri"/>
          <w:color w:val="000000"/>
          <w:lang w:val="en-GB"/>
        </w:rPr>
        <w:t>EpiReview</w:t>
      </w:r>
      <w:proofErr w:type="spellEnd"/>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N S W Public Health Bull</w:t>
      </w:r>
      <w:r>
        <w:rPr>
          <w:rFonts w:ascii="Calibri" w:eastAsia="Calibri" w:hAnsi="Calibri" w:cs="Calibri"/>
          <w:color w:val="000000"/>
          <w:lang w:val="en-GB"/>
        </w:rPr>
        <w:t xml:space="preserve"> 2001;12(6):172–175. </w:t>
      </w:r>
    </w:p>
    <w:p w14:paraId="0AE2BD01" w14:textId="57CBB4CF" w:rsidR="001047AB" w:rsidRPr="009928CF" w:rsidRDefault="00222B5B" w:rsidP="00222B5B">
      <w:pPr>
        <w:numPr>
          <w:ilvl w:val="0"/>
          <w:numId w:val="49"/>
        </w:numPr>
        <w:autoSpaceDE w:val="0"/>
        <w:autoSpaceDN w:val="0"/>
        <w:adjustRightInd w:val="0"/>
        <w:spacing w:after="170" w:line="288" w:lineRule="auto"/>
        <w:ind w:left="567" w:hanging="567"/>
        <w:textAlignment w:val="center"/>
        <w:divId w:val="2110732990"/>
        <w:rPr>
          <w:rStyle w:val="Hyperlink"/>
          <w:rFonts w:ascii="Calibri" w:eastAsia="Calibri" w:hAnsi="Calibri" w:cs="Calibri"/>
          <w:lang w:val="en-GB"/>
        </w:rPr>
      </w:pPr>
      <w:r>
        <w:rPr>
          <w:rFonts w:ascii="Calibri" w:eastAsia="Calibri" w:hAnsi="Calibri" w:cs="Calibri"/>
          <w:color w:val="000000"/>
          <w:lang w:val="en-GB"/>
        </w:rPr>
        <w:t>Gidding HF, Wallace C, Lawrence GL, McIntyre PB. Australia’s National Q Fever Vaccination Program</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Vaccine</w:t>
      </w:r>
      <w:r>
        <w:rPr>
          <w:rFonts w:ascii="Calibri" w:eastAsia="Calibri" w:hAnsi="Calibri" w:cs="Calibri"/>
          <w:color w:val="000000"/>
          <w:lang w:val="en-GB"/>
        </w:rPr>
        <w:t xml:space="preserve"> 2009;27(14):2037–2041. Available at: </w:t>
      </w:r>
      <w:r w:rsidR="001047AB">
        <w:rPr>
          <w:rFonts w:ascii="Calibri" w:eastAsia="Calibri" w:hAnsi="Calibri" w:cs="Calibri"/>
          <w:lang w:val="en-GB"/>
        </w:rPr>
        <w:fldChar w:fldCharType="begin"/>
      </w:r>
      <w:r w:rsidR="0021477A">
        <w:rPr>
          <w:rFonts w:ascii="Calibri" w:eastAsia="Calibri" w:hAnsi="Calibri" w:cs="Calibri"/>
          <w:lang w:val="en-GB"/>
        </w:rPr>
        <w:instrText>HYPERLINK "http://www.ncbi.nlm.nih.gov/pubmed/19428827" \o "http://www.ncbi.nlm.nih.gov/pubmed/19428827 "</w:instrText>
      </w:r>
      <w:r w:rsidR="0021477A">
        <w:rPr>
          <w:rFonts w:ascii="Calibri" w:eastAsia="Calibri" w:hAnsi="Calibri" w:cs="Calibri"/>
          <w:lang w:val="en-GB"/>
        </w:rPr>
      </w:r>
      <w:r w:rsidR="001047AB">
        <w:rPr>
          <w:rFonts w:ascii="Calibri" w:eastAsia="Calibri" w:hAnsi="Calibri" w:cs="Calibri"/>
          <w:lang w:val="en-GB"/>
        </w:rPr>
        <w:fldChar w:fldCharType="separate"/>
      </w:r>
      <w:r w:rsidR="001047AB" w:rsidRPr="009928CF">
        <w:rPr>
          <w:rStyle w:val="Hyperlink"/>
          <w:rFonts w:ascii="Calibri" w:eastAsia="Calibri" w:hAnsi="Calibri" w:cs="Calibri"/>
          <w:lang w:val="en-GB"/>
        </w:rPr>
        <w:t xml:space="preserve">http://www.ncbi.nlm.nih.gov/pubmed/19428827 </w:t>
      </w:r>
    </w:p>
    <w:p w14:paraId="37797474" w14:textId="7715A0D2" w:rsidR="00222B5B" w:rsidRDefault="001047A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lang w:val="en-GB"/>
        </w:rPr>
        <w:fldChar w:fldCharType="end"/>
      </w:r>
      <w:r w:rsidR="00222B5B">
        <w:rPr>
          <w:rFonts w:ascii="Calibri" w:eastAsia="Calibri" w:hAnsi="Calibri" w:cs="Calibri"/>
          <w:color w:val="000000"/>
          <w:lang w:val="en-GB"/>
        </w:rPr>
        <w:t xml:space="preserve">Ellis J, </w:t>
      </w:r>
      <w:proofErr w:type="spellStart"/>
      <w:r w:rsidR="00222B5B">
        <w:rPr>
          <w:rFonts w:ascii="Calibri" w:eastAsia="Calibri" w:hAnsi="Calibri" w:cs="Calibri"/>
          <w:color w:val="000000"/>
          <w:lang w:val="en-GB"/>
        </w:rPr>
        <w:t>Oyston</w:t>
      </w:r>
      <w:proofErr w:type="spellEnd"/>
      <w:r w:rsidR="00222B5B">
        <w:rPr>
          <w:rFonts w:ascii="Calibri" w:eastAsia="Calibri" w:hAnsi="Calibri" w:cs="Calibri"/>
          <w:color w:val="000000"/>
          <w:lang w:val="en-GB"/>
        </w:rPr>
        <w:t xml:space="preserve"> PC, Green M, </w:t>
      </w:r>
      <w:proofErr w:type="spellStart"/>
      <w:r w:rsidR="00222B5B">
        <w:rPr>
          <w:rFonts w:ascii="Calibri" w:eastAsia="Calibri" w:hAnsi="Calibri" w:cs="Calibri"/>
          <w:color w:val="000000"/>
          <w:lang w:val="en-GB"/>
        </w:rPr>
        <w:t>Titball</w:t>
      </w:r>
      <w:proofErr w:type="spellEnd"/>
      <w:r w:rsidR="00222B5B">
        <w:rPr>
          <w:rFonts w:ascii="Calibri" w:eastAsia="Calibri" w:hAnsi="Calibri" w:cs="Calibri"/>
          <w:color w:val="000000"/>
          <w:lang w:val="en-GB"/>
        </w:rPr>
        <w:t xml:space="preserve"> RW. </w:t>
      </w:r>
      <w:proofErr w:type="spellStart"/>
      <w:r w:rsidR="00222B5B">
        <w:rPr>
          <w:rFonts w:ascii="Calibri" w:eastAsia="Calibri" w:hAnsi="Calibri" w:cs="Calibri"/>
          <w:color w:val="000000"/>
          <w:lang w:val="en-GB"/>
        </w:rPr>
        <w:t>Tularemia</w:t>
      </w:r>
      <w:proofErr w:type="spellEnd"/>
      <w:r w:rsidR="00222B5B">
        <w:rPr>
          <w:rFonts w:ascii="Calibri" w:eastAsia="Calibri" w:hAnsi="Calibri" w:cs="Calibri"/>
          <w:i/>
          <w:iCs/>
          <w:color w:val="000000"/>
          <w:lang w:val="en-GB"/>
        </w:rPr>
        <w:t>.</w:t>
      </w:r>
      <w:r w:rsidR="00222B5B">
        <w:rPr>
          <w:rFonts w:ascii="Calibri" w:eastAsia="Calibri" w:hAnsi="Calibri" w:cs="Calibri"/>
          <w:color w:val="000000"/>
          <w:lang w:val="en-GB"/>
        </w:rPr>
        <w:t xml:space="preserve"> </w:t>
      </w:r>
      <w:r w:rsidR="00222B5B">
        <w:rPr>
          <w:rFonts w:ascii="Calibri" w:eastAsia="Calibri" w:hAnsi="Calibri" w:cs="Calibri"/>
          <w:i/>
          <w:iCs/>
          <w:color w:val="000000"/>
          <w:lang w:val="en-GB"/>
        </w:rPr>
        <w:t>Clin Microbiol Rev</w:t>
      </w:r>
      <w:r w:rsidR="00222B5B">
        <w:rPr>
          <w:rFonts w:ascii="Calibri" w:eastAsia="Calibri" w:hAnsi="Calibri" w:cs="Calibri"/>
          <w:color w:val="000000"/>
          <w:lang w:val="en-GB"/>
        </w:rPr>
        <w:t xml:space="preserve"> 2002;15(4):631–646. Available at: </w:t>
      </w:r>
      <w:hyperlink r:id="rId181" w:tooltip="http://www.ncbi.nlm.nih.gov/pubmed/12364373" w:history="1">
        <w:r w:rsidRPr="009928CF">
          <w:rPr>
            <w:rStyle w:val="Hyperlink"/>
            <w:rFonts w:ascii="Calibri" w:eastAsia="Calibri" w:hAnsi="Calibri" w:cs="Calibri"/>
            <w:lang w:val="en-GB"/>
          </w:rPr>
          <w:t>http://www.ncbi.nlm.nih.gov/pubmed/12364373</w:t>
        </w:r>
      </w:hyperlink>
      <w:r w:rsidR="00222B5B">
        <w:rPr>
          <w:rFonts w:ascii="Calibri" w:eastAsia="Calibri" w:hAnsi="Calibri" w:cs="Calibri"/>
          <w:color w:val="000000"/>
          <w:lang w:val="en-GB"/>
        </w:rPr>
        <w:t xml:space="preserve"> </w:t>
      </w:r>
    </w:p>
    <w:p w14:paraId="49755C9C" w14:textId="374D4A26" w:rsidR="001047AB" w:rsidRPr="009928CF" w:rsidRDefault="00222B5B" w:rsidP="00222B5B">
      <w:pPr>
        <w:numPr>
          <w:ilvl w:val="0"/>
          <w:numId w:val="49"/>
        </w:numPr>
        <w:autoSpaceDE w:val="0"/>
        <w:autoSpaceDN w:val="0"/>
        <w:adjustRightInd w:val="0"/>
        <w:spacing w:after="170" w:line="288" w:lineRule="auto"/>
        <w:ind w:left="567" w:hanging="567"/>
        <w:textAlignment w:val="center"/>
        <w:divId w:val="2110732990"/>
        <w:rPr>
          <w:rStyle w:val="Hyperlink"/>
          <w:rFonts w:ascii="Calibri" w:eastAsia="Calibri" w:hAnsi="Calibri" w:cs="Calibri"/>
          <w:lang w:val="en-GB"/>
        </w:rPr>
      </w:pPr>
      <w:r>
        <w:rPr>
          <w:rFonts w:ascii="Calibri" w:eastAsia="Calibri" w:hAnsi="Calibri" w:cs="Calibri"/>
          <w:color w:val="000000"/>
          <w:lang w:val="en-GB"/>
        </w:rPr>
        <w:t xml:space="preserve">Jackson J, McGregor A, Cooley L, Ng J, Brown M, Ong CW, et al. </w:t>
      </w:r>
      <w:proofErr w:type="spellStart"/>
      <w:r>
        <w:rPr>
          <w:rFonts w:ascii="Calibri" w:eastAsia="Calibri" w:hAnsi="Calibri" w:cs="Calibri"/>
          <w:i/>
          <w:iCs/>
          <w:color w:val="000000"/>
          <w:lang w:val="en-GB"/>
        </w:rPr>
        <w:t>Francisella</w:t>
      </w:r>
      <w:proofErr w:type="spellEnd"/>
      <w:r>
        <w:rPr>
          <w:rFonts w:ascii="Calibri" w:eastAsia="Calibri" w:hAnsi="Calibri" w:cs="Calibri"/>
          <w:i/>
          <w:iCs/>
          <w:color w:val="000000"/>
          <w:lang w:val="en-GB"/>
        </w:rPr>
        <w:t xml:space="preserve"> tularensis</w:t>
      </w:r>
      <w:r>
        <w:rPr>
          <w:rFonts w:ascii="Calibri" w:eastAsia="Calibri" w:hAnsi="Calibri" w:cs="Calibri"/>
          <w:color w:val="000000"/>
          <w:lang w:val="en-GB"/>
        </w:rPr>
        <w:t xml:space="preserve"> subspecies </w:t>
      </w:r>
      <w:proofErr w:type="spellStart"/>
      <w:r>
        <w:rPr>
          <w:rFonts w:ascii="Calibri" w:eastAsia="Calibri" w:hAnsi="Calibri" w:cs="Calibri"/>
          <w:color w:val="000000"/>
          <w:lang w:val="en-GB"/>
        </w:rPr>
        <w:t>holarctica</w:t>
      </w:r>
      <w:proofErr w:type="spellEnd"/>
      <w:r>
        <w:rPr>
          <w:rFonts w:ascii="Calibri" w:eastAsia="Calibri" w:hAnsi="Calibri" w:cs="Calibri"/>
          <w:color w:val="000000"/>
          <w:lang w:val="en-GB"/>
        </w:rPr>
        <w:t>, Tasmania, Australia, 2011</w:t>
      </w:r>
      <w:r>
        <w:rPr>
          <w:rFonts w:ascii="Calibri" w:eastAsia="Calibri" w:hAnsi="Calibri" w:cs="Calibri"/>
          <w:i/>
          <w:iCs/>
          <w:color w:val="000000"/>
          <w:lang w:val="en-GB"/>
        </w:rPr>
        <w:t>.</w:t>
      </w:r>
      <w:r>
        <w:rPr>
          <w:rFonts w:ascii="Calibri" w:eastAsia="Calibri" w:hAnsi="Calibri" w:cs="Calibri"/>
          <w:color w:val="000000"/>
          <w:lang w:val="en-GB"/>
        </w:rPr>
        <w:t xml:space="preserve"> </w:t>
      </w:r>
      <w:proofErr w:type="spellStart"/>
      <w:r>
        <w:rPr>
          <w:rFonts w:ascii="Calibri" w:eastAsia="Calibri" w:hAnsi="Calibri" w:cs="Calibri"/>
          <w:i/>
          <w:iCs/>
          <w:color w:val="000000"/>
          <w:lang w:val="en-GB"/>
        </w:rPr>
        <w:t>Emerg</w:t>
      </w:r>
      <w:proofErr w:type="spellEnd"/>
      <w:r>
        <w:rPr>
          <w:rFonts w:ascii="Calibri" w:eastAsia="Calibri" w:hAnsi="Calibri" w:cs="Calibri"/>
          <w:i/>
          <w:iCs/>
          <w:color w:val="000000"/>
          <w:lang w:val="en-GB"/>
        </w:rPr>
        <w:t xml:space="preserve"> Infect Dis</w:t>
      </w:r>
      <w:r>
        <w:rPr>
          <w:rFonts w:ascii="Calibri" w:eastAsia="Calibri" w:hAnsi="Calibri" w:cs="Calibri"/>
          <w:color w:val="000000"/>
          <w:lang w:val="en-GB"/>
        </w:rPr>
        <w:t xml:space="preserve"> 2012;18(9):1484–1486. Available at: </w:t>
      </w:r>
      <w:r w:rsidR="001047AB">
        <w:rPr>
          <w:rFonts w:ascii="Calibri" w:eastAsia="Calibri" w:hAnsi="Calibri" w:cs="Calibri"/>
          <w:lang w:val="en-GB"/>
        </w:rPr>
        <w:fldChar w:fldCharType="begin"/>
      </w:r>
      <w:r w:rsidR="0021477A">
        <w:rPr>
          <w:rFonts w:ascii="Calibri" w:eastAsia="Calibri" w:hAnsi="Calibri" w:cs="Calibri"/>
          <w:lang w:val="en-GB"/>
        </w:rPr>
        <w:instrText>HYPERLINK "http://www.ncbi.nlm.nih.gov/pubmed/22931809" \o "http://www.ncbi.nlm.nih.gov/pubmed/22931809 "</w:instrText>
      </w:r>
      <w:r w:rsidR="0021477A">
        <w:rPr>
          <w:rFonts w:ascii="Calibri" w:eastAsia="Calibri" w:hAnsi="Calibri" w:cs="Calibri"/>
          <w:lang w:val="en-GB"/>
        </w:rPr>
      </w:r>
      <w:r w:rsidR="001047AB">
        <w:rPr>
          <w:rFonts w:ascii="Calibri" w:eastAsia="Calibri" w:hAnsi="Calibri" w:cs="Calibri"/>
          <w:lang w:val="en-GB"/>
        </w:rPr>
        <w:fldChar w:fldCharType="separate"/>
      </w:r>
      <w:r w:rsidR="001047AB" w:rsidRPr="009928CF">
        <w:rPr>
          <w:rStyle w:val="Hyperlink"/>
          <w:rFonts w:ascii="Calibri" w:eastAsia="Calibri" w:hAnsi="Calibri" w:cs="Calibri"/>
          <w:lang w:val="en-GB"/>
        </w:rPr>
        <w:t xml:space="preserve">http://www.ncbi.nlm.nih.gov/pubmed/22931809 </w:t>
      </w:r>
    </w:p>
    <w:p w14:paraId="366E97AD" w14:textId="77777777" w:rsidR="00222B5B" w:rsidRDefault="001047A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lang w:val="en-GB"/>
        </w:rPr>
        <w:fldChar w:fldCharType="end"/>
      </w:r>
      <w:r w:rsidR="00222B5B">
        <w:rPr>
          <w:rFonts w:ascii="Calibri" w:eastAsia="Calibri" w:hAnsi="Calibri" w:cs="Calibri"/>
          <w:color w:val="000000"/>
          <w:lang w:val="en-GB"/>
        </w:rPr>
        <w:t xml:space="preserve">Veitch M. The public health response to </w:t>
      </w:r>
      <w:proofErr w:type="spellStart"/>
      <w:r w:rsidR="00222B5B">
        <w:rPr>
          <w:rFonts w:ascii="Calibri" w:eastAsia="Calibri" w:hAnsi="Calibri" w:cs="Calibri"/>
          <w:color w:val="000000"/>
          <w:lang w:val="en-GB"/>
        </w:rPr>
        <w:t>tularemia</w:t>
      </w:r>
      <w:proofErr w:type="spellEnd"/>
      <w:r w:rsidR="00222B5B">
        <w:rPr>
          <w:rFonts w:ascii="Calibri" w:eastAsia="Calibri" w:hAnsi="Calibri" w:cs="Calibri"/>
          <w:color w:val="000000"/>
          <w:lang w:val="en-GB"/>
        </w:rPr>
        <w:t xml:space="preserve"> in Tasmania. In: </w:t>
      </w:r>
      <w:r w:rsidR="00222B5B">
        <w:rPr>
          <w:rFonts w:ascii="Calibri" w:eastAsia="Calibri" w:hAnsi="Calibri" w:cs="Calibri"/>
          <w:i/>
          <w:iCs/>
          <w:color w:val="000000"/>
          <w:lang w:val="en-GB"/>
        </w:rPr>
        <w:t>Communicable Disease Control Conference 2013</w:t>
      </w:r>
      <w:r w:rsidR="00222B5B">
        <w:rPr>
          <w:rFonts w:ascii="Calibri" w:eastAsia="Calibri" w:hAnsi="Calibri" w:cs="Calibri"/>
          <w:color w:val="000000"/>
          <w:lang w:val="en-GB"/>
        </w:rPr>
        <w:t>. Canberra, Australia; 2013.</w:t>
      </w:r>
    </w:p>
    <w:p w14:paraId="4BBD9ADE" w14:textId="27679563"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NNDSS Annual Report Writing Group. Australia’s notifiable disease status, 2011: Annual report of the National Notifiable Diseases Surveillance System</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Commun Dis Intell</w:t>
      </w:r>
      <w:r>
        <w:rPr>
          <w:rFonts w:ascii="Calibri" w:eastAsia="Calibri" w:hAnsi="Calibri" w:cs="Calibri"/>
          <w:color w:val="000000"/>
          <w:lang w:val="en-GB"/>
        </w:rPr>
        <w:t xml:space="preserve"> 2013;37(4</w:t>
      </w:r>
      <w:proofErr w:type="gramStart"/>
      <w:r>
        <w:rPr>
          <w:rFonts w:ascii="Calibri" w:eastAsia="Calibri" w:hAnsi="Calibri" w:cs="Calibri"/>
          <w:color w:val="000000"/>
          <w:lang w:val="en-GB"/>
        </w:rPr>
        <w:t>):E</w:t>
      </w:r>
      <w:proofErr w:type="gramEnd"/>
      <w:r>
        <w:rPr>
          <w:rFonts w:ascii="Calibri" w:eastAsia="Calibri" w:hAnsi="Calibri" w:cs="Calibri"/>
          <w:color w:val="000000"/>
          <w:lang w:val="en-GB"/>
        </w:rPr>
        <w:t xml:space="preserve">313–393. Available at </w:t>
      </w:r>
      <w:hyperlink r:id="rId182" w:tooltip="http://www.ncbi.nlm.nih.gov/pubmed/24882235" w:history="1">
        <w:r w:rsidR="001047AB" w:rsidRPr="009928CF">
          <w:rPr>
            <w:rStyle w:val="Hyperlink"/>
            <w:rFonts w:ascii="Calibri" w:eastAsia="Calibri" w:hAnsi="Calibri" w:cs="Calibri"/>
            <w:lang w:val="en-GB"/>
          </w:rPr>
          <w:t>http://www.ncbi.nlm.nih.gov/pubmed/24882235</w:t>
        </w:r>
      </w:hyperlink>
      <w:r>
        <w:rPr>
          <w:rFonts w:ascii="Calibri" w:eastAsia="Calibri" w:hAnsi="Calibri" w:cs="Calibri"/>
          <w:color w:val="000000"/>
          <w:lang w:val="en-GB"/>
        </w:rPr>
        <w:t xml:space="preserve"> </w:t>
      </w:r>
    </w:p>
    <w:p w14:paraId="43EB1A61"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de Jong B. </w:t>
      </w:r>
      <w:r>
        <w:rPr>
          <w:rFonts w:ascii="Calibri" w:eastAsia="Calibri" w:hAnsi="Calibri" w:cs="Calibri"/>
          <w:i/>
          <w:iCs/>
          <w:color w:val="000000"/>
          <w:lang w:val="en-GB"/>
        </w:rPr>
        <w:t>Legionella,</w:t>
      </w:r>
      <w:r>
        <w:rPr>
          <w:rFonts w:ascii="Calibri" w:eastAsia="Calibri" w:hAnsi="Calibri" w:cs="Calibri"/>
          <w:color w:val="000000"/>
          <w:lang w:val="en-GB"/>
        </w:rPr>
        <w:t xml:space="preserve"> </w:t>
      </w:r>
      <w:proofErr w:type="gramStart"/>
      <w:r>
        <w:rPr>
          <w:rFonts w:ascii="Calibri" w:eastAsia="Calibri" w:hAnsi="Calibri" w:cs="Calibri"/>
          <w:color w:val="000000"/>
          <w:lang w:val="en-GB"/>
        </w:rPr>
        <w:t>springtime</w:t>
      </w:r>
      <w:proofErr w:type="gramEnd"/>
      <w:r>
        <w:rPr>
          <w:rFonts w:ascii="Calibri" w:eastAsia="Calibri" w:hAnsi="Calibri" w:cs="Calibri"/>
          <w:color w:val="000000"/>
          <w:lang w:val="en-GB"/>
        </w:rPr>
        <w:t xml:space="preserve"> and potting soils</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 xml:space="preserve">Euro </w:t>
      </w:r>
      <w:proofErr w:type="spellStart"/>
      <w:r>
        <w:rPr>
          <w:rFonts w:ascii="Calibri" w:eastAsia="Calibri" w:hAnsi="Calibri" w:cs="Calibri"/>
          <w:i/>
          <w:iCs/>
          <w:color w:val="000000"/>
          <w:lang w:val="en-GB"/>
        </w:rPr>
        <w:t>Surveill</w:t>
      </w:r>
      <w:proofErr w:type="spellEnd"/>
      <w:r>
        <w:rPr>
          <w:rFonts w:ascii="Calibri" w:eastAsia="Calibri" w:hAnsi="Calibri" w:cs="Calibri"/>
          <w:color w:val="000000"/>
          <w:lang w:val="en-GB"/>
        </w:rPr>
        <w:t xml:space="preserve"> 2010;15(8):19497. </w:t>
      </w:r>
    </w:p>
    <w:p w14:paraId="2D5FCC03"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O’Connor B, Carman J, Eckert K, Tucker G, </w:t>
      </w:r>
      <w:proofErr w:type="spellStart"/>
      <w:r>
        <w:rPr>
          <w:rFonts w:ascii="Calibri" w:eastAsia="Calibri" w:hAnsi="Calibri" w:cs="Calibri"/>
          <w:color w:val="000000"/>
          <w:lang w:val="en-GB"/>
        </w:rPr>
        <w:t>Givney</w:t>
      </w:r>
      <w:proofErr w:type="spellEnd"/>
      <w:r>
        <w:rPr>
          <w:rFonts w:ascii="Calibri" w:eastAsia="Calibri" w:hAnsi="Calibri" w:cs="Calibri"/>
          <w:color w:val="000000"/>
          <w:lang w:val="en-GB"/>
        </w:rPr>
        <w:t xml:space="preserve"> R, Cameron S. Does potting mix make you sick? Results for a </w:t>
      </w:r>
      <w:r>
        <w:rPr>
          <w:rFonts w:ascii="Calibri" w:eastAsia="Calibri" w:hAnsi="Calibri" w:cs="Calibri"/>
          <w:i/>
          <w:iCs/>
          <w:color w:val="000000"/>
          <w:lang w:val="en-GB"/>
        </w:rPr>
        <w:t>Legionella longbeachae</w:t>
      </w:r>
      <w:r>
        <w:rPr>
          <w:rFonts w:ascii="Calibri" w:eastAsia="Calibri" w:hAnsi="Calibri" w:cs="Calibri"/>
          <w:color w:val="000000"/>
          <w:lang w:val="en-GB"/>
        </w:rPr>
        <w:t xml:space="preserve"> case-control study in South Australia</w:t>
      </w:r>
      <w:r>
        <w:rPr>
          <w:rFonts w:ascii="Calibri" w:eastAsia="Calibri" w:hAnsi="Calibri" w:cs="Calibri"/>
          <w:i/>
          <w:iCs/>
          <w:color w:val="000000"/>
          <w:lang w:val="en-GB"/>
        </w:rPr>
        <w:t>.</w:t>
      </w:r>
      <w:r>
        <w:rPr>
          <w:rFonts w:ascii="Calibri" w:eastAsia="Calibri" w:hAnsi="Calibri" w:cs="Calibri"/>
          <w:color w:val="000000"/>
          <w:lang w:val="en-GB"/>
        </w:rPr>
        <w:t xml:space="preserve"> </w:t>
      </w:r>
      <w:proofErr w:type="spellStart"/>
      <w:r>
        <w:rPr>
          <w:rFonts w:ascii="Calibri" w:eastAsia="Calibri" w:hAnsi="Calibri" w:cs="Calibri"/>
          <w:i/>
          <w:iCs/>
          <w:color w:val="000000"/>
          <w:lang w:val="en-GB"/>
        </w:rPr>
        <w:t>Epidemiol</w:t>
      </w:r>
      <w:proofErr w:type="spellEnd"/>
      <w:r>
        <w:rPr>
          <w:rFonts w:ascii="Calibri" w:eastAsia="Calibri" w:hAnsi="Calibri" w:cs="Calibri"/>
          <w:i/>
          <w:iCs/>
          <w:color w:val="000000"/>
          <w:lang w:val="en-GB"/>
        </w:rPr>
        <w:t xml:space="preserve"> Infect</w:t>
      </w:r>
      <w:r>
        <w:rPr>
          <w:rFonts w:ascii="Calibri" w:eastAsia="Calibri" w:hAnsi="Calibri" w:cs="Calibri"/>
          <w:color w:val="000000"/>
          <w:lang w:val="en-GB"/>
        </w:rPr>
        <w:t xml:space="preserve"> 2007;135(1):34–39.</w:t>
      </w:r>
    </w:p>
    <w:p w14:paraId="4F226196"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proofErr w:type="spellStart"/>
      <w:r>
        <w:rPr>
          <w:rFonts w:ascii="Calibri" w:eastAsia="Calibri" w:hAnsi="Calibri" w:cs="Calibri"/>
          <w:color w:val="000000"/>
          <w:lang w:val="en-GB"/>
        </w:rPr>
        <w:lastRenderedPageBreak/>
        <w:t>Pravinkumar</w:t>
      </w:r>
      <w:proofErr w:type="spellEnd"/>
      <w:r>
        <w:rPr>
          <w:rFonts w:ascii="Calibri" w:eastAsia="Calibri" w:hAnsi="Calibri" w:cs="Calibri"/>
          <w:color w:val="000000"/>
          <w:lang w:val="en-GB"/>
        </w:rPr>
        <w:t xml:space="preserve"> SJ, Edwards G, Lindsay D, Redmond S, Stirling J, House R, et al. A cluster of legionnaire’s disease caused by </w:t>
      </w:r>
      <w:r>
        <w:rPr>
          <w:rFonts w:ascii="Calibri" w:eastAsia="Calibri" w:hAnsi="Calibri" w:cs="Calibri"/>
          <w:i/>
          <w:iCs/>
          <w:color w:val="000000"/>
          <w:lang w:val="en-GB"/>
        </w:rPr>
        <w:t>Legionella longbeachae</w:t>
      </w:r>
      <w:r>
        <w:rPr>
          <w:rFonts w:ascii="Calibri" w:eastAsia="Calibri" w:hAnsi="Calibri" w:cs="Calibri"/>
          <w:color w:val="000000"/>
          <w:lang w:val="en-GB"/>
        </w:rPr>
        <w:t xml:space="preserve"> linked to potting compost in Scotland, 2008–2009</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 xml:space="preserve">Euro </w:t>
      </w:r>
      <w:proofErr w:type="spellStart"/>
      <w:r>
        <w:rPr>
          <w:rFonts w:ascii="Calibri" w:eastAsia="Calibri" w:hAnsi="Calibri" w:cs="Calibri"/>
          <w:i/>
          <w:iCs/>
          <w:color w:val="000000"/>
          <w:lang w:val="en-GB"/>
        </w:rPr>
        <w:t>Surveill</w:t>
      </w:r>
      <w:proofErr w:type="spellEnd"/>
      <w:r>
        <w:rPr>
          <w:rFonts w:ascii="Calibri" w:eastAsia="Calibri" w:hAnsi="Calibri" w:cs="Calibri"/>
          <w:i/>
          <w:iCs/>
          <w:color w:val="000000"/>
          <w:lang w:val="en-GB"/>
        </w:rPr>
        <w:t xml:space="preserve"> </w:t>
      </w:r>
      <w:r>
        <w:rPr>
          <w:rFonts w:ascii="Calibri" w:eastAsia="Calibri" w:hAnsi="Calibri" w:cs="Calibri"/>
          <w:color w:val="000000"/>
          <w:lang w:val="en-GB"/>
        </w:rPr>
        <w:t xml:space="preserve">2010;15(8):19496. </w:t>
      </w:r>
    </w:p>
    <w:p w14:paraId="750690CE"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Whiley H, Bentham R. </w:t>
      </w:r>
      <w:r>
        <w:rPr>
          <w:rFonts w:ascii="Calibri" w:eastAsia="Calibri" w:hAnsi="Calibri" w:cs="Calibri"/>
          <w:i/>
          <w:iCs/>
          <w:color w:val="000000"/>
          <w:lang w:val="en-GB"/>
        </w:rPr>
        <w:t>Legionella longbeachae</w:t>
      </w:r>
      <w:r>
        <w:rPr>
          <w:rFonts w:ascii="Calibri" w:eastAsia="Calibri" w:hAnsi="Calibri" w:cs="Calibri"/>
          <w:color w:val="000000"/>
          <w:lang w:val="en-GB"/>
        </w:rPr>
        <w:t xml:space="preserve"> and legionellosis</w:t>
      </w:r>
      <w:r>
        <w:rPr>
          <w:rFonts w:ascii="Calibri" w:eastAsia="Calibri" w:hAnsi="Calibri" w:cs="Calibri"/>
          <w:i/>
          <w:iCs/>
          <w:color w:val="000000"/>
          <w:lang w:val="en-GB"/>
        </w:rPr>
        <w:t>.</w:t>
      </w:r>
      <w:r>
        <w:rPr>
          <w:rFonts w:ascii="Calibri" w:eastAsia="Calibri" w:hAnsi="Calibri" w:cs="Calibri"/>
          <w:color w:val="000000"/>
          <w:lang w:val="en-GB"/>
        </w:rPr>
        <w:t xml:space="preserve"> </w:t>
      </w:r>
      <w:proofErr w:type="spellStart"/>
      <w:r>
        <w:rPr>
          <w:rFonts w:ascii="Calibri" w:eastAsia="Calibri" w:hAnsi="Calibri" w:cs="Calibri"/>
          <w:i/>
          <w:iCs/>
          <w:color w:val="000000"/>
          <w:lang w:val="en-GB"/>
        </w:rPr>
        <w:t>Emerg</w:t>
      </w:r>
      <w:proofErr w:type="spellEnd"/>
      <w:r>
        <w:rPr>
          <w:rFonts w:ascii="Calibri" w:eastAsia="Calibri" w:hAnsi="Calibri" w:cs="Calibri"/>
          <w:i/>
          <w:iCs/>
          <w:color w:val="000000"/>
          <w:lang w:val="en-GB"/>
        </w:rPr>
        <w:t xml:space="preserve"> Infect Dis</w:t>
      </w:r>
      <w:r>
        <w:rPr>
          <w:rFonts w:ascii="Calibri" w:eastAsia="Calibri" w:hAnsi="Calibri" w:cs="Calibri"/>
          <w:color w:val="000000"/>
          <w:lang w:val="en-GB"/>
        </w:rPr>
        <w:t xml:space="preserve"> 2011;17(4):579–583. </w:t>
      </w:r>
    </w:p>
    <w:p w14:paraId="17EE1C75"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Li J, O’Brien ED, Guest C. A review of national legionellosis surveillance in Australia, 1991 to 2000</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Commun Dis Intell</w:t>
      </w:r>
      <w:r>
        <w:rPr>
          <w:rFonts w:ascii="Calibri" w:eastAsia="Calibri" w:hAnsi="Calibri" w:cs="Calibri"/>
          <w:color w:val="000000"/>
          <w:lang w:val="en-GB"/>
        </w:rPr>
        <w:t xml:space="preserve"> </w:t>
      </w:r>
      <w:proofErr w:type="gramStart"/>
      <w:r>
        <w:rPr>
          <w:rFonts w:ascii="Calibri" w:eastAsia="Calibri" w:hAnsi="Calibri" w:cs="Calibri"/>
          <w:color w:val="000000"/>
          <w:lang w:val="en-GB"/>
        </w:rPr>
        <w:t>2002;26:462</w:t>
      </w:r>
      <w:proofErr w:type="gramEnd"/>
      <w:r>
        <w:rPr>
          <w:rFonts w:ascii="Calibri" w:eastAsia="Calibri" w:hAnsi="Calibri" w:cs="Calibri"/>
          <w:color w:val="000000"/>
          <w:lang w:val="en-GB"/>
        </w:rPr>
        <w:t xml:space="preserve">–470. </w:t>
      </w:r>
    </w:p>
    <w:p w14:paraId="24C68474"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Rota MC, Caporal MG, Bella A, Ricci ML, Napoli C. Legionnaires disease in Italy: results of the epidemiological surveillance from 2000 to 2011</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 xml:space="preserve">Euro </w:t>
      </w:r>
      <w:proofErr w:type="spellStart"/>
      <w:r>
        <w:rPr>
          <w:rFonts w:ascii="Calibri" w:eastAsia="Calibri" w:hAnsi="Calibri" w:cs="Calibri"/>
          <w:i/>
          <w:iCs/>
          <w:color w:val="000000"/>
          <w:lang w:val="en-GB"/>
        </w:rPr>
        <w:t>Surveill</w:t>
      </w:r>
      <w:proofErr w:type="spellEnd"/>
      <w:r>
        <w:rPr>
          <w:rFonts w:ascii="Calibri" w:eastAsia="Calibri" w:hAnsi="Calibri" w:cs="Calibri"/>
          <w:color w:val="000000"/>
          <w:lang w:val="en-GB"/>
        </w:rPr>
        <w:t xml:space="preserve"> 2013;18(23).</w:t>
      </w:r>
    </w:p>
    <w:p w14:paraId="6ED428B6" w14:textId="1D40EF91"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World Health Organization. Leprosy – Fact Sheet No. 101. 2015. Accessed on 19 June 2015. Available at: </w:t>
      </w:r>
      <w:hyperlink r:id="rId183" w:tooltip="http://www.who.int/mediacentre/factsheets/fs101/en/" w:history="1">
        <w:r w:rsidR="001047AB" w:rsidRPr="009928CF">
          <w:rPr>
            <w:rStyle w:val="Hyperlink"/>
            <w:rFonts w:ascii="Calibri" w:eastAsia="Calibri" w:hAnsi="Calibri" w:cs="Calibri"/>
            <w:lang w:val="en-GB"/>
          </w:rPr>
          <w:t>http://www.who.int/mediacentre/factsheets/fs101/en/</w:t>
        </w:r>
      </w:hyperlink>
      <w:r>
        <w:rPr>
          <w:rFonts w:ascii="Calibri" w:eastAsia="Calibri" w:hAnsi="Calibri" w:cs="Calibri"/>
          <w:color w:val="000000"/>
          <w:lang w:val="en-GB"/>
        </w:rPr>
        <w:t xml:space="preserve"> </w:t>
      </w:r>
    </w:p>
    <w:p w14:paraId="5C2AAE66" w14:textId="7EA5AE04" w:rsidR="001047AB" w:rsidRPr="009928CF" w:rsidRDefault="00222B5B" w:rsidP="00222B5B">
      <w:pPr>
        <w:numPr>
          <w:ilvl w:val="0"/>
          <w:numId w:val="49"/>
        </w:numPr>
        <w:autoSpaceDE w:val="0"/>
        <w:autoSpaceDN w:val="0"/>
        <w:adjustRightInd w:val="0"/>
        <w:spacing w:after="170" w:line="288" w:lineRule="auto"/>
        <w:ind w:left="567" w:hanging="567"/>
        <w:textAlignment w:val="center"/>
        <w:divId w:val="2110732990"/>
        <w:rPr>
          <w:rStyle w:val="Hyperlink"/>
          <w:rFonts w:ascii="Calibri" w:eastAsia="Calibri" w:hAnsi="Calibri" w:cs="Calibri"/>
          <w:lang w:val="en-GB"/>
        </w:rPr>
      </w:pPr>
      <w:r>
        <w:rPr>
          <w:rFonts w:ascii="Calibri" w:eastAsia="Calibri" w:hAnsi="Calibri" w:cs="Calibri"/>
          <w:color w:val="000000"/>
          <w:lang w:val="en-GB"/>
        </w:rPr>
        <w:t xml:space="preserve">Communicable Diseases Network Australia. Meningococcal disease (invasive) surveillance case definition – V1.4. 2009. Accessed on 6 July 2015. Available at: </w:t>
      </w:r>
      <w:r w:rsidR="001047AB">
        <w:rPr>
          <w:rFonts w:ascii="Calibri" w:eastAsia="Calibri" w:hAnsi="Calibri" w:cs="Calibri"/>
          <w:lang w:val="en-GB"/>
        </w:rPr>
        <w:fldChar w:fldCharType="begin"/>
      </w:r>
      <w:r w:rsidR="0021477A">
        <w:rPr>
          <w:rFonts w:ascii="Calibri" w:eastAsia="Calibri" w:hAnsi="Calibri" w:cs="Calibri"/>
          <w:lang w:val="en-GB"/>
        </w:rPr>
        <w:instrText>HYPERLINK "http://www.health.gov.au/internet/main/publishing.nsf/Content/cda-surveil-nndss-casedefs-cd_mening.htm" \o "http://www.health.gov.au/internet/main/publishing.nsf/Content/cda-surveil-nndss-casedefs-cd_mening.htm "</w:instrText>
      </w:r>
      <w:r w:rsidR="0021477A">
        <w:rPr>
          <w:rFonts w:ascii="Calibri" w:eastAsia="Calibri" w:hAnsi="Calibri" w:cs="Calibri"/>
          <w:lang w:val="en-GB"/>
        </w:rPr>
      </w:r>
      <w:r w:rsidR="001047AB">
        <w:rPr>
          <w:rFonts w:ascii="Calibri" w:eastAsia="Calibri" w:hAnsi="Calibri" w:cs="Calibri"/>
          <w:lang w:val="en-GB"/>
        </w:rPr>
        <w:fldChar w:fldCharType="separate"/>
      </w:r>
      <w:r w:rsidR="001047AB" w:rsidRPr="009928CF">
        <w:rPr>
          <w:rStyle w:val="Hyperlink"/>
          <w:rFonts w:ascii="Calibri" w:eastAsia="Calibri" w:hAnsi="Calibri" w:cs="Calibri"/>
          <w:lang w:val="en-GB"/>
        </w:rPr>
        <w:t xml:space="preserve">http://www.health.gov.au/internet/main/publishing.nsf/Content/cda-surveil-nndss-casedefs-cd_mening.htm </w:t>
      </w:r>
    </w:p>
    <w:p w14:paraId="6C7168A0" w14:textId="77777777" w:rsidR="00222B5B" w:rsidRDefault="001047A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lang w:val="en-GB"/>
        </w:rPr>
        <w:fldChar w:fldCharType="end"/>
      </w:r>
      <w:r w:rsidR="00222B5B">
        <w:rPr>
          <w:rFonts w:ascii="Calibri" w:eastAsia="Calibri" w:hAnsi="Calibri" w:cs="Calibri"/>
          <w:color w:val="000000"/>
          <w:lang w:val="en-GB"/>
        </w:rPr>
        <w:t xml:space="preserve">Jafri RZ, Ali A, </w:t>
      </w:r>
      <w:proofErr w:type="spellStart"/>
      <w:r w:rsidR="00222B5B">
        <w:rPr>
          <w:rFonts w:ascii="Calibri" w:eastAsia="Calibri" w:hAnsi="Calibri" w:cs="Calibri"/>
          <w:color w:val="000000"/>
          <w:lang w:val="en-GB"/>
        </w:rPr>
        <w:t>Messonnier</w:t>
      </w:r>
      <w:proofErr w:type="spellEnd"/>
      <w:r w:rsidR="00222B5B">
        <w:rPr>
          <w:rFonts w:ascii="Calibri" w:eastAsia="Calibri" w:hAnsi="Calibri" w:cs="Calibri"/>
          <w:color w:val="000000"/>
          <w:lang w:val="en-GB"/>
        </w:rPr>
        <w:t xml:space="preserve"> NE, </w:t>
      </w:r>
      <w:proofErr w:type="spellStart"/>
      <w:r w:rsidR="00222B5B">
        <w:rPr>
          <w:rFonts w:ascii="Calibri" w:eastAsia="Calibri" w:hAnsi="Calibri" w:cs="Calibri"/>
          <w:color w:val="000000"/>
          <w:lang w:val="en-GB"/>
        </w:rPr>
        <w:t>Tevi-Benissan</w:t>
      </w:r>
      <w:proofErr w:type="spellEnd"/>
      <w:r w:rsidR="00222B5B">
        <w:rPr>
          <w:rFonts w:ascii="Calibri" w:eastAsia="Calibri" w:hAnsi="Calibri" w:cs="Calibri"/>
          <w:color w:val="000000"/>
          <w:lang w:val="en-GB"/>
        </w:rPr>
        <w:t xml:space="preserve"> C, Durrheim D, </w:t>
      </w:r>
      <w:proofErr w:type="spellStart"/>
      <w:r w:rsidR="00222B5B">
        <w:rPr>
          <w:rFonts w:ascii="Calibri" w:eastAsia="Calibri" w:hAnsi="Calibri" w:cs="Calibri"/>
          <w:color w:val="000000"/>
          <w:lang w:val="en-GB"/>
        </w:rPr>
        <w:t>Eskola</w:t>
      </w:r>
      <w:proofErr w:type="spellEnd"/>
      <w:r w:rsidR="00222B5B">
        <w:rPr>
          <w:rFonts w:ascii="Calibri" w:eastAsia="Calibri" w:hAnsi="Calibri" w:cs="Calibri"/>
          <w:color w:val="000000"/>
          <w:lang w:val="en-GB"/>
        </w:rPr>
        <w:t xml:space="preserve"> J, et al. Global Epidemiology of invasive meningococcal disease</w:t>
      </w:r>
      <w:r w:rsidR="00222B5B">
        <w:rPr>
          <w:rFonts w:ascii="Calibri" w:eastAsia="Calibri" w:hAnsi="Calibri" w:cs="Calibri"/>
          <w:i/>
          <w:iCs/>
          <w:color w:val="000000"/>
          <w:lang w:val="en-GB"/>
        </w:rPr>
        <w:t>.</w:t>
      </w:r>
      <w:r w:rsidR="00222B5B">
        <w:rPr>
          <w:rFonts w:ascii="Calibri" w:eastAsia="Calibri" w:hAnsi="Calibri" w:cs="Calibri"/>
          <w:color w:val="000000"/>
          <w:lang w:val="en-GB"/>
        </w:rPr>
        <w:t xml:space="preserve"> </w:t>
      </w:r>
      <w:r w:rsidR="00222B5B">
        <w:rPr>
          <w:rFonts w:ascii="Calibri" w:eastAsia="Calibri" w:hAnsi="Calibri" w:cs="Calibri"/>
          <w:i/>
          <w:iCs/>
          <w:color w:val="000000"/>
          <w:lang w:val="en-GB"/>
        </w:rPr>
        <w:t>Population Health Metrics</w:t>
      </w:r>
      <w:r w:rsidR="00222B5B">
        <w:rPr>
          <w:rFonts w:ascii="Calibri" w:eastAsia="Calibri" w:hAnsi="Calibri" w:cs="Calibri"/>
          <w:color w:val="000000"/>
          <w:lang w:val="en-GB"/>
        </w:rPr>
        <w:t xml:space="preserve"> 2013;11(17). </w:t>
      </w:r>
    </w:p>
    <w:p w14:paraId="55C7BFB4"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Lahra M, Enriquez R, National Neisseria Network. Australian Meningococcal Surveillance Programme annual report, 2015 </w:t>
      </w:r>
      <w:r>
        <w:rPr>
          <w:rFonts w:ascii="Calibri" w:eastAsia="Calibri" w:hAnsi="Calibri" w:cs="Calibri"/>
          <w:i/>
          <w:iCs/>
          <w:color w:val="000000"/>
          <w:lang w:val="en-GB"/>
        </w:rPr>
        <w:t>Comm Dis Intell</w:t>
      </w:r>
      <w:r>
        <w:rPr>
          <w:rFonts w:ascii="Calibri" w:eastAsia="Calibri" w:hAnsi="Calibri" w:cs="Calibri"/>
          <w:color w:val="000000"/>
          <w:lang w:val="en-GB"/>
        </w:rPr>
        <w:t xml:space="preserve"> 2016;40(4). </w:t>
      </w:r>
    </w:p>
    <w:p w14:paraId="6B1246B6"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Martin N, Ong K, Howden B, Lahra M, Lambert S, Beard F, et al. Rise in invasive serogroup W meningococcal disease in Australia, 2013–2015</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Comm Dis Intell</w:t>
      </w:r>
      <w:r>
        <w:rPr>
          <w:rFonts w:ascii="Calibri" w:eastAsia="Calibri" w:hAnsi="Calibri" w:cs="Calibri"/>
          <w:color w:val="000000"/>
          <w:lang w:val="en-GB"/>
        </w:rPr>
        <w:t xml:space="preserve"> 2016;40(4). </w:t>
      </w:r>
    </w:p>
    <w:p w14:paraId="372FAAA8"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Bareja C, Waring J, </w:t>
      </w:r>
      <w:proofErr w:type="spellStart"/>
      <w:r>
        <w:rPr>
          <w:rFonts w:ascii="Calibri" w:eastAsia="Calibri" w:hAnsi="Calibri" w:cs="Calibri"/>
          <w:color w:val="000000"/>
          <w:lang w:val="en-GB"/>
        </w:rPr>
        <w:t>Stapledon</w:t>
      </w:r>
      <w:proofErr w:type="spellEnd"/>
      <w:r>
        <w:rPr>
          <w:rFonts w:ascii="Calibri" w:eastAsia="Calibri" w:hAnsi="Calibri" w:cs="Calibri"/>
          <w:color w:val="000000"/>
          <w:lang w:val="en-GB"/>
        </w:rPr>
        <w:t xml:space="preserve"> R, National Tuberculosis Advisory Committee for the Communicable Diseases Network Australia. Tuberculosis notifications in Australia, 2010</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Commun Dis Intell</w:t>
      </w:r>
      <w:r>
        <w:rPr>
          <w:rFonts w:ascii="Calibri" w:eastAsia="Calibri" w:hAnsi="Calibri" w:cs="Calibri"/>
          <w:color w:val="000000"/>
          <w:lang w:val="en-GB"/>
        </w:rPr>
        <w:t xml:space="preserve"> 2014;38(1</w:t>
      </w:r>
      <w:proofErr w:type="gramStart"/>
      <w:r>
        <w:rPr>
          <w:rFonts w:ascii="Calibri" w:eastAsia="Calibri" w:hAnsi="Calibri" w:cs="Calibri"/>
          <w:color w:val="000000"/>
          <w:lang w:val="en-GB"/>
        </w:rPr>
        <w:t>):E</w:t>
      </w:r>
      <w:proofErr w:type="gramEnd"/>
      <w:r>
        <w:rPr>
          <w:rFonts w:ascii="Calibri" w:eastAsia="Calibri" w:hAnsi="Calibri" w:cs="Calibri"/>
          <w:color w:val="000000"/>
          <w:lang w:val="en-GB"/>
        </w:rPr>
        <w:t xml:space="preserve">36–E48. </w:t>
      </w:r>
    </w:p>
    <w:p w14:paraId="3AB2B04B"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Luca S, </w:t>
      </w:r>
      <w:proofErr w:type="spellStart"/>
      <w:r>
        <w:rPr>
          <w:rFonts w:ascii="Calibri" w:eastAsia="Calibri" w:hAnsi="Calibri" w:cs="Calibri"/>
          <w:color w:val="000000"/>
          <w:lang w:val="en-GB"/>
        </w:rPr>
        <w:t>Mihaescu</w:t>
      </w:r>
      <w:proofErr w:type="spellEnd"/>
      <w:r>
        <w:rPr>
          <w:rFonts w:ascii="Calibri" w:eastAsia="Calibri" w:hAnsi="Calibri" w:cs="Calibri"/>
          <w:color w:val="000000"/>
          <w:lang w:val="en-GB"/>
        </w:rPr>
        <w:t xml:space="preserve"> T. History of BCG Vaccine</w:t>
      </w:r>
      <w:r>
        <w:rPr>
          <w:rFonts w:ascii="Calibri" w:eastAsia="Calibri" w:hAnsi="Calibri" w:cs="Calibri"/>
          <w:i/>
          <w:iCs/>
          <w:color w:val="000000"/>
          <w:lang w:val="en-GB"/>
        </w:rPr>
        <w:t>.</w:t>
      </w:r>
      <w:r>
        <w:rPr>
          <w:rFonts w:ascii="Calibri" w:eastAsia="Calibri" w:hAnsi="Calibri" w:cs="Calibri"/>
          <w:color w:val="000000"/>
          <w:lang w:val="en-GB"/>
        </w:rPr>
        <w:t xml:space="preserve"> </w:t>
      </w:r>
      <w:proofErr w:type="spellStart"/>
      <w:r>
        <w:rPr>
          <w:rFonts w:ascii="Calibri" w:eastAsia="Calibri" w:hAnsi="Calibri" w:cs="Calibri"/>
          <w:i/>
          <w:iCs/>
          <w:color w:val="000000"/>
          <w:lang w:val="en-GB"/>
        </w:rPr>
        <w:t>Maedica</w:t>
      </w:r>
      <w:proofErr w:type="spellEnd"/>
      <w:r>
        <w:rPr>
          <w:rFonts w:ascii="Calibri" w:eastAsia="Calibri" w:hAnsi="Calibri" w:cs="Calibri"/>
          <w:i/>
          <w:iCs/>
          <w:color w:val="000000"/>
          <w:lang w:val="en-GB"/>
        </w:rPr>
        <w:t xml:space="preserve"> (</w:t>
      </w:r>
      <w:proofErr w:type="spellStart"/>
      <w:r>
        <w:rPr>
          <w:rFonts w:ascii="Calibri" w:eastAsia="Calibri" w:hAnsi="Calibri" w:cs="Calibri"/>
          <w:i/>
          <w:iCs/>
          <w:color w:val="000000"/>
          <w:lang w:val="en-GB"/>
        </w:rPr>
        <w:t>Burchar</w:t>
      </w:r>
      <w:proofErr w:type="spellEnd"/>
      <w:r>
        <w:rPr>
          <w:rFonts w:ascii="Calibri" w:eastAsia="Calibri" w:hAnsi="Calibri" w:cs="Calibri"/>
          <w:i/>
          <w:iCs/>
          <w:color w:val="000000"/>
          <w:lang w:val="en-GB"/>
        </w:rPr>
        <w:t>)</w:t>
      </w:r>
      <w:r>
        <w:rPr>
          <w:rFonts w:ascii="Calibri" w:eastAsia="Calibri" w:hAnsi="Calibri" w:cs="Calibri"/>
          <w:color w:val="000000"/>
          <w:lang w:val="en-GB"/>
        </w:rPr>
        <w:t xml:space="preserve"> 2013;8(1):53–58. Available at </w:t>
      </w:r>
      <w:r w:rsidR="001047AB" w:rsidRPr="001D6AC9">
        <w:rPr>
          <w:rFonts w:ascii="Calibri" w:eastAsia="Calibri" w:hAnsi="Calibri" w:cs="Calibri"/>
          <w:lang w:val="en-GB"/>
        </w:rPr>
        <w:t>http://www.ncbi.nlm.nih.gov/pmc/articles/PMC3749764/pdf/maed-08-53.pdf</w:t>
      </w:r>
      <w:r>
        <w:rPr>
          <w:rFonts w:ascii="Calibri" w:eastAsia="Calibri" w:hAnsi="Calibri" w:cs="Calibri"/>
          <w:color w:val="000000"/>
          <w:lang w:val="en-GB"/>
        </w:rPr>
        <w:t xml:space="preserve"> </w:t>
      </w:r>
    </w:p>
    <w:p w14:paraId="74220F19"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 xml:space="preserve">Public Health England. Tuberculosis: the green book, chapter 32. In: </w:t>
      </w:r>
      <w:r>
        <w:rPr>
          <w:rFonts w:ascii="Calibri" w:eastAsia="Calibri" w:hAnsi="Calibri" w:cs="Calibri"/>
          <w:i/>
          <w:iCs/>
          <w:color w:val="000000"/>
          <w:lang w:val="en-GB"/>
        </w:rPr>
        <w:t xml:space="preserve">Immunisation against infectious disease. </w:t>
      </w:r>
      <w:r>
        <w:rPr>
          <w:rFonts w:ascii="Calibri" w:eastAsia="Calibri" w:hAnsi="Calibri" w:cs="Calibri"/>
          <w:color w:val="000000"/>
          <w:lang w:val="en-GB"/>
        </w:rPr>
        <w:t>London: Department of Health; 2013. p. 394.</w:t>
      </w:r>
    </w:p>
    <w:p w14:paraId="59AA3AD3" w14:textId="77777777" w:rsidR="00222B5B" w:rsidRDefault="00222B5B" w:rsidP="00222B5B">
      <w:pPr>
        <w:numPr>
          <w:ilvl w:val="0"/>
          <w:numId w:val="49"/>
        </w:numPr>
        <w:autoSpaceDE w:val="0"/>
        <w:autoSpaceDN w:val="0"/>
        <w:adjustRightInd w:val="0"/>
        <w:spacing w:after="170" w:line="288" w:lineRule="auto"/>
        <w:ind w:left="567" w:hanging="567"/>
        <w:textAlignment w:val="center"/>
        <w:divId w:val="2110732990"/>
        <w:rPr>
          <w:rFonts w:ascii="Calibri" w:eastAsia="Calibri" w:hAnsi="Calibri" w:cs="Calibri"/>
          <w:color w:val="000000"/>
          <w:lang w:val="en-GB"/>
        </w:rPr>
      </w:pPr>
      <w:r>
        <w:rPr>
          <w:rFonts w:ascii="Calibri" w:eastAsia="Calibri" w:hAnsi="Calibri" w:cs="Calibri"/>
          <w:color w:val="000000"/>
          <w:lang w:val="en-GB"/>
        </w:rPr>
        <w:t>National Tuberculosis Advisory Committee. The BCG vaccine: Information and recommendations for use in Australia</w:t>
      </w:r>
      <w:r>
        <w:rPr>
          <w:rFonts w:ascii="Calibri" w:eastAsia="Calibri" w:hAnsi="Calibri" w:cs="Calibri"/>
          <w:i/>
          <w:iCs/>
          <w:color w:val="000000"/>
          <w:lang w:val="en-GB"/>
        </w:rPr>
        <w:t>.</w:t>
      </w:r>
      <w:r>
        <w:rPr>
          <w:rFonts w:ascii="Calibri" w:eastAsia="Calibri" w:hAnsi="Calibri" w:cs="Calibri"/>
          <w:color w:val="000000"/>
          <w:lang w:val="en-GB"/>
        </w:rPr>
        <w:t xml:space="preserve"> </w:t>
      </w:r>
      <w:r>
        <w:rPr>
          <w:rFonts w:ascii="Calibri" w:eastAsia="Calibri" w:hAnsi="Calibri" w:cs="Calibri"/>
          <w:i/>
          <w:iCs/>
          <w:color w:val="000000"/>
          <w:lang w:val="en-GB"/>
        </w:rPr>
        <w:t>Commun Dis Intell</w:t>
      </w:r>
      <w:r>
        <w:rPr>
          <w:rFonts w:ascii="Calibri" w:eastAsia="Calibri" w:hAnsi="Calibri" w:cs="Calibri"/>
          <w:color w:val="000000"/>
          <w:lang w:val="en-GB"/>
        </w:rPr>
        <w:t xml:space="preserve"> 2013;37(1</w:t>
      </w:r>
      <w:proofErr w:type="gramStart"/>
      <w:r>
        <w:rPr>
          <w:rFonts w:ascii="Calibri" w:eastAsia="Calibri" w:hAnsi="Calibri" w:cs="Calibri"/>
          <w:color w:val="000000"/>
          <w:lang w:val="en-GB"/>
        </w:rPr>
        <w:t>):E</w:t>
      </w:r>
      <w:proofErr w:type="gramEnd"/>
      <w:r>
        <w:rPr>
          <w:rFonts w:ascii="Calibri" w:eastAsia="Calibri" w:hAnsi="Calibri" w:cs="Calibri"/>
          <w:color w:val="000000"/>
          <w:lang w:val="en-GB"/>
        </w:rPr>
        <w:t xml:space="preserve">65–E72. </w:t>
      </w:r>
    </w:p>
    <w:p w14:paraId="729F9D85" w14:textId="318F3A6B" w:rsidR="001E51F1" w:rsidRDefault="00222B5B" w:rsidP="001E51F1">
      <w:pPr>
        <w:numPr>
          <w:ilvl w:val="0"/>
          <w:numId w:val="49"/>
        </w:numPr>
        <w:ind w:left="567" w:hanging="567"/>
        <w:contextualSpacing/>
        <w:divId w:val="2110732990"/>
        <w:rPr>
          <w:rFonts w:ascii="Calibri" w:eastAsia="Times New Roman" w:hAnsi="Calibri" w:cs="Calibri"/>
        </w:rPr>
      </w:pPr>
      <w:r>
        <w:rPr>
          <w:rFonts w:ascii="Calibri" w:eastAsia="Times New Roman" w:hAnsi="Calibri" w:cs="Calibri"/>
        </w:rPr>
        <w:t xml:space="preserve">Australian Government Department of Health. Tuberculosis notifications in Australia annual reports. 2014. Accessed on 2 November 2016. Available at: </w:t>
      </w:r>
      <w:hyperlink r:id="rId184" w:tooltip="http://www.health.gov.au/internet/main/publishing.nsf/Content/cda-pubs-annlrpt-tbannrep.htm" w:history="1">
        <w:r w:rsidR="001047AB" w:rsidRPr="009928CF">
          <w:rPr>
            <w:rStyle w:val="Hyperlink"/>
          </w:rPr>
          <w:t>http://www.health.gov.au/internet/main/publishing.nsf/Content/cda-pubs-annlrpt-tbannrep.htm</w:t>
        </w:r>
      </w:hyperlink>
    </w:p>
    <w:p w14:paraId="706AF498" w14:textId="77777777" w:rsidR="001E51F1" w:rsidRDefault="001E51F1" w:rsidP="001E51F1">
      <w:pPr>
        <w:numPr>
          <w:ilvl w:val="0"/>
          <w:numId w:val="49"/>
        </w:numPr>
        <w:ind w:left="567" w:hanging="567"/>
        <w:contextualSpacing/>
        <w:divId w:val="2110732990"/>
        <w:rPr>
          <w:rFonts w:ascii="Calibri" w:eastAsia="Times New Roman" w:hAnsi="Calibri" w:cs="Calibri"/>
        </w:rPr>
      </w:pPr>
      <w:r w:rsidRPr="001E51F1">
        <w:rPr>
          <w:rFonts w:ascii="Calibri" w:eastAsia="Times New Roman" w:hAnsi="Calibri" w:cs="Calibri"/>
        </w:rPr>
        <w:t xml:space="preserve">Zika virus outbreak on Yap Island, Federated States of </w:t>
      </w:r>
      <w:proofErr w:type="spellStart"/>
      <w:r w:rsidRPr="001E51F1">
        <w:rPr>
          <w:rFonts w:ascii="Calibri" w:eastAsia="Times New Roman" w:hAnsi="Calibri" w:cs="Calibri"/>
        </w:rPr>
        <w:t>Micronesia.Duffy</w:t>
      </w:r>
      <w:proofErr w:type="spellEnd"/>
      <w:r w:rsidRPr="001E51F1">
        <w:rPr>
          <w:rFonts w:ascii="Calibri" w:eastAsia="Times New Roman" w:hAnsi="Calibri" w:cs="Calibri"/>
        </w:rPr>
        <w:t xml:space="preserve"> MR1, Chen TH, Hancock WT, Powers AM, Kool JL, </w:t>
      </w:r>
      <w:proofErr w:type="spellStart"/>
      <w:r w:rsidRPr="001E51F1">
        <w:rPr>
          <w:rFonts w:ascii="Calibri" w:eastAsia="Times New Roman" w:hAnsi="Calibri" w:cs="Calibri"/>
        </w:rPr>
        <w:t>Lanciotti</w:t>
      </w:r>
      <w:proofErr w:type="spellEnd"/>
      <w:r w:rsidRPr="001E51F1">
        <w:rPr>
          <w:rFonts w:ascii="Calibri" w:eastAsia="Times New Roman" w:hAnsi="Calibri" w:cs="Calibri"/>
        </w:rPr>
        <w:t xml:space="preserve"> RS, </w:t>
      </w:r>
      <w:proofErr w:type="spellStart"/>
      <w:r w:rsidRPr="001E51F1">
        <w:rPr>
          <w:rFonts w:ascii="Calibri" w:eastAsia="Times New Roman" w:hAnsi="Calibri" w:cs="Calibri"/>
        </w:rPr>
        <w:t>Pretrick</w:t>
      </w:r>
      <w:proofErr w:type="spellEnd"/>
      <w:r w:rsidRPr="001E51F1">
        <w:rPr>
          <w:rFonts w:ascii="Calibri" w:eastAsia="Times New Roman" w:hAnsi="Calibri" w:cs="Calibri"/>
        </w:rPr>
        <w:t xml:space="preserve"> M, </w:t>
      </w:r>
      <w:proofErr w:type="spellStart"/>
      <w:r w:rsidRPr="001E51F1">
        <w:rPr>
          <w:rFonts w:ascii="Calibri" w:eastAsia="Times New Roman" w:hAnsi="Calibri" w:cs="Calibri"/>
        </w:rPr>
        <w:t>Marfel</w:t>
      </w:r>
      <w:proofErr w:type="spellEnd"/>
      <w:r w:rsidRPr="001E51F1">
        <w:rPr>
          <w:rFonts w:ascii="Calibri" w:eastAsia="Times New Roman" w:hAnsi="Calibri" w:cs="Calibri"/>
        </w:rPr>
        <w:t xml:space="preserve"> M, </w:t>
      </w:r>
      <w:proofErr w:type="spellStart"/>
      <w:r w:rsidRPr="001E51F1">
        <w:rPr>
          <w:rFonts w:ascii="Calibri" w:eastAsia="Times New Roman" w:hAnsi="Calibri" w:cs="Calibri"/>
        </w:rPr>
        <w:t>Holzbauer</w:t>
      </w:r>
      <w:proofErr w:type="spellEnd"/>
      <w:r w:rsidRPr="001E51F1">
        <w:rPr>
          <w:rFonts w:ascii="Calibri" w:eastAsia="Times New Roman" w:hAnsi="Calibri" w:cs="Calibri"/>
        </w:rPr>
        <w:t xml:space="preserve"> S, Dubray C, </w:t>
      </w:r>
      <w:proofErr w:type="spellStart"/>
      <w:r w:rsidRPr="001E51F1">
        <w:rPr>
          <w:rFonts w:ascii="Calibri" w:eastAsia="Times New Roman" w:hAnsi="Calibri" w:cs="Calibri"/>
        </w:rPr>
        <w:t>Guillaumot</w:t>
      </w:r>
      <w:proofErr w:type="spellEnd"/>
      <w:r w:rsidRPr="001E51F1">
        <w:rPr>
          <w:rFonts w:ascii="Calibri" w:eastAsia="Times New Roman" w:hAnsi="Calibri" w:cs="Calibri"/>
        </w:rPr>
        <w:t xml:space="preserve"> L, Griggs A, Bel M, Lambert AJ, </w:t>
      </w:r>
      <w:proofErr w:type="spellStart"/>
      <w:r w:rsidRPr="001E51F1">
        <w:rPr>
          <w:rFonts w:ascii="Calibri" w:eastAsia="Times New Roman" w:hAnsi="Calibri" w:cs="Calibri"/>
        </w:rPr>
        <w:t>Laven</w:t>
      </w:r>
      <w:proofErr w:type="spellEnd"/>
      <w:r w:rsidRPr="001E51F1">
        <w:rPr>
          <w:rFonts w:ascii="Calibri" w:eastAsia="Times New Roman" w:hAnsi="Calibri" w:cs="Calibri"/>
        </w:rPr>
        <w:t xml:space="preserve"> J, </w:t>
      </w:r>
      <w:proofErr w:type="spellStart"/>
      <w:r w:rsidRPr="001E51F1">
        <w:rPr>
          <w:rFonts w:ascii="Calibri" w:eastAsia="Times New Roman" w:hAnsi="Calibri" w:cs="Calibri"/>
        </w:rPr>
        <w:t>Kosoy</w:t>
      </w:r>
      <w:proofErr w:type="spellEnd"/>
      <w:r w:rsidRPr="001E51F1">
        <w:rPr>
          <w:rFonts w:ascii="Calibri" w:eastAsia="Times New Roman" w:hAnsi="Calibri" w:cs="Calibri"/>
        </w:rPr>
        <w:t xml:space="preserve"> O, </w:t>
      </w:r>
      <w:proofErr w:type="spellStart"/>
      <w:r w:rsidRPr="001E51F1">
        <w:rPr>
          <w:rFonts w:ascii="Calibri" w:eastAsia="Times New Roman" w:hAnsi="Calibri" w:cs="Calibri"/>
        </w:rPr>
        <w:t>Panella</w:t>
      </w:r>
      <w:proofErr w:type="spellEnd"/>
      <w:r w:rsidRPr="001E51F1">
        <w:rPr>
          <w:rFonts w:ascii="Calibri" w:eastAsia="Times New Roman" w:hAnsi="Calibri" w:cs="Calibri"/>
        </w:rPr>
        <w:t xml:space="preserve"> A, Biggerstaff BJ, Fischer M, Hayes EB.N Engl J Med. 2009 Jun 11;360(24):2536-43. doi: 10.1056/NEJMoa0805715.</w:t>
      </w:r>
    </w:p>
    <w:p w14:paraId="52366008" w14:textId="33FAD744" w:rsidR="001E51F1" w:rsidRPr="001E51F1" w:rsidRDefault="001E51F1" w:rsidP="001E51F1">
      <w:pPr>
        <w:numPr>
          <w:ilvl w:val="0"/>
          <w:numId w:val="49"/>
        </w:numPr>
        <w:ind w:left="567" w:hanging="567"/>
        <w:contextualSpacing/>
        <w:divId w:val="2110732990"/>
        <w:rPr>
          <w:rFonts w:ascii="Calibri" w:eastAsia="Times New Roman" w:hAnsi="Calibri" w:cs="Calibri"/>
        </w:rPr>
      </w:pPr>
      <w:r w:rsidRPr="001E51F1">
        <w:rPr>
          <w:rFonts w:ascii="Calibri" w:eastAsia="Times New Roman" w:hAnsi="Calibri" w:cs="Calibri"/>
        </w:rPr>
        <w:t xml:space="preserve">Concurrent outbreaks of dengue, chikungunya and Zika virus infections – an unprecedented epidemic wave of mosquito-borne viruses in the Pacific 2012–2014 Roth, A and Mercier, A and Lepers, C and Hoy, D and </w:t>
      </w:r>
      <w:proofErr w:type="spellStart"/>
      <w:r w:rsidRPr="001E51F1">
        <w:rPr>
          <w:rFonts w:ascii="Calibri" w:eastAsia="Times New Roman" w:hAnsi="Calibri" w:cs="Calibri"/>
        </w:rPr>
        <w:t>Duituturaga</w:t>
      </w:r>
      <w:proofErr w:type="spellEnd"/>
      <w:r w:rsidRPr="001E51F1">
        <w:rPr>
          <w:rFonts w:ascii="Calibri" w:eastAsia="Times New Roman" w:hAnsi="Calibri" w:cs="Calibri"/>
        </w:rPr>
        <w:t xml:space="preserve">, S and </w:t>
      </w:r>
      <w:proofErr w:type="spellStart"/>
      <w:r w:rsidRPr="001E51F1">
        <w:rPr>
          <w:rFonts w:ascii="Calibri" w:eastAsia="Times New Roman" w:hAnsi="Calibri" w:cs="Calibri"/>
        </w:rPr>
        <w:t>Benyon</w:t>
      </w:r>
      <w:proofErr w:type="spellEnd"/>
      <w:r w:rsidRPr="001E51F1">
        <w:rPr>
          <w:rFonts w:ascii="Calibri" w:eastAsia="Times New Roman" w:hAnsi="Calibri" w:cs="Calibri"/>
        </w:rPr>
        <w:t xml:space="preserve">, E and </w:t>
      </w:r>
      <w:proofErr w:type="spellStart"/>
      <w:r w:rsidRPr="001E51F1">
        <w:rPr>
          <w:rFonts w:ascii="Calibri" w:eastAsia="Times New Roman" w:hAnsi="Calibri" w:cs="Calibri"/>
        </w:rPr>
        <w:t>Guillaumot</w:t>
      </w:r>
      <w:proofErr w:type="spellEnd"/>
      <w:r w:rsidRPr="001E51F1">
        <w:rPr>
          <w:rFonts w:ascii="Calibri" w:eastAsia="Times New Roman" w:hAnsi="Calibri" w:cs="Calibri"/>
        </w:rPr>
        <w:t xml:space="preserve">, L and </w:t>
      </w:r>
      <w:proofErr w:type="spellStart"/>
      <w:r w:rsidRPr="001E51F1">
        <w:rPr>
          <w:rFonts w:ascii="Calibri" w:eastAsia="Times New Roman" w:hAnsi="Calibri" w:cs="Calibri"/>
        </w:rPr>
        <w:t>Souarès</w:t>
      </w:r>
      <w:proofErr w:type="spellEnd"/>
      <w:r w:rsidRPr="001E51F1">
        <w:rPr>
          <w:rFonts w:ascii="Calibri" w:eastAsia="Times New Roman" w:hAnsi="Calibri" w:cs="Calibri"/>
        </w:rPr>
        <w:t xml:space="preserve">, Y, Eurosurveillance, 19, 20929 (2014), </w:t>
      </w:r>
      <w:hyperlink r:id="rId185" w:tooltip="https://doi.org/10.2807/1560-7917.ES2014.19.41.20929" w:history="1">
        <w:r w:rsidR="001047AB" w:rsidRPr="009928CF">
          <w:rPr>
            <w:rStyle w:val="Hyperlink"/>
            <w:rFonts w:ascii="Calibri" w:eastAsia="Times New Roman" w:hAnsi="Calibri" w:cs="Calibri"/>
          </w:rPr>
          <w:t>https://doi.org/10.2807/1560-7917.ES2014.19.41.20929</w:t>
        </w:r>
      </w:hyperlink>
    </w:p>
    <w:p w14:paraId="0B0EF3A4" w14:textId="77777777" w:rsidR="00C759E2" w:rsidRDefault="00C759E2" w:rsidP="00AE2F1B">
      <w:pPr>
        <w:rPr>
          <w:rStyle w:val="A10"/>
        </w:rPr>
        <w:sectPr w:rsidR="00C759E2" w:rsidSect="000B5123">
          <w:pgSz w:w="11906" w:h="16838"/>
          <w:pgMar w:top="720" w:right="720" w:bottom="1134" w:left="720" w:header="709" w:footer="284" w:gutter="0"/>
          <w:cols w:space="708"/>
          <w:titlePg/>
          <w:docGrid w:linePitch="360"/>
        </w:sectPr>
      </w:pPr>
    </w:p>
    <w:p w14:paraId="57A5A129" w14:textId="77777777" w:rsidR="00F44FDA" w:rsidRPr="000606CC" w:rsidRDefault="00F44FDA" w:rsidP="00F44FDA">
      <w:pPr>
        <w:pStyle w:val="NoSpacing"/>
        <w:rPr>
          <w:rFonts w:cstheme="minorHAnsi"/>
          <w:sz w:val="18"/>
          <w:szCs w:val="18"/>
        </w:rPr>
      </w:pPr>
      <w:r w:rsidRPr="000606CC">
        <w:rPr>
          <w:rStyle w:val="Strong"/>
          <w:bCs w:val="0"/>
          <w:sz w:val="20"/>
        </w:rPr>
        <w:lastRenderedPageBreak/>
        <w:t>Communicable Diseases Intelligence</w:t>
      </w:r>
    </w:p>
    <w:p w14:paraId="08247FC9" w14:textId="77777777" w:rsidR="00F44FDA" w:rsidRPr="000606CC" w:rsidRDefault="00F44FDA" w:rsidP="00F44FDA">
      <w:pPr>
        <w:pStyle w:val="NoSpacing"/>
        <w:rPr>
          <w:rFonts w:cstheme="minorHAnsi"/>
          <w:sz w:val="20"/>
          <w:szCs w:val="18"/>
        </w:rPr>
      </w:pPr>
      <w:r w:rsidRPr="000606CC">
        <w:rPr>
          <w:rFonts w:cstheme="minorHAnsi"/>
          <w:sz w:val="20"/>
          <w:szCs w:val="18"/>
        </w:rPr>
        <w:t>ISSN: 2209-6051 Online</w:t>
      </w:r>
    </w:p>
    <w:p w14:paraId="7B46E5FB" w14:textId="77777777" w:rsidR="00F44FDA" w:rsidRDefault="00F44FDA" w:rsidP="00F44FDA">
      <w:pPr>
        <w:pStyle w:val="NoSpacing"/>
        <w:rPr>
          <w:rStyle w:val="Strong"/>
          <w:rFonts w:cs="Calibri"/>
          <w:b w:val="0"/>
          <w:bCs w:val="0"/>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69F1D594" w14:textId="77777777" w:rsidR="00F9725D" w:rsidRPr="000606CC" w:rsidRDefault="00F9725D" w:rsidP="00F44FDA">
      <w:pPr>
        <w:pStyle w:val="NoSpacing"/>
        <w:rPr>
          <w:rStyle w:val="Strong"/>
          <w:rFonts w:cs="Calibri"/>
          <w:sz w:val="20"/>
          <w:szCs w:val="18"/>
        </w:rPr>
      </w:pPr>
    </w:p>
    <w:p w14:paraId="7D9B714B" w14:textId="77777777" w:rsidR="00F44FDA" w:rsidRPr="000606CC" w:rsidRDefault="00F44FDA" w:rsidP="00F44FDA">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4F5644FA" w14:textId="77777777" w:rsidR="00F44FDA" w:rsidRPr="000606CC" w:rsidRDefault="00F44FDA" w:rsidP="00F44FDA">
      <w:pPr>
        <w:pStyle w:val="NoSpacing"/>
        <w:rPr>
          <w:rFonts w:cstheme="minorHAnsi"/>
          <w:sz w:val="20"/>
          <w:szCs w:val="18"/>
        </w:rPr>
      </w:pPr>
      <w:r w:rsidRPr="000606CC">
        <w:rPr>
          <w:rStyle w:val="Strong"/>
          <w:rFonts w:cstheme="minorHAnsi"/>
          <w:sz w:val="20"/>
          <w:szCs w:val="18"/>
        </w:rPr>
        <w:t xml:space="preserve">Deputy Editor: </w:t>
      </w:r>
      <w:r w:rsidRPr="000606CC">
        <w:rPr>
          <w:rFonts w:cstheme="minorHAnsi"/>
          <w:sz w:val="20"/>
          <w:szCs w:val="18"/>
        </w:rPr>
        <w:t>Phil Wright</w:t>
      </w:r>
    </w:p>
    <w:p w14:paraId="3BA1190A" w14:textId="77777777" w:rsidR="00F44FDA" w:rsidRPr="000606CC" w:rsidRDefault="00F44FDA" w:rsidP="00F44FDA">
      <w:pPr>
        <w:pStyle w:val="NoSpacing"/>
        <w:rPr>
          <w:rFonts w:cstheme="minorHAnsi"/>
          <w:sz w:val="20"/>
          <w:szCs w:val="18"/>
        </w:rPr>
      </w:pPr>
      <w:r w:rsidRPr="000606CC">
        <w:rPr>
          <w:rStyle w:val="Strong"/>
          <w:rFonts w:cstheme="minorHAnsi"/>
          <w:sz w:val="20"/>
          <w:szCs w:val="18"/>
        </w:rPr>
        <w:t xml:space="preserve">Editorial and Production Staff: </w:t>
      </w:r>
      <w:r w:rsidRPr="000606CC">
        <w:rPr>
          <w:rFonts w:cstheme="minorHAnsi"/>
          <w:sz w:val="20"/>
          <w:szCs w:val="18"/>
        </w:rPr>
        <w:t>Leroy Trapani and Kasra Yousefi</w:t>
      </w:r>
    </w:p>
    <w:p w14:paraId="2E4A75E4" w14:textId="77777777" w:rsidR="00F44FDA" w:rsidRPr="000606CC" w:rsidRDefault="00F44FDA" w:rsidP="00F44FDA">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Pr="000606CC">
        <w:rPr>
          <w:rFonts w:cstheme="minorHAnsi"/>
          <w:sz w:val="20"/>
          <w:szCs w:val="18"/>
        </w:rPr>
        <w:t xml:space="preserve">, John Kaldor and </w:t>
      </w:r>
      <w:r w:rsidRPr="000606CC">
        <w:rPr>
          <w:rStyle w:val="nobreak"/>
          <w:rFonts w:cstheme="minorHAnsi"/>
          <w:sz w:val="20"/>
          <w:szCs w:val="18"/>
        </w:rPr>
        <w:t>Martyn Kirk</w:t>
      </w:r>
    </w:p>
    <w:p w14:paraId="79997CD3" w14:textId="77777777" w:rsidR="00F44FDA" w:rsidRPr="000606CC" w:rsidRDefault="00F44FDA" w:rsidP="00F44FDA">
      <w:pPr>
        <w:pStyle w:val="NoSpacing"/>
        <w:rPr>
          <w:rStyle w:val="Strong"/>
          <w:rFonts w:cstheme="minorHAnsi"/>
          <w:sz w:val="20"/>
          <w:szCs w:val="18"/>
        </w:rPr>
      </w:pPr>
    </w:p>
    <w:p w14:paraId="1056920E" w14:textId="7B4D9CE9" w:rsidR="00F44FDA" w:rsidRPr="000606CC" w:rsidRDefault="00F44FDA" w:rsidP="00F44FDA">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86"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642DF009" w14:textId="77777777" w:rsidR="00F9725D" w:rsidRDefault="00F9725D" w:rsidP="00F44FDA">
      <w:pPr>
        <w:pStyle w:val="NoSpacing"/>
        <w:rPr>
          <w:rStyle w:val="Strong"/>
          <w:rFonts w:cstheme="minorHAnsi"/>
          <w:sz w:val="20"/>
          <w:szCs w:val="18"/>
        </w:rPr>
      </w:pPr>
    </w:p>
    <w:p w14:paraId="515E7803" w14:textId="77777777" w:rsidR="00F44FDA" w:rsidRPr="000606CC" w:rsidRDefault="00F44FDA" w:rsidP="00F44FDA">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302EF6C3" w14:textId="77777777" w:rsidR="00F44FDA" w:rsidRPr="000606CC" w:rsidRDefault="00F44FDA" w:rsidP="00F44FDA">
      <w:pPr>
        <w:pStyle w:val="NoSpacing"/>
        <w:rPr>
          <w:rStyle w:val="Strong"/>
          <w:rFonts w:cstheme="minorHAnsi"/>
          <w:sz w:val="20"/>
          <w:szCs w:val="18"/>
        </w:rPr>
      </w:pPr>
    </w:p>
    <w:p w14:paraId="14BD715B" w14:textId="0AA4C316" w:rsidR="00F44FDA" w:rsidRPr="000606CC" w:rsidRDefault="00F44FDA" w:rsidP="00F44FDA">
      <w:pPr>
        <w:pStyle w:val="NoSpacing"/>
        <w:rPr>
          <w:rStyle w:val="URI"/>
          <w:rFonts w:cstheme="minorHAnsi"/>
          <w:sz w:val="20"/>
          <w:szCs w:val="18"/>
        </w:rPr>
      </w:pPr>
      <w:r w:rsidRPr="000606CC">
        <w:rPr>
          <w:rStyle w:val="Strong"/>
          <w:rFonts w:cstheme="minorHAnsi"/>
          <w:sz w:val="20"/>
          <w:szCs w:val="18"/>
        </w:rPr>
        <w:t xml:space="preserve">Email: </w:t>
      </w:r>
      <w:hyperlink r:id="rId187"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42B273B8" w14:textId="77777777" w:rsidR="00F9725D" w:rsidRDefault="00F9725D" w:rsidP="00F44FDA">
      <w:pPr>
        <w:pStyle w:val="NoSpacing"/>
        <w:rPr>
          <w:rStyle w:val="Strong"/>
          <w:rFonts w:cstheme="minorHAnsi"/>
          <w:sz w:val="20"/>
          <w:szCs w:val="18"/>
        </w:rPr>
      </w:pPr>
    </w:p>
    <w:p w14:paraId="530E3482" w14:textId="5A369F4F" w:rsidR="00F44FDA" w:rsidRPr="000606CC" w:rsidRDefault="00F44FDA" w:rsidP="00F44FDA">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88"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630130D2" w14:textId="5D612DC9" w:rsidR="00F44FDA" w:rsidRPr="000606CC" w:rsidRDefault="00F44FDA" w:rsidP="00F44FDA">
      <w:pPr>
        <w:pStyle w:val="NoSpacing"/>
        <w:rPr>
          <w:rFonts w:cstheme="minorHAnsi"/>
          <w:sz w:val="20"/>
          <w:szCs w:val="18"/>
        </w:rPr>
      </w:pPr>
      <w:r w:rsidRPr="000606CC">
        <w:rPr>
          <w:rFonts w:cstheme="minorHAnsi"/>
          <w:sz w:val="20"/>
          <w:szCs w:val="18"/>
        </w:rPr>
        <w:t xml:space="preserve">Further enquiries should be directed to: </w:t>
      </w:r>
      <w:hyperlink r:id="rId189" w:history="1">
        <w:r w:rsidRPr="000606CC">
          <w:rPr>
            <w:rStyle w:val="Hyperlink"/>
            <w:rFonts w:cstheme="minorHAnsi"/>
            <w:sz w:val="20"/>
            <w:szCs w:val="18"/>
          </w:rPr>
          <w:t>cdi.editor@health.gov.au</w:t>
        </w:r>
      </w:hyperlink>
      <w:r w:rsidRPr="000606CC">
        <w:rPr>
          <w:rFonts w:cstheme="minorHAnsi"/>
          <w:sz w:val="20"/>
          <w:szCs w:val="18"/>
        </w:rPr>
        <w:t>.</w:t>
      </w:r>
    </w:p>
    <w:p w14:paraId="3FBAE113" w14:textId="77777777" w:rsidR="00F44FDA" w:rsidRPr="000606CC" w:rsidRDefault="00F44FDA" w:rsidP="00F44FDA">
      <w:pPr>
        <w:pStyle w:val="NoSpacing"/>
        <w:rPr>
          <w:rFonts w:cstheme="minorHAnsi"/>
          <w:sz w:val="20"/>
          <w:szCs w:val="18"/>
        </w:rPr>
      </w:pPr>
    </w:p>
    <w:p w14:paraId="7F59683F" w14:textId="77777777" w:rsidR="00F44FDA" w:rsidRPr="000606CC" w:rsidRDefault="00F44FDA" w:rsidP="00F44FDA">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24012AA1" w14:textId="77777777" w:rsidR="00F44FDA" w:rsidRPr="000606CC" w:rsidRDefault="00F44FDA" w:rsidP="00F44FDA">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5BCD3223" w14:textId="77777777" w:rsidR="00F44FDA" w:rsidRPr="000606CC" w:rsidRDefault="00F44FDA" w:rsidP="00F44FDA">
      <w:pPr>
        <w:pStyle w:val="NoSpacing"/>
        <w:rPr>
          <w:rFonts w:cstheme="minorHAnsi"/>
          <w:sz w:val="20"/>
          <w:szCs w:val="18"/>
        </w:rPr>
      </w:pPr>
      <w:r w:rsidRPr="000606CC">
        <w:rPr>
          <w:rFonts w:cstheme="minorHAnsi"/>
          <w:sz w:val="20"/>
          <w:szCs w:val="18"/>
        </w:rPr>
        <w:t>© 2019 Commonwealth of Australia as represented by the Department of Health</w:t>
      </w:r>
    </w:p>
    <w:p w14:paraId="6A0945C6" w14:textId="1FD78CA6" w:rsidR="00F44FDA" w:rsidRPr="000606CC" w:rsidRDefault="00F44FDA" w:rsidP="00F44FDA">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90"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00C6ADB3" w14:textId="77777777" w:rsidR="00F9725D" w:rsidRDefault="00F9725D" w:rsidP="00F44FDA">
      <w:pPr>
        <w:pStyle w:val="NoSpacing"/>
        <w:rPr>
          <w:rStyle w:val="Strong"/>
          <w:rFonts w:cstheme="minorHAnsi"/>
          <w:sz w:val="20"/>
          <w:szCs w:val="18"/>
        </w:rPr>
      </w:pPr>
    </w:p>
    <w:p w14:paraId="61026DAA" w14:textId="77777777" w:rsidR="00F44FDA" w:rsidRPr="000606CC" w:rsidRDefault="00F44FDA" w:rsidP="00F44FDA">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 xml:space="preserve">The Licence does not cover, and there is no permission given for, use of any of the following material found in this publication (if any): </w:t>
      </w:r>
    </w:p>
    <w:p w14:paraId="3535F118" w14:textId="2BABF677" w:rsidR="00F44FDA" w:rsidRPr="000606CC" w:rsidRDefault="00F44FDA" w:rsidP="00F44FDA">
      <w:pPr>
        <w:pStyle w:val="NoSpacing"/>
        <w:numPr>
          <w:ilvl w:val="0"/>
          <w:numId w:val="1"/>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91"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716EFEF5" w14:textId="77777777" w:rsidR="00F44FDA" w:rsidRPr="000606CC" w:rsidRDefault="00F44FDA" w:rsidP="00F44FDA">
      <w:pPr>
        <w:pStyle w:val="NoSpacing"/>
        <w:numPr>
          <w:ilvl w:val="0"/>
          <w:numId w:val="1"/>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4A37E3A8" w14:textId="77777777" w:rsidR="00F44FDA" w:rsidRPr="000606CC" w:rsidRDefault="00F44FDA" w:rsidP="00F44FDA">
      <w:pPr>
        <w:pStyle w:val="NoSpacing"/>
        <w:numPr>
          <w:ilvl w:val="0"/>
          <w:numId w:val="1"/>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5D25782D" w14:textId="77777777" w:rsidR="00F44FDA" w:rsidRPr="000606CC" w:rsidRDefault="00F44FDA" w:rsidP="00F44FDA">
      <w:pPr>
        <w:pStyle w:val="NoSpacing"/>
        <w:numPr>
          <w:ilvl w:val="0"/>
          <w:numId w:val="1"/>
        </w:numPr>
        <w:rPr>
          <w:rFonts w:cstheme="minorHAnsi"/>
          <w:sz w:val="20"/>
          <w:szCs w:val="18"/>
        </w:rPr>
      </w:pPr>
      <w:r w:rsidRPr="000606CC">
        <w:rPr>
          <w:rFonts w:cstheme="minorHAnsi"/>
          <w:sz w:val="20"/>
          <w:szCs w:val="18"/>
        </w:rPr>
        <w:t>any signatures; and</w:t>
      </w:r>
    </w:p>
    <w:p w14:paraId="01802F84" w14:textId="77777777" w:rsidR="00F44FDA" w:rsidRPr="000606CC" w:rsidRDefault="00F44FDA" w:rsidP="00F44FDA">
      <w:pPr>
        <w:pStyle w:val="NoSpacing"/>
        <w:numPr>
          <w:ilvl w:val="0"/>
          <w:numId w:val="1"/>
        </w:numPr>
        <w:rPr>
          <w:rFonts w:cstheme="minorHAnsi"/>
          <w:sz w:val="20"/>
          <w:szCs w:val="18"/>
        </w:rPr>
      </w:pPr>
      <w:r w:rsidRPr="000606CC">
        <w:rPr>
          <w:rFonts w:cstheme="minorHAnsi"/>
          <w:sz w:val="20"/>
          <w:szCs w:val="18"/>
        </w:rPr>
        <w:t xml:space="preserve">any material belonging to third parties. </w:t>
      </w:r>
    </w:p>
    <w:p w14:paraId="2DAB9446" w14:textId="77777777" w:rsidR="00F44FDA" w:rsidRPr="000606CC" w:rsidRDefault="00F44FDA" w:rsidP="00F44FDA">
      <w:pPr>
        <w:pStyle w:val="NoSpacing"/>
        <w:rPr>
          <w:rStyle w:val="Strong"/>
          <w:rFonts w:cstheme="minorHAnsi"/>
          <w:sz w:val="20"/>
          <w:szCs w:val="18"/>
        </w:rPr>
      </w:pPr>
    </w:p>
    <w:p w14:paraId="2A64198C" w14:textId="77777777" w:rsidR="00F44FDA" w:rsidRPr="000606CC" w:rsidRDefault="00F44FDA" w:rsidP="00F44FDA">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5D34E636" w14:textId="77777777" w:rsidR="00F44FDA" w:rsidRPr="000606CC" w:rsidRDefault="00F44FDA" w:rsidP="00F44FDA">
      <w:pPr>
        <w:pStyle w:val="NoSpacing"/>
        <w:rPr>
          <w:rStyle w:val="Strong"/>
          <w:rFonts w:cstheme="minorHAnsi"/>
          <w:sz w:val="20"/>
          <w:szCs w:val="18"/>
        </w:rPr>
      </w:pPr>
    </w:p>
    <w:p w14:paraId="51709FB6" w14:textId="0C2E178D" w:rsidR="00F44FDA" w:rsidRPr="000606CC" w:rsidRDefault="00F44FDA" w:rsidP="00F44FDA">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92"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68ABF576" w14:textId="77777777" w:rsidR="00F44FDA" w:rsidRPr="000606CC" w:rsidRDefault="00F44FDA" w:rsidP="00F44FDA">
      <w:pPr>
        <w:pStyle w:val="NoSpacing"/>
        <w:rPr>
          <w:rStyle w:val="URI"/>
          <w:rFonts w:cstheme="minorHAnsi"/>
          <w:sz w:val="20"/>
          <w:szCs w:val="18"/>
        </w:rPr>
      </w:pPr>
    </w:p>
    <w:p w14:paraId="27F4A2BC" w14:textId="316C139D" w:rsidR="00F44FDA" w:rsidRPr="000606CC" w:rsidRDefault="00F44FDA" w:rsidP="00F44FDA">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3" w:tooltip="Communicable Diseases Network Australia website" w:history="1">
        <w:r w:rsidRPr="000606CC">
          <w:rPr>
            <w:rStyle w:val="Hyperlink"/>
            <w:rFonts w:cstheme="minorHAnsi"/>
            <w:sz w:val="20"/>
            <w:szCs w:val="18"/>
          </w:rPr>
          <w:t>http://www.health.gov.au/cdna</w:t>
        </w:r>
      </w:hyperlink>
    </w:p>
    <w:p w14:paraId="6F13CB3A" w14:textId="77777777" w:rsidR="001B37B8" w:rsidRPr="00E92237" w:rsidRDefault="001B37B8" w:rsidP="006B14B6">
      <w:pPr>
        <w:pStyle w:val="NoSpacing"/>
        <w:rPr>
          <w:rFonts w:cs="Myriad Pro"/>
          <w:noProof/>
          <w:color w:val="211D1E"/>
          <w:szCs w:val="20"/>
        </w:rPr>
      </w:pPr>
    </w:p>
    <w:sectPr w:rsidR="001B37B8" w:rsidRPr="00E92237" w:rsidSect="00297B3A">
      <w:headerReference w:type="first" r:id="rId194"/>
      <w:pgSz w:w="11906" w:h="16838"/>
      <w:pgMar w:top="720" w:right="720" w:bottom="1134" w:left="720"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13833" w14:textId="77777777" w:rsidR="008421B5" w:rsidRDefault="008421B5" w:rsidP="00E54DBA">
      <w:r>
        <w:separator/>
      </w:r>
    </w:p>
    <w:p w14:paraId="5CE5A5D9" w14:textId="77777777" w:rsidR="008421B5" w:rsidRDefault="008421B5"/>
    <w:p w14:paraId="7118698E" w14:textId="77777777" w:rsidR="008421B5" w:rsidRDefault="008421B5" w:rsidP="008714B0"/>
  </w:endnote>
  <w:endnote w:type="continuationSeparator" w:id="0">
    <w:p w14:paraId="361A703B" w14:textId="77777777" w:rsidR="008421B5" w:rsidRDefault="008421B5" w:rsidP="00E54DBA">
      <w:r>
        <w:continuationSeparator/>
      </w:r>
    </w:p>
    <w:p w14:paraId="2F505CB4" w14:textId="77777777" w:rsidR="008421B5" w:rsidRDefault="008421B5"/>
    <w:p w14:paraId="390133FE" w14:textId="77777777" w:rsidR="008421B5" w:rsidRDefault="008421B5"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Myriad Pro"/>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yriad Pro Light">
    <w:panose1 w:val="00000000000000000000"/>
    <w:charset w:val="00"/>
    <w:family w:val="swiss"/>
    <w:notTrueType/>
    <w:pitch w:val="variable"/>
    <w:sig w:usb0="20000287" w:usb1="00000001" w:usb2="00000000" w:usb3="00000000" w:csb0="0000019F" w:csb1="00000000"/>
  </w:font>
  <w:font w:name="Minion Pro">
    <w:altName w:val="Minion Pro"/>
    <w:panose1 w:val="02040503050306020203"/>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E5963" w14:textId="77777777" w:rsidR="008421B5" w:rsidRPr="0042435E" w:rsidRDefault="008421B5"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915A7">
      <w:rPr>
        <w:noProof/>
        <w:sz w:val="18"/>
      </w:rPr>
      <w:t>2</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A915A7">
      <w:rPr>
        <w:noProof/>
        <w:sz w:val="18"/>
      </w:rPr>
      <w:t>219</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FD0C41">
      <w:rPr>
        <w:b/>
        <w:sz w:val="18"/>
      </w:rPr>
      <w:t xml:space="preserve"> </w:t>
    </w:r>
    <w:r w:rsidRPr="00FD0C41">
      <w:rPr>
        <w:b/>
        <w:i/>
        <w:sz w:val="18"/>
      </w:rPr>
      <w:t>Commun Dis Intell (2018)</w:t>
    </w:r>
    <w:r w:rsidRPr="00FD0C41">
      <w:rPr>
        <w:b/>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https://doi.org/10.33321/cdi.2019.43.6</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Pr>
        <w:sz w:val="18"/>
      </w:rPr>
      <w:t>15/3/2019</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CDE0C" w14:textId="77777777" w:rsidR="008421B5" w:rsidRPr="00BB5378" w:rsidRDefault="008421B5" w:rsidP="00E538CC">
    <w:pPr>
      <w:pStyle w:val="Footer"/>
      <w:pBdr>
        <w:top w:val="single" w:sz="4" w:space="1" w:color="auto"/>
      </w:pBdr>
      <w:rPr>
        <w:sz w:val="18"/>
      </w:rPr>
    </w:pPr>
    <w:r w:rsidRPr="004B5D97">
      <w:rPr>
        <w:noProof/>
        <w:sz w:val="18"/>
      </w:rPr>
      <w:fldChar w:fldCharType="begin"/>
    </w:r>
    <w:r w:rsidRPr="004B5D97">
      <w:rPr>
        <w:noProof/>
        <w:sz w:val="18"/>
      </w:rPr>
      <w:instrText xml:space="preserve"> PAGE   \* MERGEFORMAT </w:instrText>
    </w:r>
    <w:r w:rsidRPr="004B5D97">
      <w:rPr>
        <w:noProof/>
        <w:sz w:val="18"/>
      </w:rPr>
      <w:fldChar w:fldCharType="separate"/>
    </w:r>
    <w:r w:rsidR="00A915A7">
      <w:rPr>
        <w:noProof/>
        <w:sz w:val="18"/>
      </w:rPr>
      <w:t>1</w:t>
    </w:r>
    <w:r w:rsidRPr="004B5D97">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A915A7">
      <w:rPr>
        <w:noProof/>
        <w:sz w:val="18"/>
      </w:rPr>
      <w:t>219</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FD0C41">
      <w:rPr>
        <w:b/>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https://doi.org/10.33321/cdi.2019.43.6</w:t>
    </w:r>
    <w:r>
      <w:rPr>
        <w:sz w:val="18"/>
      </w:rPr>
      <w:fldChar w:fldCharType="end"/>
    </w:r>
    <w:r>
      <w:rPr>
        <w:sz w:val="18"/>
      </w:rPr>
      <w:t xml:space="preserve"> </w:t>
    </w:r>
    <w:r w:rsidRPr="00155582">
      <w:rPr>
        <w:sz w:val="18"/>
      </w:rPr>
      <w:t xml:space="preserve">Epub </w:t>
    </w:r>
    <w:sdt>
      <w:sdtPr>
        <w:rPr>
          <w:sz w:val="18"/>
        </w:rPr>
        <w:alias w:val="Publish Date"/>
        <w:tag w:val=""/>
        <w:id w:val="214933666"/>
        <w:dataBinding w:prefixMappings="xmlns:ns0='http://schemas.microsoft.com/office/2006/coverPageProps' " w:xpath="/ns0:CoverPageProperties[1]/ns0:PublishDate[1]" w:storeItemID="{55AF091B-3C7A-41E3-B477-F2FDAA23CFDA}"/>
        <w:date w:fullDate="2019-03-15T00:00:00Z">
          <w:dateFormat w:val="d/MM/yyyy"/>
          <w:lid w:val="en-AU"/>
          <w:storeMappedDataAs w:val="dateTime"/>
          <w:calendar w:val="gregorian"/>
        </w:date>
      </w:sdtPr>
      <w:sdtEndPr/>
      <w:sdtContent>
        <w:r>
          <w:rPr>
            <w:sz w:val="18"/>
          </w:rPr>
          <w:t>15/03/2019</w:t>
        </w:r>
      </w:sdtContent>
    </w:sdt>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9E5ED" w14:textId="77777777" w:rsidR="008421B5" w:rsidRDefault="008421B5" w:rsidP="00E54DBA">
      <w:r>
        <w:separator/>
      </w:r>
    </w:p>
    <w:p w14:paraId="483667E6" w14:textId="77777777" w:rsidR="008421B5" w:rsidRDefault="008421B5"/>
    <w:p w14:paraId="6A3CC23D" w14:textId="77777777" w:rsidR="008421B5" w:rsidRDefault="008421B5" w:rsidP="008714B0"/>
  </w:footnote>
  <w:footnote w:type="continuationSeparator" w:id="0">
    <w:p w14:paraId="3A9233D1" w14:textId="77777777" w:rsidR="008421B5" w:rsidRDefault="008421B5" w:rsidP="00E54DBA">
      <w:r>
        <w:continuationSeparator/>
      </w:r>
    </w:p>
    <w:p w14:paraId="15DAAC66" w14:textId="77777777" w:rsidR="008421B5" w:rsidRDefault="008421B5"/>
    <w:p w14:paraId="011485DF" w14:textId="77777777" w:rsidR="008421B5" w:rsidRDefault="008421B5" w:rsidP="008714B0"/>
  </w:footnote>
  <w:footnote w:id="1">
    <w:p w14:paraId="4A510924" w14:textId="77777777" w:rsidR="008421B5" w:rsidRDefault="008421B5">
      <w:pPr>
        <w:pStyle w:val="FootnoteText"/>
      </w:pPr>
      <w:r>
        <w:rPr>
          <w:rStyle w:val="FootnoteReference"/>
        </w:rPr>
        <w:footnoteRef/>
      </w:r>
      <w:r>
        <w:t xml:space="preserve"> </w:t>
      </w:r>
      <w:r w:rsidRPr="00C31805">
        <w:t>R = Rough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0B599" w14:textId="77777777" w:rsidR="008421B5" w:rsidRPr="00F020BC" w:rsidRDefault="00EE2A70" w:rsidP="00F020BC">
    <w:pPr>
      <w:pStyle w:val="Header"/>
      <w:pBdr>
        <w:bottom w:val="single" w:sz="2" w:space="1" w:color="auto"/>
      </w:pBdr>
    </w:pPr>
    <w:sdt>
      <w:sdtPr>
        <w:alias w:val="Category"/>
        <w:tag w:val=""/>
        <w:id w:val="-310793835"/>
        <w:dataBinding w:prefixMappings="xmlns:ns0='http://purl.org/dc/elements/1.1/' xmlns:ns1='http://schemas.openxmlformats.org/package/2006/metadata/core-properties' " w:xpath="/ns1:coreProperties[1]/ns1:category[1]" w:storeItemID="{6C3C8BC8-F283-45AE-878A-BAB7291924A1}"/>
        <w:text/>
      </w:sdtPr>
      <w:sdtEndPr/>
      <w:sdtContent>
        <w:r w:rsidR="008421B5">
          <w:t>Annual report</w:t>
        </w:r>
      </w:sdtContent>
    </w:sdt>
    <w:r w:rsidR="008421B5">
      <w:ptab w:relativeTo="margin" w:alignment="right" w:leader="none"/>
    </w:r>
    <w:r w:rsidR="008421B5"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7EDC3" w14:textId="77777777" w:rsidR="008421B5" w:rsidRDefault="008421B5" w:rsidP="00C759E2">
    <w:pPr>
      <w:pStyle w:val="Header"/>
      <w:jc w:val="center"/>
    </w:pPr>
    <w:r w:rsidRPr="00E810C5">
      <w:rPr>
        <w:rFonts w:cs="Myriad Pro"/>
        <w:noProof/>
        <w:color w:val="211D1E"/>
        <w:sz w:val="16"/>
      </w:rPr>
      <w:drawing>
        <wp:inline distT="0" distB="0" distL="0" distR="0" wp14:anchorId="18A34314" wp14:editId="7F91987A">
          <wp:extent cx="1804481" cy="436389"/>
          <wp:effectExtent l="0" t="0" r="5715" b="1905"/>
          <wp:docPr id="5" name="Picture 5"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4171E"/>
    <w:multiLevelType w:val="hybridMultilevel"/>
    <w:tmpl w:val="411AF950"/>
    <w:lvl w:ilvl="0" w:tplc="F46C82B8">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0516AA"/>
    <w:multiLevelType w:val="hybridMultilevel"/>
    <w:tmpl w:val="F72AA18C"/>
    <w:lvl w:ilvl="0" w:tplc="F46C82B8">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5C61B7"/>
    <w:multiLevelType w:val="hybridMultilevel"/>
    <w:tmpl w:val="FC82AB7A"/>
    <w:lvl w:ilvl="0" w:tplc="F46C82B8">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BF6570"/>
    <w:multiLevelType w:val="hybridMultilevel"/>
    <w:tmpl w:val="6794076C"/>
    <w:lvl w:ilvl="0" w:tplc="F46C82B8">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8B1E9C"/>
    <w:multiLevelType w:val="hybridMultilevel"/>
    <w:tmpl w:val="D66ED5B0"/>
    <w:lvl w:ilvl="0" w:tplc="F46C82B8">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4110E9D"/>
    <w:multiLevelType w:val="hybridMultilevel"/>
    <w:tmpl w:val="A9021B0C"/>
    <w:lvl w:ilvl="0" w:tplc="F46C82B8">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407FA9"/>
    <w:multiLevelType w:val="hybridMultilevel"/>
    <w:tmpl w:val="90C07E3A"/>
    <w:lvl w:ilvl="0" w:tplc="F46C82B8">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7201EB"/>
    <w:multiLevelType w:val="hybridMultilevel"/>
    <w:tmpl w:val="8A568C66"/>
    <w:lvl w:ilvl="0" w:tplc="F46C82B8">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E35DF1"/>
    <w:multiLevelType w:val="hybridMultilevel"/>
    <w:tmpl w:val="5FCA5D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77C2341"/>
    <w:multiLevelType w:val="hybridMultilevel"/>
    <w:tmpl w:val="4DB80FC0"/>
    <w:lvl w:ilvl="0" w:tplc="F46C82B8">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7D32CBA"/>
    <w:multiLevelType w:val="hybridMultilevel"/>
    <w:tmpl w:val="4DD09982"/>
    <w:lvl w:ilvl="0" w:tplc="F46C82B8">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80F2771"/>
    <w:multiLevelType w:val="hybridMultilevel"/>
    <w:tmpl w:val="B004279E"/>
    <w:lvl w:ilvl="0" w:tplc="F46C82B8">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92E229E"/>
    <w:multiLevelType w:val="hybridMultilevel"/>
    <w:tmpl w:val="1E8C2AFC"/>
    <w:lvl w:ilvl="0" w:tplc="F46C82B8">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0144BF4"/>
    <w:multiLevelType w:val="hybridMultilevel"/>
    <w:tmpl w:val="2C60E486"/>
    <w:lvl w:ilvl="0" w:tplc="F46C82B8">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F47F40"/>
    <w:multiLevelType w:val="hybridMultilevel"/>
    <w:tmpl w:val="2134332A"/>
    <w:lvl w:ilvl="0" w:tplc="F46C82B8">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8992596"/>
    <w:multiLevelType w:val="hybridMultilevel"/>
    <w:tmpl w:val="5DB093A6"/>
    <w:lvl w:ilvl="0" w:tplc="F46C82B8">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AD866EE"/>
    <w:multiLevelType w:val="hybridMultilevel"/>
    <w:tmpl w:val="24205412"/>
    <w:lvl w:ilvl="0" w:tplc="F46C82B8">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F7F5068"/>
    <w:multiLevelType w:val="hybridMultilevel"/>
    <w:tmpl w:val="BD366B26"/>
    <w:lvl w:ilvl="0" w:tplc="F46C82B8">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F976854"/>
    <w:multiLevelType w:val="hybridMultilevel"/>
    <w:tmpl w:val="5238C9CE"/>
    <w:lvl w:ilvl="0" w:tplc="F46C82B8">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5176E58"/>
    <w:multiLevelType w:val="hybridMultilevel"/>
    <w:tmpl w:val="D42E93FA"/>
    <w:lvl w:ilvl="0" w:tplc="F46C82B8">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58B5D48"/>
    <w:multiLevelType w:val="hybridMultilevel"/>
    <w:tmpl w:val="ADBC8322"/>
    <w:lvl w:ilvl="0" w:tplc="F46C82B8">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7D81F31"/>
    <w:multiLevelType w:val="hybridMultilevel"/>
    <w:tmpl w:val="9BE649D0"/>
    <w:lvl w:ilvl="0" w:tplc="F46C82B8">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CBD514E"/>
    <w:multiLevelType w:val="hybridMultilevel"/>
    <w:tmpl w:val="E1762D4A"/>
    <w:lvl w:ilvl="0" w:tplc="F46C82B8">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E2A7F9E"/>
    <w:multiLevelType w:val="hybridMultilevel"/>
    <w:tmpl w:val="5A168F86"/>
    <w:lvl w:ilvl="0" w:tplc="F46C82B8">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07625B6"/>
    <w:multiLevelType w:val="hybridMultilevel"/>
    <w:tmpl w:val="FF92352C"/>
    <w:lvl w:ilvl="0" w:tplc="F46C82B8">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10225D6"/>
    <w:multiLevelType w:val="hybridMultilevel"/>
    <w:tmpl w:val="8EF00786"/>
    <w:lvl w:ilvl="0" w:tplc="F46C82B8">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15E6EF7"/>
    <w:multiLevelType w:val="hybridMultilevel"/>
    <w:tmpl w:val="9C54E2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6405934"/>
    <w:multiLevelType w:val="hybridMultilevel"/>
    <w:tmpl w:val="C68C867C"/>
    <w:lvl w:ilvl="0" w:tplc="F46C82B8">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6D76D67"/>
    <w:multiLevelType w:val="hybridMultilevel"/>
    <w:tmpl w:val="CDA27A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6F67D24"/>
    <w:multiLevelType w:val="hybridMultilevel"/>
    <w:tmpl w:val="2CECBC98"/>
    <w:lvl w:ilvl="0" w:tplc="F46C82B8">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7706A6F"/>
    <w:multiLevelType w:val="hybridMultilevel"/>
    <w:tmpl w:val="EF90304A"/>
    <w:lvl w:ilvl="0" w:tplc="F46C82B8">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93F3CF3"/>
    <w:multiLevelType w:val="hybridMultilevel"/>
    <w:tmpl w:val="F7808C26"/>
    <w:lvl w:ilvl="0" w:tplc="F46C82B8">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CAF2570"/>
    <w:multiLevelType w:val="hybridMultilevel"/>
    <w:tmpl w:val="C0EE2716"/>
    <w:lvl w:ilvl="0" w:tplc="F46C82B8">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0562A89"/>
    <w:multiLevelType w:val="hybridMultilevel"/>
    <w:tmpl w:val="178A8EF6"/>
    <w:lvl w:ilvl="0" w:tplc="F46C82B8">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C463903"/>
    <w:multiLevelType w:val="hybridMultilevel"/>
    <w:tmpl w:val="5DA018A0"/>
    <w:lvl w:ilvl="0" w:tplc="F46C82B8">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F9C2416"/>
    <w:multiLevelType w:val="hybridMultilevel"/>
    <w:tmpl w:val="5720CF54"/>
    <w:lvl w:ilvl="0" w:tplc="F46C82B8">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FC37B18"/>
    <w:multiLevelType w:val="hybridMultilevel"/>
    <w:tmpl w:val="9E1AE13A"/>
    <w:lvl w:ilvl="0" w:tplc="F46C82B8">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1250F0C"/>
    <w:multiLevelType w:val="hybridMultilevel"/>
    <w:tmpl w:val="09E05766"/>
    <w:lvl w:ilvl="0" w:tplc="F46C82B8">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3B850F2"/>
    <w:multiLevelType w:val="hybridMultilevel"/>
    <w:tmpl w:val="175C8C22"/>
    <w:lvl w:ilvl="0" w:tplc="F46C82B8">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BBE246F"/>
    <w:multiLevelType w:val="hybridMultilevel"/>
    <w:tmpl w:val="CBB2F940"/>
    <w:lvl w:ilvl="0" w:tplc="F46C82B8">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D2A2735"/>
    <w:multiLevelType w:val="hybridMultilevel"/>
    <w:tmpl w:val="A4B89308"/>
    <w:lvl w:ilvl="0" w:tplc="F46C82B8">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1BD2C5D"/>
    <w:multiLevelType w:val="hybridMultilevel"/>
    <w:tmpl w:val="43F0BA16"/>
    <w:lvl w:ilvl="0" w:tplc="F46C82B8">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5545EED"/>
    <w:multiLevelType w:val="hybridMultilevel"/>
    <w:tmpl w:val="D76271F2"/>
    <w:lvl w:ilvl="0" w:tplc="F46C82B8">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7F716B8"/>
    <w:multiLevelType w:val="hybridMultilevel"/>
    <w:tmpl w:val="74CE63CC"/>
    <w:lvl w:ilvl="0" w:tplc="F46C82B8">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B984BE2"/>
    <w:multiLevelType w:val="hybridMultilevel"/>
    <w:tmpl w:val="C840B4A4"/>
    <w:lvl w:ilvl="0" w:tplc="F46C82B8">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BA117CE"/>
    <w:multiLevelType w:val="hybridMultilevel"/>
    <w:tmpl w:val="F588EAFC"/>
    <w:lvl w:ilvl="0" w:tplc="F46C82B8">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EE30C27"/>
    <w:multiLevelType w:val="hybridMultilevel"/>
    <w:tmpl w:val="AC360B90"/>
    <w:lvl w:ilvl="0" w:tplc="F46C82B8">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71350917">
    <w:abstractNumId w:val="41"/>
  </w:num>
  <w:num w:numId="2" w16cid:durableId="1138302437">
    <w:abstractNumId w:val="34"/>
  </w:num>
  <w:num w:numId="3" w16cid:durableId="460346243">
    <w:abstractNumId w:val="1"/>
  </w:num>
  <w:num w:numId="4" w16cid:durableId="1397899958">
    <w:abstractNumId w:val="42"/>
  </w:num>
  <w:num w:numId="5" w16cid:durableId="435754464">
    <w:abstractNumId w:val="44"/>
  </w:num>
  <w:num w:numId="6" w16cid:durableId="302657331">
    <w:abstractNumId w:val="7"/>
  </w:num>
  <w:num w:numId="7" w16cid:durableId="328797769">
    <w:abstractNumId w:val="46"/>
  </w:num>
  <w:num w:numId="8" w16cid:durableId="1338970075">
    <w:abstractNumId w:val="12"/>
  </w:num>
  <w:num w:numId="9" w16cid:durableId="662052294">
    <w:abstractNumId w:val="37"/>
  </w:num>
  <w:num w:numId="10" w16cid:durableId="2107118933">
    <w:abstractNumId w:val="17"/>
  </w:num>
  <w:num w:numId="11" w16cid:durableId="1570185481">
    <w:abstractNumId w:val="30"/>
  </w:num>
  <w:num w:numId="12" w16cid:durableId="1102140116">
    <w:abstractNumId w:val="5"/>
  </w:num>
  <w:num w:numId="13" w16cid:durableId="2027168946">
    <w:abstractNumId w:val="23"/>
  </w:num>
  <w:num w:numId="14" w16cid:durableId="1194928653">
    <w:abstractNumId w:val="22"/>
  </w:num>
  <w:num w:numId="15" w16cid:durableId="701639384">
    <w:abstractNumId w:val="36"/>
  </w:num>
  <w:num w:numId="16" w16cid:durableId="1860468431">
    <w:abstractNumId w:val="27"/>
  </w:num>
  <w:num w:numId="17" w16cid:durableId="1939367338">
    <w:abstractNumId w:val="45"/>
  </w:num>
  <w:num w:numId="18" w16cid:durableId="121268836">
    <w:abstractNumId w:val="21"/>
  </w:num>
  <w:num w:numId="19" w16cid:durableId="1458599426">
    <w:abstractNumId w:val="4"/>
  </w:num>
  <w:num w:numId="20" w16cid:durableId="646520573">
    <w:abstractNumId w:val="16"/>
  </w:num>
  <w:num w:numId="21" w16cid:durableId="1860007269">
    <w:abstractNumId w:val="40"/>
  </w:num>
  <w:num w:numId="22" w16cid:durableId="2113892331">
    <w:abstractNumId w:val="47"/>
  </w:num>
  <w:num w:numId="23" w16cid:durableId="1681352304">
    <w:abstractNumId w:val="3"/>
  </w:num>
  <w:num w:numId="24" w16cid:durableId="577520910">
    <w:abstractNumId w:val="14"/>
  </w:num>
  <w:num w:numId="25" w16cid:durableId="1186598586">
    <w:abstractNumId w:val="24"/>
  </w:num>
  <w:num w:numId="26" w16cid:durableId="2089231920">
    <w:abstractNumId w:val="31"/>
  </w:num>
  <w:num w:numId="27" w16cid:durableId="2082480560">
    <w:abstractNumId w:val="9"/>
  </w:num>
  <w:num w:numId="28" w16cid:durableId="711423803">
    <w:abstractNumId w:val="28"/>
  </w:num>
  <w:num w:numId="29" w16cid:durableId="327025025">
    <w:abstractNumId w:val="25"/>
  </w:num>
  <w:num w:numId="30" w16cid:durableId="974800230">
    <w:abstractNumId w:val="0"/>
  </w:num>
  <w:num w:numId="31" w16cid:durableId="776171188">
    <w:abstractNumId w:val="10"/>
  </w:num>
  <w:num w:numId="32" w16cid:durableId="944768383">
    <w:abstractNumId w:val="13"/>
  </w:num>
  <w:num w:numId="33" w16cid:durableId="232740405">
    <w:abstractNumId w:val="32"/>
  </w:num>
  <w:num w:numId="34" w16cid:durableId="2070759423">
    <w:abstractNumId w:val="2"/>
  </w:num>
  <w:num w:numId="35" w16cid:durableId="1008943688">
    <w:abstractNumId w:val="19"/>
  </w:num>
  <w:num w:numId="36" w16cid:durableId="1617249568">
    <w:abstractNumId w:val="18"/>
  </w:num>
  <w:num w:numId="37" w16cid:durableId="820004845">
    <w:abstractNumId w:val="39"/>
  </w:num>
  <w:num w:numId="38" w16cid:durableId="1228341701">
    <w:abstractNumId w:val="15"/>
  </w:num>
  <w:num w:numId="39" w16cid:durableId="1154880801">
    <w:abstractNumId w:val="38"/>
  </w:num>
  <w:num w:numId="40" w16cid:durableId="2127313143">
    <w:abstractNumId w:val="11"/>
  </w:num>
  <w:num w:numId="41" w16cid:durableId="1476992658">
    <w:abstractNumId w:val="33"/>
  </w:num>
  <w:num w:numId="42" w16cid:durableId="1925021227">
    <w:abstractNumId w:val="29"/>
  </w:num>
  <w:num w:numId="43" w16cid:durableId="237180716">
    <w:abstractNumId w:val="20"/>
  </w:num>
  <w:num w:numId="44" w16cid:durableId="1761215677">
    <w:abstractNumId w:val="35"/>
  </w:num>
  <w:num w:numId="45" w16cid:durableId="1339888765">
    <w:abstractNumId w:val="26"/>
  </w:num>
  <w:num w:numId="46" w16cid:durableId="438910561">
    <w:abstractNumId w:val="6"/>
  </w:num>
  <w:num w:numId="47" w16cid:durableId="762072487">
    <w:abstractNumId w:val="43"/>
  </w:num>
  <w:num w:numId="48" w16cid:durableId="647831351">
    <w:abstractNumId w:val="8"/>
  </w:num>
  <w:num w:numId="49" w16cid:durableId="18707567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noPunctuationKerning/>
  <w:characterSpacingControl w:val="doNotCompress"/>
  <w:hdrShapeDefaults>
    <o:shapedefaults v:ext="edit" spidmax="593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D07"/>
    <w:rsid w:val="00000B5B"/>
    <w:rsid w:val="00001611"/>
    <w:rsid w:val="00001B05"/>
    <w:rsid w:val="00007C21"/>
    <w:rsid w:val="000104A8"/>
    <w:rsid w:val="0001246E"/>
    <w:rsid w:val="000124B1"/>
    <w:rsid w:val="0001562E"/>
    <w:rsid w:val="00016FE6"/>
    <w:rsid w:val="00025622"/>
    <w:rsid w:val="000256D7"/>
    <w:rsid w:val="00026DC9"/>
    <w:rsid w:val="00031037"/>
    <w:rsid w:val="00031064"/>
    <w:rsid w:val="00031692"/>
    <w:rsid w:val="00032531"/>
    <w:rsid w:val="00035E3A"/>
    <w:rsid w:val="0003642A"/>
    <w:rsid w:val="00036A1D"/>
    <w:rsid w:val="00037EA5"/>
    <w:rsid w:val="00041DDA"/>
    <w:rsid w:val="00041F6B"/>
    <w:rsid w:val="000471BF"/>
    <w:rsid w:val="00047B68"/>
    <w:rsid w:val="00051D69"/>
    <w:rsid w:val="00052600"/>
    <w:rsid w:val="00056420"/>
    <w:rsid w:val="0005643C"/>
    <w:rsid w:val="00060674"/>
    <w:rsid w:val="0006264A"/>
    <w:rsid w:val="000649D8"/>
    <w:rsid w:val="000670F0"/>
    <w:rsid w:val="000700B9"/>
    <w:rsid w:val="000708D8"/>
    <w:rsid w:val="000732A9"/>
    <w:rsid w:val="00073D77"/>
    <w:rsid w:val="0007681F"/>
    <w:rsid w:val="00080B20"/>
    <w:rsid w:val="00081484"/>
    <w:rsid w:val="00081655"/>
    <w:rsid w:val="000816FD"/>
    <w:rsid w:val="00084ED0"/>
    <w:rsid w:val="000864E0"/>
    <w:rsid w:val="000870F9"/>
    <w:rsid w:val="00087E2C"/>
    <w:rsid w:val="00095AA3"/>
    <w:rsid w:val="000969B3"/>
    <w:rsid w:val="000A0261"/>
    <w:rsid w:val="000A2170"/>
    <w:rsid w:val="000A4FD4"/>
    <w:rsid w:val="000A4FFE"/>
    <w:rsid w:val="000A583B"/>
    <w:rsid w:val="000A5F42"/>
    <w:rsid w:val="000B049B"/>
    <w:rsid w:val="000B3EFC"/>
    <w:rsid w:val="000B4D99"/>
    <w:rsid w:val="000B5123"/>
    <w:rsid w:val="000B6757"/>
    <w:rsid w:val="000C6EFE"/>
    <w:rsid w:val="000D4B4D"/>
    <w:rsid w:val="000E2D5F"/>
    <w:rsid w:val="000F1C4E"/>
    <w:rsid w:val="000F5401"/>
    <w:rsid w:val="0010296C"/>
    <w:rsid w:val="001033BF"/>
    <w:rsid w:val="00103B58"/>
    <w:rsid w:val="00103B78"/>
    <w:rsid w:val="001047AB"/>
    <w:rsid w:val="001052E4"/>
    <w:rsid w:val="00105ED8"/>
    <w:rsid w:val="00110884"/>
    <w:rsid w:val="00113D58"/>
    <w:rsid w:val="00115B21"/>
    <w:rsid w:val="00120D99"/>
    <w:rsid w:val="00122821"/>
    <w:rsid w:val="00122963"/>
    <w:rsid w:val="00123DF1"/>
    <w:rsid w:val="00125C9F"/>
    <w:rsid w:val="001278E4"/>
    <w:rsid w:val="00131230"/>
    <w:rsid w:val="001353C4"/>
    <w:rsid w:val="00142697"/>
    <w:rsid w:val="00143216"/>
    <w:rsid w:val="00143E4F"/>
    <w:rsid w:val="0014476C"/>
    <w:rsid w:val="00147A28"/>
    <w:rsid w:val="001537F4"/>
    <w:rsid w:val="001548E7"/>
    <w:rsid w:val="00155582"/>
    <w:rsid w:val="00161590"/>
    <w:rsid w:val="0016536F"/>
    <w:rsid w:val="00165BE8"/>
    <w:rsid w:val="001707A3"/>
    <w:rsid w:val="00171CC0"/>
    <w:rsid w:val="00173E40"/>
    <w:rsid w:val="00175494"/>
    <w:rsid w:val="00175629"/>
    <w:rsid w:val="001756EF"/>
    <w:rsid w:val="0018099C"/>
    <w:rsid w:val="001830EC"/>
    <w:rsid w:val="00183534"/>
    <w:rsid w:val="00184BAD"/>
    <w:rsid w:val="001870FA"/>
    <w:rsid w:val="001929BD"/>
    <w:rsid w:val="00196D26"/>
    <w:rsid w:val="001A022D"/>
    <w:rsid w:val="001A2F1A"/>
    <w:rsid w:val="001A4A96"/>
    <w:rsid w:val="001A5D05"/>
    <w:rsid w:val="001A796C"/>
    <w:rsid w:val="001B0432"/>
    <w:rsid w:val="001B15B3"/>
    <w:rsid w:val="001B2614"/>
    <w:rsid w:val="001B37B8"/>
    <w:rsid w:val="001B4567"/>
    <w:rsid w:val="001B552F"/>
    <w:rsid w:val="001B60A2"/>
    <w:rsid w:val="001C0893"/>
    <w:rsid w:val="001C1303"/>
    <w:rsid w:val="001C17E0"/>
    <w:rsid w:val="001C1A91"/>
    <w:rsid w:val="001C2959"/>
    <w:rsid w:val="001C2C0A"/>
    <w:rsid w:val="001C5F67"/>
    <w:rsid w:val="001C70B2"/>
    <w:rsid w:val="001D0505"/>
    <w:rsid w:val="001D0850"/>
    <w:rsid w:val="001D6888"/>
    <w:rsid w:val="001D6AC9"/>
    <w:rsid w:val="001E3D81"/>
    <w:rsid w:val="001E51F1"/>
    <w:rsid w:val="001E6E09"/>
    <w:rsid w:val="001F2152"/>
    <w:rsid w:val="001F29F2"/>
    <w:rsid w:val="001F5258"/>
    <w:rsid w:val="00200EA4"/>
    <w:rsid w:val="0020176F"/>
    <w:rsid w:val="00203E2D"/>
    <w:rsid w:val="002107DA"/>
    <w:rsid w:val="00212596"/>
    <w:rsid w:val="00213E37"/>
    <w:rsid w:val="0021477A"/>
    <w:rsid w:val="00214F6D"/>
    <w:rsid w:val="00216A5B"/>
    <w:rsid w:val="00220D04"/>
    <w:rsid w:val="00222B5B"/>
    <w:rsid w:val="00224E93"/>
    <w:rsid w:val="002276DC"/>
    <w:rsid w:val="00227E00"/>
    <w:rsid w:val="002307CB"/>
    <w:rsid w:val="00231046"/>
    <w:rsid w:val="00240D6D"/>
    <w:rsid w:val="00241D02"/>
    <w:rsid w:val="00241FE7"/>
    <w:rsid w:val="00242659"/>
    <w:rsid w:val="002428F7"/>
    <w:rsid w:val="0024315F"/>
    <w:rsid w:val="00244DD3"/>
    <w:rsid w:val="00246251"/>
    <w:rsid w:val="002467AF"/>
    <w:rsid w:val="00246FE2"/>
    <w:rsid w:val="002500B7"/>
    <w:rsid w:val="002510BB"/>
    <w:rsid w:val="00252C9A"/>
    <w:rsid w:val="00255B5E"/>
    <w:rsid w:val="00256309"/>
    <w:rsid w:val="00257484"/>
    <w:rsid w:val="00257AB9"/>
    <w:rsid w:val="00260636"/>
    <w:rsid w:val="00265C3A"/>
    <w:rsid w:val="002721EA"/>
    <w:rsid w:val="00275C78"/>
    <w:rsid w:val="00280594"/>
    <w:rsid w:val="002810E3"/>
    <w:rsid w:val="00281302"/>
    <w:rsid w:val="00281D94"/>
    <w:rsid w:val="00281EE3"/>
    <w:rsid w:val="00281F91"/>
    <w:rsid w:val="002849B9"/>
    <w:rsid w:val="00284E4A"/>
    <w:rsid w:val="002874DD"/>
    <w:rsid w:val="00290EDA"/>
    <w:rsid w:val="00292ABF"/>
    <w:rsid w:val="00293FCD"/>
    <w:rsid w:val="00297B3A"/>
    <w:rsid w:val="002A1838"/>
    <w:rsid w:val="002A303B"/>
    <w:rsid w:val="002A3799"/>
    <w:rsid w:val="002A3BCC"/>
    <w:rsid w:val="002A4516"/>
    <w:rsid w:val="002A569F"/>
    <w:rsid w:val="002A58FD"/>
    <w:rsid w:val="002A7066"/>
    <w:rsid w:val="002B001E"/>
    <w:rsid w:val="002B0024"/>
    <w:rsid w:val="002B09B7"/>
    <w:rsid w:val="002B1DFE"/>
    <w:rsid w:val="002C21B0"/>
    <w:rsid w:val="002C291D"/>
    <w:rsid w:val="002C3FA3"/>
    <w:rsid w:val="002C5FE5"/>
    <w:rsid w:val="002C62E6"/>
    <w:rsid w:val="002C7C4E"/>
    <w:rsid w:val="002D2277"/>
    <w:rsid w:val="002D2CB2"/>
    <w:rsid w:val="002D6E54"/>
    <w:rsid w:val="002D7ACD"/>
    <w:rsid w:val="002E2B04"/>
    <w:rsid w:val="002E2FB3"/>
    <w:rsid w:val="002E5BA0"/>
    <w:rsid w:val="002F0A41"/>
    <w:rsid w:val="002F17A4"/>
    <w:rsid w:val="002F327B"/>
    <w:rsid w:val="002F5088"/>
    <w:rsid w:val="00301626"/>
    <w:rsid w:val="00302888"/>
    <w:rsid w:val="00304288"/>
    <w:rsid w:val="00305912"/>
    <w:rsid w:val="003059EC"/>
    <w:rsid w:val="0030637B"/>
    <w:rsid w:val="00307F92"/>
    <w:rsid w:val="00316CCD"/>
    <w:rsid w:val="003246B5"/>
    <w:rsid w:val="00324A74"/>
    <w:rsid w:val="00324F65"/>
    <w:rsid w:val="00324F7E"/>
    <w:rsid w:val="00325153"/>
    <w:rsid w:val="00330792"/>
    <w:rsid w:val="00330DE9"/>
    <w:rsid w:val="003323BC"/>
    <w:rsid w:val="003338C4"/>
    <w:rsid w:val="0034070A"/>
    <w:rsid w:val="00346C4C"/>
    <w:rsid w:val="00346D42"/>
    <w:rsid w:val="00346E11"/>
    <w:rsid w:val="003510F3"/>
    <w:rsid w:val="00353BD6"/>
    <w:rsid w:val="003550D6"/>
    <w:rsid w:val="003601C0"/>
    <w:rsid w:val="00361F19"/>
    <w:rsid w:val="003635F5"/>
    <w:rsid w:val="00364734"/>
    <w:rsid w:val="00364C03"/>
    <w:rsid w:val="00372A88"/>
    <w:rsid w:val="00373BA8"/>
    <w:rsid w:val="00374CC9"/>
    <w:rsid w:val="00377064"/>
    <w:rsid w:val="00380D9A"/>
    <w:rsid w:val="00381A0F"/>
    <w:rsid w:val="00381DED"/>
    <w:rsid w:val="003873AD"/>
    <w:rsid w:val="00387493"/>
    <w:rsid w:val="003926CC"/>
    <w:rsid w:val="0039362D"/>
    <w:rsid w:val="003A1B3A"/>
    <w:rsid w:val="003A40F5"/>
    <w:rsid w:val="003A4C0F"/>
    <w:rsid w:val="003A5FC5"/>
    <w:rsid w:val="003A6273"/>
    <w:rsid w:val="003A6F5A"/>
    <w:rsid w:val="003B29E3"/>
    <w:rsid w:val="003B3F2A"/>
    <w:rsid w:val="003B4EC2"/>
    <w:rsid w:val="003B5B8C"/>
    <w:rsid w:val="003B7473"/>
    <w:rsid w:val="003C2A8A"/>
    <w:rsid w:val="003C35E5"/>
    <w:rsid w:val="003C5C83"/>
    <w:rsid w:val="003C757B"/>
    <w:rsid w:val="003D12C4"/>
    <w:rsid w:val="003D37D7"/>
    <w:rsid w:val="003D5AB4"/>
    <w:rsid w:val="003D7640"/>
    <w:rsid w:val="003D79B1"/>
    <w:rsid w:val="003E06B9"/>
    <w:rsid w:val="003E10FC"/>
    <w:rsid w:val="003E2E66"/>
    <w:rsid w:val="003E4936"/>
    <w:rsid w:val="003E6C4B"/>
    <w:rsid w:val="003E74EE"/>
    <w:rsid w:val="003F0552"/>
    <w:rsid w:val="003F0763"/>
    <w:rsid w:val="003F1A05"/>
    <w:rsid w:val="003F3BC2"/>
    <w:rsid w:val="003F45B7"/>
    <w:rsid w:val="003F5954"/>
    <w:rsid w:val="00400834"/>
    <w:rsid w:val="00400BAA"/>
    <w:rsid w:val="004011C8"/>
    <w:rsid w:val="00401ED1"/>
    <w:rsid w:val="0040224C"/>
    <w:rsid w:val="00404CD9"/>
    <w:rsid w:val="00405132"/>
    <w:rsid w:val="00407301"/>
    <w:rsid w:val="00410088"/>
    <w:rsid w:val="00410500"/>
    <w:rsid w:val="00412A2F"/>
    <w:rsid w:val="00413EE1"/>
    <w:rsid w:val="004148E4"/>
    <w:rsid w:val="004164BB"/>
    <w:rsid w:val="00420884"/>
    <w:rsid w:val="00421ECE"/>
    <w:rsid w:val="0042435E"/>
    <w:rsid w:val="004315F5"/>
    <w:rsid w:val="004324AD"/>
    <w:rsid w:val="00432C20"/>
    <w:rsid w:val="00433456"/>
    <w:rsid w:val="00433DFA"/>
    <w:rsid w:val="00434C36"/>
    <w:rsid w:val="00435D67"/>
    <w:rsid w:val="004377C3"/>
    <w:rsid w:val="004379DE"/>
    <w:rsid w:val="00445A79"/>
    <w:rsid w:val="004508EE"/>
    <w:rsid w:val="00451CD8"/>
    <w:rsid w:val="00463074"/>
    <w:rsid w:val="00464A58"/>
    <w:rsid w:val="00467948"/>
    <w:rsid w:val="00473D2D"/>
    <w:rsid w:val="00476BFA"/>
    <w:rsid w:val="00476C58"/>
    <w:rsid w:val="00490CD9"/>
    <w:rsid w:val="00490D47"/>
    <w:rsid w:val="00491C29"/>
    <w:rsid w:val="00494D6B"/>
    <w:rsid w:val="00494E08"/>
    <w:rsid w:val="004A2125"/>
    <w:rsid w:val="004A38F6"/>
    <w:rsid w:val="004A3CDC"/>
    <w:rsid w:val="004A40FE"/>
    <w:rsid w:val="004A5B02"/>
    <w:rsid w:val="004B4EB6"/>
    <w:rsid w:val="004B5D97"/>
    <w:rsid w:val="004B69AD"/>
    <w:rsid w:val="004B770F"/>
    <w:rsid w:val="004C0D35"/>
    <w:rsid w:val="004C3BC2"/>
    <w:rsid w:val="004C467E"/>
    <w:rsid w:val="004C4D4F"/>
    <w:rsid w:val="004C5CFD"/>
    <w:rsid w:val="004C67C6"/>
    <w:rsid w:val="004D0E44"/>
    <w:rsid w:val="004D29DE"/>
    <w:rsid w:val="004D32CA"/>
    <w:rsid w:val="004D3DA3"/>
    <w:rsid w:val="004D3DB9"/>
    <w:rsid w:val="004D5C81"/>
    <w:rsid w:val="004E056D"/>
    <w:rsid w:val="004E2090"/>
    <w:rsid w:val="004F1B2A"/>
    <w:rsid w:val="004F713C"/>
    <w:rsid w:val="004F7AE8"/>
    <w:rsid w:val="00510EAC"/>
    <w:rsid w:val="005113A6"/>
    <w:rsid w:val="00512CE2"/>
    <w:rsid w:val="005156EB"/>
    <w:rsid w:val="0051573E"/>
    <w:rsid w:val="0051759A"/>
    <w:rsid w:val="00525969"/>
    <w:rsid w:val="00540B03"/>
    <w:rsid w:val="00541D7A"/>
    <w:rsid w:val="00542A57"/>
    <w:rsid w:val="00546D4B"/>
    <w:rsid w:val="005504EF"/>
    <w:rsid w:val="00550592"/>
    <w:rsid w:val="00551538"/>
    <w:rsid w:val="005566FC"/>
    <w:rsid w:val="00563F17"/>
    <w:rsid w:val="00565441"/>
    <w:rsid w:val="00565853"/>
    <w:rsid w:val="005732C0"/>
    <w:rsid w:val="0057336D"/>
    <w:rsid w:val="00573B73"/>
    <w:rsid w:val="0057489A"/>
    <w:rsid w:val="00574ACF"/>
    <w:rsid w:val="0057517C"/>
    <w:rsid w:val="00581588"/>
    <w:rsid w:val="00584652"/>
    <w:rsid w:val="005848F1"/>
    <w:rsid w:val="0058540B"/>
    <w:rsid w:val="005859A6"/>
    <w:rsid w:val="00586740"/>
    <w:rsid w:val="00587C87"/>
    <w:rsid w:val="00590B80"/>
    <w:rsid w:val="005913DF"/>
    <w:rsid w:val="005A5112"/>
    <w:rsid w:val="005A6725"/>
    <w:rsid w:val="005A7F04"/>
    <w:rsid w:val="005B1ED7"/>
    <w:rsid w:val="005B3134"/>
    <w:rsid w:val="005B4E09"/>
    <w:rsid w:val="005B4E61"/>
    <w:rsid w:val="005B559B"/>
    <w:rsid w:val="005B595A"/>
    <w:rsid w:val="005B66C2"/>
    <w:rsid w:val="005C2384"/>
    <w:rsid w:val="005C5A16"/>
    <w:rsid w:val="005C5E5F"/>
    <w:rsid w:val="005C63F2"/>
    <w:rsid w:val="005D2465"/>
    <w:rsid w:val="005D47E0"/>
    <w:rsid w:val="005D5FE8"/>
    <w:rsid w:val="005D70DB"/>
    <w:rsid w:val="005E4229"/>
    <w:rsid w:val="005E53BC"/>
    <w:rsid w:val="005E540E"/>
    <w:rsid w:val="005E55FB"/>
    <w:rsid w:val="005F07E7"/>
    <w:rsid w:val="005F16BB"/>
    <w:rsid w:val="005F1EF5"/>
    <w:rsid w:val="006035DA"/>
    <w:rsid w:val="00604201"/>
    <w:rsid w:val="00607115"/>
    <w:rsid w:val="0060726F"/>
    <w:rsid w:val="0061611C"/>
    <w:rsid w:val="00620768"/>
    <w:rsid w:val="00624FB5"/>
    <w:rsid w:val="0062522E"/>
    <w:rsid w:val="0062594B"/>
    <w:rsid w:val="00625AAD"/>
    <w:rsid w:val="00625E6B"/>
    <w:rsid w:val="00626E9D"/>
    <w:rsid w:val="00631406"/>
    <w:rsid w:val="006324FF"/>
    <w:rsid w:val="006351D6"/>
    <w:rsid w:val="00636E0D"/>
    <w:rsid w:val="0064142F"/>
    <w:rsid w:val="00641AF2"/>
    <w:rsid w:val="006432EB"/>
    <w:rsid w:val="00643CB4"/>
    <w:rsid w:val="006467C1"/>
    <w:rsid w:val="006503A1"/>
    <w:rsid w:val="006510CC"/>
    <w:rsid w:val="00651A7F"/>
    <w:rsid w:val="00651C32"/>
    <w:rsid w:val="00655B2A"/>
    <w:rsid w:val="0065618B"/>
    <w:rsid w:val="00656427"/>
    <w:rsid w:val="006577BD"/>
    <w:rsid w:val="00660255"/>
    <w:rsid w:val="006626B3"/>
    <w:rsid w:val="00664FF3"/>
    <w:rsid w:val="00665663"/>
    <w:rsid w:val="00670B5F"/>
    <w:rsid w:val="00673A70"/>
    <w:rsid w:val="006748D4"/>
    <w:rsid w:val="006753A2"/>
    <w:rsid w:val="00680ECD"/>
    <w:rsid w:val="006833D2"/>
    <w:rsid w:val="00683B83"/>
    <w:rsid w:val="006841BF"/>
    <w:rsid w:val="00687214"/>
    <w:rsid w:val="00690526"/>
    <w:rsid w:val="00694662"/>
    <w:rsid w:val="006955A9"/>
    <w:rsid w:val="00695818"/>
    <w:rsid w:val="00696903"/>
    <w:rsid w:val="006971F3"/>
    <w:rsid w:val="00697FCD"/>
    <w:rsid w:val="006A02D6"/>
    <w:rsid w:val="006A10CA"/>
    <w:rsid w:val="006A48E3"/>
    <w:rsid w:val="006A4F77"/>
    <w:rsid w:val="006A7529"/>
    <w:rsid w:val="006B14B6"/>
    <w:rsid w:val="006B24A9"/>
    <w:rsid w:val="006B3BF1"/>
    <w:rsid w:val="006B7A61"/>
    <w:rsid w:val="006B7A8F"/>
    <w:rsid w:val="006C0A64"/>
    <w:rsid w:val="006C4700"/>
    <w:rsid w:val="006C59C2"/>
    <w:rsid w:val="006C63D3"/>
    <w:rsid w:val="006C74A3"/>
    <w:rsid w:val="006D1381"/>
    <w:rsid w:val="006D31BC"/>
    <w:rsid w:val="006D33DE"/>
    <w:rsid w:val="006D436E"/>
    <w:rsid w:val="006D58DB"/>
    <w:rsid w:val="006D792D"/>
    <w:rsid w:val="006E4078"/>
    <w:rsid w:val="006E5A9A"/>
    <w:rsid w:val="006E7597"/>
    <w:rsid w:val="006E7943"/>
    <w:rsid w:val="006F08F7"/>
    <w:rsid w:val="006F24EA"/>
    <w:rsid w:val="006F40D8"/>
    <w:rsid w:val="00704CA9"/>
    <w:rsid w:val="0071048D"/>
    <w:rsid w:val="00710A44"/>
    <w:rsid w:val="00710F86"/>
    <w:rsid w:val="007111A8"/>
    <w:rsid w:val="007116DB"/>
    <w:rsid w:val="007130CD"/>
    <w:rsid w:val="00713A2E"/>
    <w:rsid w:val="00715FCB"/>
    <w:rsid w:val="00717E82"/>
    <w:rsid w:val="00720770"/>
    <w:rsid w:val="00720820"/>
    <w:rsid w:val="00720B80"/>
    <w:rsid w:val="00721C72"/>
    <w:rsid w:val="00725092"/>
    <w:rsid w:val="00726ECE"/>
    <w:rsid w:val="00731BC3"/>
    <w:rsid w:val="00732EBA"/>
    <w:rsid w:val="007343F8"/>
    <w:rsid w:val="007344EF"/>
    <w:rsid w:val="007354ED"/>
    <w:rsid w:val="00741192"/>
    <w:rsid w:val="00741A86"/>
    <w:rsid w:val="00743A33"/>
    <w:rsid w:val="00745B29"/>
    <w:rsid w:val="00746080"/>
    <w:rsid w:val="0075144A"/>
    <w:rsid w:val="00762705"/>
    <w:rsid w:val="00762FA9"/>
    <w:rsid w:val="007658A9"/>
    <w:rsid w:val="00772AF5"/>
    <w:rsid w:val="0077413E"/>
    <w:rsid w:val="00780FCD"/>
    <w:rsid w:val="007843B0"/>
    <w:rsid w:val="00785CC5"/>
    <w:rsid w:val="00786329"/>
    <w:rsid w:val="00787BAC"/>
    <w:rsid w:val="0079028C"/>
    <w:rsid w:val="007916F0"/>
    <w:rsid w:val="00792C7D"/>
    <w:rsid w:val="00794A4D"/>
    <w:rsid w:val="007956CE"/>
    <w:rsid w:val="007A144B"/>
    <w:rsid w:val="007A1DC5"/>
    <w:rsid w:val="007A5234"/>
    <w:rsid w:val="007A739D"/>
    <w:rsid w:val="007A7D0C"/>
    <w:rsid w:val="007B2DA9"/>
    <w:rsid w:val="007B5B24"/>
    <w:rsid w:val="007B7854"/>
    <w:rsid w:val="007C1616"/>
    <w:rsid w:val="007C1E23"/>
    <w:rsid w:val="007C3AD0"/>
    <w:rsid w:val="007C56A1"/>
    <w:rsid w:val="007C6454"/>
    <w:rsid w:val="007D05AC"/>
    <w:rsid w:val="007D1C35"/>
    <w:rsid w:val="007D2DDC"/>
    <w:rsid w:val="007D34C3"/>
    <w:rsid w:val="007D5C30"/>
    <w:rsid w:val="007E01E0"/>
    <w:rsid w:val="007E4CB6"/>
    <w:rsid w:val="007E4CF4"/>
    <w:rsid w:val="007E53B2"/>
    <w:rsid w:val="007F0B93"/>
    <w:rsid w:val="007F0EE2"/>
    <w:rsid w:val="007F1877"/>
    <w:rsid w:val="007F2E34"/>
    <w:rsid w:val="007F2ECA"/>
    <w:rsid w:val="007F79B6"/>
    <w:rsid w:val="00801D71"/>
    <w:rsid w:val="00804920"/>
    <w:rsid w:val="0081070B"/>
    <w:rsid w:val="00811708"/>
    <w:rsid w:val="00814804"/>
    <w:rsid w:val="00815671"/>
    <w:rsid w:val="008158EC"/>
    <w:rsid w:val="00816B90"/>
    <w:rsid w:val="00817799"/>
    <w:rsid w:val="00817843"/>
    <w:rsid w:val="008214AA"/>
    <w:rsid w:val="00822F5F"/>
    <w:rsid w:val="008230E8"/>
    <w:rsid w:val="0082464C"/>
    <w:rsid w:val="00824FD3"/>
    <w:rsid w:val="00826589"/>
    <w:rsid w:val="00827EA0"/>
    <w:rsid w:val="00830954"/>
    <w:rsid w:val="00830E24"/>
    <w:rsid w:val="008338E2"/>
    <w:rsid w:val="00833ACF"/>
    <w:rsid w:val="00834BCC"/>
    <w:rsid w:val="00841439"/>
    <w:rsid w:val="008421B5"/>
    <w:rsid w:val="00844522"/>
    <w:rsid w:val="008449B6"/>
    <w:rsid w:val="00844FDC"/>
    <w:rsid w:val="00847646"/>
    <w:rsid w:val="00847D58"/>
    <w:rsid w:val="00850D54"/>
    <w:rsid w:val="008558A0"/>
    <w:rsid w:val="008562E1"/>
    <w:rsid w:val="00856390"/>
    <w:rsid w:val="00857783"/>
    <w:rsid w:val="00863A73"/>
    <w:rsid w:val="008655A9"/>
    <w:rsid w:val="00866F8A"/>
    <w:rsid w:val="00870A82"/>
    <w:rsid w:val="00871011"/>
    <w:rsid w:val="008714B0"/>
    <w:rsid w:val="00871AD1"/>
    <w:rsid w:val="00876331"/>
    <w:rsid w:val="00877FA1"/>
    <w:rsid w:val="00880726"/>
    <w:rsid w:val="008841DD"/>
    <w:rsid w:val="00885DBD"/>
    <w:rsid w:val="00887069"/>
    <w:rsid w:val="0089197D"/>
    <w:rsid w:val="00893381"/>
    <w:rsid w:val="00894722"/>
    <w:rsid w:val="00895390"/>
    <w:rsid w:val="00895531"/>
    <w:rsid w:val="00897B1E"/>
    <w:rsid w:val="008A1DD7"/>
    <w:rsid w:val="008A2AC2"/>
    <w:rsid w:val="008A3544"/>
    <w:rsid w:val="008A4234"/>
    <w:rsid w:val="008A6643"/>
    <w:rsid w:val="008B0A10"/>
    <w:rsid w:val="008B48B8"/>
    <w:rsid w:val="008B58F8"/>
    <w:rsid w:val="008C0712"/>
    <w:rsid w:val="008C12BA"/>
    <w:rsid w:val="008C25D2"/>
    <w:rsid w:val="008C35EC"/>
    <w:rsid w:val="008C4520"/>
    <w:rsid w:val="008C5F09"/>
    <w:rsid w:val="008C6316"/>
    <w:rsid w:val="008C691B"/>
    <w:rsid w:val="008C6DC8"/>
    <w:rsid w:val="008D1B0A"/>
    <w:rsid w:val="008D2911"/>
    <w:rsid w:val="008D29F9"/>
    <w:rsid w:val="008D2B4E"/>
    <w:rsid w:val="008D2ED9"/>
    <w:rsid w:val="008D470F"/>
    <w:rsid w:val="008E1705"/>
    <w:rsid w:val="008E1F8F"/>
    <w:rsid w:val="008E4768"/>
    <w:rsid w:val="008E761E"/>
    <w:rsid w:val="008F3B7C"/>
    <w:rsid w:val="008F6B81"/>
    <w:rsid w:val="008F6C66"/>
    <w:rsid w:val="008F77B3"/>
    <w:rsid w:val="0090007C"/>
    <w:rsid w:val="009008F5"/>
    <w:rsid w:val="00901E53"/>
    <w:rsid w:val="00902D75"/>
    <w:rsid w:val="00902F77"/>
    <w:rsid w:val="00904CC1"/>
    <w:rsid w:val="009066AF"/>
    <w:rsid w:val="00907F2A"/>
    <w:rsid w:val="00910B52"/>
    <w:rsid w:val="00912050"/>
    <w:rsid w:val="00912E48"/>
    <w:rsid w:val="009152A6"/>
    <w:rsid w:val="00917CED"/>
    <w:rsid w:val="00917DF0"/>
    <w:rsid w:val="00924A50"/>
    <w:rsid w:val="00924F57"/>
    <w:rsid w:val="009255EB"/>
    <w:rsid w:val="00927296"/>
    <w:rsid w:val="0092746F"/>
    <w:rsid w:val="00930161"/>
    <w:rsid w:val="009320B7"/>
    <w:rsid w:val="00934611"/>
    <w:rsid w:val="00935DC9"/>
    <w:rsid w:val="00937916"/>
    <w:rsid w:val="00942BA5"/>
    <w:rsid w:val="0094303D"/>
    <w:rsid w:val="009446C0"/>
    <w:rsid w:val="0094578E"/>
    <w:rsid w:val="00945D58"/>
    <w:rsid w:val="00950BA4"/>
    <w:rsid w:val="00951EA0"/>
    <w:rsid w:val="00954673"/>
    <w:rsid w:val="0096082E"/>
    <w:rsid w:val="00961347"/>
    <w:rsid w:val="00964715"/>
    <w:rsid w:val="00967D73"/>
    <w:rsid w:val="00973211"/>
    <w:rsid w:val="009737EA"/>
    <w:rsid w:val="00975B9D"/>
    <w:rsid w:val="0097782F"/>
    <w:rsid w:val="0098119A"/>
    <w:rsid w:val="0098384B"/>
    <w:rsid w:val="00983D07"/>
    <w:rsid w:val="00984AAF"/>
    <w:rsid w:val="00985395"/>
    <w:rsid w:val="00986766"/>
    <w:rsid w:val="00986EA3"/>
    <w:rsid w:val="00990EF0"/>
    <w:rsid w:val="0099113F"/>
    <w:rsid w:val="00991B09"/>
    <w:rsid w:val="00993CB2"/>
    <w:rsid w:val="00993E46"/>
    <w:rsid w:val="00994AB1"/>
    <w:rsid w:val="00996DEF"/>
    <w:rsid w:val="009A5166"/>
    <w:rsid w:val="009A5E10"/>
    <w:rsid w:val="009A70AD"/>
    <w:rsid w:val="009A76F8"/>
    <w:rsid w:val="009B0080"/>
    <w:rsid w:val="009B1067"/>
    <w:rsid w:val="009B1C3B"/>
    <w:rsid w:val="009B2B83"/>
    <w:rsid w:val="009B65BB"/>
    <w:rsid w:val="009B7DFF"/>
    <w:rsid w:val="009C0A55"/>
    <w:rsid w:val="009C49F8"/>
    <w:rsid w:val="009C590B"/>
    <w:rsid w:val="009C5A97"/>
    <w:rsid w:val="009D0CD2"/>
    <w:rsid w:val="009D39C6"/>
    <w:rsid w:val="009D77CC"/>
    <w:rsid w:val="009E0B10"/>
    <w:rsid w:val="009E2423"/>
    <w:rsid w:val="009E4475"/>
    <w:rsid w:val="009E55D7"/>
    <w:rsid w:val="009E63FC"/>
    <w:rsid w:val="009F1781"/>
    <w:rsid w:val="009F2B3A"/>
    <w:rsid w:val="009F4150"/>
    <w:rsid w:val="009F4FD4"/>
    <w:rsid w:val="009F5665"/>
    <w:rsid w:val="009F5DAD"/>
    <w:rsid w:val="009F5F51"/>
    <w:rsid w:val="009F7C50"/>
    <w:rsid w:val="00A01B03"/>
    <w:rsid w:val="00A01BCA"/>
    <w:rsid w:val="00A03235"/>
    <w:rsid w:val="00A10409"/>
    <w:rsid w:val="00A10458"/>
    <w:rsid w:val="00A16170"/>
    <w:rsid w:val="00A164D5"/>
    <w:rsid w:val="00A16FD1"/>
    <w:rsid w:val="00A25A4D"/>
    <w:rsid w:val="00A26E5A"/>
    <w:rsid w:val="00A270E8"/>
    <w:rsid w:val="00A273C3"/>
    <w:rsid w:val="00A34986"/>
    <w:rsid w:val="00A36C65"/>
    <w:rsid w:val="00A376B6"/>
    <w:rsid w:val="00A37B16"/>
    <w:rsid w:val="00A406A1"/>
    <w:rsid w:val="00A40E43"/>
    <w:rsid w:val="00A41BBE"/>
    <w:rsid w:val="00A45BDD"/>
    <w:rsid w:val="00A46A0A"/>
    <w:rsid w:val="00A51D14"/>
    <w:rsid w:val="00A52C97"/>
    <w:rsid w:val="00A52F61"/>
    <w:rsid w:val="00A532A6"/>
    <w:rsid w:val="00A53DA1"/>
    <w:rsid w:val="00A54F7E"/>
    <w:rsid w:val="00A553F8"/>
    <w:rsid w:val="00A641DA"/>
    <w:rsid w:val="00A6611F"/>
    <w:rsid w:val="00A6708F"/>
    <w:rsid w:val="00A71BF6"/>
    <w:rsid w:val="00A72827"/>
    <w:rsid w:val="00A763DB"/>
    <w:rsid w:val="00A76FEF"/>
    <w:rsid w:val="00A8129D"/>
    <w:rsid w:val="00A81C71"/>
    <w:rsid w:val="00A835E0"/>
    <w:rsid w:val="00A86F4A"/>
    <w:rsid w:val="00A86F9A"/>
    <w:rsid w:val="00A90BAA"/>
    <w:rsid w:val="00A915A7"/>
    <w:rsid w:val="00A957C0"/>
    <w:rsid w:val="00A958E8"/>
    <w:rsid w:val="00AA1EEF"/>
    <w:rsid w:val="00AA35E6"/>
    <w:rsid w:val="00AA3AF5"/>
    <w:rsid w:val="00AA50B6"/>
    <w:rsid w:val="00AA7ACC"/>
    <w:rsid w:val="00AB3472"/>
    <w:rsid w:val="00AB4E9A"/>
    <w:rsid w:val="00AC0D40"/>
    <w:rsid w:val="00AC4B21"/>
    <w:rsid w:val="00AC7B42"/>
    <w:rsid w:val="00AD0762"/>
    <w:rsid w:val="00AD273E"/>
    <w:rsid w:val="00AD4A21"/>
    <w:rsid w:val="00AD5A9D"/>
    <w:rsid w:val="00AE20CA"/>
    <w:rsid w:val="00AE2F1B"/>
    <w:rsid w:val="00AE4452"/>
    <w:rsid w:val="00AE4978"/>
    <w:rsid w:val="00AE5318"/>
    <w:rsid w:val="00AE5D7B"/>
    <w:rsid w:val="00AE5F26"/>
    <w:rsid w:val="00AE7C38"/>
    <w:rsid w:val="00AF5B63"/>
    <w:rsid w:val="00B01638"/>
    <w:rsid w:val="00B018C2"/>
    <w:rsid w:val="00B01F99"/>
    <w:rsid w:val="00B02B37"/>
    <w:rsid w:val="00B0410A"/>
    <w:rsid w:val="00B05276"/>
    <w:rsid w:val="00B06834"/>
    <w:rsid w:val="00B06ABF"/>
    <w:rsid w:val="00B10AFD"/>
    <w:rsid w:val="00B132DB"/>
    <w:rsid w:val="00B13361"/>
    <w:rsid w:val="00B14531"/>
    <w:rsid w:val="00B1734F"/>
    <w:rsid w:val="00B17FDE"/>
    <w:rsid w:val="00B20B39"/>
    <w:rsid w:val="00B25587"/>
    <w:rsid w:val="00B278C4"/>
    <w:rsid w:val="00B303AC"/>
    <w:rsid w:val="00B31427"/>
    <w:rsid w:val="00B33861"/>
    <w:rsid w:val="00B40DE2"/>
    <w:rsid w:val="00B42171"/>
    <w:rsid w:val="00B43125"/>
    <w:rsid w:val="00B46BF3"/>
    <w:rsid w:val="00B50210"/>
    <w:rsid w:val="00B529AA"/>
    <w:rsid w:val="00B53955"/>
    <w:rsid w:val="00B54296"/>
    <w:rsid w:val="00B61D7D"/>
    <w:rsid w:val="00B62331"/>
    <w:rsid w:val="00B6374B"/>
    <w:rsid w:val="00B6408A"/>
    <w:rsid w:val="00B657E0"/>
    <w:rsid w:val="00B65FE7"/>
    <w:rsid w:val="00B66447"/>
    <w:rsid w:val="00B6676E"/>
    <w:rsid w:val="00B66F13"/>
    <w:rsid w:val="00B67A8D"/>
    <w:rsid w:val="00B714B8"/>
    <w:rsid w:val="00B723D3"/>
    <w:rsid w:val="00B731E4"/>
    <w:rsid w:val="00B74018"/>
    <w:rsid w:val="00B80950"/>
    <w:rsid w:val="00B82005"/>
    <w:rsid w:val="00B82C2C"/>
    <w:rsid w:val="00B82C49"/>
    <w:rsid w:val="00B830D1"/>
    <w:rsid w:val="00B84514"/>
    <w:rsid w:val="00B8720B"/>
    <w:rsid w:val="00B876EF"/>
    <w:rsid w:val="00B93AD1"/>
    <w:rsid w:val="00B95EF0"/>
    <w:rsid w:val="00BA1779"/>
    <w:rsid w:val="00BA4697"/>
    <w:rsid w:val="00BA632F"/>
    <w:rsid w:val="00BB2B97"/>
    <w:rsid w:val="00BB384A"/>
    <w:rsid w:val="00BB4A6D"/>
    <w:rsid w:val="00BB4A96"/>
    <w:rsid w:val="00BB4C6B"/>
    <w:rsid w:val="00BB5378"/>
    <w:rsid w:val="00BC0BD3"/>
    <w:rsid w:val="00BC1D6D"/>
    <w:rsid w:val="00BC6638"/>
    <w:rsid w:val="00BD0107"/>
    <w:rsid w:val="00BD1EE2"/>
    <w:rsid w:val="00BD44F9"/>
    <w:rsid w:val="00BD546F"/>
    <w:rsid w:val="00BD7F61"/>
    <w:rsid w:val="00BE0C33"/>
    <w:rsid w:val="00BE262C"/>
    <w:rsid w:val="00BE61A2"/>
    <w:rsid w:val="00BE6C3D"/>
    <w:rsid w:val="00BE7272"/>
    <w:rsid w:val="00BE766A"/>
    <w:rsid w:val="00BF2294"/>
    <w:rsid w:val="00BF5953"/>
    <w:rsid w:val="00C003BE"/>
    <w:rsid w:val="00C0400F"/>
    <w:rsid w:val="00C07606"/>
    <w:rsid w:val="00C11BCC"/>
    <w:rsid w:val="00C11C93"/>
    <w:rsid w:val="00C12542"/>
    <w:rsid w:val="00C171C9"/>
    <w:rsid w:val="00C214DA"/>
    <w:rsid w:val="00C23453"/>
    <w:rsid w:val="00C24725"/>
    <w:rsid w:val="00C248FB"/>
    <w:rsid w:val="00C24B64"/>
    <w:rsid w:val="00C25E51"/>
    <w:rsid w:val="00C30BA9"/>
    <w:rsid w:val="00C31805"/>
    <w:rsid w:val="00C32EAA"/>
    <w:rsid w:val="00C33D0A"/>
    <w:rsid w:val="00C33E98"/>
    <w:rsid w:val="00C3541E"/>
    <w:rsid w:val="00C35839"/>
    <w:rsid w:val="00C36A8F"/>
    <w:rsid w:val="00C36FDE"/>
    <w:rsid w:val="00C37DFB"/>
    <w:rsid w:val="00C4238E"/>
    <w:rsid w:val="00C42FFA"/>
    <w:rsid w:val="00C45A81"/>
    <w:rsid w:val="00C4714A"/>
    <w:rsid w:val="00C4781F"/>
    <w:rsid w:val="00C507D8"/>
    <w:rsid w:val="00C5500A"/>
    <w:rsid w:val="00C56F14"/>
    <w:rsid w:val="00C60C78"/>
    <w:rsid w:val="00C622BF"/>
    <w:rsid w:val="00C62EAC"/>
    <w:rsid w:val="00C63A5E"/>
    <w:rsid w:val="00C63F9F"/>
    <w:rsid w:val="00C63FE1"/>
    <w:rsid w:val="00C65DBB"/>
    <w:rsid w:val="00C73E7D"/>
    <w:rsid w:val="00C742BC"/>
    <w:rsid w:val="00C759E2"/>
    <w:rsid w:val="00C75FE7"/>
    <w:rsid w:val="00C7723C"/>
    <w:rsid w:val="00C8265C"/>
    <w:rsid w:val="00C82C38"/>
    <w:rsid w:val="00C83EF8"/>
    <w:rsid w:val="00C85190"/>
    <w:rsid w:val="00C85742"/>
    <w:rsid w:val="00C932A7"/>
    <w:rsid w:val="00C9540D"/>
    <w:rsid w:val="00C96173"/>
    <w:rsid w:val="00C969AD"/>
    <w:rsid w:val="00CA05F2"/>
    <w:rsid w:val="00CA1AF4"/>
    <w:rsid w:val="00CA27DB"/>
    <w:rsid w:val="00CA2CBF"/>
    <w:rsid w:val="00CA2D06"/>
    <w:rsid w:val="00CA5740"/>
    <w:rsid w:val="00CA5B00"/>
    <w:rsid w:val="00CA6068"/>
    <w:rsid w:val="00CA6941"/>
    <w:rsid w:val="00CA6B9F"/>
    <w:rsid w:val="00CB15E1"/>
    <w:rsid w:val="00CB35E0"/>
    <w:rsid w:val="00CB3D46"/>
    <w:rsid w:val="00CB671E"/>
    <w:rsid w:val="00CC01B3"/>
    <w:rsid w:val="00CC1993"/>
    <w:rsid w:val="00CC3E40"/>
    <w:rsid w:val="00CD1878"/>
    <w:rsid w:val="00CD1A87"/>
    <w:rsid w:val="00CD2FE7"/>
    <w:rsid w:val="00CD35F3"/>
    <w:rsid w:val="00CD5027"/>
    <w:rsid w:val="00CD5C93"/>
    <w:rsid w:val="00CE0F34"/>
    <w:rsid w:val="00CE342B"/>
    <w:rsid w:val="00CE53B9"/>
    <w:rsid w:val="00CF0ED3"/>
    <w:rsid w:val="00CF1F4E"/>
    <w:rsid w:val="00CF320C"/>
    <w:rsid w:val="00CF3A4B"/>
    <w:rsid w:val="00CF4001"/>
    <w:rsid w:val="00CF5FAB"/>
    <w:rsid w:val="00D034C4"/>
    <w:rsid w:val="00D037C9"/>
    <w:rsid w:val="00D05837"/>
    <w:rsid w:val="00D0653E"/>
    <w:rsid w:val="00D12D8A"/>
    <w:rsid w:val="00D13579"/>
    <w:rsid w:val="00D13BDA"/>
    <w:rsid w:val="00D13E0C"/>
    <w:rsid w:val="00D21CF0"/>
    <w:rsid w:val="00D21E25"/>
    <w:rsid w:val="00D2271F"/>
    <w:rsid w:val="00D24D4A"/>
    <w:rsid w:val="00D254BA"/>
    <w:rsid w:val="00D25896"/>
    <w:rsid w:val="00D352B1"/>
    <w:rsid w:val="00D373A1"/>
    <w:rsid w:val="00D37C0F"/>
    <w:rsid w:val="00D41304"/>
    <w:rsid w:val="00D42E3C"/>
    <w:rsid w:val="00D45661"/>
    <w:rsid w:val="00D45943"/>
    <w:rsid w:val="00D47D22"/>
    <w:rsid w:val="00D5027C"/>
    <w:rsid w:val="00D51865"/>
    <w:rsid w:val="00D51D0C"/>
    <w:rsid w:val="00D6335C"/>
    <w:rsid w:val="00D65E3B"/>
    <w:rsid w:val="00D709B9"/>
    <w:rsid w:val="00D728B8"/>
    <w:rsid w:val="00D74140"/>
    <w:rsid w:val="00D751DF"/>
    <w:rsid w:val="00D762CF"/>
    <w:rsid w:val="00D76854"/>
    <w:rsid w:val="00D809F7"/>
    <w:rsid w:val="00D82C7F"/>
    <w:rsid w:val="00D8325F"/>
    <w:rsid w:val="00D85497"/>
    <w:rsid w:val="00D90008"/>
    <w:rsid w:val="00D93355"/>
    <w:rsid w:val="00D93A54"/>
    <w:rsid w:val="00D940ED"/>
    <w:rsid w:val="00D963E4"/>
    <w:rsid w:val="00D97351"/>
    <w:rsid w:val="00DA27DA"/>
    <w:rsid w:val="00DA4CB7"/>
    <w:rsid w:val="00DA6E56"/>
    <w:rsid w:val="00DB3651"/>
    <w:rsid w:val="00DB5943"/>
    <w:rsid w:val="00DC3BC5"/>
    <w:rsid w:val="00DC6705"/>
    <w:rsid w:val="00DD07E9"/>
    <w:rsid w:val="00DD268A"/>
    <w:rsid w:val="00DD2BFC"/>
    <w:rsid w:val="00DD2DE8"/>
    <w:rsid w:val="00DD471D"/>
    <w:rsid w:val="00DD6F23"/>
    <w:rsid w:val="00DE176D"/>
    <w:rsid w:val="00DE364F"/>
    <w:rsid w:val="00DE38B4"/>
    <w:rsid w:val="00DE39DD"/>
    <w:rsid w:val="00DE55A2"/>
    <w:rsid w:val="00DE5D02"/>
    <w:rsid w:val="00DE634F"/>
    <w:rsid w:val="00DF0C29"/>
    <w:rsid w:val="00DF0EB8"/>
    <w:rsid w:val="00DF12AB"/>
    <w:rsid w:val="00DF2A11"/>
    <w:rsid w:val="00E005A9"/>
    <w:rsid w:val="00E019FA"/>
    <w:rsid w:val="00E028FA"/>
    <w:rsid w:val="00E02FB2"/>
    <w:rsid w:val="00E06C30"/>
    <w:rsid w:val="00E07027"/>
    <w:rsid w:val="00E07A10"/>
    <w:rsid w:val="00E1166E"/>
    <w:rsid w:val="00E14EBF"/>
    <w:rsid w:val="00E1610E"/>
    <w:rsid w:val="00E16D3B"/>
    <w:rsid w:val="00E16E6C"/>
    <w:rsid w:val="00E17D3A"/>
    <w:rsid w:val="00E20044"/>
    <w:rsid w:val="00E24DC0"/>
    <w:rsid w:val="00E2519C"/>
    <w:rsid w:val="00E258F3"/>
    <w:rsid w:val="00E25F2A"/>
    <w:rsid w:val="00E2722B"/>
    <w:rsid w:val="00E30591"/>
    <w:rsid w:val="00E35EF9"/>
    <w:rsid w:val="00E3740E"/>
    <w:rsid w:val="00E37A5F"/>
    <w:rsid w:val="00E41455"/>
    <w:rsid w:val="00E42AD2"/>
    <w:rsid w:val="00E43DDC"/>
    <w:rsid w:val="00E46929"/>
    <w:rsid w:val="00E50032"/>
    <w:rsid w:val="00E50856"/>
    <w:rsid w:val="00E538CC"/>
    <w:rsid w:val="00E54DBA"/>
    <w:rsid w:val="00E57074"/>
    <w:rsid w:val="00E627AF"/>
    <w:rsid w:val="00E63D7C"/>
    <w:rsid w:val="00E640D5"/>
    <w:rsid w:val="00E67691"/>
    <w:rsid w:val="00E719B8"/>
    <w:rsid w:val="00E737B8"/>
    <w:rsid w:val="00E76B22"/>
    <w:rsid w:val="00E82D77"/>
    <w:rsid w:val="00E86209"/>
    <w:rsid w:val="00E869E0"/>
    <w:rsid w:val="00E91894"/>
    <w:rsid w:val="00E92237"/>
    <w:rsid w:val="00E951EF"/>
    <w:rsid w:val="00E95D54"/>
    <w:rsid w:val="00E96A0F"/>
    <w:rsid w:val="00EA3799"/>
    <w:rsid w:val="00EA3D54"/>
    <w:rsid w:val="00EA42AB"/>
    <w:rsid w:val="00EA5568"/>
    <w:rsid w:val="00EA56D9"/>
    <w:rsid w:val="00EA5CE3"/>
    <w:rsid w:val="00EB0E36"/>
    <w:rsid w:val="00EB1802"/>
    <w:rsid w:val="00EB430E"/>
    <w:rsid w:val="00EB51C1"/>
    <w:rsid w:val="00EB5AE1"/>
    <w:rsid w:val="00EB5E0B"/>
    <w:rsid w:val="00EC01F5"/>
    <w:rsid w:val="00EC1826"/>
    <w:rsid w:val="00EC2171"/>
    <w:rsid w:val="00EC55BD"/>
    <w:rsid w:val="00EC719C"/>
    <w:rsid w:val="00EC7F85"/>
    <w:rsid w:val="00ED329A"/>
    <w:rsid w:val="00ED442D"/>
    <w:rsid w:val="00ED4B9F"/>
    <w:rsid w:val="00ED70C2"/>
    <w:rsid w:val="00EE048F"/>
    <w:rsid w:val="00EE18FF"/>
    <w:rsid w:val="00EE19C2"/>
    <w:rsid w:val="00EE2A70"/>
    <w:rsid w:val="00EE31CA"/>
    <w:rsid w:val="00EE489F"/>
    <w:rsid w:val="00EE585F"/>
    <w:rsid w:val="00EE58C5"/>
    <w:rsid w:val="00EE7F33"/>
    <w:rsid w:val="00EF1D09"/>
    <w:rsid w:val="00EF79C4"/>
    <w:rsid w:val="00F00E5A"/>
    <w:rsid w:val="00F019BE"/>
    <w:rsid w:val="00F020BC"/>
    <w:rsid w:val="00F0647F"/>
    <w:rsid w:val="00F10CE3"/>
    <w:rsid w:val="00F12402"/>
    <w:rsid w:val="00F14F3B"/>
    <w:rsid w:val="00F16362"/>
    <w:rsid w:val="00F207C7"/>
    <w:rsid w:val="00F211EA"/>
    <w:rsid w:val="00F33528"/>
    <w:rsid w:val="00F33E79"/>
    <w:rsid w:val="00F36B6D"/>
    <w:rsid w:val="00F36DC2"/>
    <w:rsid w:val="00F42560"/>
    <w:rsid w:val="00F43FA3"/>
    <w:rsid w:val="00F44C2D"/>
    <w:rsid w:val="00F44F92"/>
    <w:rsid w:val="00F44FDA"/>
    <w:rsid w:val="00F473DF"/>
    <w:rsid w:val="00F53D11"/>
    <w:rsid w:val="00F54D99"/>
    <w:rsid w:val="00F57B24"/>
    <w:rsid w:val="00F57C83"/>
    <w:rsid w:val="00F62E8B"/>
    <w:rsid w:val="00F63828"/>
    <w:rsid w:val="00F64270"/>
    <w:rsid w:val="00F70046"/>
    <w:rsid w:val="00F71725"/>
    <w:rsid w:val="00F726F4"/>
    <w:rsid w:val="00F73EB0"/>
    <w:rsid w:val="00F748C2"/>
    <w:rsid w:val="00F74EC3"/>
    <w:rsid w:val="00F76C5C"/>
    <w:rsid w:val="00F81733"/>
    <w:rsid w:val="00F81EF3"/>
    <w:rsid w:val="00F83A4A"/>
    <w:rsid w:val="00F84496"/>
    <w:rsid w:val="00F85DC2"/>
    <w:rsid w:val="00F85DCB"/>
    <w:rsid w:val="00F86A09"/>
    <w:rsid w:val="00F86F9C"/>
    <w:rsid w:val="00F9706F"/>
    <w:rsid w:val="00F9725D"/>
    <w:rsid w:val="00FA14FA"/>
    <w:rsid w:val="00FA7949"/>
    <w:rsid w:val="00FA7AB6"/>
    <w:rsid w:val="00FA7E7D"/>
    <w:rsid w:val="00FC002E"/>
    <w:rsid w:val="00FC3628"/>
    <w:rsid w:val="00FC4C23"/>
    <w:rsid w:val="00FC55D8"/>
    <w:rsid w:val="00FC642E"/>
    <w:rsid w:val="00FD0C41"/>
    <w:rsid w:val="00FD1DB8"/>
    <w:rsid w:val="00FD3421"/>
    <w:rsid w:val="00FD3CF7"/>
    <w:rsid w:val="00FD528C"/>
    <w:rsid w:val="00FE086D"/>
    <w:rsid w:val="00FE2AE4"/>
    <w:rsid w:val="00FE689F"/>
    <w:rsid w:val="00FF3EE7"/>
    <w:rsid w:val="00FF408B"/>
    <w:rsid w:val="00FF614D"/>
    <w:rsid w:val="00FF7D7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6E965AB0"/>
  <w15:docId w15:val="{F9C324FB-7F4E-46B3-A035-C1131336E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4D3DB9"/>
    <w:rPr>
      <w:color w:val="auto"/>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E5D02"/>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E5D02"/>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customStyle="1" w:styleId="msonormal0">
    <w:name w:val="msonormal"/>
    <w:basedOn w:val="Normal"/>
    <w:rsid w:val="00BE61A2"/>
    <w:pPr>
      <w:spacing w:before="100" w:beforeAutospacing="1" w:after="100" w:afterAutospacing="1" w:line="240" w:lineRule="auto"/>
    </w:pPr>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BE61A2"/>
    <w:rPr>
      <w:color w:val="800080"/>
      <w:u w:val="single"/>
    </w:rPr>
  </w:style>
  <w:style w:type="paragraph" w:customStyle="1" w:styleId="H1">
    <w:name w:val="H1"/>
    <w:basedOn w:val="Normal"/>
    <w:next w:val="Normal"/>
    <w:uiPriority w:val="99"/>
    <w:rsid w:val="00C4238E"/>
    <w:pPr>
      <w:keepNext/>
      <w:suppressAutoHyphens/>
      <w:autoSpaceDE w:val="0"/>
      <w:autoSpaceDN w:val="0"/>
      <w:adjustRightInd w:val="0"/>
      <w:spacing w:after="113" w:line="288" w:lineRule="auto"/>
      <w:textAlignment w:val="baseline"/>
    </w:pPr>
    <w:rPr>
      <w:rFonts w:ascii="Myriad Pro Light" w:eastAsiaTheme="minorHAnsi" w:hAnsi="Myriad Pro Light" w:cs="Myriad Pro Light"/>
      <w:color w:val="000000"/>
      <w:sz w:val="27"/>
      <w:szCs w:val="27"/>
      <w:lang w:val="en-GB" w:eastAsia="en-US"/>
    </w:rPr>
  </w:style>
  <w:style w:type="paragraph" w:customStyle="1" w:styleId="OLLV1Lists">
    <w:name w:val="OL LV1  (Lists)"/>
    <w:basedOn w:val="Normal"/>
    <w:uiPriority w:val="99"/>
    <w:rsid w:val="00C4238E"/>
    <w:pPr>
      <w:tabs>
        <w:tab w:val="left" w:pos="240"/>
        <w:tab w:val="left" w:pos="480"/>
      </w:tabs>
      <w:autoSpaceDE w:val="0"/>
      <w:autoSpaceDN w:val="0"/>
      <w:adjustRightInd w:val="0"/>
      <w:spacing w:after="170" w:line="288" w:lineRule="auto"/>
      <w:ind w:left="240" w:hanging="240"/>
      <w:textAlignment w:val="center"/>
    </w:pPr>
    <w:rPr>
      <w:rFonts w:ascii="Minion Pro" w:eastAsiaTheme="minorHAnsi" w:hAnsi="Minion Pro" w:cs="Minion Pro"/>
      <w:color w:val="000000"/>
      <w:sz w:val="24"/>
      <w:szCs w:val="24"/>
      <w:lang w:val="en-GB" w:eastAsia="en-US"/>
    </w:rPr>
  </w:style>
  <w:style w:type="character" w:customStyle="1" w:styleId="A9">
    <w:name w:val="A9"/>
    <w:uiPriority w:val="99"/>
    <w:rsid w:val="00F73EB0"/>
    <w:rPr>
      <w:rFonts w:ascii="Minion Pro SmBd" w:hAnsi="Minion Pro SmBd" w:cs="Minion Pro SmBd"/>
      <w:b/>
      <w:bCs/>
      <w:color w:val="211D1E"/>
      <w:sz w:val="14"/>
      <w:szCs w:val="14"/>
    </w:rPr>
  </w:style>
  <w:style w:type="paragraph" w:customStyle="1" w:styleId="Pa17">
    <w:name w:val="Pa17"/>
    <w:basedOn w:val="Normal"/>
    <w:next w:val="Normal"/>
    <w:uiPriority w:val="99"/>
    <w:rsid w:val="00A37B16"/>
    <w:pPr>
      <w:autoSpaceDE w:val="0"/>
      <w:autoSpaceDN w:val="0"/>
      <w:adjustRightInd w:val="0"/>
      <w:spacing w:after="0" w:line="167" w:lineRule="atLeast"/>
    </w:pPr>
    <w:rPr>
      <w:rFonts w:ascii="Myriad Pro" w:hAnsi="Myriad Pro"/>
      <w:sz w:val="24"/>
      <w:szCs w:val="24"/>
    </w:rPr>
  </w:style>
  <w:style w:type="character" w:customStyle="1" w:styleId="A13">
    <w:name w:val="A13"/>
    <w:uiPriority w:val="99"/>
    <w:rsid w:val="00907F2A"/>
    <w:rPr>
      <w:rFonts w:cs="Myriad Pro"/>
      <w:color w:val="211D1E"/>
      <w:sz w:val="9"/>
      <w:szCs w:val="9"/>
    </w:rPr>
  </w:style>
  <w:style w:type="paragraph" w:styleId="FootnoteText">
    <w:name w:val="footnote text"/>
    <w:basedOn w:val="Normal"/>
    <w:link w:val="FootnoteTextChar"/>
    <w:uiPriority w:val="99"/>
    <w:semiHidden/>
    <w:unhideWhenUsed/>
    <w:rsid w:val="00C3180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31805"/>
    <w:rPr>
      <w:sz w:val="20"/>
      <w:szCs w:val="20"/>
    </w:rPr>
  </w:style>
  <w:style w:type="character" w:styleId="FootnoteReference">
    <w:name w:val="footnote reference"/>
    <w:basedOn w:val="DefaultParagraphFont"/>
    <w:uiPriority w:val="99"/>
    <w:semiHidden/>
    <w:unhideWhenUsed/>
    <w:rsid w:val="00C31805"/>
    <w:rPr>
      <w:vertAlign w:val="superscript"/>
    </w:rPr>
  </w:style>
  <w:style w:type="paragraph" w:customStyle="1" w:styleId="Pa12">
    <w:name w:val="Pa12"/>
    <w:basedOn w:val="Normal"/>
    <w:next w:val="Normal"/>
    <w:uiPriority w:val="99"/>
    <w:rsid w:val="0079028C"/>
    <w:pPr>
      <w:autoSpaceDE w:val="0"/>
      <w:autoSpaceDN w:val="0"/>
      <w:adjustRightInd w:val="0"/>
      <w:spacing w:after="0" w:line="167" w:lineRule="atLeast"/>
    </w:pPr>
    <w:rPr>
      <w:rFonts w:ascii="Myriad Pro" w:hAnsi="Myriad Pro"/>
      <w:sz w:val="24"/>
      <w:szCs w:val="24"/>
    </w:rPr>
  </w:style>
  <w:style w:type="paragraph" w:styleId="TOC1">
    <w:name w:val="toc 1"/>
    <w:basedOn w:val="Normal"/>
    <w:next w:val="Normal"/>
    <w:autoRedefine/>
    <w:uiPriority w:val="39"/>
    <w:unhideWhenUsed/>
    <w:rsid w:val="004C4D4F"/>
    <w:pPr>
      <w:spacing w:after="100"/>
    </w:pPr>
    <w:rPr>
      <w:b/>
      <w:caps/>
    </w:rPr>
  </w:style>
  <w:style w:type="paragraph" w:styleId="TOC2">
    <w:name w:val="toc 2"/>
    <w:basedOn w:val="Normal"/>
    <w:next w:val="Normal"/>
    <w:autoRedefine/>
    <w:uiPriority w:val="39"/>
    <w:unhideWhenUsed/>
    <w:rsid w:val="004C4D4F"/>
    <w:pPr>
      <w:spacing w:after="100"/>
      <w:ind w:left="220"/>
    </w:pPr>
    <w:rPr>
      <w:b/>
    </w:rPr>
  </w:style>
  <w:style w:type="paragraph" w:styleId="TOC3">
    <w:name w:val="toc 3"/>
    <w:basedOn w:val="Normal"/>
    <w:next w:val="Normal"/>
    <w:autoRedefine/>
    <w:uiPriority w:val="39"/>
    <w:unhideWhenUsed/>
    <w:rsid w:val="00F019BE"/>
    <w:pPr>
      <w:spacing w:after="100"/>
      <w:ind w:left="440"/>
    </w:pPr>
  </w:style>
  <w:style w:type="paragraph" w:styleId="TOC4">
    <w:name w:val="toc 4"/>
    <w:basedOn w:val="Normal"/>
    <w:next w:val="Normal"/>
    <w:autoRedefine/>
    <w:uiPriority w:val="39"/>
    <w:unhideWhenUsed/>
    <w:rsid w:val="00F019BE"/>
    <w:pPr>
      <w:spacing w:after="100" w:line="259" w:lineRule="auto"/>
      <w:ind w:left="660"/>
    </w:pPr>
  </w:style>
  <w:style w:type="paragraph" w:styleId="TOC5">
    <w:name w:val="toc 5"/>
    <w:basedOn w:val="Normal"/>
    <w:next w:val="Normal"/>
    <w:autoRedefine/>
    <w:uiPriority w:val="39"/>
    <w:unhideWhenUsed/>
    <w:rsid w:val="00F019BE"/>
    <w:pPr>
      <w:spacing w:after="100" w:line="259" w:lineRule="auto"/>
      <w:ind w:left="880"/>
    </w:pPr>
  </w:style>
  <w:style w:type="paragraph" w:styleId="TOC6">
    <w:name w:val="toc 6"/>
    <w:basedOn w:val="Normal"/>
    <w:next w:val="Normal"/>
    <w:autoRedefine/>
    <w:uiPriority w:val="39"/>
    <w:unhideWhenUsed/>
    <w:rsid w:val="00F019BE"/>
    <w:pPr>
      <w:spacing w:after="100" w:line="259" w:lineRule="auto"/>
      <w:ind w:left="1100"/>
    </w:pPr>
  </w:style>
  <w:style w:type="paragraph" w:styleId="TOC7">
    <w:name w:val="toc 7"/>
    <w:basedOn w:val="Normal"/>
    <w:next w:val="Normal"/>
    <w:autoRedefine/>
    <w:uiPriority w:val="39"/>
    <w:unhideWhenUsed/>
    <w:rsid w:val="00F019BE"/>
    <w:pPr>
      <w:spacing w:after="100" w:line="259" w:lineRule="auto"/>
      <w:ind w:left="1320"/>
    </w:pPr>
  </w:style>
  <w:style w:type="paragraph" w:styleId="TOC8">
    <w:name w:val="toc 8"/>
    <w:basedOn w:val="Normal"/>
    <w:next w:val="Normal"/>
    <w:autoRedefine/>
    <w:uiPriority w:val="39"/>
    <w:unhideWhenUsed/>
    <w:rsid w:val="00F019BE"/>
    <w:pPr>
      <w:spacing w:after="100" w:line="259" w:lineRule="auto"/>
      <w:ind w:left="1540"/>
    </w:pPr>
  </w:style>
  <w:style w:type="paragraph" w:styleId="TOC9">
    <w:name w:val="toc 9"/>
    <w:basedOn w:val="Normal"/>
    <w:next w:val="Normal"/>
    <w:autoRedefine/>
    <w:uiPriority w:val="39"/>
    <w:unhideWhenUsed/>
    <w:rsid w:val="00F019BE"/>
    <w:pPr>
      <w:spacing w:after="100" w:line="259" w:lineRule="auto"/>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647635223">
      <w:bodyDiv w:val="1"/>
      <w:marLeft w:val="0"/>
      <w:marRight w:val="0"/>
      <w:marTop w:val="0"/>
      <w:marBottom w:val="0"/>
      <w:divBdr>
        <w:top w:val="none" w:sz="0" w:space="0" w:color="auto"/>
        <w:left w:val="none" w:sz="0" w:space="0" w:color="auto"/>
        <w:bottom w:val="none" w:sz="0" w:space="0" w:color="auto"/>
        <w:right w:val="none" w:sz="0" w:space="0" w:color="auto"/>
      </w:divBdr>
    </w:div>
    <w:div w:id="211073299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99.jpeg"/><Relationship Id="rId21" Type="http://schemas.openxmlformats.org/officeDocument/2006/relationships/image" Target="media/image7.jpeg"/><Relationship Id="rId42" Type="http://schemas.openxmlformats.org/officeDocument/2006/relationships/image" Target="media/image26.jpeg"/><Relationship Id="rId47" Type="http://schemas.openxmlformats.org/officeDocument/2006/relationships/image" Target="media/image31.jpeg"/><Relationship Id="rId63" Type="http://schemas.openxmlformats.org/officeDocument/2006/relationships/hyperlink" Target="http://www.health.gov.au/internet/main/publishing.nsf/Content/ohp-infectious-syphilis-outbreak.htm" TargetMode="External"/><Relationship Id="rId68" Type="http://schemas.openxmlformats.org/officeDocument/2006/relationships/image" Target="media/image51.jpeg"/><Relationship Id="rId84" Type="http://schemas.openxmlformats.org/officeDocument/2006/relationships/image" Target="media/image67.jpeg"/><Relationship Id="rId89" Type="http://schemas.openxmlformats.org/officeDocument/2006/relationships/image" Target="media/image72.jpeg"/><Relationship Id="rId112" Type="http://schemas.openxmlformats.org/officeDocument/2006/relationships/image" Target="media/image94.jpeg"/><Relationship Id="rId133" Type="http://schemas.openxmlformats.org/officeDocument/2006/relationships/image" Target="media/image115.jpeg"/><Relationship Id="rId138" Type="http://schemas.openxmlformats.org/officeDocument/2006/relationships/image" Target="media/image120.jpeg"/><Relationship Id="rId154" Type="http://schemas.openxmlformats.org/officeDocument/2006/relationships/hyperlink" Target="http://www.ncbi.nlm.nih.gov/pubmed/18588772" TargetMode="External"/><Relationship Id="rId159" Type="http://schemas.openxmlformats.org/officeDocument/2006/relationships/hyperlink" Target="http://www.who.int/immunization/monitoring_surveillance/burden/vpd/surveillance_type/active/poliomyelitis_standards/en/" TargetMode="External"/><Relationship Id="rId175" Type="http://schemas.openxmlformats.org/officeDocument/2006/relationships/hyperlink" Target="http://www.sciencedirect.com/science/article/pii/S0020245297835295" TargetMode="External"/><Relationship Id="rId170" Type="http://schemas.openxmlformats.org/officeDocument/2006/relationships/hyperlink" Target="http://www.ncbi.nlm.nih.gov/pubmed/27442327" TargetMode="External"/><Relationship Id="rId191" Type="http://schemas.openxmlformats.org/officeDocument/2006/relationships/hyperlink" Target="http://www.itsanhonour.gov.au/" TargetMode="External"/><Relationship Id="rId196" Type="http://schemas.openxmlformats.org/officeDocument/2006/relationships/theme" Target="theme/theme1.xml"/><Relationship Id="rId16" Type="http://schemas.openxmlformats.org/officeDocument/2006/relationships/hyperlink" Target="http://www.kirby.unsw.edu.au/" TargetMode="External"/><Relationship Id="rId107" Type="http://schemas.openxmlformats.org/officeDocument/2006/relationships/image" Target="media/image89.jpeg"/><Relationship Id="rId11" Type="http://schemas.openxmlformats.org/officeDocument/2006/relationships/header" Target="header1.xml"/><Relationship Id="rId32" Type="http://schemas.openxmlformats.org/officeDocument/2006/relationships/image" Target="media/image17.jpeg"/><Relationship Id="rId37" Type="http://schemas.openxmlformats.org/officeDocument/2006/relationships/image" Target="media/image22.jpeg"/><Relationship Id="rId53" Type="http://schemas.openxmlformats.org/officeDocument/2006/relationships/image" Target="media/image37.jpeg"/><Relationship Id="rId58" Type="http://schemas.openxmlformats.org/officeDocument/2006/relationships/image" Target="media/image42.jpeg"/><Relationship Id="rId74" Type="http://schemas.openxmlformats.org/officeDocument/2006/relationships/image" Target="media/image57.jpeg"/><Relationship Id="rId79" Type="http://schemas.openxmlformats.org/officeDocument/2006/relationships/image" Target="media/image62.jpeg"/><Relationship Id="rId102" Type="http://schemas.openxmlformats.org/officeDocument/2006/relationships/image" Target="media/image84.jpeg"/><Relationship Id="rId123" Type="http://schemas.openxmlformats.org/officeDocument/2006/relationships/image" Target="media/image105.jpeg"/><Relationship Id="rId128" Type="http://schemas.openxmlformats.org/officeDocument/2006/relationships/image" Target="media/image110.jpeg"/><Relationship Id="rId144" Type="http://schemas.openxmlformats.org/officeDocument/2006/relationships/hyperlink" Target="http://www.ncbi.nlm.nih.gov/pubmed/17509173" TargetMode="External"/><Relationship Id="rId149" Type="http://schemas.openxmlformats.org/officeDocument/2006/relationships/hyperlink" Target="http://www.ncbi.nlm.nih.gov/entrez/query.fcgi?cmd=Retrieve&amp;db=PubMed&amp;dopt=Citation&amp;list_uids=17874982" TargetMode="External"/><Relationship Id="rId5" Type="http://schemas.openxmlformats.org/officeDocument/2006/relationships/settings" Target="settings.xml"/><Relationship Id="rId90" Type="http://schemas.openxmlformats.org/officeDocument/2006/relationships/image" Target="media/image73.jpeg"/><Relationship Id="rId95" Type="http://schemas.openxmlformats.org/officeDocument/2006/relationships/image" Target="media/image77.jpeg"/><Relationship Id="rId160" Type="http://schemas.openxmlformats.org/officeDocument/2006/relationships/hyperlink" Target="http://www.health.gov.au/internet/main/publishing.nsf/content/cda-pubs-annlrpt-polioanrep.htm" TargetMode="External"/><Relationship Id="rId165" Type="http://schemas.openxmlformats.org/officeDocument/2006/relationships/hyperlink" Target="http://dx.doi.org/10.1371%2Fjournal.pntd.0001619" TargetMode="External"/><Relationship Id="rId181" Type="http://schemas.openxmlformats.org/officeDocument/2006/relationships/hyperlink" Target="http://www.ncbi.nlm.nih.gov/pubmed/12364373" TargetMode="External"/><Relationship Id="rId186" Type="http://schemas.openxmlformats.org/officeDocument/2006/relationships/hyperlink" Target="http://www.health.gov.au/cdi" TargetMode="External"/><Relationship Id="rId22" Type="http://schemas.openxmlformats.org/officeDocument/2006/relationships/image" Target="media/image8.jpeg"/><Relationship Id="rId27" Type="http://schemas.openxmlformats.org/officeDocument/2006/relationships/image" Target="media/image13.jpeg"/><Relationship Id="rId43" Type="http://schemas.openxmlformats.org/officeDocument/2006/relationships/image" Target="media/image27.jpeg"/><Relationship Id="rId48" Type="http://schemas.openxmlformats.org/officeDocument/2006/relationships/image" Target="media/image32.jpeg"/><Relationship Id="rId64" Type="http://schemas.openxmlformats.org/officeDocument/2006/relationships/image" Target="media/image47.jpeg"/><Relationship Id="rId69" Type="http://schemas.openxmlformats.org/officeDocument/2006/relationships/image" Target="media/image52.jpeg"/><Relationship Id="rId113" Type="http://schemas.openxmlformats.org/officeDocument/2006/relationships/image" Target="media/image95.jpeg"/><Relationship Id="rId118" Type="http://schemas.openxmlformats.org/officeDocument/2006/relationships/image" Target="media/image100.jpeg"/><Relationship Id="rId134" Type="http://schemas.openxmlformats.org/officeDocument/2006/relationships/image" Target="media/image116.jpeg"/><Relationship Id="rId139" Type="http://schemas.openxmlformats.org/officeDocument/2006/relationships/hyperlink" Target="http://www.comlaw.gov.au/ComLaw/legislation/LegislativeInstrument1.nsf/0/7162D634C6DD1BAACA25740B0079D6B8?OpenDocument" TargetMode="External"/><Relationship Id="rId80" Type="http://schemas.openxmlformats.org/officeDocument/2006/relationships/image" Target="media/image63.jpeg"/><Relationship Id="rId85" Type="http://schemas.openxmlformats.org/officeDocument/2006/relationships/image" Target="media/image68.jpeg"/><Relationship Id="rId150" Type="http://schemas.openxmlformats.org/officeDocument/2006/relationships/hyperlink" Target="http://www.ncbi.nlm.nih.gov/pmc/articles/PMC3654745/" TargetMode="External"/><Relationship Id="rId155" Type="http://schemas.openxmlformats.org/officeDocument/2006/relationships/hyperlink" Target="http://informahealthcare.com/doi/abs/10.3111/13696998.2012.752376" TargetMode="External"/><Relationship Id="rId171" Type="http://schemas.openxmlformats.org/officeDocument/2006/relationships/hyperlink" Target="http://search.ebscohost.com/login.aspx?direct=true&amp;db=mnh&amp;AN=10397044&amp;site=ehost-live" TargetMode="External"/><Relationship Id="rId176" Type="http://schemas.openxmlformats.org/officeDocument/2006/relationships/hyperlink" Target="http://www.ncbi.nlm.nih.gov/pubmed/24590754" TargetMode="External"/><Relationship Id="rId192" Type="http://schemas.openxmlformats.org/officeDocument/2006/relationships/hyperlink" Target="mailto:copyright@health.gov.au" TargetMode="External"/><Relationship Id="rId12" Type="http://schemas.openxmlformats.org/officeDocument/2006/relationships/footer" Target="footer1.xml"/><Relationship Id="rId17" Type="http://schemas.openxmlformats.org/officeDocument/2006/relationships/image" Target="media/image3.jpeg"/><Relationship Id="rId33" Type="http://schemas.openxmlformats.org/officeDocument/2006/relationships/image" Target="media/image18.jpeg"/><Relationship Id="rId38" Type="http://schemas.openxmlformats.org/officeDocument/2006/relationships/hyperlink" Target="http://health.gov.au/internet/main/publishing.nsf/Content/cdna-ozfoodnet-reports.htm" TargetMode="External"/><Relationship Id="rId59" Type="http://schemas.openxmlformats.org/officeDocument/2006/relationships/image" Target="media/image43.jpeg"/><Relationship Id="rId103" Type="http://schemas.openxmlformats.org/officeDocument/2006/relationships/image" Target="media/image85.jpeg"/><Relationship Id="rId108" Type="http://schemas.openxmlformats.org/officeDocument/2006/relationships/image" Target="media/image90.jpeg"/><Relationship Id="rId124" Type="http://schemas.openxmlformats.org/officeDocument/2006/relationships/image" Target="media/image106.jpeg"/><Relationship Id="rId129" Type="http://schemas.openxmlformats.org/officeDocument/2006/relationships/image" Target="media/image111.jpeg"/><Relationship Id="rId54" Type="http://schemas.openxmlformats.org/officeDocument/2006/relationships/image" Target="media/image38.jpeg"/><Relationship Id="rId70" Type="http://schemas.openxmlformats.org/officeDocument/2006/relationships/image" Target="media/image53.jpeg"/><Relationship Id="rId75" Type="http://schemas.openxmlformats.org/officeDocument/2006/relationships/image" Target="media/image58.jpeg"/><Relationship Id="rId91" Type="http://schemas.openxmlformats.org/officeDocument/2006/relationships/image" Target="media/image74.jpeg"/><Relationship Id="rId96" Type="http://schemas.openxmlformats.org/officeDocument/2006/relationships/image" Target="media/image78.jpeg"/><Relationship Id="rId140" Type="http://schemas.openxmlformats.org/officeDocument/2006/relationships/hyperlink" Target="http://www.ncbi.nlm.nih.gov/pubmed/25631598" TargetMode="External"/><Relationship Id="rId145" Type="http://schemas.openxmlformats.org/officeDocument/2006/relationships/hyperlink" Target="http://www.ncbi.nlm.nih.gov/pubmed/24410428" TargetMode="External"/><Relationship Id="rId161" Type="http://schemas.openxmlformats.org/officeDocument/2006/relationships/hyperlink" Target="http://polioeradication.org/polio-today/polio-now/wild-poliovirus-list/" TargetMode="External"/><Relationship Id="rId166" Type="http://schemas.openxmlformats.org/officeDocument/2006/relationships/hyperlink" Target="http://www.ncbi.nlm.nih.gov/pubmed/25625872" TargetMode="External"/><Relationship Id="rId182" Type="http://schemas.openxmlformats.org/officeDocument/2006/relationships/hyperlink" Target="http://www.ncbi.nlm.nih.gov/pubmed/24882235" TargetMode="External"/><Relationship Id="rId187"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9.jpeg"/><Relationship Id="rId28" Type="http://schemas.openxmlformats.org/officeDocument/2006/relationships/hyperlink" Target="http://www9.health.gov.au/cda/source/cda-index.cfm" TargetMode="External"/><Relationship Id="rId49" Type="http://schemas.openxmlformats.org/officeDocument/2006/relationships/image" Target="media/image33.jpeg"/><Relationship Id="rId114" Type="http://schemas.openxmlformats.org/officeDocument/2006/relationships/image" Target="media/image96.jpeg"/><Relationship Id="rId119" Type="http://schemas.openxmlformats.org/officeDocument/2006/relationships/image" Target="media/image101.jpeg"/><Relationship Id="rId44" Type="http://schemas.openxmlformats.org/officeDocument/2006/relationships/image" Target="media/image28.jpeg"/><Relationship Id="rId60" Type="http://schemas.openxmlformats.org/officeDocument/2006/relationships/image" Target="media/image44.jpeg"/><Relationship Id="rId65" Type="http://schemas.openxmlformats.org/officeDocument/2006/relationships/image" Target="media/image48.jpeg"/><Relationship Id="rId81" Type="http://schemas.openxmlformats.org/officeDocument/2006/relationships/image" Target="media/image64.jpeg"/><Relationship Id="rId86" Type="http://schemas.openxmlformats.org/officeDocument/2006/relationships/image" Target="media/image69.jpeg"/><Relationship Id="rId130" Type="http://schemas.openxmlformats.org/officeDocument/2006/relationships/image" Target="media/image112.jpeg"/><Relationship Id="rId135" Type="http://schemas.openxmlformats.org/officeDocument/2006/relationships/image" Target="media/image117.jpeg"/><Relationship Id="rId151" Type="http://schemas.openxmlformats.org/officeDocument/2006/relationships/hyperlink" Target="http://ideas.health.vic.gov.au/bluebook/" TargetMode="External"/><Relationship Id="rId156" Type="http://schemas.openxmlformats.org/officeDocument/2006/relationships/hyperlink" Target="https://www.who.int/westernpacific/news/detail/20-03-2014-four-western-pacific-countries-and-areas-are-the-first-in-their-region-to-be-measles-free" TargetMode="External"/><Relationship Id="rId177" Type="http://schemas.openxmlformats.org/officeDocument/2006/relationships/hyperlink" Target="http://www.ncbi.nlm.nih.gov/pubmed/20889883" TargetMode="External"/><Relationship Id="rId172" Type="http://schemas.openxmlformats.org/officeDocument/2006/relationships/hyperlink" Target="http://www.ncbi.nlm.nih.gov/entrez/query.fcgi?cmd=Retrieve&amp;db=PubMed&amp;dopt=Citation&amp;list_uids=18171245" TargetMode="External"/><Relationship Id="rId193" Type="http://schemas.openxmlformats.org/officeDocument/2006/relationships/hyperlink" Target="http://www.health.gov.au/cdna" TargetMode="External"/><Relationship Id="rId13" Type="http://schemas.openxmlformats.org/officeDocument/2006/relationships/footer" Target="footer2.xml"/><Relationship Id="rId18" Type="http://schemas.openxmlformats.org/officeDocument/2006/relationships/image" Target="media/image4.jpeg"/><Relationship Id="rId39" Type="http://schemas.openxmlformats.org/officeDocument/2006/relationships/image" Target="media/image23.jpeg"/><Relationship Id="rId109" Type="http://schemas.openxmlformats.org/officeDocument/2006/relationships/image" Target="media/image91.jpeg"/><Relationship Id="rId34" Type="http://schemas.openxmlformats.org/officeDocument/2006/relationships/image" Target="media/image19.jpeg"/><Relationship Id="rId50" Type="http://schemas.openxmlformats.org/officeDocument/2006/relationships/image" Target="media/image34.jpeg"/><Relationship Id="rId55" Type="http://schemas.openxmlformats.org/officeDocument/2006/relationships/image" Target="media/image39.jpeg"/><Relationship Id="rId76" Type="http://schemas.openxmlformats.org/officeDocument/2006/relationships/image" Target="media/image59.jpeg"/><Relationship Id="rId97" Type="http://schemas.openxmlformats.org/officeDocument/2006/relationships/image" Target="media/image79.jpeg"/><Relationship Id="rId104" Type="http://schemas.openxmlformats.org/officeDocument/2006/relationships/image" Target="media/image86.jpeg"/><Relationship Id="rId120" Type="http://schemas.openxmlformats.org/officeDocument/2006/relationships/image" Target="media/image102.jpeg"/><Relationship Id="rId125" Type="http://schemas.openxmlformats.org/officeDocument/2006/relationships/image" Target="media/image107.jpeg"/><Relationship Id="rId141" Type="http://schemas.openxmlformats.org/officeDocument/2006/relationships/hyperlink" Target="http://www.abs.gov.au/AUSSTATS/abs@.nsf/Lookup/3101.0Main+Features1Dec%202014?OpenDocument" TargetMode="External"/><Relationship Id="rId146" Type="http://schemas.openxmlformats.org/officeDocument/2006/relationships/hyperlink" Target="http://www.sciencedirect.com/science/article/B6T63-4P9T9DN-1/2/c47a08209436db04e11be1d03794a93f" TargetMode="External"/><Relationship Id="rId167" Type="http://schemas.openxmlformats.org/officeDocument/2006/relationships/hyperlink" Target="http://www.who.int/mediacentre/news/statements/2016/1st-emergency-committee-zika/en/" TargetMode="External"/><Relationship Id="rId188" Type="http://schemas.openxmlformats.org/officeDocument/2006/relationships/hyperlink" Target="http://health.gov.au/cdi" TargetMode="External"/><Relationship Id="rId7" Type="http://schemas.openxmlformats.org/officeDocument/2006/relationships/footnotes" Target="footnotes.xml"/><Relationship Id="rId71" Type="http://schemas.openxmlformats.org/officeDocument/2006/relationships/image" Target="media/image54.jpeg"/><Relationship Id="rId92" Type="http://schemas.openxmlformats.org/officeDocument/2006/relationships/image" Target="media/image75.jpeg"/><Relationship Id="rId162" Type="http://schemas.openxmlformats.org/officeDocument/2006/relationships/hyperlink" Target="http://www.ncbi.nlm.nih.gov/entrez/query.fcgi?cmd=Retrieve&amp;db=PubMed&amp;dopt=Citation&amp;list_uids=8031248" TargetMode="External"/><Relationship Id="rId183" Type="http://schemas.openxmlformats.org/officeDocument/2006/relationships/hyperlink" Target="http://www.who.int/mediacentre/factsheets/fs101/en/" TargetMode="External"/><Relationship Id="rId2" Type="http://schemas.openxmlformats.org/officeDocument/2006/relationships/customXml" Target="../customXml/item2.xml"/><Relationship Id="rId29" Type="http://schemas.openxmlformats.org/officeDocument/2006/relationships/image" Target="media/image14.jpeg"/><Relationship Id="rId24" Type="http://schemas.openxmlformats.org/officeDocument/2006/relationships/image" Target="media/image10.jpeg"/><Relationship Id="rId40" Type="http://schemas.openxmlformats.org/officeDocument/2006/relationships/image" Target="media/image24.jpeg"/><Relationship Id="rId45" Type="http://schemas.openxmlformats.org/officeDocument/2006/relationships/image" Target="media/image29.jpeg"/><Relationship Id="rId66" Type="http://schemas.openxmlformats.org/officeDocument/2006/relationships/image" Target="media/image49.jpeg"/><Relationship Id="rId87" Type="http://schemas.openxmlformats.org/officeDocument/2006/relationships/image" Target="media/image70.jpeg"/><Relationship Id="rId110" Type="http://schemas.openxmlformats.org/officeDocument/2006/relationships/image" Target="media/image92.jpeg"/><Relationship Id="rId115" Type="http://schemas.openxmlformats.org/officeDocument/2006/relationships/image" Target="media/image97.jpeg"/><Relationship Id="rId131" Type="http://schemas.openxmlformats.org/officeDocument/2006/relationships/image" Target="media/image113.jpeg"/><Relationship Id="rId136" Type="http://schemas.openxmlformats.org/officeDocument/2006/relationships/image" Target="media/image118.jpeg"/><Relationship Id="rId157" Type="http://schemas.openxmlformats.org/officeDocument/2006/relationships/hyperlink" Target="https://www.health.gov.au/internet/main/publishing.nsf/Content/cdna-song-pertussis.htm" TargetMode="External"/><Relationship Id="rId178" Type="http://schemas.openxmlformats.org/officeDocument/2006/relationships/hyperlink" Target="http://www.ncbi.nlm.nih.gov/entrez/query.fcgi?cmd=Retrieve&amp;db=PubMed&amp;dopt=Citation&amp;list_uids=14709125" TargetMode="External"/><Relationship Id="rId61" Type="http://schemas.openxmlformats.org/officeDocument/2006/relationships/image" Target="media/image45.jpeg"/><Relationship Id="rId82" Type="http://schemas.openxmlformats.org/officeDocument/2006/relationships/image" Target="media/image65.jpeg"/><Relationship Id="rId152" Type="http://schemas.openxmlformats.org/officeDocument/2006/relationships/hyperlink" Target="http://www.publish.csiro.au/paper/SH13205" TargetMode="External"/><Relationship Id="rId173" Type="http://schemas.openxmlformats.org/officeDocument/2006/relationships/hyperlink" Target="http://www.ncbi.nlm.nih.gov/pubmed/14709124" TargetMode="External"/><Relationship Id="rId194" Type="http://schemas.openxmlformats.org/officeDocument/2006/relationships/header" Target="header2.xml"/><Relationship Id="rId19" Type="http://schemas.openxmlformats.org/officeDocument/2006/relationships/image" Target="media/image5.jpeg"/><Relationship Id="rId14" Type="http://schemas.openxmlformats.org/officeDocument/2006/relationships/hyperlink" Target="http://www.health.gov.au/casedefinitions" TargetMode="External"/><Relationship Id="rId30" Type="http://schemas.openxmlformats.org/officeDocument/2006/relationships/image" Target="media/image15.jpeg"/><Relationship Id="rId35" Type="http://schemas.openxmlformats.org/officeDocument/2006/relationships/image" Target="media/image20.jpeg"/><Relationship Id="rId56" Type="http://schemas.openxmlformats.org/officeDocument/2006/relationships/image" Target="media/image40.jpeg"/><Relationship Id="rId77" Type="http://schemas.openxmlformats.org/officeDocument/2006/relationships/image" Target="media/image60.jpeg"/><Relationship Id="rId100" Type="http://schemas.openxmlformats.org/officeDocument/2006/relationships/image" Target="media/image82.jpeg"/><Relationship Id="rId105" Type="http://schemas.openxmlformats.org/officeDocument/2006/relationships/image" Target="media/image87.jpeg"/><Relationship Id="rId126" Type="http://schemas.openxmlformats.org/officeDocument/2006/relationships/image" Target="media/image108.jpeg"/><Relationship Id="rId147" Type="http://schemas.openxmlformats.org/officeDocument/2006/relationships/hyperlink" Target="http://www.ncbi.nlm.nih.gov/pubmed/21517700" TargetMode="External"/><Relationship Id="rId168" Type="http://schemas.openxmlformats.org/officeDocument/2006/relationships/hyperlink" Target="http://www.ncbi.nlm.nih.gov/pubmed/26948433" TargetMode="External"/><Relationship Id="rId8" Type="http://schemas.openxmlformats.org/officeDocument/2006/relationships/endnotes" Target="endnotes.xml"/><Relationship Id="rId51" Type="http://schemas.openxmlformats.org/officeDocument/2006/relationships/image" Target="media/image35.jpeg"/><Relationship Id="rId72" Type="http://schemas.openxmlformats.org/officeDocument/2006/relationships/image" Target="media/image55.jpeg"/><Relationship Id="rId93" Type="http://schemas.openxmlformats.org/officeDocument/2006/relationships/image" Target="media/image76.jpeg"/><Relationship Id="rId98" Type="http://schemas.openxmlformats.org/officeDocument/2006/relationships/image" Target="media/image80.jpeg"/><Relationship Id="rId121" Type="http://schemas.openxmlformats.org/officeDocument/2006/relationships/image" Target="media/image103.jpeg"/><Relationship Id="rId142" Type="http://schemas.openxmlformats.org/officeDocument/2006/relationships/hyperlink" Target="http://www.abs.gov.au/AUSSTATS/abs@.nsf/DetailsPage/1269.02011?OpenDocument" TargetMode="External"/><Relationship Id="rId163" Type="http://schemas.openxmlformats.org/officeDocument/2006/relationships/hyperlink" Target="http://www.who.int/mediacentre/factsheets/fs117/en/" TargetMode="External"/><Relationship Id="rId184" Type="http://schemas.openxmlformats.org/officeDocument/2006/relationships/hyperlink" Target="http://www.health.gov.au/internet/main/publishing.nsf/Content/cda-pubs-annlrpt-tbannrep.htm" TargetMode="External"/><Relationship Id="rId189" Type="http://schemas.openxmlformats.org/officeDocument/2006/relationships/hyperlink" Target="mailto:cdi.editor@health.gov.au" TargetMode="External"/><Relationship Id="rId3" Type="http://schemas.openxmlformats.org/officeDocument/2006/relationships/numbering" Target="numbering.xml"/><Relationship Id="rId25" Type="http://schemas.openxmlformats.org/officeDocument/2006/relationships/image" Target="media/image11.jpeg"/><Relationship Id="rId46" Type="http://schemas.openxmlformats.org/officeDocument/2006/relationships/image" Target="media/image30.jpeg"/><Relationship Id="rId67" Type="http://schemas.openxmlformats.org/officeDocument/2006/relationships/image" Target="media/image50.jpeg"/><Relationship Id="rId116" Type="http://schemas.openxmlformats.org/officeDocument/2006/relationships/image" Target="media/image98.jpeg"/><Relationship Id="rId137" Type="http://schemas.openxmlformats.org/officeDocument/2006/relationships/image" Target="media/image119.jpeg"/><Relationship Id="rId158" Type="http://schemas.openxmlformats.org/officeDocument/2006/relationships/hyperlink" Target="http://www.health.gov.au/internet/main/publishing.nsf/content/cda-cdi3903c.htm" TargetMode="External"/><Relationship Id="rId20" Type="http://schemas.openxmlformats.org/officeDocument/2006/relationships/image" Target="media/image6.jpeg"/><Relationship Id="rId41" Type="http://schemas.openxmlformats.org/officeDocument/2006/relationships/image" Target="media/image25.jpeg"/><Relationship Id="rId62" Type="http://schemas.openxmlformats.org/officeDocument/2006/relationships/image" Target="media/image46.jpeg"/><Relationship Id="rId83" Type="http://schemas.openxmlformats.org/officeDocument/2006/relationships/image" Target="media/image66.jpeg"/><Relationship Id="rId88" Type="http://schemas.openxmlformats.org/officeDocument/2006/relationships/image" Target="media/image71.jpeg"/><Relationship Id="rId111" Type="http://schemas.openxmlformats.org/officeDocument/2006/relationships/image" Target="media/image93.jpeg"/><Relationship Id="rId132" Type="http://schemas.openxmlformats.org/officeDocument/2006/relationships/image" Target="media/image114.jpeg"/><Relationship Id="rId153" Type="http://schemas.openxmlformats.org/officeDocument/2006/relationships/hyperlink" Target="http://sti.guidelines.org.au/" TargetMode="External"/><Relationship Id="rId174" Type="http://schemas.openxmlformats.org/officeDocument/2006/relationships/hyperlink" Target="http://www.ncbi.nlm.nih.gov/pubmed/22386761" TargetMode="External"/><Relationship Id="rId179" Type="http://schemas.openxmlformats.org/officeDocument/2006/relationships/hyperlink" Target="http://www.ncbi.nlm.nih.gov/pubmed/22302240" TargetMode="External"/><Relationship Id="rId195" Type="http://schemas.openxmlformats.org/officeDocument/2006/relationships/fontTable" Target="fontTable.xml"/><Relationship Id="rId190" Type="http://schemas.openxmlformats.org/officeDocument/2006/relationships/hyperlink" Target="https://creativecommons.org/licenses/by-nc-nd/4.0/legalcode" TargetMode="External"/><Relationship Id="rId15" Type="http://schemas.openxmlformats.org/officeDocument/2006/relationships/image" Target="media/image2.jpeg"/><Relationship Id="rId36" Type="http://schemas.openxmlformats.org/officeDocument/2006/relationships/image" Target="media/image21.jpeg"/><Relationship Id="rId57" Type="http://schemas.openxmlformats.org/officeDocument/2006/relationships/image" Target="media/image41.jpeg"/><Relationship Id="rId106" Type="http://schemas.openxmlformats.org/officeDocument/2006/relationships/image" Target="media/image88.jpeg"/><Relationship Id="rId127" Type="http://schemas.openxmlformats.org/officeDocument/2006/relationships/image" Target="media/image109.jpeg"/><Relationship Id="rId10" Type="http://schemas.openxmlformats.org/officeDocument/2006/relationships/image" Target="media/image1.png"/><Relationship Id="rId31" Type="http://schemas.openxmlformats.org/officeDocument/2006/relationships/image" Target="media/image16.jpeg"/><Relationship Id="rId52" Type="http://schemas.openxmlformats.org/officeDocument/2006/relationships/image" Target="media/image36.jpeg"/><Relationship Id="rId73" Type="http://schemas.openxmlformats.org/officeDocument/2006/relationships/image" Target="media/image56.jpeg"/><Relationship Id="rId78" Type="http://schemas.openxmlformats.org/officeDocument/2006/relationships/image" Target="media/image61.jpeg"/><Relationship Id="rId94" Type="http://schemas.openxmlformats.org/officeDocument/2006/relationships/hyperlink" Target="http://www.health.gov.au/internet/main/publishing.nsf/Content/cds-surveillance-ipd-reports.htm" TargetMode="External"/><Relationship Id="rId99" Type="http://schemas.openxmlformats.org/officeDocument/2006/relationships/image" Target="media/image81.jpeg"/><Relationship Id="rId101" Type="http://schemas.openxmlformats.org/officeDocument/2006/relationships/image" Target="media/image83.jpeg"/><Relationship Id="rId122" Type="http://schemas.openxmlformats.org/officeDocument/2006/relationships/image" Target="media/image104.jpeg"/><Relationship Id="rId143" Type="http://schemas.openxmlformats.org/officeDocument/2006/relationships/hyperlink" Target="http://www.ncbi.nlm.nih.gov/entrez/query.fcgi?cmd=Retrieve&amp;db=PubMed&amp;dopt=Citation&amp;list_uids=15991773" TargetMode="External"/><Relationship Id="rId148" Type="http://schemas.openxmlformats.org/officeDocument/2006/relationships/hyperlink" Target="http://www.ncbi.nlm.nih.gov/pubmed/26620352" TargetMode="External"/><Relationship Id="rId164" Type="http://schemas.openxmlformats.org/officeDocument/2006/relationships/hyperlink" Target="http://search.ebscohost.com/login.aspx?direct=true&amp;db=mnh&amp;AN=15577938&amp;site=ehost-live" TargetMode="External"/><Relationship Id="rId169" Type="http://schemas.openxmlformats.org/officeDocument/2006/relationships/hyperlink" Target="http://wwwnc.cdc.gov/eid/article/22/5/16-0107" TargetMode="External"/><Relationship Id="rId185" Type="http://schemas.openxmlformats.org/officeDocument/2006/relationships/hyperlink" Target="https://doi.org/10.2807/1560-7917.ES2014.19.41.20929" TargetMode="External"/><Relationship Id="rId4" Type="http://schemas.openxmlformats.org/officeDocument/2006/relationships/styles" Target="styles.xml"/><Relationship Id="rId9" Type="http://schemas.openxmlformats.org/officeDocument/2006/relationships/hyperlink" Target="http://www.health.gov.au/internet/main/publishing.nsf/Content/cdnareport.htm).6" TargetMode="External"/><Relationship Id="rId180" Type="http://schemas.openxmlformats.org/officeDocument/2006/relationships/hyperlink" Target="http://www.ncbi.nlm.nih.gov/entrez/query.fcgi?cmd=Retrieve&amp;db=PubMed&amp;dopt=Citation&amp;list_uids=9079588" TargetMode="External"/><Relationship Id="rId26" Type="http://schemas.openxmlformats.org/officeDocument/2006/relationships/image" Target="media/image12.jpeg"/></Relationships>
</file>

<file path=word/_rels/header2.xml.rels><?xml version="1.0" encoding="UTF-8" standalone="yes"?>
<Relationships xmlns="http://schemas.openxmlformats.org/package/2006/relationships"><Relationship Id="rId1" Type="http://schemas.openxmlformats.org/officeDocument/2006/relationships/image" Target="media/image12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18E39AB-7D3A-426E-9B1D-7654589A9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219</Pages>
  <Words>51361</Words>
  <Characters>314042</Characters>
  <Application>Microsoft Office Word</Application>
  <DocSecurity>0</DocSecurity>
  <Lines>2617</Lines>
  <Paragraphs>729</Paragraphs>
  <ScaleCrop>false</ScaleCrop>
  <HeadingPairs>
    <vt:vector size="2" baseType="variant">
      <vt:variant>
        <vt:lpstr>Title</vt:lpstr>
      </vt:variant>
      <vt:variant>
        <vt:i4>1</vt:i4>
      </vt:variant>
    </vt:vector>
  </HeadingPairs>
  <TitlesOfParts>
    <vt:vector size="1" baseType="lpstr">
      <vt:lpstr>Communicable Diseases Intelligence 2019 - Australia’s notifiable disease status, 2015: Annual report of the National Notifiable Diseases Surveillance System</vt:lpstr>
    </vt:vector>
  </TitlesOfParts>
  <Company>Australian Government, Department of Health</Company>
  <LinksUpToDate>false</LinksUpToDate>
  <CharactersWithSpaces>364674</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Australia’s notifiable disease status, 2015: Annual report of the National Notifiable Diseases Surveillance System</dc:title>
  <dc:subject>In 2015, 67 diseases and conditions were nationally notifiable in Australia. States and territories reported a total of 320,480 notifications of communicable diseases to the National Notifiable Diseases Surveillance System, an increase of 16% on the number of notifications in 2014. In 2015, the most frequently notified diseases were vaccine preventable diseases (147,569 notifications, 46% of total notifications), sexually transmissible infections (95,468 notifications, 30% of total notifications), and gastrointestinal diseases (45,326 notifications, 14% of total notifications). There were 17,337 notifications of bloodborne diseases; 12,253 notifications of vectorborne diseases; 1,815 notifications of other bacterial infections; 710 notifications of zoonoses and 2 notifications of quarantinable diseases.</dc:subject>
  <dc:creator>NNDSS Annual Report Working Group</dc:creator>
  <dc:description>© Commonwealth of Australia CC BY-NC-ND</dc:description>
  <cp:lastPrinted>2019-02-22T06:03:00Z</cp:lastPrinted>
  <dcterms:created xsi:type="dcterms:W3CDTF">2024-08-27T05:22:00Z</dcterms:created>
  <dcterms:modified xsi:type="dcterms:W3CDTF">2024-08-27T05:22:00Z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15/3/2019</vt:lpwstr>
  </property>
  <property fmtid="{D5CDD505-2E9C-101B-9397-08002B2CF9AE}" pid="5" name="DOI">
    <vt:lpwstr>https://doi.org/10.33321/cdi.2019.43.6</vt:lpwstr>
  </property>
</Properties>
</file>