
<file path=[Content_Types].xml><?xml version="1.0" encoding="utf-8"?>
<Types xmlns="http://schemas.openxmlformats.org/package/2006/content-types">
  <Default Extension="jp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6ADB7" w14:textId="77777777" w:rsidR="001F7DC0" w:rsidRPr="00BD3FF8" w:rsidRDefault="001F7DC0" w:rsidP="00BD3FF8">
      <w:pPr>
        <w:pStyle w:val="Title"/>
      </w:pPr>
      <w:r w:rsidRPr="00BD3FF8">
        <w:rPr>
          <w:rStyle w:val="Strong"/>
          <w:b/>
          <w:bCs w:val="0"/>
        </w:rPr>
        <w:t xml:space="preserve">Paediatric Active Enhanced Disease Surveillance (PAEDS) annual report 2016: Prospective hospital-based surveillance for serious paediatric conditions </w:t>
      </w:r>
    </w:p>
    <w:p w14:paraId="6BC2EBB1" w14:textId="77777777" w:rsidR="001F7DC0" w:rsidRDefault="001F7DC0">
      <w:pPr>
        <w:rPr>
          <w:rFonts w:eastAsia="Times New Roman"/>
        </w:rPr>
      </w:pPr>
      <w:proofErr w:type="spellStart"/>
      <w:r>
        <w:rPr>
          <w:rFonts w:eastAsia="Times New Roman"/>
        </w:rPr>
        <w:t>Jocelynne</w:t>
      </w:r>
      <w:proofErr w:type="spellEnd"/>
      <w:r>
        <w:rPr>
          <w:rFonts w:eastAsia="Times New Roman"/>
        </w:rPr>
        <w:t xml:space="preserve"> E McRae, Helen E Quinn, Gemma L </w:t>
      </w:r>
      <w:proofErr w:type="spellStart"/>
      <w:r>
        <w:rPr>
          <w:rFonts w:eastAsia="Times New Roman"/>
        </w:rPr>
        <w:t>Saravanos</w:t>
      </w:r>
      <w:proofErr w:type="spellEnd"/>
      <w:r>
        <w:rPr>
          <w:rFonts w:eastAsia="Times New Roman"/>
        </w:rPr>
        <w:t xml:space="preserve">, Alissa McMinn, Philip N Britton, Nicholas Wood, Helen </w:t>
      </w:r>
      <w:proofErr w:type="gramStart"/>
      <w:r>
        <w:rPr>
          <w:rFonts w:eastAsia="Times New Roman"/>
        </w:rPr>
        <w:t>Marshall</w:t>
      </w:r>
      <w:proofErr w:type="gramEnd"/>
      <w:r>
        <w:rPr>
          <w:rFonts w:eastAsia="Times New Roman"/>
        </w:rPr>
        <w:t xml:space="preserve"> and Kristine Macartney on behalf of the PAEDS network </w:t>
      </w:r>
    </w:p>
    <w:p w14:paraId="2FD8D791" w14:textId="77777777" w:rsidR="001F7DC0" w:rsidRPr="000B6E8F" w:rsidRDefault="001F7DC0" w:rsidP="000B6E8F">
      <w:pPr>
        <w:pStyle w:val="Heading1"/>
      </w:pPr>
      <w:r w:rsidRPr="000B6E8F">
        <w:t xml:space="preserve">Abstract </w:t>
      </w:r>
    </w:p>
    <w:p w14:paraId="2CD2AFAB" w14:textId="77777777" w:rsidR="001F7DC0" w:rsidRPr="000B6E8F" w:rsidRDefault="001F7DC0" w:rsidP="000B6E8F">
      <w:pPr>
        <w:pStyle w:val="Heading2"/>
      </w:pPr>
      <w:r w:rsidRPr="000B6E8F">
        <w:t xml:space="preserve">Introduction </w:t>
      </w:r>
    </w:p>
    <w:p w14:paraId="29A9EC5E" w14:textId="77777777" w:rsidR="001F7DC0" w:rsidRDefault="001F7DC0" w:rsidP="000B6E8F">
      <w:pPr>
        <w:rPr>
          <w:rFonts w:eastAsia="Times New Roman"/>
        </w:rPr>
      </w:pPr>
      <w:r>
        <w:rPr>
          <w:rFonts w:eastAsia="Times New Roman"/>
        </w:rPr>
        <w:t xml:space="preserve">The Paediatric Active Enhanced Disease Surveillance (PAEDS) network is a hospital-based active surveillance system employing prospective case ascertainment for selected serious childhood conditions, particularly vaccine preventable diseases and potential adverse events following immunisation (AEFI). PAEDS data is used to better understand these conditions, inform </w:t>
      </w:r>
      <w:proofErr w:type="gramStart"/>
      <w:r>
        <w:rPr>
          <w:rFonts w:eastAsia="Times New Roman"/>
        </w:rPr>
        <w:t>policy</w:t>
      </w:r>
      <w:proofErr w:type="gramEnd"/>
      <w:r>
        <w:rPr>
          <w:rFonts w:eastAsia="Times New Roman"/>
        </w:rPr>
        <w:t xml:space="preserve"> and practice under the National Immunisation Program, and enable rapid public health responses for certain conditions of public health importance. PAEDS enhances data available from other Australian surveillance systems by providing prospective, detailed clinical and laboratory information on children with selected conditions. This is the third annual PAEDS </w:t>
      </w:r>
      <w:proofErr w:type="gramStart"/>
      <w:r>
        <w:rPr>
          <w:rFonts w:eastAsia="Times New Roman"/>
        </w:rPr>
        <w:t>report, and</w:t>
      </w:r>
      <w:proofErr w:type="gramEnd"/>
      <w:r>
        <w:rPr>
          <w:rFonts w:eastAsia="Times New Roman"/>
        </w:rPr>
        <w:t xml:space="preserve"> presents surveillance data for 2016. </w:t>
      </w:r>
    </w:p>
    <w:p w14:paraId="76DDA34B" w14:textId="77777777" w:rsidR="001F7DC0" w:rsidRDefault="001F7DC0">
      <w:pPr>
        <w:pStyle w:val="Heading2"/>
        <w:rPr>
          <w:rFonts w:eastAsia="Times New Roman"/>
        </w:rPr>
      </w:pPr>
      <w:r>
        <w:rPr>
          <w:rFonts w:eastAsia="Times New Roman"/>
        </w:rPr>
        <w:t xml:space="preserve">Methods </w:t>
      </w:r>
    </w:p>
    <w:p w14:paraId="2FCE6996" w14:textId="77777777" w:rsidR="001F7DC0" w:rsidRDefault="001F7DC0" w:rsidP="000B6E8F">
      <w:pPr>
        <w:rPr>
          <w:rFonts w:eastAsia="Times New Roman"/>
        </w:rPr>
      </w:pPr>
      <w:r>
        <w:rPr>
          <w:rFonts w:eastAsia="Times New Roman"/>
        </w:rPr>
        <w:t xml:space="preserve">Specialist nurses screened hospital admissions, emergency department records, </w:t>
      </w:r>
      <w:proofErr w:type="gramStart"/>
      <w:r>
        <w:rPr>
          <w:rFonts w:eastAsia="Times New Roman"/>
        </w:rPr>
        <w:t>laboratory</w:t>
      </w:r>
      <w:proofErr w:type="gramEnd"/>
      <w:r>
        <w:rPr>
          <w:rFonts w:eastAsia="Times New Roman"/>
        </w:rPr>
        <w:t xml:space="preserve"> and other data, on a daily basis in 5 paediatric tertiary referral hospitals in New South Wales, Victoria, South Australia, Western Australia and Queensland to identify children with the conditions under surveillance. Retrospective data on some conditions was also captured by an additional hospital in the Northern Territory. Standardised protocols and case definitions were used across all sites. Conditions under surveillance in 2016 included acute flaccid </w:t>
      </w:r>
      <w:r w:rsidR="00D313B8">
        <w:rPr>
          <w:rFonts w:eastAsia="Times New Roman"/>
        </w:rPr>
        <w:t>paralysis (</w:t>
      </w:r>
      <w:r>
        <w:rPr>
          <w:rFonts w:eastAsia="Times New Roman"/>
        </w:rPr>
        <w:t xml:space="preserve">AFP) (a syndrome associated with poliovirus infection), acute childhood encephalitis (ACE), influenza, intussusception (IS; a potential AEFI with rotavirus vaccines), pertussis, varicella-zoster virus infection (varicella and herpes zoster), invasive meningococcal and invasive Group A streptococcus diseases. Most protocols restrict eligibility to hospitalisations; </w:t>
      </w:r>
      <w:r w:rsidR="0038665C">
        <w:rPr>
          <w:rFonts w:eastAsia="Times New Roman"/>
        </w:rPr>
        <w:t>Emergency Department (</w:t>
      </w:r>
      <w:r>
        <w:rPr>
          <w:rFonts w:eastAsia="Times New Roman"/>
        </w:rPr>
        <w:t>ED</w:t>
      </w:r>
      <w:r w:rsidR="0038665C">
        <w:rPr>
          <w:rFonts w:eastAsia="Times New Roman"/>
        </w:rPr>
        <w:t>)</w:t>
      </w:r>
      <w:r>
        <w:rPr>
          <w:rFonts w:eastAsia="Times New Roman"/>
        </w:rPr>
        <w:t xml:space="preserve"> only presentations are also included for some conditions. </w:t>
      </w:r>
    </w:p>
    <w:p w14:paraId="1CB5645B" w14:textId="77777777" w:rsidR="001F7DC0" w:rsidRDefault="001F7DC0">
      <w:pPr>
        <w:pStyle w:val="Heading2"/>
        <w:rPr>
          <w:rFonts w:eastAsia="Times New Roman"/>
        </w:rPr>
      </w:pPr>
      <w:r>
        <w:rPr>
          <w:rFonts w:eastAsia="Times New Roman"/>
        </w:rPr>
        <w:t xml:space="preserve">Results </w:t>
      </w:r>
    </w:p>
    <w:p w14:paraId="6D4BC039" w14:textId="6994E686" w:rsidR="001F7DC0" w:rsidRDefault="001F7DC0" w:rsidP="00B11FEF">
      <w:pPr>
        <w:rPr>
          <w:rFonts w:eastAsia="Times New Roman"/>
        </w:rPr>
      </w:pPr>
      <w:r>
        <w:rPr>
          <w:rFonts w:eastAsia="Times New Roman"/>
        </w:rPr>
        <w:t xml:space="preserve">In 2016, there were 673 cases identified across all conditions under surveillance. Key outcomes of PAEDS included: contribution to national AFP surveillance to reach World Health Organization (WHO) reporting targets; identification of the leading infectious causes of acute encephalitis which included human </w:t>
      </w:r>
      <w:proofErr w:type="spellStart"/>
      <w:r>
        <w:rPr>
          <w:rFonts w:eastAsia="Times New Roman"/>
        </w:rPr>
        <w:t>parechovirus</w:t>
      </w:r>
      <w:proofErr w:type="spellEnd"/>
      <w:r>
        <w:rPr>
          <w:rFonts w:eastAsia="Times New Roman"/>
        </w:rPr>
        <w:t xml:space="preserve">, influenza, enteroviruses, </w:t>
      </w:r>
      <w:r w:rsidRPr="00645F52">
        <w:rPr>
          <w:rStyle w:val="Emphasis"/>
          <w:rFonts w:eastAsia="Times New Roman"/>
          <w:b w:val="0"/>
        </w:rPr>
        <w:t>Mycoplasma pneumoniae</w:t>
      </w:r>
      <w:r>
        <w:rPr>
          <w:rFonts w:eastAsia="Times New Roman"/>
        </w:rPr>
        <w:t xml:space="preserve">, and bacterial </w:t>
      </w:r>
      <w:proofErr w:type="spellStart"/>
      <w:r>
        <w:rPr>
          <w:rFonts w:eastAsia="Times New Roman"/>
        </w:rPr>
        <w:t>meningo</w:t>
      </w:r>
      <w:proofErr w:type="spellEnd"/>
      <w:r>
        <w:rPr>
          <w:rFonts w:eastAsia="Times New Roman"/>
        </w:rPr>
        <w:t xml:space="preserve">-encephalitis; demonstration of high influenza activity with vaccine effectiveness (VE) analysis demonstrating some protection offered through vaccination. All IS cases associated with vaccine receipt were reported to the relevant state health department. Varicella and herpes zoster case numbers increased from previous years associated with suboptimal vaccination in up to 40% of cases identified. </w:t>
      </w:r>
      <w:r w:rsidR="00675AD8" w:rsidRPr="00675AD8">
        <w:rPr>
          <w:rFonts w:eastAsia="Times New Roman"/>
        </w:rPr>
        <w:t>Pertussis surveillance continued in 2016 with the addition of test negative controls captured for e</w:t>
      </w:r>
      <w:r w:rsidR="00675AD8">
        <w:rPr>
          <w:rFonts w:eastAsia="Times New Roman"/>
        </w:rPr>
        <w:t xml:space="preserve">stimating vaccine effectiveness. </w:t>
      </w:r>
      <w:r>
        <w:rPr>
          <w:rFonts w:eastAsia="Times New Roman"/>
        </w:rPr>
        <w:t xml:space="preserve">Surveillance for invasive meningococcal disease showed predominance for serotype B in absence of immunisation, and new invasive group A streptococcus surveillance captured severe disease in children. </w:t>
      </w:r>
      <w:r w:rsidR="002201A3">
        <w:rPr>
          <w:rFonts w:eastAsia="Times New Roman"/>
        </w:rPr>
        <w:br w:type="page"/>
      </w:r>
      <w:r w:rsidRPr="00B11FEF">
        <w:rPr>
          <w:rStyle w:val="Heading2Char"/>
        </w:rPr>
        <w:lastRenderedPageBreak/>
        <w:t xml:space="preserve">Conclusions </w:t>
      </w:r>
    </w:p>
    <w:p w14:paraId="0E1A4990" w14:textId="77777777" w:rsidR="001F7DC0" w:rsidRDefault="001F7DC0" w:rsidP="000B6E8F">
      <w:r>
        <w:t>PAEDS continues to provide unique policy-relevant data on serious paediatric conditions using hospital-based sentinel surveillance.</w:t>
      </w:r>
    </w:p>
    <w:p w14:paraId="2184E0B9" w14:textId="77777777" w:rsidR="001F7DC0" w:rsidRDefault="001F7DC0" w:rsidP="000B6E8F">
      <w:r>
        <w:t>Keywords: paediatric,</w:t>
      </w:r>
      <w:r>
        <w:rPr>
          <w:rStyle w:val="Strong"/>
        </w:rPr>
        <w:t xml:space="preserve"> </w:t>
      </w:r>
      <w:r>
        <w:t>surveillance, child, hospital, vaccine preventable diseases, adverse event following immunisation, acute flaccid paralysis, encephalitis, influenza, intussusception, pertussis, varicella zoster virus, meningococcal, group A streptococcus.</w:t>
      </w:r>
      <w:r>
        <w:rPr>
          <w:rStyle w:val="Strong"/>
        </w:rPr>
        <w:t xml:space="preserve"> </w:t>
      </w:r>
    </w:p>
    <w:p w14:paraId="01ADD0A8" w14:textId="77777777" w:rsidR="001F7DC0" w:rsidRPr="000B6E8F" w:rsidRDefault="001F7DC0" w:rsidP="000B6E8F">
      <w:pPr>
        <w:pStyle w:val="Heading1"/>
      </w:pPr>
      <w:r w:rsidRPr="000B6E8F">
        <w:t xml:space="preserve">Introduction </w:t>
      </w:r>
    </w:p>
    <w:p w14:paraId="042A8065" w14:textId="77777777" w:rsidR="00CB1B8C" w:rsidRDefault="001F7DC0" w:rsidP="000B6E8F">
      <w:pPr>
        <w:rPr>
          <w:rFonts w:eastAsia="Times New Roman"/>
        </w:rPr>
      </w:pPr>
      <w:r>
        <w:rPr>
          <w:rFonts w:eastAsia="Times New Roman"/>
        </w:rPr>
        <w:t>This is the third annual report of the Paediatric Active Enhanced Disease Surveillance (PAEDS) network and summarises data collected in 2016. Previous years PAEDS data can be found in the 2015 annual report</w:t>
      </w:r>
      <w:r>
        <w:rPr>
          <w:rFonts w:eastAsia="Times New Roman"/>
          <w:vertAlign w:val="superscript"/>
        </w:rPr>
        <w:t>1</w:t>
      </w:r>
      <w:r>
        <w:rPr>
          <w:rFonts w:eastAsia="Times New Roman"/>
        </w:rPr>
        <w:t xml:space="preserve"> and historical data for 2007–2014, including impacts and outcomes, in the PAEDS 2014 inaugural report.</w:t>
      </w:r>
      <w:r>
        <w:rPr>
          <w:rFonts w:eastAsia="Times New Roman"/>
          <w:vertAlign w:val="superscript"/>
        </w:rPr>
        <w:t>2</w:t>
      </w:r>
      <w:r>
        <w:rPr>
          <w:rFonts w:eastAsia="Times New Roman"/>
        </w:rPr>
        <w:t xml:space="preserve"> </w:t>
      </w:r>
    </w:p>
    <w:p w14:paraId="6D8C617B" w14:textId="77777777" w:rsidR="00CB1B8C" w:rsidRDefault="001F7DC0" w:rsidP="000B6E8F">
      <w:pPr>
        <w:rPr>
          <w:rFonts w:eastAsia="Times New Roman"/>
        </w:rPr>
      </w:pPr>
      <w:r>
        <w:rPr>
          <w:rFonts w:eastAsia="Times New Roman"/>
        </w:rPr>
        <w:t>PAEDS is a hospital-based active surveillance system for serious childhood conditions of public health importance, particularly vaccine preventable diseases (VPDs) and adverse events following immunisation (AEFI). PAEDS, through prospective case identification and ascertainment, collects timely and detailed clinical data on children requiring hospitalisation for the select conditions under surveillance. In some instances, emergency department (ED) presentations are also included. PAEDS data is used to better understand these conditions, inform policy and practice under the National Immunisation Program (NIP</w:t>
      </w:r>
      <w:proofErr w:type="gramStart"/>
      <w:r>
        <w:rPr>
          <w:rFonts w:eastAsia="Times New Roman"/>
        </w:rPr>
        <w:t>)</w:t>
      </w:r>
      <w:proofErr w:type="gramEnd"/>
      <w:r>
        <w:rPr>
          <w:rFonts w:eastAsia="Times New Roman"/>
        </w:rPr>
        <w:t xml:space="preserve"> and enable rapid public health responses for certain conditions of public health interest. PAEDS is well positioned compared to other passive surveillance programs that are usually less able to adequately capture such timely and comprehensive data.</w:t>
      </w:r>
      <w:r>
        <w:rPr>
          <w:rFonts w:eastAsia="Times New Roman"/>
          <w:vertAlign w:val="superscript"/>
        </w:rPr>
        <w:t>3</w:t>
      </w:r>
    </w:p>
    <w:p w14:paraId="3D84A4C2" w14:textId="77777777" w:rsidR="00CB1B8C" w:rsidRDefault="001F7DC0" w:rsidP="000B6E8F">
      <w:pPr>
        <w:rPr>
          <w:rFonts w:eastAsia="Times New Roman"/>
        </w:rPr>
      </w:pPr>
      <w:r>
        <w:rPr>
          <w:rFonts w:eastAsia="Times New Roman"/>
        </w:rPr>
        <w:t>During 2016, the PAEDS network consisted of 6 participating hospitals: The Children’s Hospital at Westmead (CHW), Sydney, New South Wales (NSW); Royal Children’s Hospital (RCH), Melbourne, Victoria; Women’s and Children’s Hospital (WCH), Adelaide, South Australia; Princess Margaret Hospital (PMH), Perth, Western Australia; and Lady Cilento Children’s Hospital (LCCH), Brisbane, Queensland. The sixth hospital: Royal Darwin Hospital (RDH), Darwin, Northern Territory joined PAEDS in early 2017 and participated in retrospective data collection from July 2016 on some conditions. PAEDS is coordinated by the National Centre for Immunisation Research and Surveillance</w:t>
      </w:r>
      <w:r w:rsidR="00CB1B8C">
        <w:rPr>
          <w:rFonts w:eastAsia="Times New Roman"/>
        </w:rPr>
        <w:t xml:space="preserve"> (NCIRS) based at CHW in Sydney</w:t>
      </w:r>
    </w:p>
    <w:p w14:paraId="24B18590" w14:textId="77777777" w:rsidR="001F7DC0" w:rsidRDefault="001F7DC0" w:rsidP="000B6E8F">
      <w:pPr>
        <w:rPr>
          <w:rFonts w:eastAsia="Times New Roman"/>
        </w:rPr>
      </w:pPr>
      <w:r>
        <w:rPr>
          <w:rFonts w:eastAsia="Times New Roman"/>
        </w:rPr>
        <w:t xml:space="preserve"> PAEDS activities are substantially supported through funding from the Australian Government Department of Health and the 6 participating states’ health departments. In addition, the Australian Paediatric Surveillance Unit (APSU) and the Influenza Complications Alert Network (FluCAN) collaborate with PAEDS on specific conditions. PAEDS produces monthly data reports for all funding bodies and collaborators. </w:t>
      </w:r>
    </w:p>
    <w:p w14:paraId="495DAC0B" w14:textId="77777777" w:rsidR="001F7DC0" w:rsidRDefault="001F7DC0">
      <w:pPr>
        <w:pStyle w:val="Heading1"/>
        <w:rPr>
          <w:rFonts w:eastAsia="Times New Roman"/>
        </w:rPr>
      </w:pPr>
      <w:r>
        <w:rPr>
          <w:rFonts w:eastAsia="Times New Roman"/>
        </w:rPr>
        <w:t xml:space="preserve">Methods </w:t>
      </w:r>
    </w:p>
    <w:p w14:paraId="299E0DD2" w14:textId="77777777" w:rsidR="001F7DC0" w:rsidRDefault="001F7DC0">
      <w:pPr>
        <w:pStyle w:val="Heading2"/>
        <w:rPr>
          <w:rFonts w:eastAsia="Times New Roman"/>
        </w:rPr>
      </w:pPr>
      <w:r>
        <w:rPr>
          <w:rFonts w:eastAsia="Times New Roman"/>
        </w:rPr>
        <w:t xml:space="preserve">Active case ascertainment </w:t>
      </w:r>
    </w:p>
    <w:p w14:paraId="2F84F361" w14:textId="77777777" w:rsidR="00CB1B8C" w:rsidRDefault="001F7DC0" w:rsidP="000B6E8F">
      <w:pPr>
        <w:rPr>
          <w:vertAlign w:val="superscript"/>
        </w:rPr>
      </w:pPr>
      <w:r>
        <w:t>Under PAEDS, specialist surveillance nurses in each hospital identified children diagnosed with the conditions under surveillance, as defined in Table 1, by reviewing admission and emergency department databases, clinical records, laboratory logs and through liaison with medical, laboratory and nursing staff.</w:t>
      </w:r>
      <w:r>
        <w:rPr>
          <w:vertAlign w:val="superscript"/>
        </w:rPr>
        <w:t xml:space="preserve"> 1,2 </w:t>
      </w:r>
    </w:p>
    <w:p w14:paraId="1A798BA9" w14:textId="77777777" w:rsidR="001F7DC0" w:rsidRDefault="001F7DC0" w:rsidP="000B6E8F">
      <w:r>
        <w:t xml:space="preserve">For 2016, all 6 of the PAEDS participating hospitals were approved by their respective Human Research Ethics Committees to operate under a waiver of consent model for surveillance of all conditions. Surveillance nurses collected detailed clinical information from the medical records and vaccination history from the Australian </w:t>
      </w:r>
      <w:r>
        <w:lastRenderedPageBreak/>
        <w:t xml:space="preserve">Childhood Immunisation Register (ACIR). Information not available in the medical record was obtained by contacting the child’s parent/guardian; participation was voluntary. In some cases, the parent/guardian was approached for consent to their child’s participation in additional research studies, involving elements such as long-term follow-up or non-routine specimen collection. In this instance, a patient information sheet and consent form </w:t>
      </w:r>
      <w:proofErr w:type="gramStart"/>
      <w:r>
        <w:t>was</w:t>
      </w:r>
      <w:proofErr w:type="gramEnd"/>
      <w:r>
        <w:t xml:space="preserve"> provided to facilitate participation (Figure 1).</w:t>
      </w:r>
    </w:p>
    <w:p w14:paraId="63A8AEED" w14:textId="77777777" w:rsidR="001F7DC0" w:rsidRDefault="001F7DC0" w:rsidP="00367678">
      <w:pPr>
        <w:pStyle w:val="CDIFigures"/>
      </w:pPr>
      <w:r>
        <w:t xml:space="preserve">Figure 1: PAEDS method for surveillance using the waiver of consent model plus opt-in consent for additional research of specific study </w:t>
      </w:r>
      <w:proofErr w:type="gramStart"/>
      <w:r>
        <w:t>arms</w:t>
      </w:r>
      <w:proofErr w:type="gramEnd"/>
    </w:p>
    <w:p w14:paraId="594B9EBA" w14:textId="77777777" w:rsidR="001F7DC0" w:rsidRDefault="001F7DC0" w:rsidP="00880E3A">
      <w:pPr>
        <w:pStyle w:val="NormalWeb"/>
      </w:pPr>
      <w:r>
        <w:rPr>
          <w:noProof/>
        </w:rPr>
        <w:drawing>
          <wp:inline distT="0" distB="0" distL="0" distR="0" wp14:anchorId="19A1A70B" wp14:editId="2ECD55E8">
            <wp:extent cx="6120384" cy="7089648"/>
            <wp:effectExtent l="0" t="0" r="0" b="0"/>
            <wp:docPr id="1" name="Picture 1" descr="Figure 1 demonstrates the general flow of how PAEDS hospital-based surveillance is conducted. Specialist paediatric surveillance nurses identify potential cases from various sources such as emergency and inpatient databases, laboratory and other clinical records and through contact with key clinicians.&#10;For surveillance activities, PAEDS operates under a waiver of consent. Patients that meet the case definition criteria for any of the PAEDS conditions are therefore included. PAEDS nurses obtain clinical information regarding the presentation as well as any medical history, immunisation status treatment and outcome. In some circumstances samples are collected for further clinical or public health investigation such as varicella zoster virus genotyping or stool testing of AFP cases for polio virus by the Victorian Infectious Disease Reference Laboratory (VIDRL).&#10;For select study arms, such as encephalitis, opt-in consent is offered for participation in additional research which may include long term follow up or non-routine sample collection/salvage.&#10;All information is compiled and entered into a secure web-based data management system which allows for centralised data extraction and analysis.  The PAEDS team is then able to utilise the nationally acquired data in producing timely reports and comprehensive publications that inform policy and practice.  &#10;" title="Figure 1: PAEDS method for surveillance using the waiver of consent model plus opt-in consent for additional research of specific study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 1 demonstrates the general flow of how PAEDS hospital-based surveillance is conducted. Specialist paediatric surveillance nurses identify potential cases from various sources such as emergency and inpatient databases, laboratory and other clinical records and through contact with key clinicians.&#10;For surveillance activities, PAEDS operates under a waiver of consent. Patients that meet the case definition criteria for any of the PAEDS conditions are therefore included. PAEDS nurses obtain clinical information regarding the presentation as well as any medical history, immunisation status treatment and outcome. In some circumstances samples are collected for further clinical or public health investigation such as varicella zoster virus genotyping or stool testing of AFP cases for polio virus by the Victorian Infectious Disease Reference Laboratory (VIDRL).&#10;For select study arms, such as encephalitis, opt-in consent is offered for participation in additional research which may include long term follow up or non-routine sample collection/salvage.&#10;All information is compiled and entered into a secure web-based data management system which allows for centralised data extraction and analysis.  The PAEDS team is then able to utilise the nationally acquired data in producing timely reports and comprehensive publications that inform policy and practic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384" cy="7089648"/>
                    </a:xfrm>
                    <a:prstGeom prst="rect">
                      <a:avLst/>
                    </a:prstGeom>
                    <a:noFill/>
                    <a:ln>
                      <a:noFill/>
                    </a:ln>
                  </pic:spPr>
                </pic:pic>
              </a:graphicData>
            </a:graphic>
          </wp:inline>
        </w:drawing>
      </w:r>
      <w:r>
        <w:br/>
      </w:r>
      <w:r w:rsidRPr="000B05F5">
        <w:rPr>
          <w:rStyle w:val="CDIfootnotesChar"/>
        </w:rPr>
        <w:t>* VIDRL = Victorian Infectious Diseases Reference Laboratory</w:t>
      </w:r>
    </w:p>
    <w:p w14:paraId="45151D3D" w14:textId="5C492E05" w:rsidR="001F7DC0" w:rsidRDefault="001F7DC0">
      <w:pPr>
        <w:pStyle w:val="Heading2"/>
        <w:rPr>
          <w:rFonts w:eastAsia="Times New Roman"/>
        </w:rPr>
      </w:pPr>
      <w:r>
        <w:rPr>
          <w:rFonts w:eastAsia="Times New Roman"/>
        </w:rPr>
        <w:lastRenderedPageBreak/>
        <w:t xml:space="preserve">Conditions under surveillance </w:t>
      </w:r>
    </w:p>
    <w:p w14:paraId="560F7491" w14:textId="77777777" w:rsidR="001F7DC0" w:rsidRDefault="001F7DC0">
      <w:pPr>
        <w:rPr>
          <w:rFonts w:eastAsia="Times New Roman"/>
        </w:rPr>
      </w:pPr>
      <w:r>
        <w:rPr>
          <w:rFonts w:eastAsia="Times New Roman"/>
        </w:rPr>
        <w:t xml:space="preserve">In 2016, there were 7 conditions under surveillance at all PAEDS sites: acute flaccid paralysis (AFP), acute childhood encephalitis (ACE), intussusception (IS), pertussis, and varicella-zoster virus infection (VZV; varicella and herpes zoster), with the addition of 2 new conditions commenced at all sites: invasive meningococcal disease (IMD) and invasive group A streptococcus (IGAS). Surveillance for influenza (in collaboration with FluCAN) was undertaken at 2 PAEDS sites: CHW (Sydney) and PMH (Perth). In addition, in 2016, data collected from surveillance of 2 PAEDS conditions in children aged &lt;5 years, AFP and ACE, were analysed monthly to identify any serious acute neurologic events (SANE) that occurred within 6 weeks of receipt of a seasonal influenza vaccine. </w:t>
      </w:r>
    </w:p>
    <w:p w14:paraId="29F7BC7D" w14:textId="77777777" w:rsidR="001F7DC0" w:rsidRDefault="001F7DC0">
      <w:pPr>
        <w:pStyle w:val="Heading2"/>
        <w:rPr>
          <w:rFonts w:eastAsia="Times New Roman"/>
        </w:rPr>
      </w:pPr>
      <w:r>
        <w:rPr>
          <w:rFonts w:eastAsia="Times New Roman"/>
        </w:rPr>
        <w:t xml:space="preserve">Collection of biological samples </w:t>
      </w:r>
    </w:p>
    <w:p w14:paraId="2006CAC6" w14:textId="77777777" w:rsidR="001F7DC0" w:rsidRDefault="001F7DC0">
      <w:pPr>
        <w:rPr>
          <w:rFonts w:eastAsia="Times New Roman"/>
        </w:rPr>
      </w:pPr>
      <w:r>
        <w:rPr>
          <w:rFonts w:eastAsia="Times New Roman"/>
        </w:rPr>
        <w:t>Surveillance nurses facilitated collection of samples in line with public health requirements and condition protocols. For example, children hospitalised with AFP require collection of 2 stool samples for enteric virus identification by the National Enterovirus Reference Laboratory (NERL) in Melbourne as part of the Global Polio Eradication Initiative.</w:t>
      </w:r>
      <w:r>
        <w:rPr>
          <w:rFonts w:eastAsia="Times New Roman"/>
          <w:vertAlign w:val="superscript"/>
        </w:rPr>
        <w:t>4,5</w:t>
      </w:r>
      <w:r>
        <w:rPr>
          <w:rFonts w:eastAsia="Times New Roman"/>
        </w:rPr>
        <w:t xml:space="preserve"> For other conditions, samples were collected for virus genotyping (e.g. VZV) or for additional pathogen characterisation (e.g. ACE, IGAS). </w:t>
      </w:r>
    </w:p>
    <w:p w14:paraId="3F9DCCB8" w14:textId="77777777" w:rsidR="001F7DC0" w:rsidRDefault="001F7DC0">
      <w:pPr>
        <w:pStyle w:val="Heading2"/>
        <w:rPr>
          <w:rFonts w:eastAsia="Times New Roman"/>
        </w:rPr>
      </w:pPr>
      <w:r>
        <w:rPr>
          <w:rFonts w:eastAsia="Times New Roman"/>
        </w:rPr>
        <w:t xml:space="preserve">Quality assurance and ICD-10-AM audits </w:t>
      </w:r>
    </w:p>
    <w:p w14:paraId="23C390ED" w14:textId="77777777" w:rsidR="001F7DC0" w:rsidRDefault="001F7DC0">
      <w:pPr>
        <w:rPr>
          <w:rFonts w:eastAsia="Times New Roman"/>
        </w:rPr>
      </w:pPr>
      <w:r>
        <w:rPr>
          <w:rFonts w:eastAsia="Times New Roman"/>
        </w:rPr>
        <w:t xml:space="preserve">To check for completeness of case ascertainment, PAEDS nurses at each site conducted regular retrospective audits of hospitalisation records by searching for primary and secondary ICD-10-AM codes ascribed to the relevant conditions (e.g. K56.1 for IS). Cases ascertained through these audits were compared with the cases ascertained prospectively by PAEDS for the same period. Additional cases identified by the ICD-10-AM audit process were retrospectively included into PAEDS. As an additional quality assurance measure, periodic audits were undertaken by investigators of case medical records to assess accuracy of data collected. </w:t>
      </w:r>
    </w:p>
    <w:p w14:paraId="209BA506" w14:textId="77777777" w:rsidR="001F7DC0" w:rsidRDefault="001F7DC0">
      <w:pPr>
        <w:pStyle w:val="Heading2"/>
        <w:rPr>
          <w:rFonts w:eastAsia="Times New Roman"/>
        </w:rPr>
      </w:pPr>
      <w:r>
        <w:rPr>
          <w:rFonts w:eastAsia="Times New Roman"/>
        </w:rPr>
        <w:t xml:space="preserve">Data management </w:t>
      </w:r>
    </w:p>
    <w:p w14:paraId="0E169141" w14:textId="2345CCF6" w:rsidR="001F7DC0" w:rsidRDefault="001F7DC0">
      <w:pPr>
        <w:rPr>
          <w:rStyle w:val="Strong"/>
          <w:rFonts w:eastAsia="Times New Roman"/>
        </w:rPr>
      </w:pPr>
      <w:r>
        <w:rPr>
          <w:rFonts w:eastAsia="Times New Roman"/>
        </w:rPr>
        <w:t>PAEDS utilises a web-based data management system called ‘WebSpirit’</w:t>
      </w:r>
      <w:r>
        <w:rPr>
          <w:rFonts w:eastAsia="Times New Roman"/>
          <w:vertAlign w:val="superscript"/>
        </w:rPr>
        <w:t>6</w:t>
      </w:r>
      <w:r>
        <w:rPr>
          <w:rFonts w:eastAsia="Times New Roman"/>
        </w:rPr>
        <w:t xml:space="preserve"> which enables online data entry by surveillance nurses at each site and centralised data extraction. Data is held securely and exported on a regular basis by staff at the PAEDS coordinating centre for clinical review, monthly quality checks, </w:t>
      </w:r>
      <w:proofErr w:type="gramStart"/>
      <w:r>
        <w:rPr>
          <w:rFonts w:eastAsia="Times New Roman"/>
        </w:rPr>
        <w:t>analysis</w:t>
      </w:r>
      <w:proofErr w:type="gramEnd"/>
      <w:r>
        <w:rPr>
          <w:rFonts w:eastAsia="Times New Roman"/>
        </w:rPr>
        <w:t xml:space="preserve"> and reporting. Data for 2 specific study arms: FluCAN and IGAS are also recorded on a separate secure system, Redcap.</w:t>
      </w:r>
      <w:r>
        <w:rPr>
          <w:rStyle w:val="Strong"/>
          <w:rFonts w:eastAsia="Times New Roman"/>
        </w:rPr>
        <w:t xml:space="preserve"> </w:t>
      </w:r>
    </w:p>
    <w:p w14:paraId="7A7E744A" w14:textId="77777777" w:rsidR="00ED3512" w:rsidRDefault="00ED3512">
      <w:pPr>
        <w:rPr>
          <w:rFonts w:eastAsia="Times New Roman"/>
          <w:b/>
        </w:rPr>
      </w:pPr>
      <w:r>
        <w:rPr>
          <w:rFonts w:eastAsia="Times New Roman"/>
        </w:rPr>
        <w:br w:type="page"/>
      </w:r>
    </w:p>
    <w:p w14:paraId="73693F39" w14:textId="07E86BDB" w:rsidR="00081149" w:rsidRDefault="00081149" w:rsidP="00081149">
      <w:pPr>
        <w:pStyle w:val="CDIFigures"/>
        <w:rPr>
          <w:rFonts w:eastAsia="Times New Roman"/>
        </w:rPr>
      </w:pPr>
      <w:r>
        <w:rPr>
          <w:rFonts w:eastAsia="Times New Roman"/>
        </w:rPr>
        <w:lastRenderedPageBreak/>
        <w:t xml:space="preserve">Table 1: PAEDS conditions under surveillance, case definitions and rationale, 2016 </w:t>
      </w:r>
    </w:p>
    <w:tbl>
      <w:tblPr>
        <w:tblStyle w:val="CDI-StandardTable"/>
        <w:tblW w:w="0" w:type="auto"/>
        <w:tblCellMar>
          <w:top w:w="57" w:type="dxa"/>
          <w:left w:w="57" w:type="dxa"/>
          <w:bottom w:w="57" w:type="dxa"/>
          <w:right w:w="57" w:type="dxa"/>
        </w:tblCellMar>
        <w:tblLook w:val="04A0" w:firstRow="1" w:lastRow="0" w:firstColumn="1" w:lastColumn="0" w:noHBand="0" w:noVBand="1"/>
        <w:tblCaption w:val="Table 1: PAEDS conditions under surveillance, case definitions and rationale, 2016 "/>
        <w:tblDescription w:val="Table 1 lists the PAEDS conditions under surveillance in 2016, including case definitions and study descriptions."/>
      </w:tblPr>
      <w:tblGrid>
        <w:gridCol w:w="3686"/>
        <w:gridCol w:w="6780"/>
      </w:tblGrid>
      <w:tr w:rsidR="00081149" w:rsidRPr="00524A07" w14:paraId="7C77BA1F" w14:textId="77777777" w:rsidTr="00F7477A">
        <w:trPr>
          <w:cnfStyle w:val="100000000000" w:firstRow="1" w:lastRow="0" w:firstColumn="0" w:lastColumn="0" w:oddVBand="0" w:evenVBand="0" w:oddHBand="0" w:evenHBand="0" w:firstRowFirstColumn="0" w:firstRowLastColumn="0" w:lastRowFirstColumn="0" w:lastRowLastColumn="0"/>
          <w:tblHeader/>
        </w:trPr>
        <w:tc>
          <w:tcPr>
            <w:tcW w:w="3686" w:type="dxa"/>
            <w:hideMark/>
          </w:tcPr>
          <w:p w14:paraId="4CF39F0A" w14:textId="77777777" w:rsidR="00081149" w:rsidRPr="00524A07" w:rsidRDefault="00081149" w:rsidP="00F7477A">
            <w:pPr>
              <w:rPr>
                <w:rFonts w:eastAsia="Times New Roman"/>
                <w:color w:val="FFFFFF" w:themeColor="background1"/>
                <w:sz w:val="20"/>
                <w:szCs w:val="20"/>
              </w:rPr>
            </w:pPr>
            <w:r w:rsidRPr="00524A07">
              <w:rPr>
                <w:rFonts w:eastAsia="Times New Roman"/>
                <w:color w:val="FFFFFF" w:themeColor="background1"/>
                <w:sz w:val="20"/>
                <w:szCs w:val="20"/>
              </w:rPr>
              <w:t>Condition and case definition</w:t>
            </w:r>
          </w:p>
        </w:tc>
        <w:tc>
          <w:tcPr>
            <w:tcW w:w="6780" w:type="dxa"/>
            <w:hideMark/>
          </w:tcPr>
          <w:p w14:paraId="39293234" w14:textId="77777777" w:rsidR="00081149" w:rsidRPr="00524A07" w:rsidRDefault="00081149" w:rsidP="00F7477A">
            <w:pPr>
              <w:rPr>
                <w:rFonts w:eastAsia="Times New Roman"/>
                <w:color w:val="FFFFFF" w:themeColor="background1"/>
                <w:sz w:val="20"/>
                <w:szCs w:val="20"/>
              </w:rPr>
            </w:pPr>
            <w:r w:rsidRPr="00524A07">
              <w:rPr>
                <w:rFonts w:eastAsia="Times New Roman"/>
                <w:color w:val="FFFFFF" w:themeColor="background1"/>
                <w:sz w:val="20"/>
                <w:szCs w:val="20"/>
              </w:rPr>
              <w:t>Rationale</w:t>
            </w:r>
          </w:p>
        </w:tc>
      </w:tr>
      <w:tr w:rsidR="00081149" w:rsidRPr="00524A07" w14:paraId="7B30155C" w14:textId="77777777" w:rsidTr="00F7477A">
        <w:tc>
          <w:tcPr>
            <w:tcW w:w="3686" w:type="dxa"/>
            <w:hideMark/>
          </w:tcPr>
          <w:p w14:paraId="182C312C" w14:textId="77777777" w:rsidR="00081149" w:rsidRPr="00524A07" w:rsidRDefault="00081149" w:rsidP="00F7477A">
            <w:pPr>
              <w:rPr>
                <w:rFonts w:eastAsia="Times New Roman"/>
                <w:sz w:val="20"/>
                <w:szCs w:val="20"/>
              </w:rPr>
            </w:pPr>
            <w:r w:rsidRPr="00524A07">
              <w:rPr>
                <w:rFonts w:eastAsia="Times New Roman"/>
                <w:b/>
                <w:sz w:val="20"/>
                <w:szCs w:val="20"/>
              </w:rPr>
              <w:t>Acute flaccid paralysis (AFP)</w:t>
            </w:r>
            <w:r w:rsidRPr="00524A07">
              <w:rPr>
                <w:rFonts w:eastAsia="Times New Roman"/>
                <w:sz w:val="20"/>
                <w:szCs w:val="20"/>
              </w:rPr>
              <w:t xml:space="preserve"> </w:t>
            </w:r>
            <w:r w:rsidRPr="00524A07">
              <w:rPr>
                <w:rFonts w:eastAsia="Times New Roman"/>
                <w:sz w:val="20"/>
                <w:szCs w:val="20"/>
              </w:rPr>
              <w:br/>
            </w:r>
            <w:r w:rsidRPr="00524A07">
              <w:rPr>
                <w:rFonts w:eastAsia="Times New Roman"/>
                <w:i/>
                <w:sz w:val="20"/>
                <w:szCs w:val="20"/>
              </w:rPr>
              <w:t>Case definition:</w:t>
            </w:r>
            <w:r w:rsidRPr="00524A07">
              <w:rPr>
                <w:rFonts w:eastAsia="Times New Roman"/>
                <w:sz w:val="20"/>
                <w:szCs w:val="20"/>
              </w:rPr>
              <w:t xml:space="preserve"> Any child aged birth to &lt;15 years and presenting with acute flaccid paralysis: onset of flaccid paralysis in one or more limbs or acute onset of bulbar paralysis.</w:t>
            </w:r>
          </w:p>
        </w:tc>
        <w:tc>
          <w:tcPr>
            <w:tcW w:w="6780" w:type="dxa"/>
            <w:hideMark/>
          </w:tcPr>
          <w:p w14:paraId="72672CD6" w14:textId="77777777" w:rsidR="00081149" w:rsidRPr="00524A07" w:rsidRDefault="00081149" w:rsidP="00F7477A">
            <w:pPr>
              <w:rPr>
                <w:rFonts w:eastAsia="Times New Roman"/>
                <w:sz w:val="20"/>
                <w:szCs w:val="20"/>
              </w:rPr>
            </w:pPr>
            <w:r w:rsidRPr="00524A07">
              <w:rPr>
                <w:rFonts w:eastAsia="Times New Roman"/>
                <w:sz w:val="20"/>
                <w:szCs w:val="20"/>
              </w:rPr>
              <w:t>WHO requires active national surveillance for cases of AFP in children aged &lt;15 years in order to monitor for potential cases of paralytic poliomyelitis. PAEDS collaborates with the APSU in nationwide surveillance in an effort to meet the target enrolment of 1 non-polio AFP case / 100,000 children aged &lt;15 years per year. Data collected on AFP also contributes to separate analysis for SANE</w:t>
            </w:r>
            <w:r w:rsidRPr="00524A07">
              <w:rPr>
                <w:rFonts w:eastAsia="Times New Roman"/>
                <w:sz w:val="20"/>
                <w:szCs w:val="20"/>
                <w:vertAlign w:val="superscript"/>
              </w:rPr>
              <w:t>*</w:t>
            </w:r>
            <w:r w:rsidRPr="00524A07">
              <w:rPr>
                <w:rFonts w:eastAsia="Times New Roman"/>
                <w:sz w:val="20"/>
                <w:szCs w:val="20"/>
              </w:rPr>
              <w:t>.</w:t>
            </w:r>
          </w:p>
        </w:tc>
      </w:tr>
      <w:tr w:rsidR="00081149" w:rsidRPr="00524A07" w14:paraId="428B4921" w14:textId="77777777" w:rsidTr="00F7477A">
        <w:trPr>
          <w:cnfStyle w:val="000000010000" w:firstRow="0" w:lastRow="0" w:firstColumn="0" w:lastColumn="0" w:oddVBand="0" w:evenVBand="0" w:oddHBand="0" w:evenHBand="1" w:firstRowFirstColumn="0" w:firstRowLastColumn="0" w:lastRowFirstColumn="0" w:lastRowLastColumn="0"/>
        </w:trPr>
        <w:tc>
          <w:tcPr>
            <w:tcW w:w="3686" w:type="dxa"/>
            <w:hideMark/>
          </w:tcPr>
          <w:p w14:paraId="7EB061EE" w14:textId="77777777" w:rsidR="00081149" w:rsidRPr="00524A07" w:rsidRDefault="00081149" w:rsidP="00F7477A">
            <w:pPr>
              <w:rPr>
                <w:rFonts w:eastAsia="Times New Roman"/>
                <w:sz w:val="20"/>
                <w:szCs w:val="20"/>
              </w:rPr>
            </w:pPr>
            <w:r w:rsidRPr="00524A07">
              <w:rPr>
                <w:rFonts w:eastAsia="Times New Roman"/>
                <w:b/>
                <w:sz w:val="20"/>
                <w:szCs w:val="20"/>
              </w:rPr>
              <w:t>Acute childhood encephalitis (ACE)</w:t>
            </w:r>
            <w:r w:rsidRPr="00524A07">
              <w:rPr>
                <w:rFonts w:eastAsia="Times New Roman"/>
                <w:sz w:val="20"/>
                <w:szCs w:val="20"/>
              </w:rPr>
              <w:br/>
            </w:r>
            <w:r w:rsidRPr="00524A07">
              <w:rPr>
                <w:rFonts w:eastAsia="Times New Roman"/>
                <w:i/>
                <w:sz w:val="20"/>
                <w:szCs w:val="20"/>
              </w:rPr>
              <w:t>Case definition:</w:t>
            </w:r>
            <w:r w:rsidRPr="00524A07">
              <w:rPr>
                <w:rFonts w:eastAsia="Times New Roman"/>
                <w:sz w:val="20"/>
                <w:szCs w:val="20"/>
              </w:rPr>
              <w:t xml:space="preserve"> Any child aged birth to &lt;15 years </w:t>
            </w:r>
            <w:r w:rsidRPr="00524A07">
              <w:rPr>
                <w:rFonts w:eastAsia="Times New Roman"/>
                <w:b/>
                <w:sz w:val="20"/>
                <w:szCs w:val="20"/>
              </w:rPr>
              <w:t>AND</w:t>
            </w:r>
            <w:r w:rsidRPr="00524A07">
              <w:rPr>
                <w:rFonts w:eastAsia="Times New Roman"/>
                <w:sz w:val="20"/>
                <w:szCs w:val="20"/>
              </w:rPr>
              <w:t xml:space="preserve"> hospitalised with acute encephalopathy </w:t>
            </w:r>
            <w:r w:rsidRPr="00524A07">
              <w:rPr>
                <w:rFonts w:eastAsia="Times New Roman"/>
                <w:b/>
                <w:sz w:val="20"/>
                <w:szCs w:val="20"/>
              </w:rPr>
              <w:t>AND</w:t>
            </w:r>
            <w:r w:rsidRPr="00524A07">
              <w:rPr>
                <w:rFonts w:eastAsia="Times New Roman"/>
                <w:sz w:val="20"/>
                <w:szCs w:val="20"/>
              </w:rPr>
              <w:t xml:space="preserve"> who has one or more of the following: fever, seizures, focal neurological findings, at least one abnormality of cerebrospinal fluid, or EEG/neuroimaging findings consistent with infection-related encephalitis.</w:t>
            </w:r>
          </w:p>
        </w:tc>
        <w:tc>
          <w:tcPr>
            <w:tcW w:w="6780" w:type="dxa"/>
            <w:hideMark/>
          </w:tcPr>
          <w:p w14:paraId="4FA9DCDF" w14:textId="77777777" w:rsidR="00081149" w:rsidRPr="00524A07" w:rsidRDefault="00081149" w:rsidP="00F7477A">
            <w:pPr>
              <w:rPr>
                <w:rFonts w:eastAsia="Times New Roman"/>
                <w:sz w:val="20"/>
                <w:szCs w:val="20"/>
              </w:rPr>
            </w:pPr>
            <w:r w:rsidRPr="00524A07">
              <w:rPr>
                <w:rFonts w:eastAsia="Times New Roman"/>
                <w:sz w:val="20"/>
                <w:szCs w:val="20"/>
              </w:rPr>
              <w:t xml:space="preserve">Encephalitis is a critical condition that is considered a marker syndrome for emerging infectious diseases. It is most often caused by viruses (including those which are or potentially will be vaccine preventable). It can also be immune-mediated, and uncommonly can be associated with vaccine receipt. As there is limited epidemiologic data on encephalitis, PAEDS is uniquely placed to undertake active, syndromic surveillance and can collect biological specimens. Enrolment of participants into comprehensive follow-up studies to improve understanding of long-term neuropsychological sequelae also </w:t>
            </w:r>
            <w:r w:rsidRPr="006F3204">
              <w:rPr>
                <w:rFonts w:eastAsia="Times New Roman"/>
                <w:sz w:val="20"/>
                <w:szCs w:val="20"/>
              </w:rPr>
              <w:t>occurs.</w:t>
            </w:r>
            <w:r w:rsidRPr="006F3204">
              <w:rPr>
                <w:rFonts w:eastAsia="Times New Roman"/>
                <w:sz w:val="20"/>
                <w:szCs w:val="20"/>
                <w:vertAlign w:val="superscript"/>
              </w:rPr>
              <w:t>7</w:t>
            </w:r>
            <w:r w:rsidRPr="00524A07">
              <w:rPr>
                <w:rFonts w:eastAsia="Times New Roman"/>
                <w:sz w:val="20"/>
                <w:szCs w:val="20"/>
              </w:rPr>
              <w:t xml:space="preserve"> Data collected on ACE also contributes to separate analysis for SANE</w:t>
            </w:r>
            <w:r w:rsidRPr="00524A07">
              <w:rPr>
                <w:rFonts w:eastAsia="Times New Roman"/>
                <w:sz w:val="20"/>
                <w:szCs w:val="20"/>
                <w:vertAlign w:val="superscript"/>
              </w:rPr>
              <w:t>*</w:t>
            </w:r>
            <w:r w:rsidRPr="00524A07">
              <w:rPr>
                <w:rFonts w:eastAsia="Times New Roman"/>
                <w:sz w:val="20"/>
                <w:szCs w:val="20"/>
              </w:rPr>
              <w:t>.</w:t>
            </w:r>
          </w:p>
        </w:tc>
      </w:tr>
      <w:tr w:rsidR="00081149" w:rsidRPr="00524A07" w14:paraId="095301A2" w14:textId="77777777" w:rsidTr="00F7477A">
        <w:tc>
          <w:tcPr>
            <w:tcW w:w="3686" w:type="dxa"/>
            <w:hideMark/>
          </w:tcPr>
          <w:p w14:paraId="748142F6" w14:textId="77777777" w:rsidR="00081149" w:rsidRPr="00524A07" w:rsidRDefault="00081149" w:rsidP="00F7477A">
            <w:pPr>
              <w:rPr>
                <w:rFonts w:eastAsia="Times New Roman"/>
                <w:sz w:val="20"/>
                <w:szCs w:val="20"/>
              </w:rPr>
            </w:pPr>
            <w:r w:rsidRPr="00524A07">
              <w:rPr>
                <w:rFonts w:eastAsia="Times New Roman"/>
                <w:b/>
                <w:sz w:val="20"/>
                <w:szCs w:val="20"/>
              </w:rPr>
              <w:t xml:space="preserve">Influenza – FluCAN (Seasonally: April–October) </w:t>
            </w:r>
            <w:r w:rsidRPr="00524A07">
              <w:rPr>
                <w:rFonts w:eastAsia="Times New Roman"/>
                <w:sz w:val="20"/>
                <w:szCs w:val="20"/>
              </w:rPr>
              <w:br/>
            </w:r>
            <w:r w:rsidRPr="00524A07">
              <w:rPr>
                <w:rFonts w:eastAsia="Times New Roman"/>
                <w:i/>
                <w:sz w:val="20"/>
                <w:szCs w:val="20"/>
              </w:rPr>
              <w:t>Case definition:</w:t>
            </w:r>
            <w:r w:rsidRPr="00524A07">
              <w:rPr>
                <w:rFonts w:eastAsia="Times New Roman"/>
                <w:sz w:val="20"/>
                <w:szCs w:val="20"/>
              </w:rPr>
              <w:t xml:space="preserve"> Any child aged birth to &lt;18 years who is hospitalised, clinically suspected of having influenza (respiratory symptoms +/- fever) and confirmed influenza PCR-positive.</w:t>
            </w:r>
          </w:p>
        </w:tc>
        <w:tc>
          <w:tcPr>
            <w:tcW w:w="6780" w:type="dxa"/>
            <w:hideMark/>
          </w:tcPr>
          <w:p w14:paraId="1DF2DE9D" w14:textId="77777777" w:rsidR="00081149" w:rsidRPr="00524A07" w:rsidRDefault="00081149" w:rsidP="00F7477A">
            <w:pPr>
              <w:rPr>
                <w:rFonts w:eastAsia="Times New Roman"/>
                <w:sz w:val="20"/>
                <w:szCs w:val="20"/>
              </w:rPr>
            </w:pPr>
            <w:r w:rsidRPr="00524A07">
              <w:rPr>
                <w:rFonts w:eastAsia="Times New Roman"/>
                <w:sz w:val="20"/>
                <w:szCs w:val="20"/>
              </w:rPr>
              <w:t>The emergence of H1N1-09 influenza in 2009 demonstrated the importance of enhanced influenza surveillance in children.</w:t>
            </w:r>
            <w:r w:rsidRPr="00CB1B8C">
              <w:rPr>
                <w:rFonts w:eastAsia="Times New Roman"/>
                <w:sz w:val="20"/>
                <w:szCs w:val="20"/>
                <w:vertAlign w:val="superscript"/>
              </w:rPr>
              <w:t xml:space="preserve">8 </w:t>
            </w:r>
            <w:r w:rsidRPr="00524A07">
              <w:rPr>
                <w:rFonts w:eastAsia="Times New Roman"/>
                <w:sz w:val="20"/>
                <w:szCs w:val="20"/>
              </w:rPr>
              <w:t>PAEDS provides unique timely sentinel data from 2 sites (Sydney and Perth) on influenza hospitalisations, including complications and deaths, which can be used to inform public health response and policy. The data on children supplements adult data from 15 other FluCAN sites. Information on influenza test-negative (control) patients with acute respiratory illness (ARI) is also collected and allows calculation of vaccine effectiveness to be performed.</w:t>
            </w:r>
          </w:p>
        </w:tc>
      </w:tr>
      <w:tr w:rsidR="00081149" w:rsidRPr="00524A07" w14:paraId="25ED6FC9" w14:textId="77777777" w:rsidTr="00F7477A">
        <w:trPr>
          <w:cnfStyle w:val="000000010000" w:firstRow="0" w:lastRow="0" w:firstColumn="0" w:lastColumn="0" w:oddVBand="0" w:evenVBand="0" w:oddHBand="0" w:evenHBand="1" w:firstRowFirstColumn="0" w:firstRowLastColumn="0" w:lastRowFirstColumn="0" w:lastRowLastColumn="0"/>
        </w:trPr>
        <w:tc>
          <w:tcPr>
            <w:tcW w:w="3686" w:type="dxa"/>
            <w:hideMark/>
          </w:tcPr>
          <w:p w14:paraId="50725A19" w14:textId="77777777" w:rsidR="00081149" w:rsidRPr="00524A07" w:rsidRDefault="00081149" w:rsidP="00F7477A">
            <w:pPr>
              <w:rPr>
                <w:rFonts w:eastAsia="Times New Roman"/>
                <w:sz w:val="20"/>
                <w:szCs w:val="20"/>
              </w:rPr>
            </w:pPr>
            <w:r w:rsidRPr="00524A07">
              <w:rPr>
                <w:rFonts w:eastAsia="Times New Roman"/>
                <w:b/>
                <w:sz w:val="20"/>
                <w:szCs w:val="20"/>
              </w:rPr>
              <w:t xml:space="preserve">Intussusception (IS) </w:t>
            </w:r>
            <w:r w:rsidRPr="00524A07">
              <w:rPr>
                <w:rFonts w:eastAsia="Times New Roman"/>
                <w:b/>
                <w:sz w:val="20"/>
                <w:szCs w:val="20"/>
              </w:rPr>
              <w:br/>
            </w:r>
            <w:r w:rsidRPr="00524A07">
              <w:rPr>
                <w:rFonts w:eastAsia="Times New Roman"/>
                <w:i/>
                <w:sz w:val="20"/>
                <w:szCs w:val="20"/>
              </w:rPr>
              <w:t>Case definition:</w:t>
            </w:r>
            <w:r w:rsidRPr="00524A07">
              <w:rPr>
                <w:rFonts w:eastAsia="Times New Roman"/>
                <w:sz w:val="20"/>
                <w:szCs w:val="20"/>
              </w:rPr>
              <w:t xml:space="preserve"> Any child aged &lt;9 months presenting with a diagnosis of acute intussusception confirmed using the Brighton Collaboration clinical case definition (Level 1 or 2). Includes hospitalised or ED only.</w:t>
            </w:r>
            <w:r w:rsidRPr="00524A07">
              <w:rPr>
                <w:rFonts w:eastAsia="Times New Roman"/>
                <w:sz w:val="20"/>
                <w:szCs w:val="20"/>
                <w:vertAlign w:val="superscript"/>
              </w:rPr>
              <w:t>9</w:t>
            </w:r>
          </w:p>
        </w:tc>
        <w:tc>
          <w:tcPr>
            <w:tcW w:w="6780" w:type="dxa"/>
            <w:hideMark/>
          </w:tcPr>
          <w:p w14:paraId="4DF75E67" w14:textId="77777777" w:rsidR="00081149" w:rsidRPr="00524A07" w:rsidRDefault="00081149" w:rsidP="00F7477A">
            <w:pPr>
              <w:rPr>
                <w:rFonts w:eastAsia="Times New Roman"/>
                <w:sz w:val="20"/>
                <w:szCs w:val="20"/>
              </w:rPr>
            </w:pPr>
            <w:r w:rsidRPr="00524A07">
              <w:rPr>
                <w:rFonts w:eastAsia="Times New Roman"/>
                <w:sz w:val="20"/>
                <w:szCs w:val="20"/>
              </w:rPr>
              <w:t xml:space="preserve">Intussusception is the most common cause of bowel obstruction in infants and young children and was associated with a previous rotavirus vaccine in the USA which was withdrawn in 1999. Timely, </w:t>
            </w:r>
            <w:proofErr w:type="gramStart"/>
            <w:r w:rsidRPr="00524A07">
              <w:rPr>
                <w:rFonts w:eastAsia="Times New Roman"/>
                <w:sz w:val="20"/>
                <w:szCs w:val="20"/>
              </w:rPr>
              <w:t>active</w:t>
            </w:r>
            <w:proofErr w:type="gramEnd"/>
            <w:r w:rsidRPr="00524A07">
              <w:rPr>
                <w:rFonts w:eastAsia="Times New Roman"/>
                <w:sz w:val="20"/>
                <w:szCs w:val="20"/>
              </w:rPr>
              <w:t xml:space="preserve"> and systematic surveillance of IS cases is important and has identified a temporal but low incidence association with the rotavirus vaccines currently available under the NIP (since July 2007).</w:t>
            </w:r>
            <w:r w:rsidRPr="00524A07">
              <w:rPr>
                <w:rFonts w:eastAsia="Times New Roman"/>
                <w:sz w:val="20"/>
                <w:szCs w:val="20"/>
                <w:vertAlign w:val="superscript"/>
              </w:rPr>
              <w:t>10</w:t>
            </w:r>
            <w:r w:rsidRPr="00524A07">
              <w:rPr>
                <w:rFonts w:eastAsia="Times New Roman"/>
                <w:sz w:val="20"/>
                <w:szCs w:val="20"/>
              </w:rPr>
              <w:t xml:space="preserve"> Surveillance also aims to describe the epidemiology, aetiology and severity of</w:t>
            </w:r>
            <w:r>
              <w:rPr>
                <w:rFonts w:eastAsia="Times New Roman"/>
                <w:sz w:val="20"/>
                <w:szCs w:val="20"/>
              </w:rPr>
              <w:t> </w:t>
            </w:r>
            <w:r w:rsidRPr="00524A07">
              <w:rPr>
                <w:rFonts w:eastAsia="Times New Roman"/>
                <w:sz w:val="20"/>
                <w:szCs w:val="20"/>
              </w:rPr>
              <w:t>IS.</w:t>
            </w:r>
            <w:r w:rsidRPr="00524A07">
              <w:rPr>
                <w:rFonts w:eastAsia="Times New Roman"/>
                <w:sz w:val="20"/>
                <w:szCs w:val="20"/>
                <w:vertAlign w:val="superscript"/>
              </w:rPr>
              <w:t>11,12</w:t>
            </w:r>
          </w:p>
        </w:tc>
      </w:tr>
      <w:tr w:rsidR="00081149" w:rsidRPr="00524A07" w14:paraId="7538294E" w14:textId="77777777" w:rsidTr="00F7477A">
        <w:tc>
          <w:tcPr>
            <w:tcW w:w="3686" w:type="dxa"/>
            <w:hideMark/>
          </w:tcPr>
          <w:p w14:paraId="20E627BF" w14:textId="77777777" w:rsidR="00081149" w:rsidRPr="00524A07" w:rsidRDefault="00081149" w:rsidP="00F7477A">
            <w:pPr>
              <w:rPr>
                <w:rFonts w:eastAsia="Times New Roman"/>
                <w:sz w:val="20"/>
                <w:szCs w:val="20"/>
              </w:rPr>
            </w:pPr>
            <w:r w:rsidRPr="00524A07">
              <w:rPr>
                <w:rFonts w:eastAsia="Times New Roman"/>
                <w:b/>
                <w:sz w:val="20"/>
                <w:szCs w:val="20"/>
              </w:rPr>
              <w:t>Pertussis</w:t>
            </w:r>
            <w:r w:rsidRPr="00524A07">
              <w:rPr>
                <w:rFonts w:eastAsia="Times New Roman"/>
                <w:b/>
                <w:sz w:val="20"/>
                <w:szCs w:val="20"/>
              </w:rPr>
              <w:br/>
            </w:r>
            <w:r w:rsidRPr="00524A07">
              <w:rPr>
                <w:rFonts w:eastAsia="Times New Roman"/>
                <w:i/>
                <w:sz w:val="20"/>
                <w:szCs w:val="20"/>
              </w:rPr>
              <w:t>Case definition:</w:t>
            </w:r>
            <w:r w:rsidRPr="00524A07">
              <w:rPr>
                <w:rFonts w:eastAsia="Times New Roman"/>
                <w:sz w:val="20"/>
                <w:szCs w:val="20"/>
              </w:rPr>
              <w:t xml:space="preserve"> Hospitalised pertussis - Any child aged birth to &lt;15 years hospitalised with laboratory confirmed pertussis. Pertussis vaccine effectiveness study – Any child aged from birth to &lt;6 months with laboratory-confirmed pertussis identified from either the “Hospitalised Pertussis” study (above) or from the emergency department.</w:t>
            </w:r>
          </w:p>
        </w:tc>
        <w:tc>
          <w:tcPr>
            <w:tcW w:w="6780" w:type="dxa"/>
            <w:hideMark/>
          </w:tcPr>
          <w:p w14:paraId="388F86EE" w14:textId="77777777" w:rsidR="00081149" w:rsidRPr="00524A07" w:rsidRDefault="00081149" w:rsidP="00F7477A">
            <w:pPr>
              <w:rPr>
                <w:rFonts w:eastAsia="Times New Roman"/>
                <w:sz w:val="20"/>
                <w:szCs w:val="20"/>
              </w:rPr>
            </w:pPr>
            <w:r w:rsidRPr="00524A07">
              <w:rPr>
                <w:rFonts w:eastAsia="Times New Roman"/>
                <w:sz w:val="20"/>
                <w:szCs w:val="20"/>
              </w:rPr>
              <w:t>Despite immunisation coverage approaching 93%, pertussis continues to cause significant morbidity and mortality, particularly in very young Australian children.</w:t>
            </w:r>
            <w:r w:rsidRPr="006F3204">
              <w:rPr>
                <w:rFonts w:eastAsia="Times New Roman"/>
                <w:sz w:val="20"/>
                <w:szCs w:val="20"/>
                <w:vertAlign w:val="superscript"/>
              </w:rPr>
              <w:t>13</w:t>
            </w:r>
            <w:r w:rsidRPr="00524A07">
              <w:rPr>
                <w:rFonts w:eastAsia="Times New Roman"/>
                <w:sz w:val="20"/>
                <w:szCs w:val="20"/>
              </w:rPr>
              <w:t xml:space="preserve"> The aims of this surveillance are to determine the burden of disease from hospitalised pertussis, with special emphasis on the duration of hospitalisation, use of intensive care, </w:t>
            </w:r>
            <w:proofErr w:type="gramStart"/>
            <w:r w:rsidRPr="00524A07">
              <w:rPr>
                <w:rFonts w:eastAsia="Times New Roman"/>
                <w:sz w:val="20"/>
                <w:szCs w:val="20"/>
              </w:rPr>
              <w:t>death</w:t>
            </w:r>
            <w:proofErr w:type="gramEnd"/>
            <w:r w:rsidRPr="00524A07">
              <w:rPr>
                <w:rFonts w:eastAsia="Times New Roman"/>
                <w:sz w:val="20"/>
                <w:szCs w:val="20"/>
              </w:rPr>
              <w:t xml:space="preserve"> and disability. Possible sources of infection and co-morbidities to severity of pertussis are examined. The adjunct study seeks to estimate the effectiveness of pertussis vaccination (either in infancy or maternal) against pertussis hospitalisations and emergency department presentations by comparing pertussis vaccination status in infants with pertussis &lt;6months of age and test-negative controls. These surveillance data will assist in optimising pertussis prevention strategies.</w:t>
            </w:r>
          </w:p>
        </w:tc>
      </w:tr>
      <w:tr w:rsidR="00081149" w:rsidRPr="00524A07" w14:paraId="0D498684" w14:textId="77777777" w:rsidTr="00F7477A">
        <w:trPr>
          <w:cnfStyle w:val="000000010000" w:firstRow="0" w:lastRow="0" w:firstColumn="0" w:lastColumn="0" w:oddVBand="0" w:evenVBand="0" w:oddHBand="0" w:evenHBand="1" w:firstRowFirstColumn="0" w:firstRowLastColumn="0" w:lastRowFirstColumn="0" w:lastRowLastColumn="0"/>
        </w:trPr>
        <w:tc>
          <w:tcPr>
            <w:tcW w:w="3686" w:type="dxa"/>
            <w:hideMark/>
          </w:tcPr>
          <w:p w14:paraId="0695952B" w14:textId="77777777" w:rsidR="00081149" w:rsidRPr="00524A07" w:rsidRDefault="00081149" w:rsidP="00F7477A">
            <w:pPr>
              <w:rPr>
                <w:rFonts w:eastAsia="Times New Roman"/>
                <w:sz w:val="20"/>
                <w:szCs w:val="20"/>
              </w:rPr>
            </w:pPr>
            <w:r w:rsidRPr="00524A07">
              <w:rPr>
                <w:rFonts w:eastAsia="Times New Roman"/>
                <w:b/>
                <w:sz w:val="20"/>
                <w:szCs w:val="20"/>
              </w:rPr>
              <w:t>Varicella–Zoster Virus (VZV) Infection</w:t>
            </w:r>
            <w:r w:rsidRPr="00524A07">
              <w:rPr>
                <w:rFonts w:eastAsia="Times New Roman"/>
                <w:b/>
                <w:sz w:val="20"/>
                <w:szCs w:val="20"/>
              </w:rPr>
              <w:br/>
            </w:r>
            <w:r w:rsidRPr="00524A07">
              <w:rPr>
                <w:rFonts w:eastAsia="Times New Roman"/>
                <w:i/>
                <w:sz w:val="20"/>
                <w:szCs w:val="20"/>
              </w:rPr>
              <w:t>Case definition:</w:t>
            </w:r>
            <w:r w:rsidRPr="00524A07">
              <w:rPr>
                <w:rFonts w:eastAsia="Times New Roman"/>
                <w:sz w:val="20"/>
                <w:szCs w:val="20"/>
              </w:rPr>
              <w:t xml:space="preserve"> Any child aged birth to &lt;15 years hospitalised for varicella or herpes zoster with or without complications.</w:t>
            </w:r>
          </w:p>
        </w:tc>
        <w:tc>
          <w:tcPr>
            <w:tcW w:w="6780" w:type="dxa"/>
            <w:hideMark/>
          </w:tcPr>
          <w:p w14:paraId="3388419A" w14:textId="77777777" w:rsidR="00081149" w:rsidRPr="00524A07" w:rsidRDefault="00081149" w:rsidP="00F7477A">
            <w:pPr>
              <w:rPr>
                <w:rFonts w:eastAsia="Times New Roman"/>
                <w:sz w:val="20"/>
                <w:szCs w:val="20"/>
              </w:rPr>
            </w:pPr>
            <w:r w:rsidRPr="00524A07">
              <w:rPr>
                <w:rFonts w:eastAsia="Times New Roman"/>
                <w:sz w:val="20"/>
                <w:szCs w:val="20"/>
              </w:rPr>
              <w:t>Complications of varicella or herpes zoster requiring hospitalisation provide a measure of disease burden and severity. Ongoing surveillance aims to show trends in incidence and severity of both varicella and herpes zoster related to the varicella vaccination program and allow vaccine effectiveness estimations.</w:t>
            </w:r>
            <w:r w:rsidRPr="00524A07">
              <w:rPr>
                <w:rFonts w:eastAsia="Times New Roman"/>
                <w:sz w:val="20"/>
                <w:szCs w:val="20"/>
                <w:vertAlign w:val="superscript"/>
              </w:rPr>
              <w:t>14</w:t>
            </w:r>
            <w:r w:rsidRPr="00524A07">
              <w:rPr>
                <w:rFonts w:eastAsia="Times New Roman"/>
                <w:sz w:val="20"/>
                <w:szCs w:val="20"/>
              </w:rPr>
              <w:t xml:space="preserve"> The timely collection of vesicle samples and genetic subtyping of varicella-zoster virus infection allows for identification of vaccine failures in immunised children and genotypes associated with severe complications or derived from the live attenuated vaccine.</w:t>
            </w:r>
          </w:p>
        </w:tc>
      </w:tr>
      <w:tr w:rsidR="00081149" w:rsidRPr="00524A07" w14:paraId="20B71DF8" w14:textId="77777777" w:rsidTr="00F7477A">
        <w:tc>
          <w:tcPr>
            <w:tcW w:w="3686" w:type="dxa"/>
            <w:hideMark/>
          </w:tcPr>
          <w:p w14:paraId="58BA3A10" w14:textId="77777777" w:rsidR="00081149" w:rsidRPr="00524A07" w:rsidRDefault="00081149" w:rsidP="00F7477A">
            <w:pPr>
              <w:rPr>
                <w:rFonts w:eastAsia="Times New Roman"/>
                <w:sz w:val="20"/>
                <w:szCs w:val="20"/>
              </w:rPr>
            </w:pPr>
            <w:r w:rsidRPr="00524A07">
              <w:rPr>
                <w:rFonts w:eastAsia="Times New Roman"/>
                <w:sz w:val="20"/>
                <w:szCs w:val="20"/>
              </w:rPr>
              <w:t xml:space="preserve">Invasive Meningococcal Disease (IMD) Any child aged birth to &lt;18 years who is </w:t>
            </w:r>
            <w:r w:rsidRPr="00524A07">
              <w:rPr>
                <w:rFonts w:eastAsia="Times New Roman"/>
                <w:sz w:val="20"/>
                <w:szCs w:val="20"/>
              </w:rPr>
              <w:lastRenderedPageBreak/>
              <w:t>hospitalised with laboratory confirmed invasive meningococcal disease.</w:t>
            </w:r>
          </w:p>
        </w:tc>
        <w:tc>
          <w:tcPr>
            <w:tcW w:w="6780" w:type="dxa"/>
            <w:hideMark/>
          </w:tcPr>
          <w:p w14:paraId="7B5255EB" w14:textId="77777777" w:rsidR="00081149" w:rsidRPr="00524A07" w:rsidRDefault="00081149" w:rsidP="00F7477A">
            <w:pPr>
              <w:rPr>
                <w:rFonts w:eastAsia="Times New Roman"/>
                <w:sz w:val="20"/>
                <w:szCs w:val="20"/>
              </w:rPr>
            </w:pPr>
            <w:r w:rsidRPr="00524A07">
              <w:rPr>
                <w:rFonts w:eastAsia="Times New Roman"/>
                <w:sz w:val="20"/>
                <w:szCs w:val="20"/>
              </w:rPr>
              <w:lastRenderedPageBreak/>
              <w:t>Invasive Meningococcal Disease (IMD) causes death in young healthy children and adolescents in 5-10% of cases.</w:t>
            </w:r>
            <w:r w:rsidRPr="00524A07">
              <w:rPr>
                <w:rFonts w:eastAsia="Times New Roman"/>
                <w:sz w:val="20"/>
                <w:szCs w:val="20"/>
                <w:vertAlign w:val="superscript"/>
              </w:rPr>
              <w:t>15-17</w:t>
            </w:r>
            <w:r w:rsidRPr="00524A07">
              <w:rPr>
                <w:rFonts w:eastAsia="Times New Roman"/>
                <w:sz w:val="20"/>
                <w:szCs w:val="20"/>
              </w:rPr>
              <w:t xml:space="preserve"> No other infectious disease has such debilitating consequences following resolution of the infection, with 20-57% of </w:t>
            </w:r>
            <w:r w:rsidRPr="00524A07">
              <w:rPr>
                <w:rFonts w:eastAsia="Times New Roman"/>
                <w:sz w:val="20"/>
                <w:szCs w:val="20"/>
              </w:rPr>
              <w:lastRenderedPageBreak/>
              <w:t>surviving children developing long term complications including amputation, cerebral infarction and severe skin scarring.</w:t>
            </w:r>
            <w:r w:rsidRPr="00524A07">
              <w:rPr>
                <w:rFonts w:eastAsia="Times New Roman"/>
                <w:sz w:val="20"/>
                <w:szCs w:val="20"/>
                <w:vertAlign w:val="superscript"/>
              </w:rPr>
              <w:t>18-20</w:t>
            </w:r>
            <w:r w:rsidRPr="00524A07">
              <w:rPr>
                <w:rFonts w:eastAsia="Times New Roman"/>
                <w:sz w:val="20"/>
                <w:szCs w:val="20"/>
              </w:rPr>
              <w:t xml:space="preserve"> Surveillance of IMD will enable identification of serogroup/genotypes causes and any associations between severity of disease and sequelae. This study also seeks to estimate vaccine effectiveness against Men B infection and disease severity in IMD cases pre and post introduction of Men B vaccine in Australia.</w:t>
            </w:r>
          </w:p>
        </w:tc>
      </w:tr>
      <w:tr w:rsidR="00081149" w:rsidRPr="00524A07" w14:paraId="05D986F7" w14:textId="77777777" w:rsidTr="00F7477A">
        <w:trPr>
          <w:cnfStyle w:val="000000010000" w:firstRow="0" w:lastRow="0" w:firstColumn="0" w:lastColumn="0" w:oddVBand="0" w:evenVBand="0" w:oddHBand="0" w:evenHBand="1" w:firstRowFirstColumn="0" w:firstRowLastColumn="0" w:lastRowFirstColumn="0" w:lastRowLastColumn="0"/>
        </w:trPr>
        <w:tc>
          <w:tcPr>
            <w:tcW w:w="3686" w:type="dxa"/>
            <w:hideMark/>
          </w:tcPr>
          <w:p w14:paraId="2C0587D7" w14:textId="77777777" w:rsidR="00081149" w:rsidRPr="00524A07" w:rsidRDefault="00081149" w:rsidP="00F7477A">
            <w:pPr>
              <w:rPr>
                <w:rFonts w:eastAsia="Times New Roman"/>
                <w:sz w:val="20"/>
                <w:szCs w:val="20"/>
              </w:rPr>
            </w:pPr>
            <w:r w:rsidRPr="00524A07">
              <w:rPr>
                <w:rFonts w:eastAsia="Times New Roman"/>
                <w:sz w:val="20"/>
                <w:szCs w:val="20"/>
              </w:rPr>
              <w:lastRenderedPageBreak/>
              <w:t xml:space="preserve">Invasive Group A Streptococcus (IGAS) Any Child aged birth to </w:t>
            </w:r>
            <w:r>
              <w:rPr>
                <w:rFonts w:eastAsia="Times New Roman"/>
                <w:sz w:val="20"/>
                <w:szCs w:val="20"/>
              </w:rPr>
              <w:t>&lt;</w:t>
            </w:r>
            <w:r w:rsidRPr="00B1457E">
              <w:rPr>
                <w:rFonts w:eastAsia="Times New Roman"/>
                <w:sz w:val="20"/>
                <w:szCs w:val="20"/>
              </w:rPr>
              <w:t>18</w:t>
            </w:r>
            <w:r w:rsidRPr="00524A07">
              <w:rPr>
                <w:rFonts w:eastAsia="Times New Roman"/>
                <w:sz w:val="20"/>
                <w:szCs w:val="20"/>
              </w:rPr>
              <w:t xml:space="preserve"> years hospitalised with laboratory confirmed invasive group A streptococcus disease.</w:t>
            </w:r>
          </w:p>
        </w:tc>
        <w:tc>
          <w:tcPr>
            <w:tcW w:w="6780" w:type="dxa"/>
            <w:hideMark/>
          </w:tcPr>
          <w:p w14:paraId="6B39074A" w14:textId="77777777" w:rsidR="00081149" w:rsidRPr="00524A07" w:rsidRDefault="00081149" w:rsidP="00F7477A">
            <w:pPr>
              <w:rPr>
                <w:rFonts w:eastAsia="Times New Roman"/>
                <w:sz w:val="20"/>
                <w:szCs w:val="20"/>
              </w:rPr>
            </w:pPr>
            <w:r w:rsidRPr="00524A07">
              <w:rPr>
                <w:rFonts w:eastAsia="Times New Roman"/>
                <w:sz w:val="20"/>
                <w:szCs w:val="20"/>
              </w:rPr>
              <w:t xml:space="preserve">The group A beta-haemolytic streptococcus is a common infective agent in children and adults that causes the widest range of clinical disease in humans of any bacterium. Invasive disease (IGAS identified in a sterile site) is less </w:t>
            </w:r>
            <w:proofErr w:type="gramStart"/>
            <w:r w:rsidRPr="00524A07">
              <w:rPr>
                <w:rFonts w:eastAsia="Times New Roman"/>
                <w:sz w:val="20"/>
                <w:szCs w:val="20"/>
              </w:rPr>
              <w:t>common, but</w:t>
            </w:r>
            <w:proofErr w:type="gramEnd"/>
            <w:r w:rsidRPr="00524A07">
              <w:rPr>
                <w:rFonts w:eastAsia="Times New Roman"/>
                <w:sz w:val="20"/>
                <w:szCs w:val="20"/>
              </w:rPr>
              <w:t xml:space="preserve"> has high rates of mortality and long-term morbidity. Group A streptococcal toxin mediated diseases include streptococcal toxic shock syndrome (STSS), which is usually found in association with invasive disease and has a case fatality rate over 50%.</w:t>
            </w:r>
            <w:r w:rsidRPr="00524A07">
              <w:rPr>
                <w:rFonts w:eastAsia="Times New Roman"/>
                <w:sz w:val="20"/>
                <w:szCs w:val="20"/>
                <w:vertAlign w:val="superscript"/>
              </w:rPr>
              <w:t>21,22</w:t>
            </w:r>
            <w:r w:rsidRPr="00524A07">
              <w:rPr>
                <w:rFonts w:eastAsia="Times New Roman"/>
                <w:sz w:val="20"/>
                <w:szCs w:val="20"/>
              </w:rPr>
              <w:t xml:space="preserve"> There is no vaccine currently available for prevention of streptococcal infection although research is underway. Further epidemiological data on incidence, severity, clinical </w:t>
            </w:r>
            <w:proofErr w:type="gramStart"/>
            <w:r w:rsidRPr="00524A07">
              <w:rPr>
                <w:rFonts w:eastAsia="Times New Roman"/>
                <w:sz w:val="20"/>
                <w:szCs w:val="20"/>
              </w:rPr>
              <w:t>features</w:t>
            </w:r>
            <w:proofErr w:type="gramEnd"/>
            <w:r w:rsidRPr="00524A07">
              <w:rPr>
                <w:rFonts w:eastAsia="Times New Roman"/>
                <w:sz w:val="20"/>
                <w:szCs w:val="20"/>
              </w:rPr>
              <w:t xml:space="preserve"> and pathogen characteristics (genotype) are warranted.</w:t>
            </w:r>
          </w:p>
        </w:tc>
      </w:tr>
    </w:tbl>
    <w:p w14:paraId="30B78C3F" w14:textId="77777777" w:rsidR="001C7AF5" w:rsidRDefault="001C7AF5" w:rsidP="001C7AF5">
      <w:pPr>
        <w:pStyle w:val="CDIfootnotes"/>
      </w:pPr>
      <w:r>
        <w:rPr>
          <w:vertAlign w:val="superscript"/>
        </w:rPr>
        <w:t>*</w:t>
      </w:r>
      <w:r>
        <w:t>SANE – Serious acute neurological event</w:t>
      </w:r>
    </w:p>
    <w:p w14:paraId="12CF1553" w14:textId="77777777" w:rsidR="001F7DC0" w:rsidRDefault="001F7DC0">
      <w:pPr>
        <w:pStyle w:val="Heading1"/>
        <w:rPr>
          <w:rFonts w:eastAsia="Times New Roman"/>
        </w:rPr>
      </w:pPr>
      <w:r>
        <w:rPr>
          <w:rFonts w:eastAsia="Times New Roman"/>
        </w:rPr>
        <w:t xml:space="preserve">Results </w:t>
      </w:r>
    </w:p>
    <w:p w14:paraId="2D71D929" w14:textId="22210E6E" w:rsidR="001F7DC0" w:rsidRDefault="001F7DC0">
      <w:pPr>
        <w:pStyle w:val="NormalWeb"/>
      </w:pPr>
      <w:r>
        <w:t>In 2016, there were 174,840 admissions at the 6 participating PAEDS sites (Table 2). There were 673 cases identified across all PAEDS conditions under surveillance and sites in 2016 (Table 3). Data on an additional 227 control cases (influenza test-negative ARI cases) were collected under FluCAN surveillance. Since PAEDS inception in 2007</w:t>
      </w:r>
      <w:r w:rsidR="000728EA">
        <w:t>,</w:t>
      </w:r>
      <w:r>
        <w:t xml:space="preserve"> a total of 5,570 cases (excluding controls) have been recruited. </w:t>
      </w:r>
    </w:p>
    <w:p w14:paraId="62CF2253" w14:textId="7BF55990" w:rsidR="001F7DC0" w:rsidRDefault="001F7DC0" w:rsidP="00AC7BE9">
      <w:pPr>
        <w:pStyle w:val="CDIFigures"/>
      </w:pPr>
      <w:r>
        <w:t>Table 2: Total hospital admissions and ED presentations (inclusive of admitted patients) for the 6 hospitals participating in PAEDS in 2016</w:t>
      </w:r>
    </w:p>
    <w:tbl>
      <w:tblPr>
        <w:tblStyle w:val="CDI-StandardTable"/>
        <w:tblW w:w="10206" w:type="dxa"/>
        <w:tblCellMar>
          <w:top w:w="142" w:type="dxa"/>
          <w:left w:w="142" w:type="dxa"/>
          <w:bottom w:w="142" w:type="dxa"/>
          <w:right w:w="142" w:type="dxa"/>
        </w:tblCellMar>
        <w:tblLook w:val="04A0" w:firstRow="1" w:lastRow="0" w:firstColumn="1" w:lastColumn="0" w:noHBand="0" w:noVBand="1"/>
        <w:tblCaption w:val="Table 2: Total hospital admissions and ED presentations (inclusive of admitted patients) for the 6 hospitals participating in PAEDS in 2016E"/>
        <w:tblDescription w:val="Table 2 shows the total number of hospital admissions and emergency department presentations in all six participating PAEDS hospitals in 2016."/>
      </w:tblPr>
      <w:tblGrid>
        <w:gridCol w:w="1843"/>
        <w:gridCol w:w="1999"/>
        <w:gridCol w:w="1758"/>
        <w:gridCol w:w="4606"/>
      </w:tblGrid>
      <w:tr w:rsidR="00AC7BE9" w:rsidRPr="00A85AF9" w14:paraId="203A129F" w14:textId="77777777" w:rsidTr="00A85AF9">
        <w:trPr>
          <w:cnfStyle w:val="100000000000" w:firstRow="1" w:lastRow="0" w:firstColumn="0" w:lastColumn="0" w:oddVBand="0" w:evenVBand="0" w:oddHBand="0" w:evenHBand="0" w:firstRowFirstColumn="0" w:firstRowLastColumn="0" w:lastRowFirstColumn="0" w:lastRowLastColumn="0"/>
          <w:tblHeader/>
        </w:trPr>
        <w:tc>
          <w:tcPr>
            <w:tcW w:w="1843" w:type="dxa"/>
            <w:hideMark/>
          </w:tcPr>
          <w:p w14:paraId="3F64B24E" w14:textId="77777777" w:rsidR="001F7DC0" w:rsidRPr="00A85AF9" w:rsidRDefault="001F7DC0">
            <w:pPr>
              <w:rPr>
                <w:rFonts w:eastAsia="Times New Roman"/>
                <w:color w:val="FFFFFF" w:themeColor="background1"/>
                <w:sz w:val="18"/>
              </w:rPr>
            </w:pPr>
            <w:r w:rsidRPr="00A85AF9">
              <w:rPr>
                <w:rFonts w:eastAsia="Times New Roman"/>
                <w:color w:val="FFFFFF" w:themeColor="background1"/>
                <w:sz w:val="18"/>
              </w:rPr>
              <w:t>PAEDS site</w:t>
            </w:r>
          </w:p>
        </w:tc>
        <w:tc>
          <w:tcPr>
            <w:tcW w:w="0" w:type="auto"/>
            <w:hideMark/>
          </w:tcPr>
          <w:p w14:paraId="1519203F" w14:textId="77777777" w:rsidR="001F7DC0" w:rsidRPr="00A85AF9" w:rsidRDefault="001F7DC0" w:rsidP="008D6C1A">
            <w:pPr>
              <w:jc w:val="center"/>
              <w:rPr>
                <w:rFonts w:eastAsia="Times New Roman"/>
                <w:color w:val="FFFFFF" w:themeColor="background1"/>
                <w:sz w:val="18"/>
              </w:rPr>
            </w:pPr>
            <w:r w:rsidRPr="00A85AF9">
              <w:rPr>
                <w:rFonts w:eastAsia="Times New Roman"/>
                <w:color w:val="FFFFFF" w:themeColor="background1"/>
                <w:sz w:val="18"/>
              </w:rPr>
              <w:t>Hospital admissions</w:t>
            </w:r>
          </w:p>
        </w:tc>
        <w:tc>
          <w:tcPr>
            <w:tcW w:w="0" w:type="auto"/>
            <w:hideMark/>
          </w:tcPr>
          <w:p w14:paraId="7FF6D66B" w14:textId="77777777" w:rsidR="001F7DC0" w:rsidRPr="00A85AF9" w:rsidRDefault="001F7DC0" w:rsidP="008D6C1A">
            <w:pPr>
              <w:jc w:val="center"/>
              <w:rPr>
                <w:rFonts w:eastAsia="Times New Roman"/>
                <w:color w:val="FFFFFF" w:themeColor="background1"/>
                <w:sz w:val="18"/>
              </w:rPr>
            </w:pPr>
            <w:r w:rsidRPr="00A85AF9">
              <w:rPr>
                <w:rFonts w:eastAsia="Times New Roman"/>
                <w:color w:val="FFFFFF" w:themeColor="background1"/>
                <w:sz w:val="18"/>
              </w:rPr>
              <w:t>ED presentations</w:t>
            </w:r>
          </w:p>
        </w:tc>
        <w:tc>
          <w:tcPr>
            <w:tcW w:w="4606" w:type="dxa"/>
            <w:hideMark/>
          </w:tcPr>
          <w:p w14:paraId="3B8CB64A" w14:textId="77777777" w:rsidR="001F7DC0" w:rsidRPr="00A85AF9" w:rsidRDefault="001F7DC0" w:rsidP="008D6C1A">
            <w:pPr>
              <w:jc w:val="center"/>
              <w:rPr>
                <w:rFonts w:eastAsia="Times New Roman"/>
                <w:color w:val="FFFFFF" w:themeColor="background1"/>
                <w:sz w:val="18"/>
              </w:rPr>
            </w:pPr>
            <w:r w:rsidRPr="00A85AF9">
              <w:rPr>
                <w:rFonts w:eastAsia="Times New Roman"/>
                <w:color w:val="FFFFFF" w:themeColor="background1"/>
                <w:sz w:val="18"/>
              </w:rPr>
              <w:t>Total PAEDS cases all conditions (% hospital admissions)</w:t>
            </w:r>
            <w:r w:rsidRPr="00A85AF9">
              <w:rPr>
                <w:rFonts w:eastAsia="Times New Roman"/>
                <w:color w:val="FFFFFF" w:themeColor="background1"/>
                <w:sz w:val="18"/>
                <w:vertAlign w:val="superscript"/>
              </w:rPr>
              <w:t>*</w:t>
            </w:r>
          </w:p>
        </w:tc>
      </w:tr>
      <w:tr w:rsidR="001F7DC0" w:rsidRPr="00A85AF9" w14:paraId="73B8532B" w14:textId="77777777" w:rsidTr="00A85AF9">
        <w:tc>
          <w:tcPr>
            <w:tcW w:w="1843" w:type="dxa"/>
            <w:hideMark/>
          </w:tcPr>
          <w:p w14:paraId="6EE91A27" w14:textId="77777777" w:rsidR="001F7DC0" w:rsidRPr="00A85AF9" w:rsidRDefault="001F7DC0">
            <w:pPr>
              <w:rPr>
                <w:rFonts w:eastAsia="Times New Roman"/>
                <w:sz w:val="18"/>
              </w:rPr>
            </w:pPr>
            <w:r w:rsidRPr="00A85AF9">
              <w:rPr>
                <w:rFonts w:eastAsia="Times New Roman"/>
                <w:sz w:val="18"/>
              </w:rPr>
              <w:t>CHW, Sydney</w:t>
            </w:r>
            <w:r w:rsidRPr="00A85AF9">
              <w:rPr>
                <w:rFonts w:eastAsia="Times New Roman"/>
                <w:sz w:val="18"/>
                <w:vertAlign w:val="superscript"/>
              </w:rPr>
              <w:t>‡</w:t>
            </w:r>
          </w:p>
        </w:tc>
        <w:tc>
          <w:tcPr>
            <w:tcW w:w="0" w:type="auto"/>
            <w:hideMark/>
          </w:tcPr>
          <w:p w14:paraId="7F9D3370" w14:textId="77777777" w:rsidR="001F7DC0" w:rsidRPr="00A85AF9" w:rsidRDefault="001F7DC0" w:rsidP="008D6C1A">
            <w:pPr>
              <w:jc w:val="center"/>
              <w:rPr>
                <w:rFonts w:eastAsia="Times New Roman"/>
                <w:sz w:val="18"/>
              </w:rPr>
            </w:pPr>
            <w:r w:rsidRPr="00A85AF9">
              <w:rPr>
                <w:rFonts w:eastAsia="Times New Roman"/>
                <w:sz w:val="18"/>
              </w:rPr>
              <w:t>32,834</w:t>
            </w:r>
          </w:p>
        </w:tc>
        <w:tc>
          <w:tcPr>
            <w:tcW w:w="0" w:type="auto"/>
            <w:hideMark/>
          </w:tcPr>
          <w:p w14:paraId="4CCB57D5" w14:textId="77777777" w:rsidR="001F7DC0" w:rsidRPr="00A85AF9" w:rsidRDefault="001F7DC0" w:rsidP="008D6C1A">
            <w:pPr>
              <w:jc w:val="center"/>
              <w:rPr>
                <w:rFonts w:eastAsia="Times New Roman"/>
                <w:sz w:val="18"/>
              </w:rPr>
            </w:pPr>
            <w:r w:rsidRPr="00A85AF9">
              <w:rPr>
                <w:rFonts w:eastAsia="Times New Roman"/>
                <w:sz w:val="18"/>
              </w:rPr>
              <w:t>57,379</w:t>
            </w:r>
          </w:p>
        </w:tc>
        <w:tc>
          <w:tcPr>
            <w:tcW w:w="4606" w:type="dxa"/>
            <w:hideMark/>
          </w:tcPr>
          <w:p w14:paraId="2FF561DE" w14:textId="77777777" w:rsidR="001F7DC0" w:rsidRPr="00A85AF9" w:rsidRDefault="001F7DC0" w:rsidP="008D6C1A">
            <w:pPr>
              <w:jc w:val="center"/>
              <w:rPr>
                <w:rFonts w:eastAsia="Times New Roman"/>
                <w:sz w:val="18"/>
              </w:rPr>
            </w:pPr>
            <w:r w:rsidRPr="00A85AF9">
              <w:rPr>
                <w:rFonts w:eastAsia="Times New Roman"/>
                <w:sz w:val="18"/>
              </w:rPr>
              <w:t>245 (1.0)</w:t>
            </w:r>
          </w:p>
        </w:tc>
      </w:tr>
      <w:tr w:rsidR="001F7DC0" w:rsidRPr="00A85AF9" w14:paraId="6EDCFD93" w14:textId="77777777" w:rsidTr="00A85AF9">
        <w:trPr>
          <w:cnfStyle w:val="000000010000" w:firstRow="0" w:lastRow="0" w:firstColumn="0" w:lastColumn="0" w:oddVBand="0" w:evenVBand="0" w:oddHBand="0" w:evenHBand="1" w:firstRowFirstColumn="0" w:firstRowLastColumn="0" w:lastRowFirstColumn="0" w:lastRowLastColumn="0"/>
        </w:trPr>
        <w:tc>
          <w:tcPr>
            <w:tcW w:w="1843" w:type="dxa"/>
            <w:hideMark/>
          </w:tcPr>
          <w:p w14:paraId="015B8A71" w14:textId="77777777" w:rsidR="001F7DC0" w:rsidRPr="00A85AF9" w:rsidRDefault="001F7DC0">
            <w:pPr>
              <w:rPr>
                <w:rFonts w:eastAsia="Times New Roman"/>
                <w:sz w:val="18"/>
              </w:rPr>
            </w:pPr>
            <w:r w:rsidRPr="00A85AF9">
              <w:rPr>
                <w:rFonts w:eastAsia="Times New Roman"/>
                <w:sz w:val="18"/>
              </w:rPr>
              <w:t>RCH, Melbourne</w:t>
            </w:r>
          </w:p>
        </w:tc>
        <w:tc>
          <w:tcPr>
            <w:tcW w:w="0" w:type="auto"/>
            <w:hideMark/>
          </w:tcPr>
          <w:p w14:paraId="2FDAC13B" w14:textId="77777777" w:rsidR="001F7DC0" w:rsidRPr="00A85AF9" w:rsidRDefault="001F7DC0" w:rsidP="008D6C1A">
            <w:pPr>
              <w:jc w:val="center"/>
              <w:rPr>
                <w:rFonts w:eastAsia="Times New Roman"/>
                <w:sz w:val="18"/>
              </w:rPr>
            </w:pPr>
            <w:r w:rsidRPr="00A85AF9">
              <w:rPr>
                <w:rFonts w:eastAsia="Times New Roman"/>
                <w:sz w:val="18"/>
              </w:rPr>
              <w:t>47,624</w:t>
            </w:r>
          </w:p>
        </w:tc>
        <w:tc>
          <w:tcPr>
            <w:tcW w:w="0" w:type="auto"/>
            <w:hideMark/>
          </w:tcPr>
          <w:p w14:paraId="7633C667" w14:textId="77777777" w:rsidR="001F7DC0" w:rsidRPr="00A85AF9" w:rsidRDefault="001F7DC0" w:rsidP="008D6C1A">
            <w:pPr>
              <w:jc w:val="center"/>
              <w:rPr>
                <w:rFonts w:eastAsia="Times New Roman"/>
                <w:sz w:val="18"/>
              </w:rPr>
            </w:pPr>
            <w:r w:rsidRPr="00A85AF9">
              <w:rPr>
                <w:rFonts w:eastAsia="Times New Roman"/>
                <w:sz w:val="18"/>
              </w:rPr>
              <w:t>87,806</w:t>
            </w:r>
          </w:p>
        </w:tc>
        <w:tc>
          <w:tcPr>
            <w:tcW w:w="4606" w:type="dxa"/>
            <w:hideMark/>
          </w:tcPr>
          <w:p w14:paraId="3B4F5E2F" w14:textId="77777777" w:rsidR="001F7DC0" w:rsidRPr="00A85AF9" w:rsidRDefault="001F7DC0" w:rsidP="008D6C1A">
            <w:pPr>
              <w:jc w:val="center"/>
              <w:rPr>
                <w:rFonts w:eastAsia="Times New Roman"/>
                <w:sz w:val="18"/>
              </w:rPr>
            </w:pPr>
            <w:r w:rsidRPr="00A85AF9">
              <w:rPr>
                <w:rFonts w:eastAsia="Times New Roman"/>
                <w:sz w:val="18"/>
              </w:rPr>
              <w:t>85 (0.2)</w:t>
            </w:r>
          </w:p>
        </w:tc>
      </w:tr>
      <w:tr w:rsidR="001F7DC0" w:rsidRPr="00A85AF9" w14:paraId="51F4624A" w14:textId="77777777" w:rsidTr="00A85AF9">
        <w:tc>
          <w:tcPr>
            <w:tcW w:w="1843" w:type="dxa"/>
            <w:hideMark/>
          </w:tcPr>
          <w:p w14:paraId="2EF8DBB3" w14:textId="77777777" w:rsidR="001F7DC0" w:rsidRPr="00A85AF9" w:rsidRDefault="001F7DC0">
            <w:pPr>
              <w:rPr>
                <w:rFonts w:eastAsia="Times New Roman"/>
                <w:sz w:val="18"/>
              </w:rPr>
            </w:pPr>
            <w:r w:rsidRPr="00A85AF9">
              <w:rPr>
                <w:rFonts w:eastAsia="Times New Roman"/>
                <w:sz w:val="18"/>
              </w:rPr>
              <w:t>WCH, Adelaide</w:t>
            </w:r>
          </w:p>
        </w:tc>
        <w:tc>
          <w:tcPr>
            <w:tcW w:w="0" w:type="auto"/>
            <w:hideMark/>
          </w:tcPr>
          <w:p w14:paraId="1C114011" w14:textId="77777777" w:rsidR="001F7DC0" w:rsidRPr="00A85AF9" w:rsidRDefault="001F7DC0" w:rsidP="008D6C1A">
            <w:pPr>
              <w:jc w:val="center"/>
              <w:rPr>
                <w:rFonts w:eastAsia="Times New Roman"/>
                <w:sz w:val="18"/>
              </w:rPr>
            </w:pPr>
            <w:r w:rsidRPr="00A85AF9">
              <w:rPr>
                <w:rFonts w:eastAsia="Times New Roman"/>
                <w:sz w:val="18"/>
              </w:rPr>
              <w:t>21,921</w:t>
            </w:r>
          </w:p>
        </w:tc>
        <w:tc>
          <w:tcPr>
            <w:tcW w:w="0" w:type="auto"/>
            <w:hideMark/>
          </w:tcPr>
          <w:p w14:paraId="5CD37E14" w14:textId="77777777" w:rsidR="001F7DC0" w:rsidRPr="00A85AF9" w:rsidRDefault="001F7DC0" w:rsidP="008D6C1A">
            <w:pPr>
              <w:jc w:val="center"/>
              <w:rPr>
                <w:rFonts w:eastAsia="Times New Roman"/>
                <w:sz w:val="18"/>
              </w:rPr>
            </w:pPr>
            <w:r w:rsidRPr="00A85AF9">
              <w:rPr>
                <w:rFonts w:eastAsia="Times New Roman"/>
                <w:sz w:val="18"/>
              </w:rPr>
              <w:t>46,175</w:t>
            </w:r>
          </w:p>
        </w:tc>
        <w:tc>
          <w:tcPr>
            <w:tcW w:w="4606" w:type="dxa"/>
            <w:hideMark/>
          </w:tcPr>
          <w:p w14:paraId="38989E0E" w14:textId="77777777" w:rsidR="001F7DC0" w:rsidRPr="00A85AF9" w:rsidRDefault="001F7DC0" w:rsidP="008D6C1A">
            <w:pPr>
              <w:jc w:val="center"/>
              <w:rPr>
                <w:rFonts w:eastAsia="Times New Roman"/>
                <w:sz w:val="18"/>
              </w:rPr>
            </w:pPr>
            <w:r w:rsidRPr="00A85AF9">
              <w:rPr>
                <w:rFonts w:eastAsia="Times New Roman"/>
                <w:sz w:val="18"/>
              </w:rPr>
              <w:t>42 (0.2)</w:t>
            </w:r>
          </w:p>
        </w:tc>
      </w:tr>
      <w:tr w:rsidR="001F7DC0" w:rsidRPr="00A85AF9" w14:paraId="25E4FFB9" w14:textId="77777777" w:rsidTr="00A85AF9">
        <w:trPr>
          <w:cnfStyle w:val="000000010000" w:firstRow="0" w:lastRow="0" w:firstColumn="0" w:lastColumn="0" w:oddVBand="0" w:evenVBand="0" w:oddHBand="0" w:evenHBand="1" w:firstRowFirstColumn="0" w:firstRowLastColumn="0" w:lastRowFirstColumn="0" w:lastRowLastColumn="0"/>
        </w:trPr>
        <w:tc>
          <w:tcPr>
            <w:tcW w:w="1843" w:type="dxa"/>
            <w:hideMark/>
          </w:tcPr>
          <w:p w14:paraId="276B9D9B" w14:textId="77777777" w:rsidR="001F7DC0" w:rsidRPr="00A85AF9" w:rsidRDefault="001F7DC0">
            <w:pPr>
              <w:rPr>
                <w:rFonts w:eastAsia="Times New Roman"/>
                <w:sz w:val="18"/>
              </w:rPr>
            </w:pPr>
            <w:r w:rsidRPr="00A85AF9">
              <w:rPr>
                <w:rFonts w:eastAsia="Times New Roman"/>
                <w:sz w:val="18"/>
              </w:rPr>
              <w:t>PMH, Perth</w:t>
            </w:r>
            <w:r w:rsidRPr="00A85AF9">
              <w:rPr>
                <w:rFonts w:eastAsia="Times New Roman"/>
                <w:sz w:val="18"/>
                <w:vertAlign w:val="superscript"/>
              </w:rPr>
              <w:t>‡</w:t>
            </w:r>
          </w:p>
        </w:tc>
        <w:tc>
          <w:tcPr>
            <w:tcW w:w="0" w:type="auto"/>
            <w:hideMark/>
          </w:tcPr>
          <w:p w14:paraId="668A0C49" w14:textId="77777777" w:rsidR="001F7DC0" w:rsidRPr="00A85AF9" w:rsidRDefault="001F7DC0" w:rsidP="008D6C1A">
            <w:pPr>
              <w:jc w:val="center"/>
              <w:rPr>
                <w:rFonts w:eastAsia="Times New Roman"/>
                <w:sz w:val="18"/>
              </w:rPr>
            </w:pPr>
            <w:r w:rsidRPr="00A85AF9">
              <w:rPr>
                <w:rFonts w:eastAsia="Times New Roman"/>
                <w:sz w:val="18"/>
              </w:rPr>
              <w:t>27,571</w:t>
            </w:r>
          </w:p>
        </w:tc>
        <w:tc>
          <w:tcPr>
            <w:tcW w:w="0" w:type="auto"/>
            <w:hideMark/>
          </w:tcPr>
          <w:p w14:paraId="59064993" w14:textId="77777777" w:rsidR="001F7DC0" w:rsidRPr="00A85AF9" w:rsidRDefault="001F7DC0" w:rsidP="008D6C1A">
            <w:pPr>
              <w:jc w:val="center"/>
              <w:rPr>
                <w:rFonts w:eastAsia="Times New Roman"/>
                <w:sz w:val="18"/>
              </w:rPr>
            </w:pPr>
            <w:r w:rsidRPr="00A85AF9">
              <w:rPr>
                <w:rFonts w:eastAsia="Times New Roman"/>
                <w:sz w:val="18"/>
              </w:rPr>
              <w:t>62,474</w:t>
            </w:r>
          </w:p>
        </w:tc>
        <w:tc>
          <w:tcPr>
            <w:tcW w:w="4606" w:type="dxa"/>
            <w:hideMark/>
          </w:tcPr>
          <w:p w14:paraId="61416C4F" w14:textId="77777777" w:rsidR="001F7DC0" w:rsidRPr="00A85AF9" w:rsidRDefault="001F7DC0" w:rsidP="008D6C1A">
            <w:pPr>
              <w:jc w:val="center"/>
              <w:rPr>
                <w:rFonts w:eastAsia="Times New Roman"/>
                <w:sz w:val="18"/>
              </w:rPr>
            </w:pPr>
            <w:r w:rsidRPr="00A85AF9">
              <w:rPr>
                <w:rFonts w:eastAsia="Times New Roman"/>
                <w:sz w:val="18"/>
              </w:rPr>
              <w:t>192 (1.0)</w:t>
            </w:r>
          </w:p>
        </w:tc>
      </w:tr>
      <w:tr w:rsidR="001F7DC0" w:rsidRPr="00A85AF9" w14:paraId="460F30D0" w14:textId="77777777" w:rsidTr="00A85AF9">
        <w:tc>
          <w:tcPr>
            <w:tcW w:w="1843" w:type="dxa"/>
            <w:hideMark/>
          </w:tcPr>
          <w:p w14:paraId="5D331AB2" w14:textId="77777777" w:rsidR="001F7DC0" w:rsidRPr="00A85AF9" w:rsidRDefault="001F7DC0">
            <w:pPr>
              <w:rPr>
                <w:rFonts w:eastAsia="Times New Roman"/>
                <w:sz w:val="18"/>
              </w:rPr>
            </w:pPr>
            <w:r w:rsidRPr="00A85AF9">
              <w:rPr>
                <w:rFonts w:eastAsia="Times New Roman"/>
                <w:sz w:val="18"/>
              </w:rPr>
              <w:t>LCCH, Brisbane</w:t>
            </w:r>
          </w:p>
        </w:tc>
        <w:tc>
          <w:tcPr>
            <w:tcW w:w="0" w:type="auto"/>
            <w:hideMark/>
          </w:tcPr>
          <w:p w14:paraId="0C940B3D" w14:textId="77777777" w:rsidR="001F7DC0" w:rsidRPr="00A85AF9" w:rsidRDefault="001F7DC0" w:rsidP="008D6C1A">
            <w:pPr>
              <w:jc w:val="center"/>
              <w:rPr>
                <w:rFonts w:eastAsia="Times New Roman"/>
                <w:sz w:val="18"/>
              </w:rPr>
            </w:pPr>
            <w:r w:rsidRPr="00A85AF9">
              <w:rPr>
                <w:rFonts w:eastAsia="Times New Roman"/>
                <w:sz w:val="18"/>
              </w:rPr>
              <w:t>39,945</w:t>
            </w:r>
          </w:p>
        </w:tc>
        <w:tc>
          <w:tcPr>
            <w:tcW w:w="0" w:type="auto"/>
            <w:hideMark/>
          </w:tcPr>
          <w:p w14:paraId="267FDE35" w14:textId="77777777" w:rsidR="001F7DC0" w:rsidRPr="00A85AF9" w:rsidRDefault="001F7DC0" w:rsidP="008D6C1A">
            <w:pPr>
              <w:jc w:val="center"/>
              <w:rPr>
                <w:rFonts w:eastAsia="Times New Roman"/>
                <w:sz w:val="18"/>
              </w:rPr>
            </w:pPr>
            <w:r w:rsidRPr="00A85AF9">
              <w:rPr>
                <w:rFonts w:eastAsia="Times New Roman"/>
                <w:sz w:val="18"/>
              </w:rPr>
              <w:t>65,713</w:t>
            </w:r>
          </w:p>
        </w:tc>
        <w:tc>
          <w:tcPr>
            <w:tcW w:w="4606" w:type="dxa"/>
            <w:hideMark/>
          </w:tcPr>
          <w:p w14:paraId="127C4FD4" w14:textId="77777777" w:rsidR="001F7DC0" w:rsidRPr="00A85AF9" w:rsidRDefault="001F7DC0" w:rsidP="008D6C1A">
            <w:pPr>
              <w:jc w:val="center"/>
              <w:rPr>
                <w:rFonts w:eastAsia="Times New Roman"/>
                <w:sz w:val="18"/>
              </w:rPr>
            </w:pPr>
            <w:r w:rsidRPr="00A85AF9">
              <w:rPr>
                <w:rFonts w:eastAsia="Times New Roman"/>
                <w:sz w:val="18"/>
              </w:rPr>
              <w:t>105 (0.3)</w:t>
            </w:r>
          </w:p>
        </w:tc>
      </w:tr>
      <w:tr w:rsidR="001F7DC0" w:rsidRPr="00A85AF9" w14:paraId="7F584F02" w14:textId="77777777" w:rsidTr="00A85AF9">
        <w:trPr>
          <w:cnfStyle w:val="000000010000" w:firstRow="0" w:lastRow="0" w:firstColumn="0" w:lastColumn="0" w:oddVBand="0" w:evenVBand="0" w:oddHBand="0" w:evenHBand="1" w:firstRowFirstColumn="0" w:firstRowLastColumn="0" w:lastRowFirstColumn="0" w:lastRowLastColumn="0"/>
        </w:trPr>
        <w:tc>
          <w:tcPr>
            <w:tcW w:w="1843" w:type="dxa"/>
            <w:hideMark/>
          </w:tcPr>
          <w:p w14:paraId="4FD06943" w14:textId="77777777" w:rsidR="001F7DC0" w:rsidRPr="00A85AF9" w:rsidRDefault="001F7DC0">
            <w:pPr>
              <w:rPr>
                <w:rFonts w:eastAsia="Times New Roman"/>
                <w:sz w:val="18"/>
              </w:rPr>
            </w:pPr>
            <w:r w:rsidRPr="00A85AF9">
              <w:rPr>
                <w:rFonts w:eastAsia="Times New Roman"/>
                <w:sz w:val="18"/>
              </w:rPr>
              <w:t>RDH, Darwin</w:t>
            </w:r>
            <w:r w:rsidRPr="00A85AF9">
              <w:rPr>
                <w:rFonts w:eastAsia="Times New Roman"/>
                <w:sz w:val="18"/>
                <w:vertAlign w:val="superscript"/>
              </w:rPr>
              <w:t>†</w:t>
            </w:r>
          </w:p>
        </w:tc>
        <w:tc>
          <w:tcPr>
            <w:tcW w:w="0" w:type="auto"/>
            <w:hideMark/>
          </w:tcPr>
          <w:p w14:paraId="0963170B" w14:textId="77777777" w:rsidR="001F7DC0" w:rsidRPr="00A85AF9" w:rsidRDefault="001F7DC0" w:rsidP="008D6C1A">
            <w:pPr>
              <w:jc w:val="center"/>
              <w:rPr>
                <w:rFonts w:eastAsia="Times New Roman"/>
                <w:sz w:val="18"/>
              </w:rPr>
            </w:pPr>
            <w:r w:rsidRPr="00A85AF9">
              <w:rPr>
                <w:rFonts w:eastAsia="Times New Roman"/>
                <w:sz w:val="18"/>
              </w:rPr>
              <w:t>4,945</w:t>
            </w:r>
          </w:p>
        </w:tc>
        <w:tc>
          <w:tcPr>
            <w:tcW w:w="0" w:type="auto"/>
            <w:hideMark/>
          </w:tcPr>
          <w:p w14:paraId="3977C375" w14:textId="77777777" w:rsidR="001F7DC0" w:rsidRPr="00A85AF9" w:rsidRDefault="001F7DC0" w:rsidP="008D6C1A">
            <w:pPr>
              <w:jc w:val="center"/>
              <w:rPr>
                <w:rFonts w:eastAsia="Times New Roman"/>
                <w:sz w:val="18"/>
              </w:rPr>
            </w:pPr>
            <w:r w:rsidRPr="00A85AF9">
              <w:rPr>
                <w:rFonts w:eastAsia="Times New Roman"/>
                <w:sz w:val="18"/>
              </w:rPr>
              <w:t>14,440</w:t>
            </w:r>
          </w:p>
        </w:tc>
        <w:tc>
          <w:tcPr>
            <w:tcW w:w="4606" w:type="dxa"/>
            <w:hideMark/>
          </w:tcPr>
          <w:p w14:paraId="42923DC4" w14:textId="77777777" w:rsidR="001F7DC0" w:rsidRPr="00A85AF9" w:rsidRDefault="001F7DC0" w:rsidP="008D6C1A">
            <w:pPr>
              <w:jc w:val="center"/>
              <w:rPr>
                <w:rFonts w:eastAsia="Times New Roman"/>
                <w:sz w:val="18"/>
              </w:rPr>
            </w:pPr>
            <w:r w:rsidRPr="00A85AF9">
              <w:rPr>
                <w:rFonts w:eastAsia="Times New Roman"/>
                <w:sz w:val="18"/>
              </w:rPr>
              <w:t>4 (0.02)</w:t>
            </w:r>
          </w:p>
        </w:tc>
      </w:tr>
      <w:tr w:rsidR="001F7DC0" w:rsidRPr="00A85AF9" w14:paraId="3178D4FE" w14:textId="77777777" w:rsidTr="00A85AF9">
        <w:tc>
          <w:tcPr>
            <w:tcW w:w="1843" w:type="dxa"/>
            <w:shd w:val="clear" w:color="auto" w:fill="FDE9D9" w:themeFill="accent6" w:themeFillTint="33"/>
            <w:hideMark/>
          </w:tcPr>
          <w:p w14:paraId="79DBF283" w14:textId="77777777" w:rsidR="001F7DC0" w:rsidRPr="00A85AF9" w:rsidRDefault="001F7DC0">
            <w:pPr>
              <w:rPr>
                <w:rFonts w:eastAsia="Times New Roman"/>
                <w:b/>
                <w:sz w:val="18"/>
              </w:rPr>
            </w:pPr>
            <w:r w:rsidRPr="00A85AF9">
              <w:rPr>
                <w:rFonts w:eastAsia="Times New Roman"/>
                <w:b/>
                <w:sz w:val="18"/>
              </w:rPr>
              <w:t>Total</w:t>
            </w:r>
          </w:p>
        </w:tc>
        <w:tc>
          <w:tcPr>
            <w:tcW w:w="0" w:type="auto"/>
            <w:shd w:val="clear" w:color="auto" w:fill="FDE9D9" w:themeFill="accent6" w:themeFillTint="33"/>
            <w:hideMark/>
          </w:tcPr>
          <w:p w14:paraId="05F39649" w14:textId="77777777" w:rsidR="001F7DC0" w:rsidRPr="00A85AF9" w:rsidRDefault="001F7DC0" w:rsidP="008D6C1A">
            <w:pPr>
              <w:jc w:val="center"/>
              <w:rPr>
                <w:rFonts w:eastAsia="Times New Roman"/>
                <w:b/>
                <w:sz w:val="18"/>
              </w:rPr>
            </w:pPr>
            <w:r w:rsidRPr="00A85AF9">
              <w:rPr>
                <w:rFonts w:eastAsia="Times New Roman"/>
                <w:b/>
                <w:sz w:val="18"/>
              </w:rPr>
              <w:t>174,840</w:t>
            </w:r>
          </w:p>
        </w:tc>
        <w:tc>
          <w:tcPr>
            <w:tcW w:w="0" w:type="auto"/>
            <w:shd w:val="clear" w:color="auto" w:fill="FDE9D9" w:themeFill="accent6" w:themeFillTint="33"/>
            <w:hideMark/>
          </w:tcPr>
          <w:p w14:paraId="6CD92A63" w14:textId="77777777" w:rsidR="001F7DC0" w:rsidRPr="00A85AF9" w:rsidRDefault="001F7DC0" w:rsidP="008D6C1A">
            <w:pPr>
              <w:jc w:val="center"/>
              <w:rPr>
                <w:rFonts w:eastAsia="Times New Roman"/>
                <w:b/>
                <w:sz w:val="18"/>
              </w:rPr>
            </w:pPr>
            <w:r w:rsidRPr="00A85AF9">
              <w:rPr>
                <w:rFonts w:eastAsia="Times New Roman"/>
                <w:b/>
                <w:sz w:val="18"/>
              </w:rPr>
              <w:t>333,987</w:t>
            </w:r>
          </w:p>
        </w:tc>
        <w:tc>
          <w:tcPr>
            <w:tcW w:w="4606" w:type="dxa"/>
            <w:shd w:val="clear" w:color="auto" w:fill="FDE9D9" w:themeFill="accent6" w:themeFillTint="33"/>
            <w:hideMark/>
          </w:tcPr>
          <w:p w14:paraId="623BF6D3" w14:textId="77777777" w:rsidR="001F7DC0" w:rsidRPr="00A85AF9" w:rsidRDefault="001F7DC0" w:rsidP="008D6C1A">
            <w:pPr>
              <w:jc w:val="center"/>
              <w:rPr>
                <w:rFonts w:eastAsia="Times New Roman"/>
                <w:b/>
                <w:sz w:val="18"/>
              </w:rPr>
            </w:pPr>
            <w:r w:rsidRPr="00A85AF9">
              <w:rPr>
                <w:rFonts w:eastAsia="Times New Roman"/>
                <w:b/>
                <w:sz w:val="18"/>
              </w:rPr>
              <w:t>673 (0.4)</w:t>
            </w:r>
          </w:p>
        </w:tc>
      </w:tr>
    </w:tbl>
    <w:p w14:paraId="038FF409" w14:textId="77777777" w:rsidR="001F7DC0" w:rsidRDefault="001F7DC0" w:rsidP="000B05F5">
      <w:pPr>
        <w:pStyle w:val="CDIfootnotes"/>
      </w:pPr>
      <w:r>
        <w:rPr>
          <w:rStyle w:val="superscript"/>
        </w:rPr>
        <w:t>*</w:t>
      </w:r>
      <w:r>
        <w:t>Denominator used is hospitalisations. Some cases of intussusception, pertussis (&lt; 6months of age for VE study) or AFP (though rarely), may not be included as they may be treated in ED only.</w:t>
      </w:r>
      <w:r>
        <w:br/>
      </w:r>
      <w:r>
        <w:rPr>
          <w:rStyle w:val="superscript"/>
        </w:rPr>
        <w:t>†</w:t>
      </w:r>
      <w:r>
        <w:t>RDH case numbers pertain to recruitments from the second half of 2016 only, total hospital admission and ED numbers represent the full calendar year.</w:t>
      </w:r>
      <w:r>
        <w:br/>
      </w:r>
      <w:r>
        <w:rPr>
          <w:rStyle w:val="superscript"/>
        </w:rPr>
        <w:t>‡</w:t>
      </w:r>
      <w:r>
        <w:t>CHW (Sydney) and PMH (Perth) attained higher case numbers as they were the only PAEDS hospitals involved in influenza surveillance</w:t>
      </w:r>
      <w:r w:rsidR="00F833EF">
        <w:t> </w:t>
      </w:r>
      <w:r>
        <w:t>in</w:t>
      </w:r>
      <w:r w:rsidR="00F833EF">
        <w:t> </w:t>
      </w:r>
      <w:r>
        <w:t xml:space="preserve">2016. </w:t>
      </w:r>
    </w:p>
    <w:p w14:paraId="24FF9802" w14:textId="77777777" w:rsidR="001F7DC0" w:rsidRDefault="001F7DC0">
      <w:pPr>
        <w:pStyle w:val="Heading2"/>
        <w:rPr>
          <w:rFonts w:eastAsia="Times New Roman"/>
        </w:rPr>
      </w:pPr>
      <w:r>
        <w:rPr>
          <w:rFonts w:eastAsia="Times New Roman"/>
        </w:rPr>
        <w:lastRenderedPageBreak/>
        <w:t xml:space="preserve">Surveillance results for 2016 </w:t>
      </w:r>
    </w:p>
    <w:p w14:paraId="7C774A2F" w14:textId="77777777" w:rsidR="001F7DC0" w:rsidRDefault="001F7DC0">
      <w:pPr>
        <w:pStyle w:val="NormalWeb"/>
      </w:pPr>
      <w:r>
        <w:t>Table 3 shows case numbers for all 8 conditions in 2016 and details of auditing and ICD-coded hospital discharge</w:t>
      </w:r>
      <w:r w:rsidR="00DC23D2">
        <w:t> </w:t>
      </w:r>
      <w:r>
        <w:t xml:space="preserve">data. </w:t>
      </w:r>
    </w:p>
    <w:p w14:paraId="0765D587" w14:textId="77777777" w:rsidR="001F7DC0" w:rsidRDefault="001F7DC0">
      <w:pPr>
        <w:pStyle w:val="NormalWeb"/>
      </w:pPr>
      <w:r w:rsidRPr="00B971C6">
        <w:rPr>
          <w:rStyle w:val="CDIFiguresChar"/>
        </w:rPr>
        <w:t xml:space="preserve">Table 3: Number of cases captured by PAEDS in 2016 by condition and method of case </w:t>
      </w:r>
      <w:proofErr w:type="gramStart"/>
      <w:r w:rsidRPr="00B971C6">
        <w:rPr>
          <w:rStyle w:val="CDIFiguresChar"/>
        </w:rPr>
        <w:t>ascertainment</w:t>
      </w:r>
      <w:proofErr w:type="gramEnd"/>
      <w:r>
        <w:t xml:space="preserve"> </w:t>
      </w:r>
    </w:p>
    <w:tbl>
      <w:tblPr>
        <w:tblStyle w:val="CDI-StandardTable"/>
        <w:tblW w:w="0" w:type="auto"/>
        <w:tblCellMar>
          <w:top w:w="142" w:type="dxa"/>
          <w:left w:w="142" w:type="dxa"/>
          <w:bottom w:w="142" w:type="dxa"/>
          <w:right w:w="142" w:type="dxa"/>
        </w:tblCellMar>
        <w:tblLook w:val="04A0" w:firstRow="1" w:lastRow="0" w:firstColumn="1" w:lastColumn="0" w:noHBand="0" w:noVBand="1"/>
        <w:tblCaption w:val="Table 3: Number of cases captured by PAEDS in 2016 by condition and method of case ascertainment "/>
        <w:tblDescription w:val="Table 3 shows the number of cases recruited to PAEDS in 2016 by condition and demonstrates how many were captured by PAEDS surveillance and how many obtained through ICD code audit. "/>
      </w:tblPr>
      <w:tblGrid>
        <w:gridCol w:w="2410"/>
        <w:gridCol w:w="1885"/>
        <w:gridCol w:w="1885"/>
        <w:gridCol w:w="1885"/>
        <w:gridCol w:w="2401"/>
      </w:tblGrid>
      <w:tr w:rsidR="001F7DC0" w:rsidRPr="003325E9" w14:paraId="72D08718" w14:textId="77777777" w:rsidTr="0047168E">
        <w:trPr>
          <w:cnfStyle w:val="100000000000" w:firstRow="1" w:lastRow="0" w:firstColumn="0" w:lastColumn="0" w:oddVBand="0" w:evenVBand="0" w:oddHBand="0" w:evenHBand="0" w:firstRowFirstColumn="0" w:firstRowLastColumn="0" w:lastRowFirstColumn="0" w:lastRowLastColumn="0"/>
          <w:tblHeader/>
        </w:trPr>
        <w:tc>
          <w:tcPr>
            <w:tcW w:w="2410" w:type="dxa"/>
            <w:vMerge w:val="restart"/>
            <w:hideMark/>
          </w:tcPr>
          <w:p w14:paraId="68BD579C" w14:textId="77777777" w:rsidR="001F7DC0" w:rsidRPr="003325E9" w:rsidRDefault="001F7DC0" w:rsidP="003325E9">
            <w:pPr>
              <w:jc w:val="center"/>
              <w:rPr>
                <w:rFonts w:eastAsia="Times New Roman"/>
                <w:color w:val="FFFFFF" w:themeColor="background1"/>
                <w:sz w:val="18"/>
                <w:szCs w:val="18"/>
              </w:rPr>
            </w:pPr>
            <w:r w:rsidRPr="003325E9">
              <w:rPr>
                <w:rFonts w:eastAsia="Times New Roman"/>
                <w:color w:val="FFFFFF" w:themeColor="background1"/>
                <w:sz w:val="18"/>
                <w:szCs w:val="18"/>
              </w:rPr>
              <w:t>Condition</w:t>
            </w:r>
          </w:p>
        </w:tc>
        <w:tc>
          <w:tcPr>
            <w:tcW w:w="5655" w:type="dxa"/>
            <w:gridSpan w:val="3"/>
            <w:hideMark/>
          </w:tcPr>
          <w:p w14:paraId="42D6E505" w14:textId="77777777" w:rsidR="001F7DC0" w:rsidRPr="003325E9" w:rsidRDefault="001F7DC0" w:rsidP="003325E9">
            <w:pPr>
              <w:jc w:val="center"/>
              <w:rPr>
                <w:rFonts w:eastAsia="Times New Roman"/>
                <w:color w:val="FFFFFF" w:themeColor="background1"/>
                <w:sz w:val="18"/>
                <w:szCs w:val="18"/>
              </w:rPr>
            </w:pPr>
            <w:r w:rsidRPr="003325E9">
              <w:rPr>
                <w:rFonts w:eastAsia="Times New Roman"/>
                <w:color w:val="FFFFFF" w:themeColor="background1"/>
                <w:sz w:val="18"/>
                <w:szCs w:val="18"/>
              </w:rPr>
              <w:t>Case identification methods</w:t>
            </w:r>
          </w:p>
        </w:tc>
        <w:tc>
          <w:tcPr>
            <w:tcW w:w="0" w:type="auto"/>
            <w:vMerge w:val="restart"/>
            <w:hideMark/>
          </w:tcPr>
          <w:p w14:paraId="491CD97E" w14:textId="77777777" w:rsidR="001F7DC0" w:rsidRPr="003325E9" w:rsidRDefault="001F7DC0" w:rsidP="003325E9">
            <w:pPr>
              <w:jc w:val="center"/>
              <w:rPr>
                <w:rFonts w:eastAsia="Times New Roman"/>
                <w:sz w:val="18"/>
                <w:szCs w:val="18"/>
              </w:rPr>
            </w:pPr>
            <w:r w:rsidRPr="003325E9">
              <w:rPr>
                <w:rFonts w:eastAsia="Times New Roman"/>
                <w:color w:val="FFFFFF" w:themeColor="background1"/>
                <w:sz w:val="18"/>
                <w:szCs w:val="18"/>
              </w:rPr>
              <w:t>Total captured cases (surveillance and ICD-10 audit combined)</w:t>
            </w:r>
          </w:p>
        </w:tc>
      </w:tr>
      <w:tr w:rsidR="001F7DC0" w:rsidRPr="003325E9" w14:paraId="0C9A1B34" w14:textId="77777777" w:rsidTr="0047168E">
        <w:trPr>
          <w:cnfStyle w:val="100000000000" w:firstRow="1" w:lastRow="0" w:firstColumn="0" w:lastColumn="0" w:oddVBand="0" w:evenVBand="0" w:oddHBand="0" w:evenHBand="0" w:firstRowFirstColumn="0" w:firstRowLastColumn="0" w:lastRowFirstColumn="0" w:lastRowLastColumn="0"/>
          <w:tblHeader/>
        </w:trPr>
        <w:tc>
          <w:tcPr>
            <w:tcW w:w="2410" w:type="dxa"/>
            <w:vMerge/>
            <w:hideMark/>
          </w:tcPr>
          <w:p w14:paraId="44DB9922" w14:textId="77777777" w:rsidR="001F7DC0" w:rsidRPr="003325E9" w:rsidRDefault="001F7DC0" w:rsidP="003325E9">
            <w:pPr>
              <w:jc w:val="center"/>
              <w:rPr>
                <w:rFonts w:eastAsia="Times New Roman"/>
                <w:b w:val="0"/>
                <w:color w:val="FFFFFF" w:themeColor="background1"/>
                <w:sz w:val="18"/>
                <w:szCs w:val="18"/>
              </w:rPr>
            </w:pPr>
          </w:p>
        </w:tc>
        <w:tc>
          <w:tcPr>
            <w:tcW w:w="1885" w:type="dxa"/>
            <w:hideMark/>
          </w:tcPr>
          <w:p w14:paraId="378E791B" w14:textId="77777777" w:rsidR="001F7DC0" w:rsidRPr="003325E9" w:rsidRDefault="001F7DC0" w:rsidP="003325E9">
            <w:pPr>
              <w:jc w:val="center"/>
              <w:rPr>
                <w:rFonts w:eastAsia="Times New Roman"/>
                <w:b w:val="0"/>
                <w:color w:val="FFFFFF" w:themeColor="background1"/>
                <w:sz w:val="18"/>
                <w:szCs w:val="18"/>
              </w:rPr>
            </w:pPr>
            <w:r w:rsidRPr="003325E9">
              <w:rPr>
                <w:rFonts w:eastAsia="Times New Roman"/>
                <w:b w:val="0"/>
                <w:color w:val="FFFFFF" w:themeColor="background1"/>
                <w:sz w:val="18"/>
                <w:szCs w:val="18"/>
              </w:rPr>
              <w:t>Total cases captured by active surveillance</w:t>
            </w:r>
          </w:p>
        </w:tc>
        <w:tc>
          <w:tcPr>
            <w:tcW w:w="1885" w:type="dxa"/>
            <w:hideMark/>
          </w:tcPr>
          <w:p w14:paraId="6FC8CCC9" w14:textId="77777777" w:rsidR="001F7DC0" w:rsidRPr="003325E9" w:rsidRDefault="001F7DC0" w:rsidP="003325E9">
            <w:pPr>
              <w:jc w:val="center"/>
              <w:rPr>
                <w:rFonts w:eastAsia="Times New Roman"/>
                <w:b w:val="0"/>
                <w:color w:val="FFFFFF" w:themeColor="background1"/>
                <w:sz w:val="18"/>
                <w:szCs w:val="18"/>
              </w:rPr>
            </w:pPr>
            <w:r w:rsidRPr="003325E9">
              <w:rPr>
                <w:rFonts w:eastAsia="Times New Roman"/>
                <w:b w:val="0"/>
                <w:color w:val="FFFFFF" w:themeColor="background1"/>
                <w:sz w:val="18"/>
                <w:szCs w:val="18"/>
              </w:rPr>
              <w:t>Number captured by PAEDS only, not ICD-coded</w:t>
            </w:r>
            <w:r w:rsidRPr="003325E9">
              <w:rPr>
                <w:rFonts w:eastAsia="Times New Roman"/>
                <w:b w:val="0"/>
                <w:color w:val="FFFFFF" w:themeColor="background1"/>
                <w:sz w:val="18"/>
                <w:szCs w:val="18"/>
                <w:vertAlign w:val="superscript"/>
              </w:rPr>
              <w:t>*</w:t>
            </w:r>
          </w:p>
        </w:tc>
        <w:tc>
          <w:tcPr>
            <w:tcW w:w="1885" w:type="dxa"/>
            <w:hideMark/>
          </w:tcPr>
          <w:p w14:paraId="05651BE8" w14:textId="77777777" w:rsidR="001F7DC0" w:rsidRPr="003325E9" w:rsidRDefault="001F7DC0" w:rsidP="003325E9">
            <w:pPr>
              <w:jc w:val="center"/>
              <w:rPr>
                <w:rFonts w:eastAsia="Times New Roman"/>
                <w:b w:val="0"/>
                <w:color w:val="FFFFFF" w:themeColor="background1"/>
                <w:sz w:val="18"/>
                <w:szCs w:val="18"/>
              </w:rPr>
            </w:pPr>
            <w:r w:rsidRPr="003325E9">
              <w:rPr>
                <w:rFonts w:eastAsia="Times New Roman"/>
                <w:b w:val="0"/>
                <w:color w:val="FFFFFF" w:themeColor="background1"/>
                <w:sz w:val="18"/>
                <w:szCs w:val="18"/>
              </w:rPr>
              <w:t>Number captured retrospectively following ICD-10 audit</w:t>
            </w:r>
          </w:p>
        </w:tc>
        <w:tc>
          <w:tcPr>
            <w:tcW w:w="0" w:type="auto"/>
            <w:vMerge/>
            <w:hideMark/>
          </w:tcPr>
          <w:p w14:paraId="12EC4184" w14:textId="77777777" w:rsidR="001F7DC0" w:rsidRPr="003325E9" w:rsidRDefault="001F7DC0">
            <w:pPr>
              <w:rPr>
                <w:rFonts w:eastAsia="Times New Roman"/>
                <w:sz w:val="18"/>
                <w:szCs w:val="18"/>
              </w:rPr>
            </w:pPr>
          </w:p>
        </w:tc>
      </w:tr>
      <w:tr w:rsidR="001F7DC0" w:rsidRPr="003325E9" w14:paraId="3DDE90C7" w14:textId="77777777" w:rsidTr="00637F32">
        <w:tc>
          <w:tcPr>
            <w:tcW w:w="2410" w:type="dxa"/>
            <w:hideMark/>
          </w:tcPr>
          <w:p w14:paraId="0F1260DA" w14:textId="77777777" w:rsidR="001F7DC0" w:rsidRPr="003325E9" w:rsidRDefault="001F7DC0">
            <w:pPr>
              <w:rPr>
                <w:rFonts w:eastAsia="Times New Roman"/>
                <w:sz w:val="18"/>
                <w:szCs w:val="18"/>
              </w:rPr>
            </w:pPr>
            <w:r w:rsidRPr="003325E9">
              <w:rPr>
                <w:rFonts w:eastAsia="Times New Roman"/>
                <w:sz w:val="18"/>
                <w:szCs w:val="18"/>
              </w:rPr>
              <w:t>Acute flaccid paralysis</w:t>
            </w:r>
            <w:r w:rsidRPr="003325E9">
              <w:rPr>
                <w:rFonts w:eastAsia="Times New Roman"/>
                <w:sz w:val="18"/>
                <w:szCs w:val="18"/>
                <w:vertAlign w:val="superscript"/>
              </w:rPr>
              <w:t>†</w:t>
            </w:r>
          </w:p>
        </w:tc>
        <w:tc>
          <w:tcPr>
            <w:tcW w:w="1885" w:type="dxa"/>
            <w:hideMark/>
          </w:tcPr>
          <w:p w14:paraId="4F1A3F32" w14:textId="77777777" w:rsidR="001F7DC0" w:rsidRPr="003325E9" w:rsidRDefault="001F7DC0" w:rsidP="00F71C2A">
            <w:pPr>
              <w:jc w:val="center"/>
              <w:rPr>
                <w:rFonts w:eastAsia="Times New Roman"/>
                <w:sz w:val="18"/>
                <w:szCs w:val="18"/>
              </w:rPr>
            </w:pPr>
            <w:r w:rsidRPr="003325E9">
              <w:rPr>
                <w:rFonts w:eastAsia="Times New Roman"/>
                <w:sz w:val="18"/>
                <w:szCs w:val="18"/>
              </w:rPr>
              <w:t>51</w:t>
            </w:r>
          </w:p>
        </w:tc>
        <w:tc>
          <w:tcPr>
            <w:tcW w:w="1885" w:type="dxa"/>
            <w:hideMark/>
          </w:tcPr>
          <w:p w14:paraId="3CF73D40" w14:textId="77777777" w:rsidR="001F7DC0" w:rsidRPr="003325E9" w:rsidRDefault="001F7DC0" w:rsidP="00F71C2A">
            <w:pPr>
              <w:jc w:val="center"/>
              <w:rPr>
                <w:rFonts w:eastAsia="Times New Roman"/>
                <w:sz w:val="18"/>
                <w:szCs w:val="18"/>
              </w:rPr>
            </w:pPr>
            <w:r w:rsidRPr="003325E9">
              <w:rPr>
                <w:rFonts w:eastAsia="Times New Roman"/>
                <w:sz w:val="18"/>
                <w:szCs w:val="18"/>
              </w:rPr>
              <w:t>29</w:t>
            </w:r>
          </w:p>
        </w:tc>
        <w:tc>
          <w:tcPr>
            <w:tcW w:w="1885" w:type="dxa"/>
            <w:hideMark/>
          </w:tcPr>
          <w:p w14:paraId="73F5A327" w14:textId="77777777" w:rsidR="001F7DC0" w:rsidRPr="003325E9" w:rsidRDefault="001F7DC0" w:rsidP="00F71C2A">
            <w:pPr>
              <w:jc w:val="center"/>
              <w:rPr>
                <w:rFonts w:eastAsia="Times New Roman"/>
                <w:sz w:val="18"/>
                <w:szCs w:val="18"/>
              </w:rPr>
            </w:pPr>
            <w:r w:rsidRPr="003325E9">
              <w:rPr>
                <w:rFonts w:eastAsia="Times New Roman"/>
                <w:sz w:val="18"/>
                <w:szCs w:val="18"/>
              </w:rPr>
              <w:t>2</w:t>
            </w:r>
          </w:p>
        </w:tc>
        <w:tc>
          <w:tcPr>
            <w:tcW w:w="0" w:type="auto"/>
            <w:hideMark/>
          </w:tcPr>
          <w:p w14:paraId="31810661" w14:textId="77777777" w:rsidR="001F7DC0" w:rsidRPr="003325E9" w:rsidRDefault="001F7DC0" w:rsidP="00F71C2A">
            <w:pPr>
              <w:jc w:val="center"/>
              <w:rPr>
                <w:rFonts w:eastAsia="Times New Roman"/>
                <w:sz w:val="18"/>
                <w:szCs w:val="18"/>
              </w:rPr>
            </w:pPr>
            <w:r w:rsidRPr="003325E9">
              <w:rPr>
                <w:rFonts w:eastAsia="Times New Roman"/>
                <w:sz w:val="18"/>
                <w:szCs w:val="18"/>
              </w:rPr>
              <w:t>53</w:t>
            </w:r>
          </w:p>
        </w:tc>
      </w:tr>
      <w:tr w:rsidR="001F7DC0" w:rsidRPr="003325E9" w14:paraId="6F807294" w14:textId="77777777" w:rsidTr="00637F32">
        <w:trPr>
          <w:cnfStyle w:val="000000010000" w:firstRow="0" w:lastRow="0" w:firstColumn="0" w:lastColumn="0" w:oddVBand="0" w:evenVBand="0" w:oddHBand="0" w:evenHBand="1" w:firstRowFirstColumn="0" w:firstRowLastColumn="0" w:lastRowFirstColumn="0" w:lastRowLastColumn="0"/>
        </w:trPr>
        <w:tc>
          <w:tcPr>
            <w:tcW w:w="2410" w:type="dxa"/>
            <w:hideMark/>
          </w:tcPr>
          <w:p w14:paraId="1E64FE75" w14:textId="77777777" w:rsidR="001F7DC0" w:rsidRPr="003325E9" w:rsidRDefault="001F7DC0">
            <w:pPr>
              <w:rPr>
                <w:rFonts w:eastAsia="Times New Roman"/>
                <w:sz w:val="18"/>
                <w:szCs w:val="18"/>
              </w:rPr>
            </w:pPr>
            <w:r w:rsidRPr="003325E9">
              <w:rPr>
                <w:rFonts w:eastAsia="Times New Roman"/>
                <w:sz w:val="18"/>
                <w:szCs w:val="18"/>
              </w:rPr>
              <w:t>Acute childhood encephalitis</w:t>
            </w:r>
          </w:p>
        </w:tc>
        <w:tc>
          <w:tcPr>
            <w:tcW w:w="1885" w:type="dxa"/>
            <w:hideMark/>
          </w:tcPr>
          <w:p w14:paraId="23829204" w14:textId="77777777" w:rsidR="001F7DC0" w:rsidRPr="003325E9" w:rsidRDefault="001F7DC0" w:rsidP="00F71C2A">
            <w:pPr>
              <w:jc w:val="center"/>
              <w:rPr>
                <w:rFonts w:eastAsia="Times New Roman"/>
                <w:sz w:val="18"/>
                <w:szCs w:val="18"/>
              </w:rPr>
            </w:pPr>
            <w:r w:rsidRPr="003325E9">
              <w:rPr>
                <w:rFonts w:eastAsia="Times New Roman"/>
                <w:sz w:val="18"/>
                <w:szCs w:val="18"/>
              </w:rPr>
              <w:t>156</w:t>
            </w:r>
          </w:p>
        </w:tc>
        <w:tc>
          <w:tcPr>
            <w:tcW w:w="1885" w:type="dxa"/>
            <w:hideMark/>
          </w:tcPr>
          <w:p w14:paraId="6328702E" w14:textId="77777777" w:rsidR="001F7DC0" w:rsidRPr="003325E9" w:rsidRDefault="001F7DC0" w:rsidP="00F71C2A">
            <w:pPr>
              <w:jc w:val="center"/>
              <w:rPr>
                <w:rFonts w:eastAsia="Times New Roman"/>
                <w:sz w:val="18"/>
                <w:szCs w:val="18"/>
              </w:rPr>
            </w:pPr>
            <w:r w:rsidRPr="003325E9">
              <w:rPr>
                <w:rFonts w:eastAsia="Times New Roman"/>
                <w:sz w:val="18"/>
                <w:szCs w:val="18"/>
              </w:rPr>
              <w:t>72</w:t>
            </w:r>
          </w:p>
        </w:tc>
        <w:tc>
          <w:tcPr>
            <w:tcW w:w="1885" w:type="dxa"/>
            <w:hideMark/>
          </w:tcPr>
          <w:p w14:paraId="21646E8D" w14:textId="77777777" w:rsidR="001F7DC0" w:rsidRPr="003325E9" w:rsidRDefault="001F7DC0" w:rsidP="00F71C2A">
            <w:pPr>
              <w:jc w:val="center"/>
              <w:rPr>
                <w:rFonts w:eastAsia="Times New Roman"/>
                <w:sz w:val="18"/>
                <w:szCs w:val="18"/>
              </w:rPr>
            </w:pPr>
            <w:r w:rsidRPr="003325E9">
              <w:rPr>
                <w:rFonts w:eastAsia="Times New Roman"/>
                <w:sz w:val="18"/>
                <w:szCs w:val="18"/>
              </w:rPr>
              <w:t>6</w:t>
            </w:r>
          </w:p>
        </w:tc>
        <w:tc>
          <w:tcPr>
            <w:tcW w:w="0" w:type="auto"/>
            <w:hideMark/>
          </w:tcPr>
          <w:p w14:paraId="24F1E8E5" w14:textId="77777777" w:rsidR="001F7DC0" w:rsidRPr="003325E9" w:rsidRDefault="001F7DC0" w:rsidP="00F71C2A">
            <w:pPr>
              <w:jc w:val="center"/>
              <w:rPr>
                <w:rFonts w:eastAsia="Times New Roman"/>
                <w:sz w:val="18"/>
                <w:szCs w:val="18"/>
              </w:rPr>
            </w:pPr>
            <w:r w:rsidRPr="003325E9">
              <w:rPr>
                <w:rFonts w:eastAsia="Times New Roman"/>
                <w:sz w:val="18"/>
                <w:szCs w:val="18"/>
              </w:rPr>
              <w:t>162</w:t>
            </w:r>
          </w:p>
        </w:tc>
      </w:tr>
      <w:tr w:rsidR="001F7DC0" w:rsidRPr="003325E9" w14:paraId="2D8322F9" w14:textId="77777777" w:rsidTr="00637F32">
        <w:tc>
          <w:tcPr>
            <w:tcW w:w="2410" w:type="dxa"/>
            <w:hideMark/>
          </w:tcPr>
          <w:p w14:paraId="2DB88C5B" w14:textId="77777777" w:rsidR="001F7DC0" w:rsidRPr="003325E9" w:rsidRDefault="001F7DC0">
            <w:pPr>
              <w:rPr>
                <w:rFonts w:eastAsia="Times New Roman"/>
                <w:sz w:val="18"/>
                <w:szCs w:val="18"/>
              </w:rPr>
            </w:pPr>
            <w:r w:rsidRPr="003325E9">
              <w:rPr>
                <w:rFonts w:eastAsia="Times New Roman"/>
                <w:sz w:val="18"/>
                <w:szCs w:val="18"/>
              </w:rPr>
              <w:t>Influenza</w:t>
            </w:r>
            <w:r w:rsidRPr="003325E9">
              <w:rPr>
                <w:rFonts w:eastAsia="Times New Roman"/>
                <w:sz w:val="18"/>
                <w:szCs w:val="18"/>
                <w:vertAlign w:val="superscript"/>
              </w:rPr>
              <w:t>‡</w:t>
            </w:r>
          </w:p>
        </w:tc>
        <w:tc>
          <w:tcPr>
            <w:tcW w:w="1885" w:type="dxa"/>
            <w:hideMark/>
          </w:tcPr>
          <w:p w14:paraId="1BED4AD0" w14:textId="77777777" w:rsidR="001F7DC0" w:rsidRPr="003325E9" w:rsidRDefault="001F7DC0" w:rsidP="00F71C2A">
            <w:pPr>
              <w:jc w:val="center"/>
              <w:rPr>
                <w:rFonts w:eastAsia="Times New Roman"/>
                <w:sz w:val="18"/>
                <w:szCs w:val="18"/>
              </w:rPr>
            </w:pPr>
            <w:r w:rsidRPr="003325E9">
              <w:rPr>
                <w:rFonts w:eastAsia="Times New Roman"/>
                <w:sz w:val="18"/>
                <w:szCs w:val="18"/>
              </w:rPr>
              <w:t>229</w:t>
            </w:r>
          </w:p>
        </w:tc>
        <w:tc>
          <w:tcPr>
            <w:tcW w:w="1885" w:type="dxa"/>
            <w:hideMark/>
          </w:tcPr>
          <w:p w14:paraId="795BD989" w14:textId="77777777" w:rsidR="001F7DC0" w:rsidRPr="003325E9" w:rsidRDefault="001F7DC0" w:rsidP="00F71C2A">
            <w:pPr>
              <w:jc w:val="center"/>
              <w:rPr>
                <w:rFonts w:eastAsia="Times New Roman"/>
                <w:sz w:val="18"/>
                <w:szCs w:val="18"/>
              </w:rPr>
            </w:pPr>
            <w:r w:rsidRPr="003325E9">
              <w:rPr>
                <w:rFonts w:eastAsia="Times New Roman"/>
                <w:sz w:val="18"/>
                <w:szCs w:val="18"/>
              </w:rPr>
              <w:t>–</w:t>
            </w:r>
          </w:p>
        </w:tc>
        <w:tc>
          <w:tcPr>
            <w:tcW w:w="1885" w:type="dxa"/>
            <w:hideMark/>
          </w:tcPr>
          <w:p w14:paraId="53B56404" w14:textId="77777777" w:rsidR="001F7DC0" w:rsidRPr="003325E9" w:rsidRDefault="001F7DC0" w:rsidP="00F71C2A">
            <w:pPr>
              <w:jc w:val="center"/>
              <w:rPr>
                <w:rFonts w:eastAsia="Times New Roman"/>
                <w:sz w:val="18"/>
                <w:szCs w:val="18"/>
              </w:rPr>
            </w:pPr>
            <w:r w:rsidRPr="003325E9">
              <w:rPr>
                <w:rFonts w:eastAsia="Times New Roman"/>
                <w:sz w:val="18"/>
                <w:szCs w:val="18"/>
              </w:rPr>
              <w:t>–</w:t>
            </w:r>
          </w:p>
        </w:tc>
        <w:tc>
          <w:tcPr>
            <w:tcW w:w="0" w:type="auto"/>
            <w:hideMark/>
          </w:tcPr>
          <w:p w14:paraId="70CAC20B" w14:textId="77777777" w:rsidR="001F7DC0" w:rsidRPr="003325E9" w:rsidRDefault="001F7DC0" w:rsidP="00F71C2A">
            <w:pPr>
              <w:jc w:val="center"/>
              <w:rPr>
                <w:rFonts w:eastAsia="Times New Roman"/>
                <w:sz w:val="18"/>
                <w:szCs w:val="18"/>
              </w:rPr>
            </w:pPr>
            <w:r w:rsidRPr="003325E9">
              <w:rPr>
                <w:rFonts w:eastAsia="Times New Roman"/>
                <w:sz w:val="18"/>
                <w:szCs w:val="18"/>
              </w:rPr>
              <w:t>229</w:t>
            </w:r>
          </w:p>
        </w:tc>
      </w:tr>
      <w:tr w:rsidR="001F7DC0" w:rsidRPr="003325E9" w14:paraId="504962F1" w14:textId="77777777" w:rsidTr="00637F32">
        <w:trPr>
          <w:cnfStyle w:val="000000010000" w:firstRow="0" w:lastRow="0" w:firstColumn="0" w:lastColumn="0" w:oddVBand="0" w:evenVBand="0" w:oddHBand="0" w:evenHBand="1" w:firstRowFirstColumn="0" w:firstRowLastColumn="0" w:lastRowFirstColumn="0" w:lastRowLastColumn="0"/>
        </w:trPr>
        <w:tc>
          <w:tcPr>
            <w:tcW w:w="2410" w:type="dxa"/>
            <w:hideMark/>
          </w:tcPr>
          <w:p w14:paraId="1AE1716B" w14:textId="77777777" w:rsidR="001F7DC0" w:rsidRPr="003325E9" w:rsidRDefault="001F7DC0">
            <w:pPr>
              <w:rPr>
                <w:rFonts w:eastAsia="Times New Roman"/>
                <w:sz w:val="18"/>
                <w:szCs w:val="18"/>
              </w:rPr>
            </w:pPr>
            <w:r w:rsidRPr="003325E9">
              <w:rPr>
                <w:rFonts w:eastAsia="Times New Roman"/>
                <w:sz w:val="18"/>
                <w:szCs w:val="18"/>
              </w:rPr>
              <w:t>Intussusception</w:t>
            </w:r>
          </w:p>
        </w:tc>
        <w:tc>
          <w:tcPr>
            <w:tcW w:w="1885" w:type="dxa"/>
            <w:hideMark/>
          </w:tcPr>
          <w:p w14:paraId="55C8C9DF" w14:textId="77777777" w:rsidR="001F7DC0" w:rsidRPr="003325E9" w:rsidRDefault="001F7DC0" w:rsidP="00F71C2A">
            <w:pPr>
              <w:jc w:val="center"/>
              <w:rPr>
                <w:rFonts w:eastAsia="Times New Roman"/>
                <w:sz w:val="18"/>
                <w:szCs w:val="18"/>
              </w:rPr>
            </w:pPr>
            <w:r w:rsidRPr="003325E9">
              <w:rPr>
                <w:rFonts w:eastAsia="Times New Roman"/>
                <w:sz w:val="18"/>
                <w:szCs w:val="18"/>
              </w:rPr>
              <w:t>50</w:t>
            </w:r>
          </w:p>
        </w:tc>
        <w:tc>
          <w:tcPr>
            <w:tcW w:w="1885" w:type="dxa"/>
            <w:hideMark/>
          </w:tcPr>
          <w:p w14:paraId="12F54C1A" w14:textId="77777777" w:rsidR="001F7DC0" w:rsidRPr="003325E9" w:rsidRDefault="001F7DC0" w:rsidP="00F71C2A">
            <w:pPr>
              <w:jc w:val="center"/>
              <w:rPr>
                <w:rFonts w:eastAsia="Times New Roman"/>
                <w:sz w:val="18"/>
                <w:szCs w:val="18"/>
              </w:rPr>
            </w:pPr>
            <w:r w:rsidRPr="003325E9">
              <w:rPr>
                <w:rFonts w:eastAsia="Times New Roman"/>
                <w:sz w:val="18"/>
                <w:szCs w:val="18"/>
              </w:rPr>
              <w:t>6</w:t>
            </w:r>
          </w:p>
        </w:tc>
        <w:tc>
          <w:tcPr>
            <w:tcW w:w="1885" w:type="dxa"/>
            <w:hideMark/>
          </w:tcPr>
          <w:p w14:paraId="67753DFC" w14:textId="77777777" w:rsidR="001F7DC0" w:rsidRPr="003325E9" w:rsidRDefault="001F7DC0" w:rsidP="00F71C2A">
            <w:pPr>
              <w:jc w:val="center"/>
              <w:rPr>
                <w:rFonts w:eastAsia="Times New Roman"/>
                <w:sz w:val="18"/>
                <w:szCs w:val="18"/>
              </w:rPr>
            </w:pPr>
            <w:r w:rsidRPr="003325E9">
              <w:rPr>
                <w:rFonts w:eastAsia="Times New Roman"/>
                <w:sz w:val="18"/>
                <w:szCs w:val="18"/>
              </w:rPr>
              <w:t>2</w:t>
            </w:r>
          </w:p>
        </w:tc>
        <w:tc>
          <w:tcPr>
            <w:tcW w:w="0" w:type="auto"/>
            <w:hideMark/>
          </w:tcPr>
          <w:p w14:paraId="17D7E3C3" w14:textId="77777777" w:rsidR="001F7DC0" w:rsidRPr="003325E9" w:rsidRDefault="001F7DC0" w:rsidP="00F71C2A">
            <w:pPr>
              <w:jc w:val="center"/>
              <w:rPr>
                <w:rFonts w:eastAsia="Times New Roman"/>
                <w:sz w:val="18"/>
                <w:szCs w:val="18"/>
              </w:rPr>
            </w:pPr>
            <w:r w:rsidRPr="003325E9">
              <w:rPr>
                <w:rFonts w:eastAsia="Times New Roman"/>
                <w:sz w:val="18"/>
                <w:szCs w:val="18"/>
              </w:rPr>
              <w:t>52</w:t>
            </w:r>
          </w:p>
        </w:tc>
      </w:tr>
      <w:tr w:rsidR="001F7DC0" w:rsidRPr="003325E9" w14:paraId="615CCA62" w14:textId="77777777" w:rsidTr="00637F32">
        <w:tc>
          <w:tcPr>
            <w:tcW w:w="2410" w:type="dxa"/>
            <w:hideMark/>
          </w:tcPr>
          <w:p w14:paraId="2A658CBF" w14:textId="77777777" w:rsidR="001F7DC0" w:rsidRPr="003325E9" w:rsidRDefault="001F7DC0">
            <w:pPr>
              <w:rPr>
                <w:rFonts w:eastAsia="Times New Roman"/>
                <w:sz w:val="18"/>
                <w:szCs w:val="18"/>
              </w:rPr>
            </w:pPr>
            <w:r w:rsidRPr="003325E9">
              <w:rPr>
                <w:rFonts w:eastAsia="Times New Roman"/>
                <w:sz w:val="18"/>
                <w:szCs w:val="18"/>
              </w:rPr>
              <w:t>Pertussis</w:t>
            </w:r>
            <w:r w:rsidR="00913311" w:rsidRPr="00913311">
              <w:rPr>
                <w:rFonts w:eastAsia="Times New Roman"/>
                <w:sz w:val="18"/>
                <w:szCs w:val="18"/>
                <w:vertAlign w:val="superscript"/>
              </w:rPr>
              <w:t>§</w:t>
            </w:r>
          </w:p>
        </w:tc>
        <w:tc>
          <w:tcPr>
            <w:tcW w:w="1885" w:type="dxa"/>
            <w:hideMark/>
          </w:tcPr>
          <w:p w14:paraId="14D54305" w14:textId="77777777" w:rsidR="001F7DC0" w:rsidRPr="003325E9" w:rsidRDefault="001F7DC0" w:rsidP="00F71C2A">
            <w:pPr>
              <w:jc w:val="center"/>
              <w:rPr>
                <w:rFonts w:eastAsia="Times New Roman"/>
                <w:sz w:val="18"/>
                <w:szCs w:val="18"/>
              </w:rPr>
            </w:pPr>
            <w:r w:rsidRPr="003325E9">
              <w:rPr>
                <w:rFonts w:eastAsia="Times New Roman"/>
                <w:sz w:val="18"/>
                <w:szCs w:val="18"/>
              </w:rPr>
              <w:t>58</w:t>
            </w:r>
          </w:p>
        </w:tc>
        <w:tc>
          <w:tcPr>
            <w:tcW w:w="1885" w:type="dxa"/>
            <w:hideMark/>
          </w:tcPr>
          <w:p w14:paraId="5478E32B" w14:textId="77777777" w:rsidR="001F7DC0" w:rsidRPr="003325E9" w:rsidRDefault="001F7DC0" w:rsidP="00F71C2A">
            <w:pPr>
              <w:jc w:val="center"/>
              <w:rPr>
                <w:rFonts w:eastAsia="Times New Roman"/>
                <w:sz w:val="18"/>
                <w:szCs w:val="18"/>
              </w:rPr>
            </w:pPr>
            <w:r w:rsidRPr="003325E9">
              <w:rPr>
                <w:rFonts w:eastAsia="Times New Roman"/>
                <w:sz w:val="18"/>
                <w:szCs w:val="18"/>
              </w:rPr>
              <w:t>7</w:t>
            </w:r>
          </w:p>
        </w:tc>
        <w:tc>
          <w:tcPr>
            <w:tcW w:w="1885" w:type="dxa"/>
            <w:hideMark/>
          </w:tcPr>
          <w:p w14:paraId="3CAFC5FB" w14:textId="77777777" w:rsidR="001F7DC0" w:rsidRPr="003325E9" w:rsidRDefault="001F7DC0" w:rsidP="00F71C2A">
            <w:pPr>
              <w:jc w:val="center"/>
              <w:rPr>
                <w:rFonts w:eastAsia="Times New Roman"/>
                <w:sz w:val="18"/>
                <w:szCs w:val="18"/>
              </w:rPr>
            </w:pPr>
            <w:r w:rsidRPr="003325E9">
              <w:rPr>
                <w:rFonts w:eastAsia="Times New Roman"/>
                <w:sz w:val="18"/>
                <w:szCs w:val="18"/>
              </w:rPr>
              <w:t>2</w:t>
            </w:r>
          </w:p>
        </w:tc>
        <w:tc>
          <w:tcPr>
            <w:tcW w:w="0" w:type="auto"/>
            <w:hideMark/>
          </w:tcPr>
          <w:p w14:paraId="3E4B1476" w14:textId="77777777" w:rsidR="001F7DC0" w:rsidRPr="003325E9" w:rsidRDefault="001F7DC0" w:rsidP="00F71C2A">
            <w:pPr>
              <w:jc w:val="center"/>
              <w:rPr>
                <w:rFonts w:eastAsia="Times New Roman"/>
                <w:sz w:val="18"/>
                <w:szCs w:val="18"/>
              </w:rPr>
            </w:pPr>
            <w:r w:rsidRPr="003325E9">
              <w:rPr>
                <w:rFonts w:eastAsia="Times New Roman"/>
                <w:sz w:val="18"/>
                <w:szCs w:val="18"/>
              </w:rPr>
              <w:t>60</w:t>
            </w:r>
          </w:p>
        </w:tc>
      </w:tr>
      <w:tr w:rsidR="001F7DC0" w:rsidRPr="003325E9" w14:paraId="42BBD122" w14:textId="77777777" w:rsidTr="00637F32">
        <w:trPr>
          <w:cnfStyle w:val="000000010000" w:firstRow="0" w:lastRow="0" w:firstColumn="0" w:lastColumn="0" w:oddVBand="0" w:evenVBand="0" w:oddHBand="0" w:evenHBand="1" w:firstRowFirstColumn="0" w:firstRowLastColumn="0" w:lastRowFirstColumn="0" w:lastRowLastColumn="0"/>
        </w:trPr>
        <w:tc>
          <w:tcPr>
            <w:tcW w:w="2410" w:type="dxa"/>
            <w:hideMark/>
          </w:tcPr>
          <w:p w14:paraId="3FCCF16F" w14:textId="77777777" w:rsidR="001F7DC0" w:rsidRPr="003325E9" w:rsidRDefault="001F7DC0">
            <w:pPr>
              <w:rPr>
                <w:rFonts w:eastAsia="Times New Roman"/>
                <w:sz w:val="18"/>
                <w:szCs w:val="18"/>
              </w:rPr>
            </w:pPr>
            <w:r w:rsidRPr="003325E9">
              <w:rPr>
                <w:rFonts w:eastAsia="Times New Roman"/>
                <w:sz w:val="18"/>
                <w:szCs w:val="18"/>
              </w:rPr>
              <w:t>Varicella or Herpes Zoster</w:t>
            </w:r>
          </w:p>
        </w:tc>
        <w:tc>
          <w:tcPr>
            <w:tcW w:w="1885" w:type="dxa"/>
            <w:hideMark/>
          </w:tcPr>
          <w:p w14:paraId="34571561" w14:textId="77777777" w:rsidR="001F7DC0" w:rsidRPr="003325E9" w:rsidRDefault="001F7DC0" w:rsidP="00F71C2A">
            <w:pPr>
              <w:jc w:val="center"/>
              <w:rPr>
                <w:rFonts w:eastAsia="Times New Roman"/>
                <w:sz w:val="18"/>
                <w:szCs w:val="18"/>
              </w:rPr>
            </w:pPr>
            <w:r w:rsidRPr="003325E9">
              <w:rPr>
                <w:rFonts w:eastAsia="Times New Roman"/>
                <w:sz w:val="18"/>
                <w:szCs w:val="18"/>
              </w:rPr>
              <w:t>57</w:t>
            </w:r>
          </w:p>
        </w:tc>
        <w:tc>
          <w:tcPr>
            <w:tcW w:w="1885" w:type="dxa"/>
            <w:hideMark/>
          </w:tcPr>
          <w:p w14:paraId="0BDBECDA" w14:textId="77777777" w:rsidR="001F7DC0" w:rsidRPr="003325E9" w:rsidRDefault="001F7DC0" w:rsidP="00F71C2A">
            <w:pPr>
              <w:jc w:val="center"/>
              <w:rPr>
                <w:rFonts w:eastAsia="Times New Roman"/>
                <w:sz w:val="18"/>
                <w:szCs w:val="18"/>
              </w:rPr>
            </w:pPr>
            <w:r w:rsidRPr="003325E9">
              <w:rPr>
                <w:rFonts w:eastAsia="Times New Roman"/>
                <w:sz w:val="18"/>
                <w:szCs w:val="18"/>
              </w:rPr>
              <w:t>9</w:t>
            </w:r>
          </w:p>
        </w:tc>
        <w:tc>
          <w:tcPr>
            <w:tcW w:w="1885" w:type="dxa"/>
            <w:hideMark/>
          </w:tcPr>
          <w:p w14:paraId="0F1A2D08" w14:textId="77777777" w:rsidR="001F7DC0" w:rsidRPr="003325E9" w:rsidRDefault="001F7DC0" w:rsidP="00F71C2A">
            <w:pPr>
              <w:jc w:val="center"/>
              <w:rPr>
                <w:rFonts w:eastAsia="Times New Roman"/>
                <w:sz w:val="18"/>
                <w:szCs w:val="18"/>
              </w:rPr>
            </w:pPr>
            <w:r w:rsidRPr="003325E9">
              <w:rPr>
                <w:rFonts w:eastAsia="Times New Roman"/>
                <w:sz w:val="18"/>
                <w:szCs w:val="18"/>
              </w:rPr>
              <w:t>5</w:t>
            </w:r>
          </w:p>
        </w:tc>
        <w:tc>
          <w:tcPr>
            <w:tcW w:w="0" w:type="auto"/>
            <w:hideMark/>
          </w:tcPr>
          <w:p w14:paraId="7A3E4A78" w14:textId="77777777" w:rsidR="001F7DC0" w:rsidRPr="003325E9" w:rsidRDefault="001F7DC0" w:rsidP="00F71C2A">
            <w:pPr>
              <w:jc w:val="center"/>
              <w:rPr>
                <w:rFonts w:eastAsia="Times New Roman"/>
                <w:sz w:val="18"/>
                <w:szCs w:val="18"/>
              </w:rPr>
            </w:pPr>
            <w:r w:rsidRPr="003325E9">
              <w:rPr>
                <w:rFonts w:eastAsia="Times New Roman"/>
                <w:sz w:val="18"/>
                <w:szCs w:val="18"/>
              </w:rPr>
              <w:t>62</w:t>
            </w:r>
          </w:p>
        </w:tc>
      </w:tr>
      <w:tr w:rsidR="001F7DC0" w:rsidRPr="003325E9" w14:paraId="6F771CE0" w14:textId="77777777" w:rsidTr="00637F32">
        <w:tc>
          <w:tcPr>
            <w:tcW w:w="2410" w:type="dxa"/>
            <w:hideMark/>
          </w:tcPr>
          <w:p w14:paraId="3A52E2CA" w14:textId="77777777" w:rsidR="001F7DC0" w:rsidRPr="003325E9" w:rsidRDefault="001F7DC0" w:rsidP="009F3D0C">
            <w:pPr>
              <w:rPr>
                <w:rFonts w:eastAsia="Times New Roman"/>
                <w:sz w:val="18"/>
                <w:szCs w:val="18"/>
              </w:rPr>
            </w:pPr>
            <w:r w:rsidRPr="003325E9">
              <w:rPr>
                <w:rFonts w:eastAsia="Times New Roman"/>
                <w:sz w:val="18"/>
                <w:szCs w:val="18"/>
              </w:rPr>
              <w:t>Invasive Meningococcal Disease</w:t>
            </w:r>
            <w:r w:rsidR="009F3D0C" w:rsidRPr="009F3D0C">
              <w:rPr>
                <w:rFonts w:eastAsia="Times New Roman"/>
                <w:sz w:val="18"/>
                <w:szCs w:val="18"/>
                <w:vertAlign w:val="superscript"/>
              </w:rPr>
              <w:t>||</w:t>
            </w:r>
          </w:p>
        </w:tc>
        <w:tc>
          <w:tcPr>
            <w:tcW w:w="1885" w:type="dxa"/>
            <w:hideMark/>
          </w:tcPr>
          <w:p w14:paraId="18D32645" w14:textId="77777777" w:rsidR="001F7DC0" w:rsidRPr="003325E9" w:rsidRDefault="001F7DC0" w:rsidP="004D5DF7">
            <w:pPr>
              <w:jc w:val="center"/>
              <w:rPr>
                <w:rFonts w:eastAsia="Times New Roman"/>
                <w:sz w:val="18"/>
                <w:szCs w:val="18"/>
              </w:rPr>
            </w:pPr>
            <w:r w:rsidRPr="003325E9">
              <w:rPr>
                <w:rFonts w:eastAsia="Times New Roman"/>
                <w:sz w:val="18"/>
                <w:szCs w:val="18"/>
              </w:rPr>
              <w:t>7</w:t>
            </w:r>
          </w:p>
        </w:tc>
        <w:tc>
          <w:tcPr>
            <w:tcW w:w="1885" w:type="dxa"/>
            <w:hideMark/>
          </w:tcPr>
          <w:p w14:paraId="776FD218" w14:textId="77777777" w:rsidR="001F7DC0" w:rsidRPr="003325E9" w:rsidRDefault="001F7DC0" w:rsidP="004D5DF7">
            <w:pPr>
              <w:jc w:val="center"/>
              <w:rPr>
                <w:rFonts w:eastAsia="Times New Roman"/>
                <w:sz w:val="18"/>
                <w:szCs w:val="18"/>
              </w:rPr>
            </w:pPr>
            <w:r w:rsidRPr="003325E9">
              <w:rPr>
                <w:rFonts w:eastAsia="Times New Roman"/>
                <w:sz w:val="18"/>
                <w:szCs w:val="18"/>
              </w:rPr>
              <w:t>0</w:t>
            </w:r>
          </w:p>
        </w:tc>
        <w:tc>
          <w:tcPr>
            <w:tcW w:w="1885" w:type="dxa"/>
            <w:hideMark/>
          </w:tcPr>
          <w:p w14:paraId="17DBE94B" w14:textId="77777777" w:rsidR="001F7DC0" w:rsidRPr="003325E9" w:rsidRDefault="001F7DC0" w:rsidP="004D5DF7">
            <w:pPr>
              <w:jc w:val="center"/>
              <w:rPr>
                <w:rFonts w:eastAsia="Times New Roman"/>
                <w:sz w:val="18"/>
                <w:szCs w:val="18"/>
              </w:rPr>
            </w:pPr>
            <w:r w:rsidRPr="003325E9">
              <w:rPr>
                <w:rFonts w:eastAsia="Times New Roman"/>
                <w:sz w:val="18"/>
                <w:szCs w:val="18"/>
              </w:rPr>
              <w:t>7</w:t>
            </w:r>
          </w:p>
        </w:tc>
        <w:tc>
          <w:tcPr>
            <w:tcW w:w="0" w:type="auto"/>
            <w:hideMark/>
          </w:tcPr>
          <w:p w14:paraId="6A919E69" w14:textId="77777777" w:rsidR="001F7DC0" w:rsidRPr="003325E9" w:rsidRDefault="001F7DC0" w:rsidP="004D5DF7">
            <w:pPr>
              <w:jc w:val="center"/>
              <w:rPr>
                <w:rFonts w:eastAsia="Times New Roman"/>
                <w:sz w:val="18"/>
                <w:szCs w:val="18"/>
              </w:rPr>
            </w:pPr>
            <w:r w:rsidRPr="003325E9">
              <w:rPr>
                <w:rFonts w:eastAsia="Times New Roman"/>
                <w:sz w:val="18"/>
                <w:szCs w:val="18"/>
              </w:rPr>
              <w:t>14</w:t>
            </w:r>
          </w:p>
        </w:tc>
      </w:tr>
      <w:tr w:rsidR="001F7DC0" w:rsidRPr="003325E9" w14:paraId="0C50BF09" w14:textId="77777777" w:rsidTr="00637F32">
        <w:trPr>
          <w:cnfStyle w:val="000000010000" w:firstRow="0" w:lastRow="0" w:firstColumn="0" w:lastColumn="0" w:oddVBand="0" w:evenVBand="0" w:oddHBand="0" w:evenHBand="1" w:firstRowFirstColumn="0" w:firstRowLastColumn="0" w:lastRowFirstColumn="0" w:lastRowLastColumn="0"/>
        </w:trPr>
        <w:tc>
          <w:tcPr>
            <w:tcW w:w="2410" w:type="dxa"/>
            <w:hideMark/>
          </w:tcPr>
          <w:p w14:paraId="479BAB72" w14:textId="77777777" w:rsidR="001F7DC0" w:rsidRPr="003325E9" w:rsidRDefault="001F7DC0">
            <w:pPr>
              <w:rPr>
                <w:rFonts w:eastAsia="Times New Roman"/>
                <w:sz w:val="18"/>
                <w:szCs w:val="18"/>
              </w:rPr>
            </w:pPr>
            <w:r w:rsidRPr="003325E9">
              <w:rPr>
                <w:rFonts w:eastAsia="Times New Roman"/>
                <w:sz w:val="18"/>
                <w:szCs w:val="18"/>
              </w:rPr>
              <w:t>Invasive Group A Streptococcus</w:t>
            </w:r>
            <w:r w:rsidRPr="009F3D0C">
              <w:rPr>
                <w:rFonts w:eastAsia="Times New Roman"/>
                <w:sz w:val="18"/>
                <w:szCs w:val="18"/>
                <w:vertAlign w:val="superscript"/>
              </w:rPr>
              <w:t>||</w:t>
            </w:r>
          </w:p>
        </w:tc>
        <w:tc>
          <w:tcPr>
            <w:tcW w:w="1885" w:type="dxa"/>
            <w:hideMark/>
          </w:tcPr>
          <w:p w14:paraId="3A0D07CF" w14:textId="77777777" w:rsidR="001F7DC0" w:rsidRPr="003325E9" w:rsidRDefault="001F7DC0" w:rsidP="004D5DF7">
            <w:pPr>
              <w:jc w:val="center"/>
              <w:rPr>
                <w:rFonts w:eastAsia="Times New Roman"/>
                <w:sz w:val="18"/>
                <w:szCs w:val="18"/>
              </w:rPr>
            </w:pPr>
            <w:r w:rsidRPr="003325E9">
              <w:rPr>
                <w:rFonts w:eastAsia="Times New Roman"/>
                <w:sz w:val="18"/>
                <w:szCs w:val="18"/>
              </w:rPr>
              <w:t>23</w:t>
            </w:r>
          </w:p>
        </w:tc>
        <w:tc>
          <w:tcPr>
            <w:tcW w:w="1885" w:type="dxa"/>
            <w:hideMark/>
          </w:tcPr>
          <w:p w14:paraId="20F17069" w14:textId="77777777" w:rsidR="001F7DC0" w:rsidRPr="003325E9" w:rsidRDefault="001F7DC0" w:rsidP="004D5DF7">
            <w:pPr>
              <w:jc w:val="center"/>
              <w:rPr>
                <w:rFonts w:eastAsia="Times New Roman"/>
                <w:sz w:val="18"/>
                <w:szCs w:val="18"/>
              </w:rPr>
            </w:pPr>
            <w:r w:rsidRPr="003325E9">
              <w:rPr>
                <w:rFonts w:eastAsia="Times New Roman"/>
                <w:sz w:val="18"/>
                <w:szCs w:val="18"/>
              </w:rPr>
              <w:t>3</w:t>
            </w:r>
          </w:p>
        </w:tc>
        <w:tc>
          <w:tcPr>
            <w:tcW w:w="1885" w:type="dxa"/>
            <w:hideMark/>
          </w:tcPr>
          <w:p w14:paraId="6972284F" w14:textId="77777777" w:rsidR="001F7DC0" w:rsidRPr="003325E9" w:rsidRDefault="001F7DC0" w:rsidP="004D5DF7">
            <w:pPr>
              <w:jc w:val="center"/>
              <w:rPr>
                <w:rFonts w:eastAsia="Times New Roman"/>
                <w:sz w:val="18"/>
                <w:szCs w:val="18"/>
              </w:rPr>
            </w:pPr>
            <w:r w:rsidRPr="003325E9">
              <w:rPr>
                <w:rFonts w:eastAsia="Times New Roman"/>
                <w:sz w:val="18"/>
                <w:szCs w:val="18"/>
              </w:rPr>
              <w:t>18</w:t>
            </w:r>
          </w:p>
        </w:tc>
        <w:tc>
          <w:tcPr>
            <w:tcW w:w="0" w:type="auto"/>
            <w:hideMark/>
          </w:tcPr>
          <w:p w14:paraId="5B81596E" w14:textId="77777777" w:rsidR="001F7DC0" w:rsidRPr="003325E9" w:rsidRDefault="001F7DC0" w:rsidP="004D5DF7">
            <w:pPr>
              <w:jc w:val="center"/>
              <w:rPr>
                <w:rFonts w:eastAsia="Times New Roman"/>
                <w:sz w:val="18"/>
                <w:szCs w:val="18"/>
              </w:rPr>
            </w:pPr>
            <w:r w:rsidRPr="003325E9">
              <w:rPr>
                <w:rFonts w:eastAsia="Times New Roman"/>
                <w:sz w:val="18"/>
                <w:szCs w:val="18"/>
              </w:rPr>
              <w:t>41</w:t>
            </w:r>
          </w:p>
        </w:tc>
      </w:tr>
      <w:tr w:rsidR="001F7DC0" w:rsidRPr="00762409" w14:paraId="52E0CFD7" w14:textId="77777777" w:rsidTr="002F598D">
        <w:tc>
          <w:tcPr>
            <w:tcW w:w="2410" w:type="dxa"/>
            <w:shd w:val="clear" w:color="auto" w:fill="FDE9D9" w:themeFill="accent6" w:themeFillTint="33"/>
            <w:hideMark/>
          </w:tcPr>
          <w:p w14:paraId="10BD693B" w14:textId="77777777" w:rsidR="001F7DC0" w:rsidRPr="00762409" w:rsidRDefault="001F7DC0">
            <w:pPr>
              <w:rPr>
                <w:rFonts w:eastAsia="Times New Roman"/>
                <w:b/>
                <w:sz w:val="18"/>
                <w:szCs w:val="18"/>
              </w:rPr>
            </w:pPr>
            <w:r w:rsidRPr="00762409">
              <w:rPr>
                <w:rFonts w:eastAsia="Times New Roman"/>
                <w:b/>
                <w:sz w:val="18"/>
                <w:szCs w:val="18"/>
              </w:rPr>
              <w:t>Total</w:t>
            </w:r>
          </w:p>
        </w:tc>
        <w:tc>
          <w:tcPr>
            <w:tcW w:w="1885" w:type="dxa"/>
            <w:shd w:val="clear" w:color="auto" w:fill="FDE9D9" w:themeFill="accent6" w:themeFillTint="33"/>
            <w:hideMark/>
          </w:tcPr>
          <w:p w14:paraId="4D7AAF4F" w14:textId="77777777" w:rsidR="001F7DC0" w:rsidRPr="00762409" w:rsidRDefault="001F7DC0" w:rsidP="004D5DF7">
            <w:pPr>
              <w:jc w:val="center"/>
              <w:rPr>
                <w:rFonts w:eastAsia="Times New Roman"/>
                <w:b/>
                <w:sz w:val="18"/>
                <w:szCs w:val="18"/>
              </w:rPr>
            </w:pPr>
            <w:r w:rsidRPr="00762409">
              <w:rPr>
                <w:rFonts w:eastAsia="Times New Roman"/>
                <w:b/>
                <w:sz w:val="18"/>
                <w:szCs w:val="18"/>
              </w:rPr>
              <w:t>631</w:t>
            </w:r>
          </w:p>
        </w:tc>
        <w:tc>
          <w:tcPr>
            <w:tcW w:w="1885" w:type="dxa"/>
            <w:shd w:val="clear" w:color="auto" w:fill="FDE9D9" w:themeFill="accent6" w:themeFillTint="33"/>
            <w:hideMark/>
          </w:tcPr>
          <w:p w14:paraId="76A45059" w14:textId="77777777" w:rsidR="001F7DC0" w:rsidRPr="00762409" w:rsidRDefault="001F7DC0" w:rsidP="004D5DF7">
            <w:pPr>
              <w:jc w:val="center"/>
              <w:rPr>
                <w:rFonts w:eastAsia="Times New Roman"/>
                <w:b/>
                <w:sz w:val="18"/>
                <w:szCs w:val="18"/>
              </w:rPr>
            </w:pPr>
            <w:r w:rsidRPr="00762409">
              <w:rPr>
                <w:rFonts w:eastAsia="Times New Roman"/>
                <w:b/>
                <w:sz w:val="18"/>
                <w:szCs w:val="18"/>
              </w:rPr>
              <w:t>126</w:t>
            </w:r>
          </w:p>
        </w:tc>
        <w:tc>
          <w:tcPr>
            <w:tcW w:w="1885" w:type="dxa"/>
            <w:shd w:val="clear" w:color="auto" w:fill="FDE9D9" w:themeFill="accent6" w:themeFillTint="33"/>
            <w:hideMark/>
          </w:tcPr>
          <w:p w14:paraId="18AB60B1" w14:textId="77777777" w:rsidR="001F7DC0" w:rsidRPr="00762409" w:rsidRDefault="001F7DC0" w:rsidP="004D5DF7">
            <w:pPr>
              <w:jc w:val="center"/>
              <w:rPr>
                <w:rFonts w:eastAsia="Times New Roman"/>
                <w:b/>
                <w:sz w:val="18"/>
                <w:szCs w:val="18"/>
              </w:rPr>
            </w:pPr>
            <w:r w:rsidRPr="00762409">
              <w:rPr>
                <w:rFonts w:eastAsia="Times New Roman"/>
                <w:b/>
                <w:sz w:val="18"/>
                <w:szCs w:val="18"/>
              </w:rPr>
              <w:t>42</w:t>
            </w:r>
          </w:p>
        </w:tc>
        <w:tc>
          <w:tcPr>
            <w:tcW w:w="0" w:type="auto"/>
            <w:shd w:val="clear" w:color="auto" w:fill="FDE9D9" w:themeFill="accent6" w:themeFillTint="33"/>
            <w:hideMark/>
          </w:tcPr>
          <w:p w14:paraId="01A9319C" w14:textId="77777777" w:rsidR="001F7DC0" w:rsidRPr="00762409" w:rsidRDefault="001F7DC0" w:rsidP="004D5DF7">
            <w:pPr>
              <w:jc w:val="center"/>
              <w:rPr>
                <w:rFonts w:eastAsia="Times New Roman"/>
                <w:b/>
                <w:sz w:val="18"/>
                <w:szCs w:val="18"/>
              </w:rPr>
            </w:pPr>
            <w:r w:rsidRPr="00762409">
              <w:rPr>
                <w:rFonts w:eastAsia="Times New Roman"/>
                <w:b/>
                <w:sz w:val="18"/>
                <w:szCs w:val="18"/>
              </w:rPr>
              <w:t>673</w:t>
            </w:r>
          </w:p>
        </w:tc>
      </w:tr>
    </w:tbl>
    <w:p w14:paraId="15923E5B" w14:textId="77777777" w:rsidR="001F7DC0" w:rsidRDefault="00B971C6" w:rsidP="0047168E">
      <w:pPr>
        <w:pStyle w:val="CDIfootnotes"/>
      </w:pPr>
      <w:r>
        <w:rPr>
          <w:rStyle w:val="superscript"/>
        </w:rPr>
        <w:t xml:space="preserve">* </w:t>
      </w:r>
      <w:r>
        <w:t>These cases did not have an ICD-10 code for this hospitalisation that was consistent with the condition diagnosed.</w:t>
      </w:r>
      <w:r>
        <w:rPr>
          <w:rStyle w:val="superscript"/>
        </w:rPr>
        <w:br/>
      </w:r>
      <w:r w:rsidR="001F7DC0">
        <w:rPr>
          <w:rStyle w:val="superscript"/>
        </w:rPr>
        <w:t>†</w:t>
      </w:r>
      <w:r w:rsidR="001F7DC0">
        <w:t xml:space="preserve"> AFP numbers may differ from those published in APSU and/or VIDRL reports due to differences in surveillance systems. </w:t>
      </w:r>
      <w:r w:rsidR="001F7DC0">
        <w:br/>
      </w:r>
      <w:r w:rsidR="001F7DC0">
        <w:rPr>
          <w:rStyle w:val="superscript"/>
        </w:rPr>
        <w:t>‡</w:t>
      </w:r>
      <w:r w:rsidR="001F7DC0">
        <w:t xml:space="preserve"> Influenza – an additional 227 control cases were captured at CHW (Sydney) and PMH (Perth). No ICD audit was carried out on </w:t>
      </w:r>
      <w:r w:rsidR="001F7DC0">
        <w:rPr>
          <w:rStyle w:val="no-break"/>
        </w:rPr>
        <w:t>this condition.</w:t>
      </w:r>
      <w:r w:rsidR="001F7DC0">
        <w:br/>
      </w:r>
      <w:r w:rsidR="001F7DC0">
        <w:rPr>
          <w:rStyle w:val="superscript"/>
        </w:rPr>
        <w:t>§</w:t>
      </w:r>
      <w:r w:rsidR="001F7DC0">
        <w:t xml:space="preserve"> Pertussis VE study commenced 1 July 2016 - an additional 29 control cases were captured across all sites.</w:t>
      </w:r>
      <w:r w:rsidR="001F7DC0">
        <w:br/>
      </w:r>
      <w:r w:rsidR="00913311">
        <w:rPr>
          <w:rStyle w:val="superscript"/>
        </w:rPr>
        <w:t>||</w:t>
      </w:r>
      <w:r w:rsidR="001F7DC0">
        <w:t xml:space="preserve"> Invasive Meningococcal and Invasive Group A Streptococcus diseases commenced 1 July 2016 with a large proportion from retrospective recruitment via ICD audit due to staggered commencement from participating PAEDS sites.</w:t>
      </w:r>
    </w:p>
    <w:p w14:paraId="266EE06F" w14:textId="77777777" w:rsidR="001F7DC0" w:rsidRDefault="001F7DC0">
      <w:pPr>
        <w:pStyle w:val="Heading3"/>
        <w:rPr>
          <w:rFonts w:eastAsia="Times New Roman"/>
        </w:rPr>
      </w:pPr>
      <w:r>
        <w:rPr>
          <w:rFonts w:eastAsia="Times New Roman"/>
        </w:rPr>
        <w:t xml:space="preserve">Acute flaccid paralysis </w:t>
      </w:r>
    </w:p>
    <w:p w14:paraId="06A4BEB8" w14:textId="77777777" w:rsidR="001F7DC0" w:rsidRDefault="001F7DC0">
      <w:pPr>
        <w:rPr>
          <w:rFonts w:eastAsia="Times New Roman"/>
        </w:rPr>
      </w:pPr>
      <w:r>
        <w:rPr>
          <w:rFonts w:eastAsia="Times New Roman"/>
        </w:rPr>
        <w:t>PAEDS reported 53 cases of AFP to the NERL in 2016, meeting the surveillance target of one non-polio AFP case per 100,000 children aged &lt;15 years</w:t>
      </w:r>
      <w:r>
        <w:rPr>
          <w:rFonts w:eastAsia="Times New Roman"/>
          <w:vertAlign w:val="superscript"/>
        </w:rPr>
        <w:t>4</w:t>
      </w:r>
      <w:r>
        <w:rPr>
          <w:rFonts w:eastAsia="Times New Roman"/>
        </w:rPr>
        <w:t xml:space="preserve"> (estimated Australian population in this age group is 4.58 million).</w:t>
      </w:r>
      <w:r>
        <w:rPr>
          <w:rFonts w:eastAsia="Times New Roman"/>
          <w:vertAlign w:val="superscript"/>
        </w:rPr>
        <w:t>23</w:t>
      </w:r>
      <w:r>
        <w:rPr>
          <w:rFonts w:eastAsia="Times New Roman"/>
        </w:rPr>
        <w:t xml:space="preserve"> Of the 53 cases, at least one stool sample was collected within 2 weeks of onset of paralysis for 38 cases (72%), and 2 stool samples were collected for 28 cases (53%). The most common diagnoses associated with AFP were Guillain-Barré syndrome (GBS; 26%), transverse myelitis (26%) and acute demyelinating encephalomyelitis (ADEM; 15%). </w:t>
      </w:r>
    </w:p>
    <w:p w14:paraId="79355BC0" w14:textId="77777777" w:rsidR="001F7DC0" w:rsidRDefault="001F7DC0">
      <w:pPr>
        <w:pStyle w:val="Heading3"/>
        <w:rPr>
          <w:rFonts w:eastAsia="Times New Roman"/>
        </w:rPr>
      </w:pPr>
      <w:r>
        <w:rPr>
          <w:rFonts w:eastAsia="Times New Roman"/>
        </w:rPr>
        <w:t xml:space="preserve">Acute childhood encephalitis </w:t>
      </w:r>
    </w:p>
    <w:p w14:paraId="0F0DDCD3" w14:textId="77777777" w:rsidR="001F7DC0" w:rsidRDefault="001F7DC0">
      <w:pPr>
        <w:rPr>
          <w:rFonts w:eastAsia="Times New Roman"/>
        </w:rPr>
      </w:pPr>
      <w:r>
        <w:rPr>
          <w:rFonts w:eastAsia="Times New Roman"/>
        </w:rPr>
        <w:t xml:space="preserve">PAEDS identified 162 cases of suspected ACE in 2016. Amongst these cases were 89 (55%) with confirmed encephalitis. Amongst these were 46 (52%) with infectious causes, 32 (36%) with immune-mediated causes and 11 (12%) with unknown causes. The leading infectious causes were human </w:t>
      </w:r>
      <w:proofErr w:type="spellStart"/>
      <w:r>
        <w:rPr>
          <w:rFonts w:eastAsia="Times New Roman"/>
        </w:rPr>
        <w:t>parechovirus</w:t>
      </w:r>
      <w:proofErr w:type="spellEnd"/>
      <w:r>
        <w:rPr>
          <w:rFonts w:eastAsia="Times New Roman"/>
        </w:rPr>
        <w:t xml:space="preserve">, influenza, enteroviruses, </w:t>
      </w:r>
      <w:r w:rsidRPr="00645F52">
        <w:rPr>
          <w:rStyle w:val="Emphasis"/>
          <w:rFonts w:eastAsia="Times New Roman"/>
          <w:b w:val="0"/>
        </w:rPr>
        <w:t>Mycoplasma pneumoniae</w:t>
      </w:r>
      <w:r>
        <w:rPr>
          <w:rFonts w:eastAsia="Times New Roman"/>
        </w:rPr>
        <w:t xml:space="preserve">, and bacterial </w:t>
      </w:r>
      <w:proofErr w:type="spellStart"/>
      <w:r>
        <w:rPr>
          <w:rFonts w:eastAsia="Times New Roman"/>
        </w:rPr>
        <w:t>meningo</w:t>
      </w:r>
      <w:proofErr w:type="spellEnd"/>
      <w:r>
        <w:rPr>
          <w:rFonts w:eastAsia="Times New Roman"/>
        </w:rPr>
        <w:t xml:space="preserve">-encephalitis. </w:t>
      </w:r>
    </w:p>
    <w:p w14:paraId="21DD38BC" w14:textId="77777777" w:rsidR="001F7DC0" w:rsidRDefault="001F7DC0">
      <w:pPr>
        <w:pStyle w:val="Heading3"/>
        <w:rPr>
          <w:rFonts w:eastAsia="Times New Roman"/>
        </w:rPr>
      </w:pPr>
      <w:r>
        <w:rPr>
          <w:rFonts w:eastAsia="Times New Roman"/>
        </w:rPr>
        <w:lastRenderedPageBreak/>
        <w:t xml:space="preserve">Serious acute neurological events (SANE) following influenza </w:t>
      </w:r>
      <w:proofErr w:type="gramStart"/>
      <w:r>
        <w:rPr>
          <w:rFonts w:eastAsia="Times New Roman"/>
        </w:rPr>
        <w:t>immunisation</w:t>
      </w:r>
      <w:proofErr w:type="gramEnd"/>
      <w:r>
        <w:rPr>
          <w:rFonts w:eastAsia="Times New Roman"/>
        </w:rPr>
        <w:t xml:space="preserve"> </w:t>
      </w:r>
    </w:p>
    <w:p w14:paraId="3ED652F9" w14:textId="77777777" w:rsidR="001F7DC0" w:rsidRDefault="001F7DC0">
      <w:pPr>
        <w:rPr>
          <w:rFonts w:eastAsia="Times New Roman"/>
        </w:rPr>
      </w:pPr>
      <w:r>
        <w:rPr>
          <w:rFonts w:eastAsia="Times New Roman"/>
        </w:rPr>
        <w:t xml:space="preserve">Vaccine data from AFP and ACE surveillance was reviewed in combination. During 2016, 43 SANE in children aged &lt;5 years were identified (23 confirmed and 7 probable encephalitis, 3 GBS, 2 ADEM, one acute cerebellar ataxia; and 4 undiagnosed acute flaccid paralysis). Only one of the 43 children had received an influenza vaccine; and this child had been vaccinated within 42 days of symptom onset. She presented to hospital with progressive proximal weakness in her lower legs and an inability to walk 7 days following receipt of influenza vaccine. She was diagnosed with transverse myelitis and had adenovirus detected in a stool specimen. SANE cases were reported via </w:t>
      </w:r>
      <w:proofErr w:type="spellStart"/>
      <w:r>
        <w:rPr>
          <w:rFonts w:eastAsia="Times New Roman"/>
        </w:rPr>
        <w:t>AusVaxSafety</w:t>
      </w:r>
      <w:proofErr w:type="spellEnd"/>
      <w:r>
        <w:rPr>
          <w:rFonts w:eastAsia="Times New Roman"/>
        </w:rPr>
        <w:t xml:space="preserve"> influenza monthly and annual reports to the Commonwealth Department of Health. </w:t>
      </w:r>
    </w:p>
    <w:p w14:paraId="3F39E9A8" w14:textId="77777777" w:rsidR="001F7DC0" w:rsidRDefault="001F7DC0">
      <w:pPr>
        <w:pStyle w:val="Heading3"/>
        <w:rPr>
          <w:rFonts w:eastAsia="Times New Roman"/>
        </w:rPr>
      </w:pPr>
      <w:r>
        <w:rPr>
          <w:rFonts w:eastAsia="Times New Roman"/>
        </w:rPr>
        <w:t xml:space="preserve">Influenza </w:t>
      </w:r>
    </w:p>
    <w:p w14:paraId="2BC5ABA6" w14:textId="77777777" w:rsidR="001F7DC0" w:rsidRDefault="001F7DC0">
      <w:pPr>
        <w:rPr>
          <w:rFonts w:eastAsia="Times New Roman"/>
        </w:rPr>
      </w:pPr>
      <w:r>
        <w:rPr>
          <w:rFonts w:eastAsia="Times New Roman"/>
        </w:rPr>
        <w:t xml:space="preserve">There were 229 children with laboratory-confirmed influenza admitted to CHW (n=124) and PMH (n=105) in the 2016 season (April – October). Of these, 201 children were aged ≥ 6 months and 28 were aged &lt; 6 months. In addition, 227 influenza test-negative controls were enrolled in order to calculate vaccine effectiveness. Of all influenza confirmed cases, 16 (7%) were admitted to the intensive care unit, and 106 (46%) had underlying medical conditions. In children aged ≥ 6 months, influenza vaccination status was ascertained in 192 cases with 17 (9%) vaccinated. Of 166 controls, 23 (14%) were reported to be vaccinated. In infants under 6 months maternal vaccination status was ascertained in 19 paired mothers with 3 (16%) being vaccinated for influenza. There were 63 controls aged &lt; 6 months and maternal vaccination status was ascertained in 40 mothers. Of these, 9 (23%) were vaccinated during their pregnancy. </w:t>
      </w:r>
    </w:p>
    <w:p w14:paraId="5956BC12" w14:textId="77777777" w:rsidR="001F7DC0" w:rsidRDefault="001F7DC0">
      <w:pPr>
        <w:pStyle w:val="Heading3"/>
        <w:rPr>
          <w:rFonts w:eastAsia="Times New Roman"/>
        </w:rPr>
      </w:pPr>
      <w:r>
        <w:rPr>
          <w:rFonts w:eastAsia="Times New Roman"/>
        </w:rPr>
        <w:t xml:space="preserve">Intussusception </w:t>
      </w:r>
    </w:p>
    <w:p w14:paraId="6F79E44A" w14:textId="77777777" w:rsidR="001F7DC0" w:rsidRDefault="001F7DC0">
      <w:pPr>
        <w:rPr>
          <w:rFonts w:eastAsia="Times New Roman"/>
        </w:rPr>
      </w:pPr>
      <w:r>
        <w:rPr>
          <w:rFonts w:eastAsia="Times New Roman"/>
        </w:rPr>
        <w:t>Of the 52 cases of IS identified, 37 (71%) met level 1 Brighton Criteria.</w:t>
      </w:r>
      <w:r>
        <w:rPr>
          <w:rFonts w:eastAsia="Times New Roman"/>
          <w:vertAlign w:val="superscript"/>
        </w:rPr>
        <w:t>9</w:t>
      </w:r>
      <w:r>
        <w:rPr>
          <w:rFonts w:eastAsia="Times New Roman"/>
        </w:rPr>
        <w:t xml:space="preserve"> Nine cases (24%) had received a rotavirus vaccine in the preceding 21 days: one after their first dose of vaccine, 3 after their second dose, and 5 after their third dose. Three (33%) of the 9 children required surgery to correct the IS and 6 (67%) children were successfully treated with air enema. Among all 37 cases of level 1 IS, 12 (32%) children required surgery and 25 (68%) resolved following air enema. </w:t>
      </w:r>
    </w:p>
    <w:p w14:paraId="3237DE59" w14:textId="77777777" w:rsidR="001F7DC0" w:rsidRDefault="001F7DC0">
      <w:pPr>
        <w:pStyle w:val="Heading3"/>
        <w:rPr>
          <w:rFonts w:eastAsia="Times New Roman"/>
        </w:rPr>
      </w:pPr>
      <w:r>
        <w:rPr>
          <w:rFonts w:eastAsia="Times New Roman"/>
        </w:rPr>
        <w:t xml:space="preserve">Pertussis </w:t>
      </w:r>
    </w:p>
    <w:p w14:paraId="2459D2BA" w14:textId="77777777" w:rsidR="001F7DC0" w:rsidRDefault="001F7DC0">
      <w:pPr>
        <w:rPr>
          <w:rFonts w:eastAsia="Times New Roman"/>
        </w:rPr>
      </w:pPr>
      <w:r>
        <w:rPr>
          <w:rFonts w:eastAsia="Times New Roman"/>
        </w:rPr>
        <w:t xml:space="preserve">There were 57 children hospitalised with laboratory-confirmed pertussis in 2016. Thirteen children (23%) required admission to the intensive care unit; 23% (n=13) were &lt;3 months of age. For the adjunct vaccine effectiveness study, 8 infants aged less than 6 months were enrolled, this included an additional 3 cases identified from the emergency department. For this study component, 29 controls were also enrolled. </w:t>
      </w:r>
    </w:p>
    <w:p w14:paraId="24F5ED9B" w14:textId="77777777" w:rsidR="001F7DC0" w:rsidRDefault="001F7DC0">
      <w:pPr>
        <w:pStyle w:val="Heading3"/>
        <w:rPr>
          <w:rFonts w:eastAsia="Times New Roman"/>
        </w:rPr>
      </w:pPr>
      <w:r>
        <w:rPr>
          <w:rFonts w:eastAsia="Times New Roman"/>
        </w:rPr>
        <w:t xml:space="preserve">Varicella and Herpes Zoster </w:t>
      </w:r>
    </w:p>
    <w:p w14:paraId="09A92A74" w14:textId="77777777" w:rsidR="001F7DC0" w:rsidRDefault="001F7DC0">
      <w:pPr>
        <w:rPr>
          <w:rFonts w:eastAsia="Times New Roman"/>
        </w:rPr>
      </w:pPr>
      <w:r>
        <w:rPr>
          <w:rFonts w:eastAsia="Times New Roman"/>
        </w:rPr>
        <w:t xml:space="preserve">In 2016, 62 cases of varicella-zoster virus infection were identified (40 varicella; 22 herpes zoster). Of these, vesicular fluid or vesicle scraping samples were obtained from 27 (44%); in many children sampling was difficult as vesicles had crusted over by the time the child was identified. Of the 62 children, 43 (69%) were eligible for NIP-funded varicella vaccination but only 26 (60%) had been vaccinated. </w:t>
      </w:r>
    </w:p>
    <w:p w14:paraId="39CE6122" w14:textId="77777777" w:rsidR="001F7DC0" w:rsidRDefault="001F7DC0">
      <w:pPr>
        <w:pStyle w:val="Heading3"/>
        <w:rPr>
          <w:rFonts w:eastAsia="Times New Roman"/>
        </w:rPr>
      </w:pPr>
      <w:r>
        <w:rPr>
          <w:rFonts w:eastAsia="Times New Roman"/>
        </w:rPr>
        <w:t xml:space="preserve">Invasive Meningococcal Disease </w:t>
      </w:r>
    </w:p>
    <w:p w14:paraId="3D7129A5" w14:textId="123DBC75" w:rsidR="001F7DC0" w:rsidRDefault="001F7DC0">
      <w:pPr>
        <w:rPr>
          <w:rFonts w:eastAsia="Times New Roman"/>
        </w:rPr>
      </w:pPr>
      <w:r>
        <w:rPr>
          <w:rFonts w:eastAsia="Times New Roman"/>
        </w:rPr>
        <w:t xml:space="preserve">From July 2016, 14 cases of IMD were identified across the PAEDS network. Nine (64%) cases were aged less than 5, of which 3 were &lt; 12 months of age. Four (29%) cases were aged between 5 and 10, and </w:t>
      </w:r>
      <w:r w:rsidR="00194194">
        <w:rPr>
          <w:rFonts w:eastAsia="Times New Roman"/>
        </w:rPr>
        <w:t>one</w:t>
      </w:r>
      <w:r>
        <w:rPr>
          <w:rFonts w:eastAsia="Times New Roman"/>
        </w:rPr>
        <w:t xml:space="preserve"> (7%) was aged &gt; 10. Of all cases, serogroup B was the predominating strain with 9 cases overall, 7 (78%) of these were in children aged less than 5. Serogroup W was identified in 4 cases; for one case serogroup/genotype was not able to be determined. All children were of eligible age for vaccination, with 10 (71%) vaccinated for meningococcal C. No children were vaccinated for meningococcal B. Seven cases (50%) exhibited meningitis on presentation and 8 (57%) were septicaemic. Two of these children had both meningitis and septicaemia. The most common reported symptoms on presentation were fever 13 (93%), lethargy 13 (93%), rash 12 (86%) and vomiting 11 (79%). </w:t>
      </w:r>
    </w:p>
    <w:p w14:paraId="3957860B" w14:textId="77777777" w:rsidR="001F7DC0" w:rsidRDefault="001F7DC0">
      <w:pPr>
        <w:pStyle w:val="Heading3"/>
        <w:rPr>
          <w:rFonts w:eastAsia="Times New Roman"/>
        </w:rPr>
      </w:pPr>
      <w:r>
        <w:rPr>
          <w:rFonts w:eastAsia="Times New Roman"/>
        </w:rPr>
        <w:lastRenderedPageBreak/>
        <w:t xml:space="preserve">Invasive Group A Streptococcus </w:t>
      </w:r>
    </w:p>
    <w:p w14:paraId="6DBE2B6F" w14:textId="77777777" w:rsidR="001F7DC0" w:rsidRDefault="001F7DC0">
      <w:pPr>
        <w:rPr>
          <w:rFonts w:eastAsia="Times New Roman"/>
        </w:rPr>
      </w:pPr>
      <w:r>
        <w:rPr>
          <w:rFonts w:eastAsia="Times New Roman"/>
        </w:rPr>
        <w:t xml:space="preserve">For the period 1 July to 31 December 2016, there were 45 children hospitalised with laboratory confirmed Invasive Group A streptococcus identified across all PAEDS sites. Thirty-one (69%) cases were male, and 31 (69%) were under the age of 5-years. Nineteen children (42%) were admitted to ICU, 14 within the first 24hrs of presentation to hospital. Eight children (18%) were classed as severe disease (intubated with mechanical ventilation or inotropic support) and 2 (4%) classed as very severe disease (extracorporeal membrane oxygenation (ECMO)). The average duration of antibiotics (both IV and oral) was 26 days (range 1-79 days). The mean number of days spent in ICU was 4 days (range 1-13), with a mean of 9 days (range 1-27) spent on the ward. </w:t>
      </w:r>
    </w:p>
    <w:p w14:paraId="3395408E" w14:textId="77777777" w:rsidR="001F7DC0" w:rsidRDefault="001F7DC0">
      <w:pPr>
        <w:pStyle w:val="Heading1"/>
        <w:rPr>
          <w:rFonts w:eastAsia="Times New Roman"/>
        </w:rPr>
      </w:pPr>
      <w:r>
        <w:rPr>
          <w:rFonts w:eastAsia="Times New Roman"/>
        </w:rPr>
        <w:t xml:space="preserve">Discussion </w:t>
      </w:r>
    </w:p>
    <w:p w14:paraId="03A56519" w14:textId="77777777" w:rsidR="00516DC9" w:rsidRDefault="001F7DC0">
      <w:pPr>
        <w:rPr>
          <w:rFonts w:eastAsia="Times New Roman"/>
        </w:rPr>
      </w:pPr>
      <w:r>
        <w:rPr>
          <w:rFonts w:eastAsia="Times New Roman"/>
        </w:rPr>
        <w:t>PAEDS provides novel and unique data on hospitalisations due to uncommon serious childhood conditions, particularly VPDs and potential AEFI. Active case finding by specialist surveillance nurses and collection of detailed clinical and laboratory information provides comprehensive and timely data not available from other surveillance systems. The waiver of consent framework for surveillance allows vitally important information to be captured from otherwise hard-to-reach groups, such as those who are critically ill, lost to follow-up, or from a non-English speaking background (NESB), thereby obtaining more complete data from the broader population. Quality assurance processes such as ICD-10-AM audits, periodic case reviews and continued data management have enhanced both the yield an</w:t>
      </w:r>
      <w:r w:rsidR="00516DC9">
        <w:rPr>
          <w:rFonts w:eastAsia="Times New Roman"/>
        </w:rPr>
        <w:t>d quality of the data captured.</w:t>
      </w:r>
    </w:p>
    <w:p w14:paraId="54CA4172" w14:textId="77777777" w:rsidR="00516DC9" w:rsidRDefault="001F7DC0">
      <w:pPr>
        <w:rPr>
          <w:rFonts w:eastAsia="Times New Roman"/>
        </w:rPr>
      </w:pPr>
      <w:r>
        <w:rPr>
          <w:rFonts w:eastAsia="Times New Roman"/>
        </w:rPr>
        <w:t>PAEDS surveillance for AFP continues to provide the majority of cases for national surveillance, enabling Australia to meet the WHO AFP surveillance target</w:t>
      </w:r>
      <w:r>
        <w:rPr>
          <w:rFonts w:eastAsia="Times New Roman"/>
          <w:vertAlign w:val="superscript"/>
        </w:rPr>
        <w:t>4</w:t>
      </w:r>
      <w:r>
        <w:rPr>
          <w:rFonts w:eastAsia="Times New Roman"/>
        </w:rPr>
        <w:t xml:space="preserve"> for 2016. Achieving the WHO stool collection target of 2 stool samples within 2 weeks remains challenging in the context of a modern health system where a non-polio AFP diagnosis is rapidly available</w:t>
      </w:r>
      <w:r>
        <w:rPr>
          <w:rFonts w:eastAsia="Times New Roman"/>
          <w:vertAlign w:val="superscript"/>
        </w:rPr>
        <w:t>24</w:t>
      </w:r>
      <w:r>
        <w:rPr>
          <w:rFonts w:eastAsia="Times New Roman"/>
        </w:rPr>
        <w:t>; however, PAEDS nurses facilitated collection of at least one stool sample in 71% of PAEDS</w:t>
      </w:r>
      <w:r w:rsidR="00516DC9">
        <w:rPr>
          <w:rFonts w:eastAsia="Times New Roman"/>
        </w:rPr>
        <w:t xml:space="preserve"> AFP cases ascertained in 2016.</w:t>
      </w:r>
    </w:p>
    <w:p w14:paraId="4BBE8865" w14:textId="77777777" w:rsidR="00516DC9" w:rsidRDefault="001F7DC0">
      <w:pPr>
        <w:rPr>
          <w:rFonts w:eastAsia="Times New Roman"/>
        </w:rPr>
      </w:pPr>
      <w:r>
        <w:rPr>
          <w:rFonts w:eastAsia="Times New Roman"/>
        </w:rPr>
        <w:t>PAEDS encephalitis surveillance is realising its potential to support early detection of epidemic infectious diseases in children. In addition, arising out of the surveillance is the largest cohort of all-cause childhood encephalitis cases in the world that will be used to define the contemporary causes and consequences of this challenging condition. Preliminary data from this cohort has been presented at the Infectious Diseases Society of America ID Week in 2016</w:t>
      </w:r>
      <w:r>
        <w:rPr>
          <w:rFonts w:eastAsia="Times New Roman"/>
          <w:vertAlign w:val="superscript"/>
        </w:rPr>
        <w:t>25</w:t>
      </w:r>
      <w:r>
        <w:rPr>
          <w:rFonts w:eastAsia="Times New Roman"/>
        </w:rPr>
        <w:t xml:space="preserve"> and the European Congress of Clinical Microbiology and Infectious Diseases in 2017.</w:t>
      </w:r>
      <w:r>
        <w:rPr>
          <w:rFonts w:eastAsia="Times New Roman"/>
          <w:vertAlign w:val="superscript"/>
        </w:rPr>
        <w:t>26</w:t>
      </w:r>
      <w:r>
        <w:rPr>
          <w:rFonts w:eastAsia="Times New Roman"/>
        </w:rPr>
        <w:t xml:space="preserve"> In a combined analysis of PAEDS-ACE surveillance data and PAEDS-FluCAN surveillance data, the contribution of seasonal influenza to neurological disease in children in Australia was estimated and the clinical features and outcome of influenza associated encephalopathy/encephalitis described.</w:t>
      </w:r>
      <w:r>
        <w:rPr>
          <w:rFonts w:eastAsia="Times New Roman"/>
          <w:vertAlign w:val="superscript"/>
        </w:rPr>
        <w:t>27,28</w:t>
      </w:r>
      <w:r>
        <w:rPr>
          <w:rFonts w:eastAsia="Times New Roman"/>
        </w:rPr>
        <w:t xml:space="preserve"> PAEDS-ACE investigators are currently seeking to continue ACE surveillance, but reduce the burden of detailed data collection for research, and improve efficiency of case review and reporting. </w:t>
      </w:r>
    </w:p>
    <w:p w14:paraId="75E18378" w14:textId="5AC4D224" w:rsidR="00516DC9" w:rsidRDefault="001F7DC0">
      <w:pPr>
        <w:rPr>
          <w:rFonts w:eastAsia="Times New Roman"/>
        </w:rPr>
      </w:pPr>
      <w:r>
        <w:rPr>
          <w:rFonts w:eastAsia="Times New Roman"/>
        </w:rPr>
        <w:t>Surveillance of serious acute neurological events following influenza vaccination offers confidence in the influenza vaccines of 2016, with only one noted to be proximate to an acute flaccid paralysis episode (diagnosis: transverse myelitis). Due to</w:t>
      </w:r>
      <w:r w:rsidR="00516DC9">
        <w:rPr>
          <w:rFonts w:eastAsia="Times New Roman"/>
        </w:rPr>
        <w:t xml:space="preserve"> the</w:t>
      </w:r>
      <w:r>
        <w:rPr>
          <w:rFonts w:eastAsia="Times New Roman"/>
        </w:rPr>
        <w:t xml:space="preserve"> low number of cases ascertained</w:t>
      </w:r>
      <w:r w:rsidR="00516DC9">
        <w:rPr>
          <w:rFonts w:eastAsia="Times New Roman"/>
        </w:rPr>
        <w:t>,</w:t>
      </w:r>
      <w:r>
        <w:rPr>
          <w:rFonts w:eastAsia="Times New Roman"/>
        </w:rPr>
        <w:t xml:space="preserve"> an association cannot be determined. However, developing this novel methodology to monitor for severe and infrequent vaccine adverse events supports Australia’s existing suite of influenza vaccine safety monitoring, and could be expanded to other vaccine types such as pertussis booster vaccination, human papillomavirus vaccine etc. </w:t>
      </w:r>
    </w:p>
    <w:p w14:paraId="20EBA918" w14:textId="77777777" w:rsidR="00C6262B" w:rsidRDefault="001F7DC0">
      <w:pPr>
        <w:rPr>
          <w:rFonts w:eastAsia="Times New Roman"/>
        </w:rPr>
      </w:pPr>
      <w:r>
        <w:rPr>
          <w:rFonts w:eastAsia="Times New Roman"/>
        </w:rPr>
        <w:t>PAEDS contributes important paediatric data to national influenza surveillance in collaboration with FluCAN.</w:t>
      </w:r>
      <w:r>
        <w:rPr>
          <w:rFonts w:eastAsia="Times New Roman"/>
          <w:vertAlign w:val="superscript"/>
        </w:rPr>
        <w:t>29</w:t>
      </w:r>
      <w:r>
        <w:rPr>
          <w:rFonts w:eastAsia="Times New Roman"/>
        </w:rPr>
        <w:t xml:space="preserve"> Influenza vaccines are adjusted each year to provide optimal coverage against circulating influenza strains, so ongoing surveillance is critical to understanding disease burden, vaccine efficacy and evaluate vaccination program </w:t>
      </w:r>
      <w:r>
        <w:rPr>
          <w:rFonts w:eastAsia="Times New Roman"/>
        </w:rPr>
        <w:lastRenderedPageBreak/>
        <w:t>strategies. In 2016, a quadrivalent influenza vaccine was made available under the National Immunisation Program following a higher than usual presence of influenza B in 2015.</w:t>
      </w:r>
      <w:r>
        <w:rPr>
          <w:rFonts w:eastAsia="Times New Roman"/>
          <w:vertAlign w:val="superscript"/>
        </w:rPr>
        <w:t>30,31</w:t>
      </w:r>
      <w:r>
        <w:rPr>
          <w:rFonts w:eastAsia="Times New Roman"/>
        </w:rPr>
        <w:t xml:space="preserve"> Despite this, data collected from PAEDS showed that vaccine uptake in children ≥ 6months was extremely low at 11% (across cases and controls) and similarly for infants &lt; 6 months; where maternal vaccination could be ascertained, uptake was only 20%. In 2016, influenza A was the predominating strain in circulation and the available vaccine was considered to have been a good match. Estimates of vaccine effectiveness from FluCAN used PAEDS data and additional paediatric data from other hospitals, providing a point estimate of 36% (95% CI: -27%, 68%) in children aged 6 months and older, and a maternal vaccination effectiveness assessment of 44% (95% CI:-50%, 66%) for infants &lt; 6 months.</w:t>
      </w:r>
      <w:r>
        <w:rPr>
          <w:rFonts w:eastAsia="Times New Roman"/>
          <w:vertAlign w:val="superscript"/>
        </w:rPr>
        <w:t>32</w:t>
      </w:r>
      <w:r>
        <w:rPr>
          <w:rFonts w:eastAsia="Times New Roman"/>
        </w:rPr>
        <w:t xml:space="preserve"> PAEDS FluCAN surveillance for 2016 was restricted to 2 sites (WA and NSW). As of 2017, an additional 4 sites have now engaged in active influenza surveillance. These data obtained now nationally from the PAEDS network on paediatric influenza requiring hospitalisation are important to inf</w:t>
      </w:r>
      <w:r w:rsidR="00C6262B">
        <w:rPr>
          <w:rFonts w:eastAsia="Times New Roman"/>
        </w:rPr>
        <w:t>orm future policy and practice.</w:t>
      </w:r>
    </w:p>
    <w:p w14:paraId="37A8DB28" w14:textId="77777777" w:rsidR="00C6262B" w:rsidRDefault="001F7DC0">
      <w:pPr>
        <w:rPr>
          <w:rFonts w:eastAsia="Times New Roman"/>
        </w:rPr>
      </w:pPr>
      <w:r>
        <w:rPr>
          <w:rFonts w:eastAsia="Times New Roman"/>
        </w:rPr>
        <w:t>PAEDS data has been instrumental in quantifying the association between IS and rotavirus vaccine when given to infants.</w:t>
      </w:r>
      <w:r>
        <w:rPr>
          <w:rFonts w:eastAsia="Times New Roman"/>
          <w:vertAlign w:val="superscript"/>
        </w:rPr>
        <w:t>11,12,33</w:t>
      </w:r>
      <w:r>
        <w:rPr>
          <w:rFonts w:eastAsia="Times New Roman"/>
        </w:rPr>
        <w:t xml:space="preserve"> Given the documented but low vaccine-associated risk, IS surveillance continues. Analysis of the &gt;500 IS cases for which PAEDS holds detailed clinical data is underway to compare the clinical characteristics of vaccine proximate cases with non-vaccine proximate cases.</w:t>
      </w:r>
    </w:p>
    <w:p w14:paraId="058E326C" w14:textId="77777777" w:rsidR="00C6262B" w:rsidRDefault="001F7DC0">
      <w:pPr>
        <w:rPr>
          <w:rFonts w:eastAsia="Times New Roman"/>
        </w:rPr>
      </w:pPr>
      <w:r>
        <w:rPr>
          <w:rFonts w:eastAsia="Times New Roman"/>
        </w:rPr>
        <w:t>Pertussis continues to be one of the least well controlled VPDs in Australia.</w:t>
      </w:r>
      <w:r>
        <w:rPr>
          <w:rFonts w:eastAsia="Times New Roman"/>
          <w:vertAlign w:val="superscript"/>
        </w:rPr>
        <w:t>34</w:t>
      </w:r>
      <w:r>
        <w:rPr>
          <w:rFonts w:eastAsia="Times New Roman"/>
        </w:rPr>
        <w:t xml:space="preserve"> Infants too young for vaccination, or those for whom vaccination is delayed, are at the highest risk of severe morbidity and mortality.</w:t>
      </w:r>
      <w:r>
        <w:rPr>
          <w:rFonts w:eastAsia="Times New Roman"/>
          <w:vertAlign w:val="superscript"/>
        </w:rPr>
        <w:t>13,35</w:t>
      </w:r>
      <w:r>
        <w:rPr>
          <w:rFonts w:eastAsia="Times New Roman"/>
        </w:rPr>
        <w:t xml:space="preserve"> Since 2015, early infant protection via maternal vaccination during each pregnancy has been recommended.</w:t>
      </w:r>
      <w:r>
        <w:rPr>
          <w:rFonts w:eastAsia="Times New Roman"/>
          <w:vertAlign w:val="superscript"/>
        </w:rPr>
        <w:t xml:space="preserve">35-37 </w:t>
      </w:r>
      <w:r>
        <w:rPr>
          <w:rFonts w:eastAsia="Times New Roman"/>
        </w:rPr>
        <w:t>The expansion of the pertussis surveillance in 2016, through an NHMRC partnership grant (ID1113851) to collect controls and undertake maternal vaccine effectiveness analysis will provide an important contribution in understanding the role of this stra</w:t>
      </w:r>
      <w:r w:rsidR="00C6262B">
        <w:rPr>
          <w:rFonts w:eastAsia="Times New Roman"/>
        </w:rPr>
        <w:t>tegy in the Australian context.</w:t>
      </w:r>
    </w:p>
    <w:p w14:paraId="68497822" w14:textId="77777777" w:rsidR="00C6262B" w:rsidRDefault="001F7DC0">
      <w:pPr>
        <w:rPr>
          <w:rFonts w:eastAsia="Times New Roman"/>
        </w:rPr>
      </w:pPr>
      <w:r>
        <w:rPr>
          <w:rFonts w:eastAsia="Times New Roman"/>
        </w:rPr>
        <w:t>PAEDS VZV data from 2016, shows an increase in case numbers from previous years</w:t>
      </w:r>
      <w:r>
        <w:rPr>
          <w:rFonts w:eastAsia="Times New Roman"/>
          <w:vertAlign w:val="superscript"/>
        </w:rPr>
        <w:t>1,2</w:t>
      </w:r>
      <w:r>
        <w:rPr>
          <w:rFonts w:eastAsia="Times New Roman"/>
        </w:rPr>
        <w:t xml:space="preserve"> and the proportion of children vaccinated was 60%. This is similar to 2015 (64%</w:t>
      </w:r>
      <w:r w:rsidR="00DA4CD1">
        <w:rPr>
          <w:rFonts w:eastAsia="Times New Roman"/>
        </w:rPr>
        <w:t>)</w:t>
      </w:r>
      <w:r w:rsidR="00DA4CD1">
        <w:rPr>
          <w:rFonts w:eastAsia="Times New Roman"/>
          <w:vertAlign w:val="superscript"/>
        </w:rPr>
        <w:t xml:space="preserve"> 1</w:t>
      </w:r>
      <w:r>
        <w:rPr>
          <w:rFonts w:eastAsia="Times New Roman"/>
        </w:rPr>
        <w:t>, though decreased from earlier years (2007-2014 78%</w:t>
      </w:r>
      <w:r w:rsidR="00DA4CD1">
        <w:rPr>
          <w:rFonts w:eastAsia="Times New Roman"/>
        </w:rPr>
        <w:t>)</w:t>
      </w:r>
      <w:r w:rsidR="00DA4CD1">
        <w:rPr>
          <w:rFonts w:eastAsia="Times New Roman"/>
          <w:vertAlign w:val="superscript"/>
        </w:rPr>
        <w:t xml:space="preserve"> 2</w:t>
      </w:r>
      <w:r>
        <w:rPr>
          <w:rFonts w:eastAsia="Times New Roman"/>
        </w:rPr>
        <w:t>. Analysis of 2007-2015 data with controls has estimated VE for one dose of vaccine against hospitalised varicella to be 64.6% (95% CI: 46.1–76.7%); adjusting for immunocompromised children and time since vaccination did not significantly alter VE estimates.</w:t>
      </w:r>
      <w:r>
        <w:rPr>
          <w:rFonts w:eastAsia="Times New Roman"/>
          <w:vertAlign w:val="superscript"/>
        </w:rPr>
        <w:t>38</w:t>
      </w:r>
      <w:r>
        <w:rPr>
          <w:rFonts w:eastAsia="Times New Roman"/>
        </w:rPr>
        <w:t xml:space="preserve"> Despite a moderate VE, Australia’s program has impacted on varicella and zoster virus disease burden. Continued surveillance through the PAEDS network provides the only nationally consistent, verified source of data for severe varicella and herpes zoster, enabling ongoing evaluation of varic</w:t>
      </w:r>
      <w:r w:rsidR="00C6262B">
        <w:rPr>
          <w:rFonts w:eastAsia="Times New Roman"/>
        </w:rPr>
        <w:t>ella vaccination under the NIP.</w:t>
      </w:r>
    </w:p>
    <w:p w14:paraId="4E24A72C" w14:textId="77777777" w:rsidR="00C324A5" w:rsidRDefault="001F7DC0">
      <w:pPr>
        <w:rPr>
          <w:rFonts w:eastAsia="Times New Roman"/>
        </w:rPr>
      </w:pPr>
      <w:r>
        <w:rPr>
          <w:rFonts w:eastAsia="Times New Roman"/>
        </w:rPr>
        <w:t>Clinical features of meningococcal disease are not captured in adequate detail in current IMD surveillance programs. PAEDS offers the ability to monitor changes in clinical presentation and sequelae which may relate to changes in the epidemiology of disease such as with the recent increase in serogroup W disease in Australia. As many states have now introduced meningococcal ACWY vaccine programs, monitoring the impact of these programs including severity of disease and any vaccine fai</w:t>
      </w:r>
      <w:r w:rsidR="00C324A5">
        <w:rPr>
          <w:rFonts w:eastAsia="Times New Roman"/>
        </w:rPr>
        <w:t>lures is an important priority.</w:t>
      </w:r>
    </w:p>
    <w:p w14:paraId="76BF2BDC" w14:textId="77777777" w:rsidR="00C324A5" w:rsidRDefault="001F7DC0">
      <w:pPr>
        <w:rPr>
          <w:rFonts w:eastAsia="Times New Roman"/>
        </w:rPr>
      </w:pPr>
      <w:r>
        <w:rPr>
          <w:rFonts w:eastAsia="Times New Roman"/>
        </w:rPr>
        <w:t>The results obtained for IGAS across the PAEDS network over 6 months are similar to that found in the 2-year pilot data at RCH Melbourne (28 cases).</w:t>
      </w:r>
      <w:r>
        <w:rPr>
          <w:rFonts w:eastAsia="Times New Roman"/>
          <w:vertAlign w:val="superscript"/>
        </w:rPr>
        <w:t>39</w:t>
      </w:r>
      <w:r>
        <w:rPr>
          <w:rFonts w:eastAsia="Times New Roman"/>
        </w:rPr>
        <w:t xml:space="preserve"> Due to our strict inclusion of cases from sterile sites only, a number of seriously ill children who had Group A Streptococcus isolated from ‘non-sterile’ sites such as abscesses or deep wounds had to be excluded. This may need to be revised in future surveillance to ensure all severe cases are able to be captured. There is increasing awareness about this important invasive infection. IGAS is currently only notifiable in Queensland and the Northern Territory and ongoing data collection is imperative in providing an evidence base to support its recognition as a potentially national notifiable disease. The in-depth clinical data we collect will also be particularly important in supporting the potential introduction of a vaccine for group A streptococcus disease in the near future. </w:t>
      </w:r>
    </w:p>
    <w:p w14:paraId="63A1AF8D" w14:textId="77777777" w:rsidR="00C324A5" w:rsidRDefault="001F7DC0">
      <w:pPr>
        <w:rPr>
          <w:rFonts w:eastAsia="Times New Roman"/>
        </w:rPr>
      </w:pPr>
      <w:r>
        <w:rPr>
          <w:rFonts w:eastAsia="Times New Roman"/>
        </w:rPr>
        <w:t xml:space="preserve">From 2016, PAEDS activities have expanded to incorporate social research which is also supported through the NHMRC partnership grant. This component seeks to use captured cases and conduct detailed research into the </w:t>
      </w:r>
      <w:r>
        <w:rPr>
          <w:rFonts w:eastAsia="Times New Roman"/>
        </w:rPr>
        <w:lastRenderedPageBreak/>
        <w:t>knowledge and attitudes of families of children hospitalised with influenza and pertussis, with the aim of developing improved strategies to better protect young infants. Following ethics approval attained late 2016, recruitm</w:t>
      </w:r>
      <w:r w:rsidR="00C324A5">
        <w:rPr>
          <w:rFonts w:eastAsia="Times New Roman"/>
        </w:rPr>
        <w:t>ent is set to commence in 2017.</w:t>
      </w:r>
    </w:p>
    <w:p w14:paraId="51B90BA6" w14:textId="77777777" w:rsidR="00C324A5" w:rsidRDefault="001F7DC0">
      <w:pPr>
        <w:rPr>
          <w:rFonts w:eastAsia="Times New Roman"/>
        </w:rPr>
      </w:pPr>
      <w:r>
        <w:rPr>
          <w:rFonts w:eastAsia="Times New Roman"/>
        </w:rPr>
        <w:t>In 2016, PAEDS was operational across 6 tertiary paediatric hospitals based in large metropolitan centres, limiting surveillance coverage to populations served by these hospitals. In 2017, a seventh hospital: Monash children’s Hospital will join the network and engage in surveillance activities fo</w:t>
      </w:r>
      <w:r w:rsidR="00C324A5">
        <w:rPr>
          <w:rFonts w:eastAsia="Times New Roman"/>
        </w:rPr>
        <w:t>r a number of PAEDS conditions.</w:t>
      </w:r>
    </w:p>
    <w:p w14:paraId="7FDA4B8B" w14:textId="03543D1C" w:rsidR="001F7DC0" w:rsidRDefault="001F7DC0">
      <w:pPr>
        <w:rPr>
          <w:rFonts w:eastAsia="Times New Roman"/>
        </w:rPr>
      </w:pPr>
      <w:r>
        <w:rPr>
          <w:rFonts w:eastAsia="Times New Roman"/>
        </w:rPr>
        <w:t xml:space="preserve">PAEDS continues to be an important capacity-building initiative to enhance existing public health surveillance for serious childhood conditions, particularly VPDs and AEFIs, with the overarching aim of improving child health outcomes. This unique surveillance platform also has the potential to be used for other urgent or research-focused studies for which active surveillance is optimal. More information on PAEDS is available at www.paeds.edu.au. </w:t>
      </w:r>
    </w:p>
    <w:p w14:paraId="74910A08" w14:textId="77777777" w:rsidR="001F7DC0" w:rsidRDefault="001F7DC0">
      <w:pPr>
        <w:pStyle w:val="Heading1"/>
        <w:rPr>
          <w:rFonts w:eastAsia="Times New Roman"/>
        </w:rPr>
      </w:pPr>
      <w:r>
        <w:rPr>
          <w:rFonts w:eastAsia="Times New Roman"/>
        </w:rPr>
        <w:t xml:space="preserve">Acknowledgements </w:t>
      </w:r>
    </w:p>
    <w:p w14:paraId="35FCB3DF" w14:textId="77777777" w:rsidR="00C324A5" w:rsidRDefault="001F7DC0">
      <w:pPr>
        <w:rPr>
          <w:rFonts w:eastAsia="Times New Roman"/>
        </w:rPr>
      </w:pPr>
      <w:r>
        <w:rPr>
          <w:rFonts w:eastAsia="Times New Roman"/>
        </w:rPr>
        <w:t>We thank all PAEDS investigators, collaborators, surveillance nurses and laboratory teams, wh</w:t>
      </w:r>
      <w:r w:rsidR="00C324A5">
        <w:rPr>
          <w:rFonts w:eastAsia="Times New Roman"/>
        </w:rPr>
        <w:t>o contributed to PAEDS in 2016.</w:t>
      </w:r>
    </w:p>
    <w:p w14:paraId="2B176238" w14:textId="77777777" w:rsidR="00C324A5" w:rsidRDefault="001F7DC0">
      <w:pPr>
        <w:rPr>
          <w:rFonts w:eastAsia="Times New Roman"/>
        </w:rPr>
      </w:pPr>
      <w:r>
        <w:rPr>
          <w:rFonts w:eastAsia="Times New Roman"/>
        </w:rPr>
        <w:t xml:space="preserve">The PAEDS network: Elliott E, McIntyre P, Macartney K, </w:t>
      </w:r>
      <w:proofErr w:type="spellStart"/>
      <w:r>
        <w:rPr>
          <w:rFonts w:eastAsia="Times New Roman"/>
        </w:rPr>
        <w:t>Booy</w:t>
      </w:r>
      <w:proofErr w:type="spellEnd"/>
      <w:r>
        <w:rPr>
          <w:rFonts w:eastAsia="Times New Roman"/>
        </w:rPr>
        <w:t xml:space="preserve"> R, Wood N, Britton P, Quinn H, Jones C, </w:t>
      </w:r>
      <w:proofErr w:type="spellStart"/>
      <w:r>
        <w:rPr>
          <w:rFonts w:eastAsia="Times New Roman"/>
        </w:rPr>
        <w:t>Rost</w:t>
      </w:r>
      <w:proofErr w:type="spellEnd"/>
      <w:r>
        <w:rPr>
          <w:rFonts w:eastAsia="Times New Roman"/>
        </w:rPr>
        <w:t xml:space="preserve"> L, Meredith K, </w:t>
      </w:r>
      <w:proofErr w:type="spellStart"/>
      <w:r>
        <w:rPr>
          <w:rFonts w:eastAsia="Times New Roman"/>
        </w:rPr>
        <w:t>Saravanos</w:t>
      </w:r>
      <w:proofErr w:type="spellEnd"/>
      <w:r>
        <w:rPr>
          <w:rFonts w:eastAsia="Times New Roman"/>
        </w:rPr>
        <w:t xml:space="preserve"> G, Dinsmore, Buttery J, Crawford N, McMinn A, Lee D, Gibson M, Richmond P, Blyth C, Snelling T, Finucane C, West R, Kent J, Clark J, </w:t>
      </w:r>
      <w:proofErr w:type="spellStart"/>
      <w:r>
        <w:rPr>
          <w:rFonts w:eastAsia="Times New Roman"/>
        </w:rPr>
        <w:t>Kynaston</w:t>
      </w:r>
      <w:proofErr w:type="spellEnd"/>
      <w:r>
        <w:rPr>
          <w:rFonts w:eastAsia="Times New Roman"/>
        </w:rPr>
        <w:t xml:space="preserve"> A, Dougherty S, Gold M, Marshall H,</w:t>
      </w:r>
      <w:r w:rsidRPr="00645F52">
        <w:rPr>
          <w:rStyle w:val="Emphasis"/>
          <w:rFonts w:eastAsia="Times New Roman"/>
          <w:b w:val="0"/>
        </w:rPr>
        <w:t xml:space="preserve"> </w:t>
      </w:r>
      <w:r>
        <w:rPr>
          <w:rFonts w:eastAsia="Times New Roman"/>
        </w:rPr>
        <w:t xml:space="preserve">Walker M and Heath C. </w:t>
      </w:r>
    </w:p>
    <w:p w14:paraId="7759165A" w14:textId="77777777" w:rsidR="00C324A5" w:rsidRDefault="001F7DC0">
      <w:pPr>
        <w:rPr>
          <w:rFonts w:eastAsia="Times New Roman"/>
        </w:rPr>
      </w:pPr>
      <w:r>
        <w:rPr>
          <w:rFonts w:eastAsia="Times New Roman"/>
        </w:rPr>
        <w:t xml:space="preserve">We would also like to thank: Cheng A and Garlick J (FluCAN), </w:t>
      </w:r>
      <w:proofErr w:type="spellStart"/>
      <w:r>
        <w:rPr>
          <w:rFonts w:eastAsia="Times New Roman"/>
        </w:rPr>
        <w:t>Kesson</w:t>
      </w:r>
      <w:proofErr w:type="spellEnd"/>
      <w:r>
        <w:rPr>
          <w:rFonts w:eastAsia="Times New Roman"/>
        </w:rPr>
        <w:t xml:space="preserve"> A, Leung K, Grote D and Stewart G (CHW Laboratory), Lopez C (RCH laboratory), Clark E (Pathology Queensland), </w:t>
      </w:r>
      <w:proofErr w:type="spellStart"/>
      <w:r>
        <w:rPr>
          <w:rFonts w:eastAsia="Times New Roman"/>
        </w:rPr>
        <w:t>Sammels</w:t>
      </w:r>
      <w:proofErr w:type="spellEnd"/>
      <w:r>
        <w:rPr>
          <w:rFonts w:eastAsia="Times New Roman"/>
        </w:rPr>
        <w:t xml:space="preserve"> L, Lindsey K, Levy A, </w:t>
      </w:r>
      <w:proofErr w:type="spellStart"/>
      <w:r>
        <w:rPr>
          <w:rFonts w:eastAsia="Times New Roman"/>
        </w:rPr>
        <w:t>Wuillemin</w:t>
      </w:r>
      <w:proofErr w:type="spellEnd"/>
      <w:r>
        <w:rPr>
          <w:rFonts w:eastAsia="Times New Roman"/>
        </w:rPr>
        <w:t xml:space="preserve"> J (</w:t>
      </w:r>
      <w:proofErr w:type="spellStart"/>
      <w:r>
        <w:rPr>
          <w:rFonts w:eastAsia="Times New Roman"/>
        </w:rPr>
        <w:t>Pathwest</w:t>
      </w:r>
      <w:proofErr w:type="spellEnd"/>
      <w:r>
        <w:rPr>
          <w:rFonts w:eastAsia="Times New Roman"/>
        </w:rPr>
        <w:t>, WA), Hobday L and Thorley B (VIDRL), Toi C (ICPMR). PAEDS and this paper would not have been possible without their importa</w:t>
      </w:r>
      <w:r w:rsidR="00C324A5">
        <w:rPr>
          <w:rFonts w:eastAsia="Times New Roman"/>
        </w:rPr>
        <w:t>nt and sustained contributions.</w:t>
      </w:r>
    </w:p>
    <w:p w14:paraId="7B3ABC87" w14:textId="7E254871" w:rsidR="001F7DC0" w:rsidRDefault="001F7DC0">
      <w:pPr>
        <w:rPr>
          <w:rFonts w:eastAsia="Times New Roman"/>
        </w:rPr>
      </w:pPr>
      <w:r>
        <w:rPr>
          <w:rFonts w:eastAsia="Times New Roman"/>
        </w:rPr>
        <w:t xml:space="preserve">We also thank the Australian Government Department of Health and Departments of Health in the participating jurisdictions (New South Wales, Victoria, South Australia, Western </w:t>
      </w:r>
      <w:proofErr w:type="gramStart"/>
      <w:r>
        <w:rPr>
          <w:rFonts w:eastAsia="Times New Roman"/>
        </w:rPr>
        <w:t>Australia</w:t>
      </w:r>
      <w:proofErr w:type="gramEnd"/>
      <w:r>
        <w:rPr>
          <w:rFonts w:eastAsia="Times New Roman"/>
        </w:rPr>
        <w:t xml:space="preserve"> and Queensland) for funding support. Funding for PAEDS participation in FluCAN comes via the Australian Government Department of Health and ACE surveillance has been supported by the Australian Government Department of Health (Surveillance Branch), </w:t>
      </w:r>
      <w:proofErr w:type="spellStart"/>
      <w:r>
        <w:rPr>
          <w:rFonts w:eastAsia="Times New Roman"/>
        </w:rPr>
        <w:t>Arkhadia</w:t>
      </w:r>
      <w:proofErr w:type="spellEnd"/>
      <w:r>
        <w:rPr>
          <w:rFonts w:eastAsia="Times New Roman"/>
        </w:rPr>
        <w:t xml:space="preserve"> Fund/Norah Therese Hayes-Ratcliffe Fellowship, Marie Bashir Institute, Sydney Medical School Dean’s fellowship, the Shepherd Foundation, NHMRC partnership grant (APP1113851) and other NHMRC (various sources). </w:t>
      </w:r>
    </w:p>
    <w:p w14:paraId="175F8F57" w14:textId="77777777" w:rsidR="001F7DC0" w:rsidRDefault="001F7DC0">
      <w:pPr>
        <w:pStyle w:val="Heading1"/>
        <w:rPr>
          <w:rFonts w:eastAsia="Times New Roman"/>
        </w:rPr>
      </w:pPr>
      <w:r>
        <w:rPr>
          <w:rFonts w:eastAsia="Times New Roman"/>
        </w:rPr>
        <w:t xml:space="preserve">Author details </w:t>
      </w:r>
    </w:p>
    <w:p w14:paraId="480ABFAB" w14:textId="77777777" w:rsidR="001F7DC0" w:rsidRDefault="001F7DC0">
      <w:pPr>
        <w:rPr>
          <w:rFonts w:eastAsia="Times New Roman"/>
        </w:rPr>
      </w:pPr>
      <w:r>
        <w:rPr>
          <w:rFonts w:eastAsia="Times New Roman"/>
        </w:rPr>
        <w:t xml:space="preserve">Ms </w:t>
      </w:r>
      <w:proofErr w:type="spellStart"/>
      <w:r>
        <w:rPr>
          <w:rFonts w:eastAsia="Times New Roman"/>
        </w:rPr>
        <w:t>Jocelynne</w:t>
      </w:r>
      <w:proofErr w:type="spellEnd"/>
      <w:r>
        <w:rPr>
          <w:rFonts w:eastAsia="Times New Roman"/>
        </w:rPr>
        <w:t xml:space="preserve"> E McRae</w:t>
      </w:r>
      <w:r>
        <w:rPr>
          <w:rFonts w:eastAsia="Times New Roman"/>
          <w:vertAlign w:val="superscript"/>
        </w:rPr>
        <w:t xml:space="preserve">1 </w:t>
      </w:r>
      <w:r>
        <w:rPr>
          <w:rFonts w:eastAsia="Times New Roman"/>
        </w:rPr>
        <w:t>Dr Helen E Quinn</w:t>
      </w:r>
      <w:r>
        <w:rPr>
          <w:rFonts w:eastAsia="Times New Roman"/>
          <w:vertAlign w:val="superscript"/>
        </w:rPr>
        <w:t xml:space="preserve">2,3 </w:t>
      </w:r>
      <w:r>
        <w:rPr>
          <w:rFonts w:eastAsia="Times New Roman"/>
        </w:rPr>
        <w:t>Ms Gemma L Saravanos</w:t>
      </w:r>
      <w:r>
        <w:rPr>
          <w:rFonts w:eastAsia="Times New Roman"/>
          <w:vertAlign w:val="superscript"/>
        </w:rPr>
        <w:t xml:space="preserve">4 </w:t>
      </w:r>
      <w:r>
        <w:rPr>
          <w:rFonts w:eastAsia="Times New Roman"/>
        </w:rPr>
        <w:t>Ms Alissa McMinn</w:t>
      </w:r>
      <w:r>
        <w:rPr>
          <w:rFonts w:eastAsia="Times New Roman"/>
          <w:vertAlign w:val="superscript"/>
        </w:rPr>
        <w:t xml:space="preserve">5 </w:t>
      </w:r>
      <w:r>
        <w:rPr>
          <w:rFonts w:eastAsia="Times New Roman"/>
        </w:rPr>
        <w:t>Dr Philip N Britton</w:t>
      </w:r>
      <w:r>
        <w:rPr>
          <w:rFonts w:eastAsia="Times New Roman"/>
          <w:vertAlign w:val="superscript"/>
        </w:rPr>
        <w:t xml:space="preserve">6 </w:t>
      </w:r>
      <w:r>
        <w:rPr>
          <w:rFonts w:eastAsia="Times New Roman"/>
        </w:rPr>
        <w:t>A/Prof Nicholas Wood</w:t>
      </w:r>
      <w:r>
        <w:rPr>
          <w:rFonts w:eastAsia="Times New Roman"/>
          <w:vertAlign w:val="superscript"/>
        </w:rPr>
        <w:t xml:space="preserve">7,8 </w:t>
      </w:r>
      <w:r>
        <w:rPr>
          <w:rFonts w:eastAsia="Times New Roman"/>
        </w:rPr>
        <w:t>A/Prof Helen Marshall</w:t>
      </w:r>
      <w:r>
        <w:rPr>
          <w:rFonts w:eastAsia="Times New Roman"/>
          <w:vertAlign w:val="superscript"/>
        </w:rPr>
        <w:t xml:space="preserve">9 </w:t>
      </w:r>
      <w:r>
        <w:rPr>
          <w:rFonts w:eastAsia="Times New Roman"/>
        </w:rPr>
        <w:t>Prof Kristine Macartney</w:t>
      </w:r>
      <w:r>
        <w:rPr>
          <w:rFonts w:eastAsia="Times New Roman"/>
          <w:vertAlign w:val="superscript"/>
        </w:rPr>
        <w:t xml:space="preserve">10,11,12 </w:t>
      </w:r>
    </w:p>
    <w:p w14:paraId="5F67CC66" w14:textId="77777777" w:rsidR="001F7DC0" w:rsidRDefault="001F7DC0" w:rsidP="001F7DC0">
      <w:pPr>
        <w:numPr>
          <w:ilvl w:val="0"/>
          <w:numId w:val="6"/>
        </w:numPr>
        <w:spacing w:before="100" w:beforeAutospacing="1" w:after="100" w:afterAutospacing="1" w:line="240" w:lineRule="auto"/>
        <w:rPr>
          <w:rFonts w:eastAsia="Times New Roman"/>
        </w:rPr>
      </w:pPr>
      <w:r>
        <w:rPr>
          <w:rFonts w:eastAsia="Times New Roman"/>
        </w:rPr>
        <w:t xml:space="preserve">PAEDS Network Manager, Clinical Nurse Consultant, National Centre for Immunisation Research and Surveillance (NCIRS), Kids Research Institute, The Children’s Hospital at Westmead, New South Wales </w:t>
      </w:r>
    </w:p>
    <w:p w14:paraId="2C19579F" w14:textId="77777777" w:rsidR="001F7DC0" w:rsidRDefault="001F7DC0" w:rsidP="001F7DC0">
      <w:pPr>
        <w:numPr>
          <w:ilvl w:val="0"/>
          <w:numId w:val="6"/>
        </w:numPr>
        <w:spacing w:before="100" w:beforeAutospacing="1" w:after="100" w:afterAutospacing="1" w:line="240" w:lineRule="auto"/>
        <w:rPr>
          <w:rFonts w:eastAsia="Times New Roman"/>
        </w:rPr>
      </w:pPr>
      <w:r>
        <w:rPr>
          <w:rFonts w:eastAsia="Times New Roman"/>
        </w:rPr>
        <w:t xml:space="preserve">Senior Research Fellow, National Centre for Immunisation Research and Surveillance, Kids Research Institute, The Children’s Hospital at Westmead, New South Wales </w:t>
      </w:r>
    </w:p>
    <w:p w14:paraId="63433E2F" w14:textId="77777777" w:rsidR="001F7DC0" w:rsidRDefault="001F7DC0" w:rsidP="001F7DC0">
      <w:pPr>
        <w:numPr>
          <w:ilvl w:val="0"/>
          <w:numId w:val="6"/>
        </w:numPr>
        <w:spacing w:before="100" w:beforeAutospacing="1" w:after="100" w:afterAutospacing="1" w:line="240" w:lineRule="auto"/>
        <w:rPr>
          <w:rFonts w:eastAsia="Times New Roman"/>
        </w:rPr>
      </w:pPr>
      <w:r>
        <w:rPr>
          <w:rFonts w:eastAsia="Times New Roman"/>
        </w:rPr>
        <w:t xml:space="preserve">Lecturer, Child and Adolescent Health, University of Sydney, New South Wales </w:t>
      </w:r>
    </w:p>
    <w:p w14:paraId="25B57F98" w14:textId="77777777" w:rsidR="001F7DC0" w:rsidRDefault="001F7DC0" w:rsidP="001F7DC0">
      <w:pPr>
        <w:numPr>
          <w:ilvl w:val="0"/>
          <w:numId w:val="6"/>
        </w:numPr>
        <w:spacing w:before="100" w:beforeAutospacing="1" w:after="100" w:afterAutospacing="1" w:line="240" w:lineRule="auto"/>
        <w:rPr>
          <w:rFonts w:eastAsia="Times New Roman"/>
        </w:rPr>
      </w:pPr>
      <w:r>
        <w:rPr>
          <w:rFonts w:eastAsia="Times New Roman"/>
        </w:rPr>
        <w:t xml:space="preserve">Research Nurse, National Centre for Immunisation Research and Surveillance, Kids Research Institute, The Children’s Hospital at Westmead, New South Wales </w:t>
      </w:r>
    </w:p>
    <w:p w14:paraId="3EECC0FC" w14:textId="77777777" w:rsidR="001F7DC0" w:rsidRDefault="001F7DC0" w:rsidP="001F7DC0">
      <w:pPr>
        <w:numPr>
          <w:ilvl w:val="0"/>
          <w:numId w:val="6"/>
        </w:numPr>
        <w:spacing w:before="100" w:beforeAutospacing="1" w:after="100" w:afterAutospacing="1" w:line="240" w:lineRule="auto"/>
        <w:rPr>
          <w:rFonts w:eastAsia="Times New Roman"/>
        </w:rPr>
      </w:pPr>
      <w:r>
        <w:rPr>
          <w:rFonts w:eastAsia="Times New Roman"/>
        </w:rPr>
        <w:t xml:space="preserve">Research Manager, Registered Nurse SAEFVIC, Infection &amp; Immunity Murdoch, Children’s Research Institute, The Royal Children’s Hospital, Victoria </w:t>
      </w:r>
    </w:p>
    <w:p w14:paraId="1BB46A6D" w14:textId="77777777" w:rsidR="001F7DC0" w:rsidRDefault="001F7DC0" w:rsidP="001F7DC0">
      <w:pPr>
        <w:numPr>
          <w:ilvl w:val="0"/>
          <w:numId w:val="6"/>
        </w:numPr>
        <w:spacing w:before="100" w:beforeAutospacing="1" w:after="100" w:afterAutospacing="1" w:line="240" w:lineRule="auto"/>
        <w:rPr>
          <w:rFonts w:eastAsia="Times New Roman"/>
        </w:rPr>
      </w:pPr>
      <w:r>
        <w:rPr>
          <w:rFonts w:eastAsia="Times New Roman"/>
        </w:rPr>
        <w:lastRenderedPageBreak/>
        <w:t xml:space="preserve">Staff Specialist, Department of Infectious Diseases &amp; Microbiology, The Children’s Hospital at Westmead, Sydney, New South Wales </w:t>
      </w:r>
    </w:p>
    <w:p w14:paraId="73639A22" w14:textId="77777777" w:rsidR="001F7DC0" w:rsidRDefault="001F7DC0" w:rsidP="001F7DC0">
      <w:pPr>
        <w:numPr>
          <w:ilvl w:val="0"/>
          <w:numId w:val="6"/>
        </w:numPr>
        <w:spacing w:before="100" w:beforeAutospacing="1" w:after="100" w:afterAutospacing="1" w:line="240" w:lineRule="auto"/>
        <w:rPr>
          <w:rFonts w:eastAsia="Times New Roman"/>
        </w:rPr>
      </w:pPr>
      <w:r>
        <w:rPr>
          <w:rFonts w:eastAsia="Times New Roman"/>
        </w:rPr>
        <w:t xml:space="preserve">Clinical fellow, National Centre for Immunisation Research and Surveillance (NCIRS) </w:t>
      </w:r>
    </w:p>
    <w:p w14:paraId="4F1CEF94" w14:textId="77777777" w:rsidR="001F7DC0" w:rsidRDefault="001F7DC0" w:rsidP="001F7DC0">
      <w:pPr>
        <w:numPr>
          <w:ilvl w:val="0"/>
          <w:numId w:val="6"/>
        </w:numPr>
        <w:spacing w:before="100" w:beforeAutospacing="1" w:after="100" w:afterAutospacing="1" w:line="240" w:lineRule="auto"/>
        <w:rPr>
          <w:rFonts w:eastAsia="Times New Roman"/>
        </w:rPr>
      </w:pPr>
      <w:r>
        <w:rPr>
          <w:rFonts w:eastAsia="Times New Roman"/>
        </w:rPr>
        <w:t xml:space="preserve">Post-graduate coordinator, Clinical school, Child and Adolescent Health, University of Sydney, New South Wales </w:t>
      </w:r>
    </w:p>
    <w:p w14:paraId="241FE9E4" w14:textId="77777777" w:rsidR="001F7DC0" w:rsidRDefault="001F7DC0" w:rsidP="001F7DC0">
      <w:pPr>
        <w:numPr>
          <w:ilvl w:val="0"/>
          <w:numId w:val="6"/>
        </w:numPr>
        <w:spacing w:before="100" w:beforeAutospacing="1" w:after="100" w:afterAutospacing="1" w:line="240" w:lineRule="auto"/>
        <w:rPr>
          <w:rFonts w:eastAsia="Times New Roman"/>
        </w:rPr>
      </w:pPr>
      <w:r>
        <w:rPr>
          <w:rFonts w:eastAsia="Times New Roman"/>
        </w:rPr>
        <w:t xml:space="preserve">Senior Medical Practitioner and Director, Vaccinology and Immunology Research Trials Unit, Women and Children’s Hospital, Adelaide </w:t>
      </w:r>
    </w:p>
    <w:p w14:paraId="775CA398" w14:textId="77777777" w:rsidR="001F7DC0" w:rsidRDefault="001F7DC0" w:rsidP="001F7DC0">
      <w:pPr>
        <w:numPr>
          <w:ilvl w:val="0"/>
          <w:numId w:val="6"/>
        </w:numPr>
        <w:spacing w:before="100" w:beforeAutospacing="1" w:after="100" w:afterAutospacing="1" w:line="240" w:lineRule="auto"/>
        <w:rPr>
          <w:rFonts w:eastAsia="Times New Roman"/>
        </w:rPr>
      </w:pPr>
      <w:r>
        <w:rPr>
          <w:rFonts w:eastAsia="Times New Roman"/>
        </w:rPr>
        <w:t xml:space="preserve">Director, National Centre for Immunisation Research and Surveillance, Kids Research Institute, The Children’s Hospital at Westmead, New South Wales </w:t>
      </w:r>
    </w:p>
    <w:p w14:paraId="37FD0145" w14:textId="77777777" w:rsidR="001F7DC0" w:rsidRDefault="001F7DC0" w:rsidP="001F7DC0">
      <w:pPr>
        <w:numPr>
          <w:ilvl w:val="0"/>
          <w:numId w:val="6"/>
        </w:numPr>
        <w:spacing w:before="100" w:beforeAutospacing="1" w:after="100" w:afterAutospacing="1" w:line="240" w:lineRule="auto"/>
        <w:rPr>
          <w:rFonts w:eastAsia="Times New Roman"/>
        </w:rPr>
      </w:pPr>
      <w:r>
        <w:rPr>
          <w:rFonts w:eastAsia="Times New Roman"/>
        </w:rPr>
        <w:t xml:space="preserve">Professor, Discipline of Child and Adolescent Health, University of Sydney, New South Wales </w:t>
      </w:r>
    </w:p>
    <w:p w14:paraId="6058A363" w14:textId="5E49E9F6" w:rsidR="00DA4CD1" w:rsidRPr="002201A3" w:rsidRDefault="001F7DC0" w:rsidP="002201A3">
      <w:pPr>
        <w:numPr>
          <w:ilvl w:val="0"/>
          <w:numId w:val="6"/>
        </w:numPr>
        <w:spacing w:before="100" w:beforeAutospacing="1" w:after="100" w:afterAutospacing="1" w:line="240" w:lineRule="auto"/>
        <w:rPr>
          <w:rFonts w:eastAsia="Times New Roman"/>
        </w:rPr>
      </w:pPr>
      <w:r>
        <w:rPr>
          <w:rFonts w:eastAsia="Times New Roman"/>
        </w:rPr>
        <w:t xml:space="preserve">Staff Specialist, Department of Microbiology and Infectious Diseases, The Children’s Hospital at Westmead, New South Wales </w:t>
      </w:r>
    </w:p>
    <w:p w14:paraId="4380E54F" w14:textId="77777777" w:rsidR="001F7DC0" w:rsidRDefault="001F7DC0">
      <w:pPr>
        <w:pStyle w:val="Heading2"/>
        <w:rPr>
          <w:rFonts w:eastAsia="Times New Roman"/>
        </w:rPr>
      </w:pPr>
      <w:r>
        <w:rPr>
          <w:rFonts w:eastAsia="Times New Roman"/>
        </w:rPr>
        <w:t>Corresponding author</w:t>
      </w:r>
    </w:p>
    <w:p w14:paraId="42E9CF7B" w14:textId="77777777" w:rsidR="001F7DC0" w:rsidRDefault="001F7DC0">
      <w:pPr>
        <w:rPr>
          <w:rFonts w:eastAsia="Times New Roman"/>
        </w:rPr>
      </w:pPr>
      <w:r>
        <w:rPr>
          <w:rFonts w:eastAsia="Times New Roman"/>
        </w:rPr>
        <w:t xml:space="preserve">Ms </w:t>
      </w:r>
      <w:proofErr w:type="spellStart"/>
      <w:r>
        <w:rPr>
          <w:rFonts w:eastAsia="Times New Roman"/>
        </w:rPr>
        <w:t>Jocelynne</w:t>
      </w:r>
      <w:proofErr w:type="spellEnd"/>
      <w:r>
        <w:rPr>
          <w:rFonts w:eastAsia="Times New Roman"/>
        </w:rPr>
        <w:t xml:space="preserve"> E McRae, PAEDS Network Manager, Clinical Nurse Consultant, National Centre for Immunisation Research and Surveillance (NCIRS), Kids Research Institute, The Children’s Hospital at Westmead, Locked Bag 4001, Westmead NSW 2145. Telephone: +61 2 98453024 Email: jocelynne.mcrae@health.nsw.gov.au </w:t>
      </w:r>
    </w:p>
    <w:p w14:paraId="1EC97BF9" w14:textId="77777777" w:rsidR="001F7DC0" w:rsidRDefault="001F7DC0">
      <w:pPr>
        <w:pStyle w:val="Heading1"/>
        <w:rPr>
          <w:rFonts w:eastAsia="Times New Roman"/>
        </w:rPr>
      </w:pPr>
      <w:r>
        <w:rPr>
          <w:rFonts w:eastAsia="Times New Roman"/>
        </w:rPr>
        <w:t xml:space="preserve">References </w:t>
      </w:r>
    </w:p>
    <w:p w14:paraId="32A5D494" w14:textId="77777777" w:rsidR="001F7DC0" w:rsidRDefault="001F7DC0" w:rsidP="001F7DC0">
      <w:pPr>
        <w:numPr>
          <w:ilvl w:val="0"/>
          <w:numId w:val="7"/>
        </w:numPr>
        <w:spacing w:before="100" w:beforeAutospacing="1" w:after="100" w:afterAutospacing="1" w:line="240" w:lineRule="auto"/>
        <w:rPr>
          <w:rFonts w:eastAsia="Times New Roman"/>
        </w:rPr>
      </w:pPr>
      <w:r>
        <w:rPr>
          <w:rFonts w:eastAsia="Times New Roman"/>
        </w:rPr>
        <w:t xml:space="preserve">McRae J, Quinn HE, Macartney K. Paediatric Active Enhanced Disease Surveillance (PAEDS) annual report 2015: Prospective hospital-based surveillance for select vaccine preventable diseases and adverse events following immunisation. </w:t>
      </w:r>
      <w:r w:rsidRPr="00645F52">
        <w:rPr>
          <w:rStyle w:val="Emphasis"/>
          <w:rFonts w:eastAsia="Times New Roman"/>
          <w:b w:val="0"/>
        </w:rPr>
        <w:t>Communicable Diseases Intelligence</w:t>
      </w:r>
      <w:r>
        <w:rPr>
          <w:rFonts w:eastAsia="Times New Roman"/>
        </w:rPr>
        <w:t xml:space="preserve"> 2017;41(3). </w:t>
      </w:r>
    </w:p>
    <w:p w14:paraId="1ED8F26E" w14:textId="77777777" w:rsidR="001F7DC0" w:rsidRDefault="001F7DC0" w:rsidP="001F7DC0">
      <w:pPr>
        <w:numPr>
          <w:ilvl w:val="0"/>
          <w:numId w:val="7"/>
        </w:numPr>
        <w:spacing w:before="100" w:beforeAutospacing="1" w:after="100" w:afterAutospacing="1" w:line="240" w:lineRule="auto"/>
        <w:rPr>
          <w:rFonts w:eastAsia="Times New Roman"/>
        </w:rPr>
      </w:pPr>
      <w:proofErr w:type="spellStart"/>
      <w:r>
        <w:rPr>
          <w:rFonts w:eastAsia="Times New Roman"/>
        </w:rPr>
        <w:t>Zurynksi</w:t>
      </w:r>
      <w:proofErr w:type="spellEnd"/>
      <w:r>
        <w:rPr>
          <w:rFonts w:eastAsia="Times New Roman"/>
        </w:rPr>
        <w:t xml:space="preserve"> YA, McRae J, Quinn HE, Wood NJ, Macartney K. Paediatric Active Enhanced Disease Surveillance (PAEDS) inaugural report 2014: Prospective hospital-based surveillance for select vaccine preventable diseases and adverse events following immunisation. </w:t>
      </w:r>
      <w:r w:rsidRPr="00645F52">
        <w:rPr>
          <w:rStyle w:val="Emphasis"/>
          <w:rFonts w:eastAsia="Times New Roman"/>
          <w:b w:val="0"/>
        </w:rPr>
        <w:t>Communicable Diseases Intelligence</w:t>
      </w:r>
      <w:r>
        <w:rPr>
          <w:rFonts w:eastAsia="Times New Roman"/>
        </w:rPr>
        <w:t xml:space="preserve"> 2016;In press. </w:t>
      </w:r>
    </w:p>
    <w:p w14:paraId="03D93670" w14:textId="77777777" w:rsidR="001F7DC0" w:rsidRDefault="001F7DC0" w:rsidP="001F7DC0">
      <w:pPr>
        <w:numPr>
          <w:ilvl w:val="0"/>
          <w:numId w:val="7"/>
        </w:numPr>
        <w:spacing w:before="100" w:beforeAutospacing="1" w:after="100" w:afterAutospacing="1" w:line="240" w:lineRule="auto"/>
        <w:rPr>
          <w:rFonts w:eastAsia="Times New Roman"/>
        </w:rPr>
      </w:pPr>
      <w:proofErr w:type="spellStart"/>
      <w:r>
        <w:rPr>
          <w:rFonts w:eastAsia="Times New Roman"/>
        </w:rPr>
        <w:t>Zurynski</w:t>
      </w:r>
      <w:proofErr w:type="spellEnd"/>
      <w:r>
        <w:rPr>
          <w:rFonts w:eastAsia="Times New Roman"/>
        </w:rPr>
        <w:t xml:space="preserve"> Y, McIntyre P, </w:t>
      </w:r>
      <w:proofErr w:type="spellStart"/>
      <w:r>
        <w:rPr>
          <w:rFonts w:eastAsia="Times New Roman"/>
        </w:rPr>
        <w:t>Booy</w:t>
      </w:r>
      <w:proofErr w:type="spellEnd"/>
      <w:r>
        <w:rPr>
          <w:rFonts w:eastAsia="Times New Roman"/>
        </w:rPr>
        <w:t xml:space="preserve"> R, Elliott EJ, on behalf of the PAEDS Investigators Group. Paediatric Active Enhanced Disease Surveillance: a new surveillance system for Australia. </w:t>
      </w:r>
      <w:r w:rsidRPr="00645F52">
        <w:rPr>
          <w:rStyle w:val="Emphasis"/>
          <w:rFonts w:eastAsia="Times New Roman"/>
          <w:b w:val="0"/>
        </w:rPr>
        <w:t>Journal of Paediatrics and Child Health</w:t>
      </w:r>
      <w:r>
        <w:rPr>
          <w:rFonts w:eastAsia="Times New Roman"/>
        </w:rPr>
        <w:t xml:space="preserve"> 2013;49(7):588-594. </w:t>
      </w:r>
    </w:p>
    <w:p w14:paraId="3F0A1D50" w14:textId="77777777" w:rsidR="001F7DC0" w:rsidRDefault="001F7DC0" w:rsidP="001F7DC0">
      <w:pPr>
        <w:numPr>
          <w:ilvl w:val="0"/>
          <w:numId w:val="7"/>
        </w:numPr>
        <w:spacing w:before="100" w:beforeAutospacing="1" w:after="100" w:afterAutospacing="1" w:line="240" w:lineRule="auto"/>
        <w:rPr>
          <w:rFonts w:eastAsia="Times New Roman"/>
        </w:rPr>
      </w:pPr>
      <w:r>
        <w:rPr>
          <w:rFonts w:eastAsia="Times New Roman"/>
        </w:rPr>
        <w:t xml:space="preserve">Roberts J, Hobday L, Ibrahim A, Aitken T, Thorley B. Australian National Enterovirus Reference Laboratory annual report, 2014. </w:t>
      </w:r>
      <w:r w:rsidRPr="00645F52">
        <w:rPr>
          <w:rStyle w:val="Emphasis"/>
          <w:rFonts w:eastAsia="Times New Roman"/>
          <w:b w:val="0"/>
        </w:rPr>
        <w:t>Commun Dis Intell Q Rep</w:t>
      </w:r>
      <w:r>
        <w:rPr>
          <w:rFonts w:eastAsia="Times New Roman"/>
        </w:rPr>
        <w:t xml:space="preserve"> 2017;41(2):E161-e180. </w:t>
      </w:r>
    </w:p>
    <w:p w14:paraId="02134981" w14:textId="77777777" w:rsidR="001F7DC0" w:rsidRDefault="001F7DC0" w:rsidP="001F7DC0">
      <w:pPr>
        <w:numPr>
          <w:ilvl w:val="0"/>
          <w:numId w:val="7"/>
        </w:numPr>
        <w:spacing w:before="100" w:beforeAutospacing="1" w:after="100" w:afterAutospacing="1" w:line="240" w:lineRule="auto"/>
        <w:rPr>
          <w:rFonts w:eastAsia="Times New Roman"/>
        </w:rPr>
      </w:pPr>
      <w:r>
        <w:rPr>
          <w:rFonts w:eastAsia="Times New Roman"/>
        </w:rPr>
        <w:t xml:space="preserve">World Health Organization. Global Polio Eradication Initiative, Surveillance. Accessed on 24.10.17. Available from: http://polioeradication.org/who-we-are/strategy/surveillance/ </w:t>
      </w:r>
    </w:p>
    <w:p w14:paraId="38F77942" w14:textId="77777777" w:rsidR="001F7DC0" w:rsidRDefault="001F7DC0" w:rsidP="001F7DC0">
      <w:pPr>
        <w:numPr>
          <w:ilvl w:val="0"/>
          <w:numId w:val="7"/>
        </w:numPr>
        <w:spacing w:before="100" w:beforeAutospacing="1" w:after="100" w:afterAutospacing="1" w:line="240" w:lineRule="auto"/>
        <w:rPr>
          <w:rFonts w:eastAsia="Times New Roman"/>
        </w:rPr>
      </w:pPr>
      <w:r>
        <w:rPr>
          <w:rFonts w:eastAsia="Times New Roman"/>
        </w:rPr>
        <w:t xml:space="preserve">Paediatric Trials Network Australia. </w:t>
      </w:r>
      <w:proofErr w:type="spellStart"/>
      <w:r>
        <w:rPr>
          <w:rFonts w:eastAsia="Times New Roman"/>
        </w:rPr>
        <w:t>WebSpirit</w:t>
      </w:r>
      <w:proofErr w:type="spellEnd"/>
      <w:r>
        <w:rPr>
          <w:rFonts w:eastAsia="Times New Roman"/>
        </w:rPr>
        <w:t xml:space="preserve">. 2013. Accessed on 24 October 2017. Available from: http://www.ptna.com.au/index.php/webspirit </w:t>
      </w:r>
    </w:p>
    <w:p w14:paraId="08F3B6F1" w14:textId="77777777" w:rsidR="001F7DC0" w:rsidRDefault="001F7DC0" w:rsidP="001F7DC0">
      <w:pPr>
        <w:numPr>
          <w:ilvl w:val="0"/>
          <w:numId w:val="7"/>
        </w:numPr>
        <w:spacing w:before="100" w:beforeAutospacing="1" w:after="100" w:afterAutospacing="1" w:line="240" w:lineRule="auto"/>
        <w:rPr>
          <w:rFonts w:eastAsia="Times New Roman"/>
        </w:rPr>
      </w:pPr>
      <w:r>
        <w:rPr>
          <w:rFonts w:eastAsia="Times New Roman"/>
        </w:rPr>
        <w:t xml:space="preserve">Britton PN, Dale RC, </w:t>
      </w:r>
      <w:proofErr w:type="spellStart"/>
      <w:r>
        <w:rPr>
          <w:rFonts w:eastAsia="Times New Roman"/>
        </w:rPr>
        <w:t>Booy</w:t>
      </w:r>
      <w:proofErr w:type="spellEnd"/>
      <w:r>
        <w:rPr>
          <w:rFonts w:eastAsia="Times New Roman"/>
        </w:rPr>
        <w:t xml:space="preserve"> R, Jones CA. Acute encephalitis in children: Progress and priorities from an Australasian perspective. </w:t>
      </w:r>
      <w:r w:rsidRPr="00645F52">
        <w:rPr>
          <w:rStyle w:val="Emphasis"/>
          <w:rFonts w:eastAsia="Times New Roman"/>
          <w:b w:val="0"/>
        </w:rPr>
        <w:t xml:space="preserve">J </w:t>
      </w:r>
      <w:proofErr w:type="spellStart"/>
      <w:r w:rsidRPr="00645F52">
        <w:rPr>
          <w:rStyle w:val="Emphasis"/>
          <w:rFonts w:eastAsia="Times New Roman"/>
          <w:b w:val="0"/>
        </w:rPr>
        <w:t>Paediatr</w:t>
      </w:r>
      <w:proofErr w:type="spellEnd"/>
      <w:r w:rsidRPr="00645F52">
        <w:rPr>
          <w:rStyle w:val="Emphasis"/>
          <w:rFonts w:eastAsia="Times New Roman"/>
          <w:b w:val="0"/>
        </w:rPr>
        <w:t xml:space="preserve"> Child Health</w:t>
      </w:r>
      <w:r>
        <w:rPr>
          <w:rFonts w:eastAsia="Times New Roman"/>
        </w:rPr>
        <w:t xml:space="preserve"> 2015;51(2):147-158. </w:t>
      </w:r>
    </w:p>
    <w:p w14:paraId="08BDFD7E" w14:textId="77777777" w:rsidR="001F7DC0" w:rsidRDefault="001F7DC0" w:rsidP="001F7DC0">
      <w:pPr>
        <w:numPr>
          <w:ilvl w:val="0"/>
          <w:numId w:val="7"/>
        </w:numPr>
        <w:spacing w:before="100" w:beforeAutospacing="1" w:after="100" w:afterAutospacing="1" w:line="240" w:lineRule="auto"/>
        <w:rPr>
          <w:rFonts w:eastAsia="Times New Roman"/>
        </w:rPr>
      </w:pPr>
      <w:r>
        <w:rPr>
          <w:rFonts w:eastAsia="Times New Roman"/>
        </w:rPr>
        <w:t xml:space="preserve">Elliott EJ, </w:t>
      </w:r>
      <w:proofErr w:type="spellStart"/>
      <w:r>
        <w:rPr>
          <w:rFonts w:eastAsia="Times New Roman"/>
        </w:rPr>
        <w:t>Zurynski</w:t>
      </w:r>
      <w:proofErr w:type="spellEnd"/>
      <w:r>
        <w:rPr>
          <w:rFonts w:eastAsia="Times New Roman"/>
        </w:rPr>
        <w:t xml:space="preserve"> YA, Walls T, Whitehead B, Gilmour R, </w:t>
      </w:r>
      <w:proofErr w:type="spellStart"/>
      <w:r>
        <w:rPr>
          <w:rFonts w:eastAsia="Times New Roman"/>
        </w:rPr>
        <w:t>Booy</w:t>
      </w:r>
      <w:proofErr w:type="spellEnd"/>
      <w:r>
        <w:rPr>
          <w:rFonts w:eastAsia="Times New Roman"/>
        </w:rPr>
        <w:t xml:space="preserve"> R. Novel inpatient surveillance in tertiary paediatric hospitals in New South Wales illustrates impact of first-wave pandemic influenza A H1N1 (2009) and informs future health service planning. </w:t>
      </w:r>
      <w:r w:rsidRPr="00645F52">
        <w:rPr>
          <w:rStyle w:val="Emphasis"/>
          <w:rFonts w:eastAsia="Times New Roman"/>
          <w:b w:val="0"/>
        </w:rPr>
        <w:t>Journal of Paediatrics and Child Health</w:t>
      </w:r>
      <w:r>
        <w:rPr>
          <w:rFonts w:eastAsia="Times New Roman"/>
        </w:rPr>
        <w:t xml:space="preserve"> 2012;48(3):235-241. </w:t>
      </w:r>
    </w:p>
    <w:p w14:paraId="7BB27840" w14:textId="77777777" w:rsidR="001F7DC0" w:rsidRDefault="001F7DC0" w:rsidP="001F7DC0">
      <w:pPr>
        <w:numPr>
          <w:ilvl w:val="0"/>
          <w:numId w:val="7"/>
        </w:numPr>
        <w:spacing w:before="100" w:beforeAutospacing="1" w:after="100" w:afterAutospacing="1" w:line="240" w:lineRule="auto"/>
        <w:rPr>
          <w:rFonts w:eastAsia="Times New Roman"/>
        </w:rPr>
      </w:pPr>
      <w:r>
        <w:rPr>
          <w:rFonts w:eastAsia="Times New Roman"/>
        </w:rPr>
        <w:t xml:space="preserve">Bines JE, Kohl KS, Forster J, </w:t>
      </w:r>
      <w:proofErr w:type="spellStart"/>
      <w:r>
        <w:rPr>
          <w:rFonts w:eastAsia="Times New Roman"/>
        </w:rPr>
        <w:t>Zanardi</w:t>
      </w:r>
      <w:proofErr w:type="spellEnd"/>
      <w:r>
        <w:rPr>
          <w:rFonts w:eastAsia="Times New Roman"/>
        </w:rPr>
        <w:t xml:space="preserve"> LR, Davis RL, Hansen J, et al. Acute intussusception in infants and children as an adverse event following immunization: case definition and guidelines of data collection, analysis, and presentation. </w:t>
      </w:r>
      <w:r w:rsidRPr="00645F52">
        <w:rPr>
          <w:rStyle w:val="Emphasis"/>
          <w:rFonts w:eastAsia="Times New Roman"/>
          <w:b w:val="0"/>
        </w:rPr>
        <w:t>Vaccine</w:t>
      </w:r>
      <w:r>
        <w:rPr>
          <w:rFonts w:eastAsia="Times New Roman"/>
        </w:rPr>
        <w:t xml:space="preserve"> 2004;22(5-6):569-574. </w:t>
      </w:r>
    </w:p>
    <w:p w14:paraId="08BC3946" w14:textId="77777777" w:rsidR="001F7DC0" w:rsidRDefault="001F7DC0" w:rsidP="001F7DC0">
      <w:pPr>
        <w:numPr>
          <w:ilvl w:val="0"/>
          <w:numId w:val="7"/>
        </w:numPr>
        <w:spacing w:before="100" w:beforeAutospacing="1" w:after="100" w:afterAutospacing="1" w:line="240" w:lineRule="auto"/>
        <w:rPr>
          <w:rFonts w:eastAsia="Times New Roman"/>
        </w:rPr>
      </w:pPr>
      <w:r>
        <w:rPr>
          <w:rFonts w:eastAsia="Times New Roman"/>
        </w:rPr>
        <w:t xml:space="preserve">Buttery JP, </w:t>
      </w:r>
      <w:proofErr w:type="spellStart"/>
      <w:r>
        <w:rPr>
          <w:rFonts w:eastAsia="Times New Roman"/>
        </w:rPr>
        <w:t>Danchin</w:t>
      </w:r>
      <w:proofErr w:type="spellEnd"/>
      <w:r>
        <w:rPr>
          <w:rFonts w:eastAsia="Times New Roman"/>
        </w:rPr>
        <w:t xml:space="preserve"> MH, Lee KJ, Carlin JB, McIntyre PB, Elliott EJ, et al. Intussusception following rotavirus vaccine administration: post-marketing surveillance in the National Immunization Program in Australia. </w:t>
      </w:r>
      <w:r w:rsidRPr="00645F52">
        <w:rPr>
          <w:rStyle w:val="Emphasis"/>
          <w:rFonts w:eastAsia="Times New Roman"/>
          <w:b w:val="0"/>
        </w:rPr>
        <w:t>Vaccine</w:t>
      </w:r>
      <w:r>
        <w:rPr>
          <w:rFonts w:eastAsia="Times New Roman"/>
        </w:rPr>
        <w:t xml:space="preserve"> 2011;29(16):3061-3066. </w:t>
      </w:r>
    </w:p>
    <w:p w14:paraId="37EDD605" w14:textId="77777777" w:rsidR="001F7DC0" w:rsidRDefault="001F7DC0" w:rsidP="001F7DC0">
      <w:pPr>
        <w:numPr>
          <w:ilvl w:val="0"/>
          <w:numId w:val="7"/>
        </w:numPr>
        <w:spacing w:before="100" w:beforeAutospacing="1" w:after="100" w:afterAutospacing="1" w:line="240" w:lineRule="auto"/>
        <w:rPr>
          <w:rFonts w:eastAsia="Times New Roman"/>
        </w:rPr>
      </w:pPr>
      <w:r>
        <w:rPr>
          <w:rFonts w:eastAsia="Times New Roman"/>
        </w:rPr>
        <w:t xml:space="preserve">Carlin JB, Macartney KK, Lee KJ, Quinn HE, Buttery J, </w:t>
      </w:r>
      <w:proofErr w:type="spellStart"/>
      <w:r>
        <w:rPr>
          <w:rFonts w:eastAsia="Times New Roman"/>
        </w:rPr>
        <w:t>Lopert</w:t>
      </w:r>
      <w:proofErr w:type="spellEnd"/>
      <w:r>
        <w:rPr>
          <w:rFonts w:eastAsia="Times New Roman"/>
        </w:rPr>
        <w:t xml:space="preserve"> R, et al. Intussusception risk and disease prevention associated with rotavirus vaccines in Australia’s National Immunization Program. </w:t>
      </w:r>
      <w:r w:rsidRPr="00645F52">
        <w:rPr>
          <w:rStyle w:val="Emphasis"/>
          <w:rFonts w:eastAsia="Times New Roman"/>
          <w:b w:val="0"/>
        </w:rPr>
        <w:t>Clin Infect Dis</w:t>
      </w:r>
      <w:r>
        <w:rPr>
          <w:rFonts w:eastAsia="Times New Roman"/>
        </w:rPr>
        <w:t xml:space="preserve"> 2013;57(10):1427-1434. </w:t>
      </w:r>
    </w:p>
    <w:p w14:paraId="3A38625F" w14:textId="77777777" w:rsidR="001F7DC0" w:rsidRDefault="001F7DC0" w:rsidP="001F7DC0">
      <w:pPr>
        <w:numPr>
          <w:ilvl w:val="0"/>
          <w:numId w:val="7"/>
        </w:numPr>
        <w:spacing w:before="100" w:beforeAutospacing="1" w:after="100" w:afterAutospacing="1" w:line="240" w:lineRule="auto"/>
        <w:rPr>
          <w:rFonts w:eastAsia="Times New Roman"/>
        </w:rPr>
      </w:pPr>
      <w:r>
        <w:rPr>
          <w:rFonts w:eastAsia="Times New Roman"/>
        </w:rPr>
        <w:lastRenderedPageBreak/>
        <w:t xml:space="preserve">Quinn HE, Wood NJ, Cannings KL, Dey A, Wang H, Menzies RI, et al. Intussusception after monovalent human rotavirus vaccine in Australia: severity and comparison of using healthcare database records versus case confirmation to assess risk. </w:t>
      </w:r>
      <w:r w:rsidRPr="00645F52">
        <w:rPr>
          <w:rStyle w:val="Emphasis"/>
          <w:rFonts w:eastAsia="Times New Roman"/>
          <w:b w:val="0"/>
        </w:rPr>
        <w:t>The Pediatric infectious disease journal</w:t>
      </w:r>
      <w:r>
        <w:rPr>
          <w:rFonts w:eastAsia="Times New Roman"/>
        </w:rPr>
        <w:t xml:space="preserve"> 2014;33(9):959-965. </w:t>
      </w:r>
    </w:p>
    <w:p w14:paraId="2022A736" w14:textId="77777777" w:rsidR="001F7DC0" w:rsidRDefault="001F7DC0" w:rsidP="001F7DC0">
      <w:pPr>
        <w:numPr>
          <w:ilvl w:val="0"/>
          <w:numId w:val="7"/>
        </w:numPr>
        <w:spacing w:before="100" w:beforeAutospacing="1" w:after="100" w:afterAutospacing="1" w:line="240" w:lineRule="auto"/>
        <w:rPr>
          <w:rFonts w:eastAsia="Times New Roman"/>
        </w:rPr>
      </w:pPr>
      <w:r>
        <w:rPr>
          <w:rFonts w:eastAsia="Times New Roman"/>
        </w:rPr>
        <w:t xml:space="preserve">Pillsbury A, Quinn HE, McIntyre PB. Australian vaccine preventable disease epidemiological review series: Pertussis, 2006–2012. </w:t>
      </w:r>
      <w:r w:rsidRPr="00645F52">
        <w:rPr>
          <w:rStyle w:val="Emphasis"/>
          <w:rFonts w:eastAsia="Times New Roman"/>
          <w:b w:val="0"/>
        </w:rPr>
        <w:t>Communicable Diseases Intelligence</w:t>
      </w:r>
      <w:r>
        <w:rPr>
          <w:rFonts w:eastAsia="Times New Roman"/>
        </w:rPr>
        <w:t xml:space="preserve"> 2014;38(3):E179-194. </w:t>
      </w:r>
    </w:p>
    <w:p w14:paraId="6C758E24" w14:textId="77777777" w:rsidR="001F7DC0" w:rsidRDefault="001F7DC0" w:rsidP="001F7DC0">
      <w:pPr>
        <w:numPr>
          <w:ilvl w:val="0"/>
          <w:numId w:val="7"/>
        </w:numPr>
        <w:spacing w:before="100" w:beforeAutospacing="1" w:after="100" w:afterAutospacing="1" w:line="240" w:lineRule="auto"/>
        <w:rPr>
          <w:rFonts w:eastAsia="Times New Roman"/>
        </w:rPr>
      </w:pPr>
      <w:r>
        <w:rPr>
          <w:rFonts w:eastAsia="Times New Roman"/>
        </w:rPr>
        <w:t xml:space="preserve">Marshall H, Quinn H, Gidding H, Richmond P, Crawford N, Gold N, et al. Severe and complicated varicella in the post-varicella vaccine era and associated genotypes. Presented at: 15th National Immunisation Conference; 7–9 June 2016; Brisbane. </w:t>
      </w:r>
    </w:p>
    <w:p w14:paraId="74DAFEE0" w14:textId="77777777" w:rsidR="001F7DC0" w:rsidRDefault="001F7DC0" w:rsidP="001F7DC0">
      <w:pPr>
        <w:numPr>
          <w:ilvl w:val="0"/>
          <w:numId w:val="7"/>
        </w:numPr>
        <w:spacing w:before="100" w:beforeAutospacing="1" w:after="100" w:afterAutospacing="1" w:line="240" w:lineRule="auto"/>
        <w:rPr>
          <w:rFonts w:eastAsia="Times New Roman"/>
        </w:rPr>
      </w:pPr>
      <w:proofErr w:type="spellStart"/>
      <w:r>
        <w:rPr>
          <w:rFonts w:eastAsia="Times New Roman"/>
        </w:rPr>
        <w:t>Bilukha</w:t>
      </w:r>
      <w:proofErr w:type="spellEnd"/>
      <w:r>
        <w:rPr>
          <w:rFonts w:eastAsia="Times New Roman"/>
        </w:rPr>
        <w:t xml:space="preserve"> OO, Rosenstein N. Prevention and control of meningococcal disease. Recommendations of the Advisory Committee on Immunization Practices (ACIP). </w:t>
      </w:r>
      <w:r w:rsidRPr="00645F52">
        <w:rPr>
          <w:rStyle w:val="Emphasis"/>
          <w:rFonts w:eastAsia="Times New Roman"/>
          <w:b w:val="0"/>
        </w:rPr>
        <w:t>MMWR Recommendations and reports : Morbidity and mortality weekly report Recommendations and reports</w:t>
      </w:r>
      <w:r>
        <w:rPr>
          <w:rFonts w:eastAsia="Times New Roman"/>
        </w:rPr>
        <w:t xml:space="preserve"> 2005;54(Rr-7):1-21. </w:t>
      </w:r>
    </w:p>
    <w:p w14:paraId="1070C4B3" w14:textId="77777777" w:rsidR="001F7DC0" w:rsidRDefault="001F7DC0" w:rsidP="001F7DC0">
      <w:pPr>
        <w:numPr>
          <w:ilvl w:val="0"/>
          <w:numId w:val="7"/>
        </w:numPr>
        <w:spacing w:before="100" w:beforeAutospacing="1" w:after="100" w:afterAutospacing="1" w:line="240" w:lineRule="auto"/>
        <w:rPr>
          <w:rFonts w:eastAsia="Times New Roman"/>
        </w:rPr>
      </w:pPr>
      <w:proofErr w:type="spellStart"/>
      <w:r>
        <w:rPr>
          <w:rFonts w:eastAsia="Times New Roman"/>
        </w:rPr>
        <w:t>Peltola</w:t>
      </w:r>
      <w:proofErr w:type="spellEnd"/>
      <w:r>
        <w:rPr>
          <w:rFonts w:eastAsia="Times New Roman"/>
        </w:rPr>
        <w:t xml:space="preserve"> H. Meningococcal disease: still with us. </w:t>
      </w:r>
      <w:r w:rsidRPr="00645F52">
        <w:rPr>
          <w:rStyle w:val="Emphasis"/>
          <w:rFonts w:eastAsia="Times New Roman"/>
          <w:b w:val="0"/>
        </w:rPr>
        <w:t>Reviews of infectious diseases</w:t>
      </w:r>
      <w:r>
        <w:rPr>
          <w:rFonts w:eastAsia="Times New Roman"/>
        </w:rPr>
        <w:t xml:space="preserve"> 1983;5(1):71-91. </w:t>
      </w:r>
    </w:p>
    <w:p w14:paraId="5136BB1A" w14:textId="77777777" w:rsidR="001F7DC0" w:rsidRDefault="001F7DC0" w:rsidP="001F7DC0">
      <w:pPr>
        <w:numPr>
          <w:ilvl w:val="0"/>
          <w:numId w:val="7"/>
        </w:numPr>
        <w:spacing w:before="100" w:beforeAutospacing="1" w:after="100" w:afterAutospacing="1" w:line="240" w:lineRule="auto"/>
        <w:rPr>
          <w:rFonts w:eastAsia="Times New Roman"/>
        </w:rPr>
      </w:pPr>
      <w:r>
        <w:rPr>
          <w:rFonts w:eastAsia="Times New Roman"/>
        </w:rPr>
        <w:t xml:space="preserve">Trotter CL, Chandra M, </w:t>
      </w:r>
      <w:proofErr w:type="spellStart"/>
      <w:r>
        <w:rPr>
          <w:rFonts w:eastAsia="Times New Roman"/>
        </w:rPr>
        <w:t>Cano</w:t>
      </w:r>
      <w:proofErr w:type="spellEnd"/>
      <w:r>
        <w:rPr>
          <w:rFonts w:eastAsia="Times New Roman"/>
        </w:rPr>
        <w:t xml:space="preserve"> R, </w:t>
      </w:r>
      <w:proofErr w:type="spellStart"/>
      <w:r>
        <w:rPr>
          <w:rFonts w:eastAsia="Times New Roman"/>
        </w:rPr>
        <w:t>Larrauri</w:t>
      </w:r>
      <w:proofErr w:type="spellEnd"/>
      <w:r>
        <w:rPr>
          <w:rFonts w:eastAsia="Times New Roman"/>
        </w:rPr>
        <w:t xml:space="preserve"> A, Ramsay ME, </w:t>
      </w:r>
      <w:proofErr w:type="spellStart"/>
      <w:r>
        <w:rPr>
          <w:rFonts w:eastAsia="Times New Roman"/>
        </w:rPr>
        <w:t>Brehony</w:t>
      </w:r>
      <w:proofErr w:type="spellEnd"/>
      <w:r>
        <w:rPr>
          <w:rFonts w:eastAsia="Times New Roman"/>
        </w:rPr>
        <w:t xml:space="preserve"> C, et al. A surveillance network for meningococcal disease in Europe. </w:t>
      </w:r>
      <w:r w:rsidRPr="00645F52">
        <w:rPr>
          <w:rStyle w:val="Emphasis"/>
          <w:rFonts w:eastAsia="Times New Roman"/>
          <w:b w:val="0"/>
        </w:rPr>
        <w:t>FEMS microbiology reviews</w:t>
      </w:r>
      <w:r>
        <w:rPr>
          <w:rFonts w:eastAsia="Times New Roman"/>
        </w:rPr>
        <w:t xml:space="preserve"> 2007;31(1):27-36. </w:t>
      </w:r>
    </w:p>
    <w:p w14:paraId="3BB4B780" w14:textId="77777777" w:rsidR="001F7DC0" w:rsidRDefault="001F7DC0" w:rsidP="001F7DC0">
      <w:pPr>
        <w:numPr>
          <w:ilvl w:val="0"/>
          <w:numId w:val="7"/>
        </w:numPr>
        <w:spacing w:before="100" w:beforeAutospacing="1" w:after="100" w:afterAutospacing="1" w:line="240" w:lineRule="auto"/>
        <w:rPr>
          <w:rFonts w:eastAsia="Times New Roman"/>
        </w:rPr>
      </w:pPr>
      <w:r>
        <w:rPr>
          <w:rFonts w:eastAsia="Times New Roman"/>
        </w:rPr>
        <w:t xml:space="preserve">Borg J, Christie D, Coen PG, </w:t>
      </w:r>
      <w:proofErr w:type="spellStart"/>
      <w:r>
        <w:rPr>
          <w:rFonts w:eastAsia="Times New Roman"/>
        </w:rPr>
        <w:t>Booy</w:t>
      </w:r>
      <w:proofErr w:type="spellEnd"/>
      <w:r>
        <w:rPr>
          <w:rFonts w:eastAsia="Times New Roman"/>
        </w:rPr>
        <w:t xml:space="preserve"> R, Viner RM. Outcomes of meningococcal disease in adolescence: prospective, matched-cohort study. </w:t>
      </w:r>
      <w:proofErr w:type="spellStart"/>
      <w:r w:rsidRPr="00645F52">
        <w:rPr>
          <w:rStyle w:val="Emphasis"/>
          <w:rFonts w:eastAsia="Times New Roman"/>
          <w:b w:val="0"/>
        </w:rPr>
        <w:t>Pediatrics</w:t>
      </w:r>
      <w:proofErr w:type="spellEnd"/>
      <w:r>
        <w:rPr>
          <w:rFonts w:eastAsia="Times New Roman"/>
        </w:rPr>
        <w:t xml:space="preserve"> 2009;123(3):e502-509. </w:t>
      </w:r>
    </w:p>
    <w:p w14:paraId="1EF08849" w14:textId="77777777" w:rsidR="001F7DC0" w:rsidRDefault="001F7DC0" w:rsidP="001F7DC0">
      <w:pPr>
        <w:numPr>
          <w:ilvl w:val="0"/>
          <w:numId w:val="7"/>
        </w:numPr>
        <w:spacing w:before="100" w:beforeAutospacing="1" w:after="100" w:afterAutospacing="1" w:line="240" w:lineRule="auto"/>
        <w:rPr>
          <w:rFonts w:eastAsia="Times New Roman"/>
        </w:rPr>
      </w:pPr>
      <w:r>
        <w:rPr>
          <w:rFonts w:eastAsia="Times New Roman"/>
        </w:rPr>
        <w:t xml:space="preserve">Davis KL, </w:t>
      </w:r>
      <w:proofErr w:type="spellStart"/>
      <w:r>
        <w:rPr>
          <w:rFonts w:eastAsia="Times New Roman"/>
        </w:rPr>
        <w:t>Misurski</w:t>
      </w:r>
      <w:proofErr w:type="spellEnd"/>
      <w:r>
        <w:rPr>
          <w:rFonts w:eastAsia="Times New Roman"/>
        </w:rPr>
        <w:t xml:space="preserve"> D, Miller J, </w:t>
      </w:r>
      <w:proofErr w:type="spellStart"/>
      <w:r>
        <w:rPr>
          <w:rFonts w:eastAsia="Times New Roman"/>
        </w:rPr>
        <w:t>Karve</w:t>
      </w:r>
      <w:proofErr w:type="spellEnd"/>
      <w:r>
        <w:rPr>
          <w:rFonts w:eastAsia="Times New Roman"/>
        </w:rPr>
        <w:t xml:space="preserve"> S. Cost impact of complications in meningococcal disease: evidence from a United States managed care population. </w:t>
      </w:r>
      <w:r w:rsidRPr="00645F52">
        <w:rPr>
          <w:rStyle w:val="Emphasis"/>
          <w:rFonts w:eastAsia="Times New Roman"/>
          <w:b w:val="0"/>
        </w:rPr>
        <w:t>Human vaccines</w:t>
      </w:r>
      <w:r>
        <w:rPr>
          <w:rFonts w:eastAsia="Times New Roman"/>
        </w:rPr>
        <w:t xml:space="preserve"> 2011;7(4):458-465. </w:t>
      </w:r>
    </w:p>
    <w:p w14:paraId="0CA929BF" w14:textId="77777777" w:rsidR="001F7DC0" w:rsidRDefault="001F7DC0" w:rsidP="001F7DC0">
      <w:pPr>
        <w:numPr>
          <w:ilvl w:val="0"/>
          <w:numId w:val="7"/>
        </w:numPr>
        <w:spacing w:before="100" w:beforeAutospacing="1" w:after="100" w:afterAutospacing="1" w:line="240" w:lineRule="auto"/>
        <w:rPr>
          <w:rFonts w:eastAsia="Times New Roman"/>
        </w:rPr>
      </w:pPr>
      <w:r>
        <w:rPr>
          <w:rFonts w:eastAsia="Times New Roman"/>
        </w:rPr>
        <w:t xml:space="preserve">Wang B, Clarke M, Thomas N, Howell S, </w:t>
      </w:r>
      <w:proofErr w:type="spellStart"/>
      <w:r>
        <w:rPr>
          <w:rFonts w:eastAsia="Times New Roman"/>
        </w:rPr>
        <w:t>Afzali</w:t>
      </w:r>
      <w:proofErr w:type="spellEnd"/>
      <w:r>
        <w:rPr>
          <w:rFonts w:eastAsia="Times New Roman"/>
        </w:rPr>
        <w:t xml:space="preserve"> HH, Marshall H. The clinical burden and predictors of sequelae following invasive meningococcal disease in Australian children. </w:t>
      </w:r>
      <w:r w:rsidRPr="00645F52">
        <w:rPr>
          <w:rStyle w:val="Emphasis"/>
          <w:rFonts w:eastAsia="Times New Roman"/>
          <w:b w:val="0"/>
        </w:rPr>
        <w:t>The Pediatric infectious disease journal</w:t>
      </w:r>
      <w:r>
        <w:rPr>
          <w:rFonts w:eastAsia="Times New Roman"/>
        </w:rPr>
        <w:t xml:space="preserve"> 2014;33(3):316-318. </w:t>
      </w:r>
    </w:p>
    <w:p w14:paraId="50B333F7" w14:textId="77777777" w:rsidR="001F7DC0" w:rsidRDefault="001F7DC0" w:rsidP="001F7DC0">
      <w:pPr>
        <w:numPr>
          <w:ilvl w:val="0"/>
          <w:numId w:val="7"/>
        </w:numPr>
        <w:spacing w:before="100" w:beforeAutospacing="1" w:after="100" w:afterAutospacing="1" w:line="240" w:lineRule="auto"/>
        <w:rPr>
          <w:rFonts w:eastAsia="Times New Roman"/>
        </w:rPr>
      </w:pPr>
      <w:r>
        <w:rPr>
          <w:rFonts w:eastAsia="Times New Roman"/>
        </w:rPr>
        <w:t xml:space="preserve">Hoge CW, Schwartz B, </w:t>
      </w:r>
      <w:proofErr w:type="spellStart"/>
      <w:r>
        <w:rPr>
          <w:rFonts w:eastAsia="Times New Roman"/>
        </w:rPr>
        <w:t>Talkington</w:t>
      </w:r>
      <w:proofErr w:type="spellEnd"/>
      <w:r>
        <w:rPr>
          <w:rFonts w:eastAsia="Times New Roman"/>
        </w:rPr>
        <w:t xml:space="preserve"> DF, </w:t>
      </w:r>
      <w:proofErr w:type="spellStart"/>
      <w:r>
        <w:rPr>
          <w:rFonts w:eastAsia="Times New Roman"/>
        </w:rPr>
        <w:t>Breiman</w:t>
      </w:r>
      <w:proofErr w:type="spellEnd"/>
      <w:r>
        <w:rPr>
          <w:rFonts w:eastAsia="Times New Roman"/>
        </w:rPr>
        <w:t xml:space="preserve"> RF, MacNeill EM, </w:t>
      </w:r>
      <w:proofErr w:type="spellStart"/>
      <w:r>
        <w:rPr>
          <w:rFonts w:eastAsia="Times New Roman"/>
        </w:rPr>
        <w:t>Englender</w:t>
      </w:r>
      <w:proofErr w:type="spellEnd"/>
      <w:r>
        <w:rPr>
          <w:rFonts w:eastAsia="Times New Roman"/>
        </w:rPr>
        <w:t xml:space="preserve"> SJ. The changing epidemiology of invasive group A streptococcal infections and the emergence of streptococcal toxic shock-like syndrome. A retrospective population-based study. </w:t>
      </w:r>
      <w:r w:rsidRPr="00645F52">
        <w:rPr>
          <w:rStyle w:val="Emphasis"/>
          <w:rFonts w:eastAsia="Times New Roman"/>
          <w:b w:val="0"/>
        </w:rPr>
        <w:t>Journal of the American Medical Association</w:t>
      </w:r>
      <w:r>
        <w:rPr>
          <w:rFonts w:eastAsia="Times New Roman"/>
        </w:rPr>
        <w:t xml:space="preserve"> 1993(269):384-389. </w:t>
      </w:r>
    </w:p>
    <w:p w14:paraId="05DD71B0" w14:textId="77777777" w:rsidR="001F7DC0" w:rsidRDefault="001F7DC0" w:rsidP="001F7DC0">
      <w:pPr>
        <w:numPr>
          <w:ilvl w:val="0"/>
          <w:numId w:val="7"/>
        </w:numPr>
        <w:spacing w:before="100" w:beforeAutospacing="1" w:after="100" w:afterAutospacing="1" w:line="240" w:lineRule="auto"/>
        <w:rPr>
          <w:rFonts w:eastAsia="Times New Roman"/>
        </w:rPr>
      </w:pPr>
      <w:r>
        <w:rPr>
          <w:rFonts w:eastAsia="Times New Roman"/>
        </w:rPr>
        <w:t xml:space="preserve">Steer AC, </w:t>
      </w:r>
      <w:proofErr w:type="spellStart"/>
      <w:r>
        <w:rPr>
          <w:rFonts w:eastAsia="Times New Roman"/>
        </w:rPr>
        <w:t>Danchin</w:t>
      </w:r>
      <w:proofErr w:type="spellEnd"/>
      <w:r>
        <w:rPr>
          <w:rFonts w:eastAsia="Times New Roman"/>
        </w:rPr>
        <w:t xml:space="preserve"> MH, </w:t>
      </w:r>
      <w:proofErr w:type="spellStart"/>
      <w:r>
        <w:rPr>
          <w:rFonts w:eastAsia="Times New Roman"/>
        </w:rPr>
        <w:t>Carapetis</w:t>
      </w:r>
      <w:proofErr w:type="spellEnd"/>
      <w:r>
        <w:rPr>
          <w:rFonts w:eastAsia="Times New Roman"/>
        </w:rPr>
        <w:t xml:space="preserve"> JR. Group A streptococcal infections in children. Journal of Paediatrics and Child Health. 2007(43):203-213. </w:t>
      </w:r>
    </w:p>
    <w:p w14:paraId="1B5F1015" w14:textId="77777777" w:rsidR="001F7DC0" w:rsidRDefault="001F7DC0" w:rsidP="001F7DC0">
      <w:pPr>
        <w:numPr>
          <w:ilvl w:val="0"/>
          <w:numId w:val="7"/>
        </w:numPr>
        <w:spacing w:before="100" w:beforeAutospacing="1" w:after="100" w:afterAutospacing="1" w:line="240" w:lineRule="auto"/>
        <w:rPr>
          <w:rFonts w:eastAsia="Times New Roman"/>
        </w:rPr>
      </w:pPr>
      <w:r>
        <w:rPr>
          <w:rFonts w:eastAsia="Times New Roman"/>
        </w:rPr>
        <w:t xml:space="preserve">Australian Bureau of Statistics (ABS). Population by age and sex, regions of Australia, 2016. (Cat. No. 3235.0). . Canberra: ABS, 2017. </w:t>
      </w:r>
    </w:p>
    <w:p w14:paraId="28F8B060" w14:textId="77777777" w:rsidR="001F7DC0" w:rsidRDefault="001F7DC0" w:rsidP="001F7DC0">
      <w:pPr>
        <w:numPr>
          <w:ilvl w:val="0"/>
          <w:numId w:val="7"/>
        </w:numPr>
        <w:spacing w:before="100" w:beforeAutospacing="1" w:after="100" w:afterAutospacing="1" w:line="240" w:lineRule="auto"/>
        <w:rPr>
          <w:rFonts w:eastAsia="Times New Roman"/>
        </w:rPr>
      </w:pPr>
      <w:r>
        <w:rPr>
          <w:rFonts w:eastAsia="Times New Roman"/>
        </w:rPr>
        <w:t xml:space="preserve">Desai S, Smith T, Thorley BR, Grenier D, Dickson N, </w:t>
      </w:r>
      <w:proofErr w:type="spellStart"/>
      <w:r>
        <w:rPr>
          <w:rFonts w:eastAsia="Times New Roman"/>
        </w:rPr>
        <w:t>Altpeter</w:t>
      </w:r>
      <w:proofErr w:type="spellEnd"/>
      <w:r>
        <w:rPr>
          <w:rFonts w:eastAsia="Times New Roman"/>
        </w:rPr>
        <w:t xml:space="preserve"> E, et al. Performance of acute flaccid paralysis surveillance compared with World Health Organization standards. </w:t>
      </w:r>
      <w:r w:rsidRPr="00645F52">
        <w:rPr>
          <w:rStyle w:val="Emphasis"/>
          <w:rFonts w:eastAsia="Times New Roman"/>
          <w:b w:val="0"/>
        </w:rPr>
        <w:t>Journal of Paediatrics and Child Health</w:t>
      </w:r>
      <w:r>
        <w:rPr>
          <w:rFonts w:eastAsia="Times New Roman"/>
        </w:rPr>
        <w:t xml:space="preserve"> 2015;51(2):209-214. </w:t>
      </w:r>
    </w:p>
    <w:p w14:paraId="679315EF" w14:textId="77777777" w:rsidR="001F7DC0" w:rsidRDefault="001F7DC0" w:rsidP="001F7DC0">
      <w:pPr>
        <w:numPr>
          <w:ilvl w:val="0"/>
          <w:numId w:val="7"/>
        </w:numPr>
        <w:spacing w:before="100" w:beforeAutospacing="1" w:after="100" w:afterAutospacing="1" w:line="240" w:lineRule="auto"/>
        <w:rPr>
          <w:rFonts w:eastAsia="Times New Roman"/>
        </w:rPr>
      </w:pPr>
      <w:r>
        <w:rPr>
          <w:rFonts w:eastAsia="Times New Roman"/>
        </w:rPr>
        <w:t xml:space="preserve">Britton P, Dale R, Blyth C, Clark J, Crawford N, Marshall HS, et al. The Causes and Clinical Features of Childhood Encephalitis in Australia: A Multicentre, Prospective, Cohort Study. </w:t>
      </w:r>
      <w:r w:rsidRPr="00645F52">
        <w:rPr>
          <w:rStyle w:val="Emphasis"/>
          <w:rFonts w:eastAsia="Times New Roman"/>
          <w:b w:val="0"/>
        </w:rPr>
        <w:t xml:space="preserve">Open Forum Infectious Diseases, </w:t>
      </w:r>
      <w:r>
        <w:rPr>
          <w:rFonts w:eastAsia="Times New Roman"/>
        </w:rPr>
        <w:t xml:space="preserve">2016;3(Suppl_1,1). </w:t>
      </w:r>
    </w:p>
    <w:p w14:paraId="10BD6178" w14:textId="77777777" w:rsidR="001F7DC0" w:rsidRDefault="001F7DC0" w:rsidP="001F7DC0">
      <w:pPr>
        <w:numPr>
          <w:ilvl w:val="0"/>
          <w:numId w:val="7"/>
        </w:numPr>
        <w:spacing w:before="100" w:beforeAutospacing="1" w:after="100" w:afterAutospacing="1" w:line="240" w:lineRule="auto"/>
        <w:rPr>
          <w:rFonts w:eastAsia="Times New Roman"/>
        </w:rPr>
      </w:pPr>
      <w:r>
        <w:rPr>
          <w:rFonts w:eastAsia="Times New Roman"/>
        </w:rPr>
        <w:t xml:space="preserve">Britton P, Dale R, Clarke J, Crawford N, Marshall H, Elliott E, et al. Emerging epidemic viruses are an important cause of encephalitis in infants and children: findings from Australian cohort (ACE) study (2013-2016). Presented at: European Congress of Clinical Microbiology and Infectious Diseases (ECCMID). </w:t>
      </w:r>
    </w:p>
    <w:p w14:paraId="4C5104CC" w14:textId="77777777" w:rsidR="001F7DC0" w:rsidRDefault="001F7DC0" w:rsidP="001F7DC0">
      <w:pPr>
        <w:numPr>
          <w:ilvl w:val="0"/>
          <w:numId w:val="7"/>
        </w:numPr>
        <w:spacing w:before="100" w:beforeAutospacing="1" w:after="100" w:afterAutospacing="1" w:line="240" w:lineRule="auto"/>
        <w:rPr>
          <w:rFonts w:eastAsia="Times New Roman"/>
        </w:rPr>
      </w:pPr>
      <w:r>
        <w:rPr>
          <w:rFonts w:eastAsia="Times New Roman"/>
        </w:rPr>
        <w:t xml:space="preserve">Britton PN, Blyth CC, Macartney K, Dale RC, Li-Kim-Moy J, Khandaker G, et al. The Spectrum and Burden of Influenza-Associated Neurological Disease in Children: Combined Encephalitis and Influenza Sentinel Site Surveillance </w:t>
      </w:r>
      <w:proofErr w:type="gramStart"/>
      <w:r>
        <w:rPr>
          <w:rFonts w:eastAsia="Times New Roman"/>
        </w:rPr>
        <w:t>From</w:t>
      </w:r>
      <w:proofErr w:type="gramEnd"/>
      <w:r>
        <w:rPr>
          <w:rFonts w:eastAsia="Times New Roman"/>
        </w:rPr>
        <w:t xml:space="preserve"> Australia, 2013-2015. </w:t>
      </w:r>
      <w:r w:rsidRPr="00645F52">
        <w:rPr>
          <w:rStyle w:val="Emphasis"/>
          <w:rFonts w:eastAsia="Times New Roman"/>
          <w:b w:val="0"/>
        </w:rPr>
        <w:t>Clin Infect Dis</w:t>
      </w:r>
      <w:r>
        <w:rPr>
          <w:rFonts w:eastAsia="Times New Roman"/>
        </w:rPr>
        <w:t xml:space="preserve"> 2017;65(4):653-660. </w:t>
      </w:r>
    </w:p>
    <w:p w14:paraId="5B31D588" w14:textId="77777777" w:rsidR="001F7DC0" w:rsidRDefault="001F7DC0" w:rsidP="001F7DC0">
      <w:pPr>
        <w:numPr>
          <w:ilvl w:val="0"/>
          <w:numId w:val="7"/>
        </w:numPr>
        <w:spacing w:before="100" w:beforeAutospacing="1" w:after="100" w:afterAutospacing="1" w:line="240" w:lineRule="auto"/>
        <w:rPr>
          <w:rFonts w:eastAsia="Times New Roman"/>
        </w:rPr>
      </w:pPr>
      <w:r>
        <w:rPr>
          <w:rFonts w:eastAsia="Times New Roman"/>
        </w:rPr>
        <w:t xml:space="preserve">Britton PN, Dale RC, Blyth CC, Macartney K, Crawford NW, Marshall H, et al. Influenza-associated Encephalitis/Encephalopathy Identified by the Australian Childhood Encephalitis Study 2013-2015. </w:t>
      </w:r>
      <w:r w:rsidRPr="00645F52">
        <w:rPr>
          <w:rStyle w:val="Emphasis"/>
          <w:rFonts w:eastAsia="Times New Roman"/>
          <w:b w:val="0"/>
        </w:rPr>
        <w:t>The Pediatric infectious disease journal</w:t>
      </w:r>
      <w:r>
        <w:rPr>
          <w:rFonts w:eastAsia="Times New Roman"/>
        </w:rPr>
        <w:t xml:space="preserve"> 2017;36(11):1021-1026. </w:t>
      </w:r>
    </w:p>
    <w:p w14:paraId="21D9B0ED" w14:textId="77777777" w:rsidR="001F7DC0" w:rsidRDefault="001F7DC0" w:rsidP="001F7DC0">
      <w:pPr>
        <w:numPr>
          <w:ilvl w:val="0"/>
          <w:numId w:val="7"/>
        </w:numPr>
        <w:spacing w:before="100" w:beforeAutospacing="1" w:after="100" w:afterAutospacing="1" w:line="240" w:lineRule="auto"/>
        <w:rPr>
          <w:rFonts w:eastAsia="Times New Roman"/>
        </w:rPr>
      </w:pPr>
      <w:r>
        <w:rPr>
          <w:rFonts w:eastAsia="Times New Roman"/>
        </w:rPr>
        <w:t xml:space="preserve">Blyth CC, Macartney KK, </w:t>
      </w:r>
      <w:proofErr w:type="spellStart"/>
      <w:r>
        <w:rPr>
          <w:rFonts w:eastAsia="Times New Roman"/>
        </w:rPr>
        <w:t>Hewagama</w:t>
      </w:r>
      <w:proofErr w:type="spellEnd"/>
      <w:r>
        <w:rPr>
          <w:rFonts w:eastAsia="Times New Roman"/>
        </w:rPr>
        <w:t xml:space="preserve"> S, Senanayake S, Friedman ND, Simpson G, et al. Influenza epidemiology, vaccine coverage and vaccine effectiveness in children admitted to sentinel Australian hospitals in 2014: the Influenza Complications Alert Network (FluCAN). </w:t>
      </w:r>
      <w:r w:rsidRPr="00645F52">
        <w:rPr>
          <w:rStyle w:val="Emphasis"/>
          <w:rFonts w:eastAsia="Times New Roman"/>
          <w:b w:val="0"/>
        </w:rPr>
        <w:t>Eurosurveillance</w:t>
      </w:r>
      <w:r>
        <w:rPr>
          <w:rFonts w:eastAsia="Times New Roman"/>
        </w:rPr>
        <w:t xml:space="preserve"> In press. </w:t>
      </w:r>
    </w:p>
    <w:p w14:paraId="37654ADE" w14:textId="77777777" w:rsidR="001F7DC0" w:rsidRDefault="001F7DC0" w:rsidP="001F7DC0">
      <w:pPr>
        <w:numPr>
          <w:ilvl w:val="0"/>
          <w:numId w:val="7"/>
        </w:numPr>
        <w:spacing w:before="100" w:beforeAutospacing="1" w:after="100" w:afterAutospacing="1" w:line="240" w:lineRule="auto"/>
        <w:rPr>
          <w:rFonts w:eastAsia="Times New Roman"/>
        </w:rPr>
      </w:pPr>
      <w:r>
        <w:rPr>
          <w:rFonts w:eastAsia="Times New Roman"/>
        </w:rPr>
        <w:t xml:space="preserve">Australian Government Department of Health. Australian influenza surveillance report 2015;10(Reporting Period 25 September to 9 October 2015). </w:t>
      </w:r>
    </w:p>
    <w:p w14:paraId="43F5E729" w14:textId="77777777" w:rsidR="001F7DC0" w:rsidRDefault="001F7DC0" w:rsidP="001F7DC0">
      <w:pPr>
        <w:numPr>
          <w:ilvl w:val="0"/>
          <w:numId w:val="7"/>
        </w:numPr>
        <w:spacing w:before="100" w:beforeAutospacing="1" w:after="100" w:afterAutospacing="1" w:line="240" w:lineRule="auto"/>
        <w:rPr>
          <w:rFonts w:eastAsia="Times New Roman"/>
        </w:rPr>
      </w:pPr>
      <w:r>
        <w:rPr>
          <w:rFonts w:eastAsia="Times New Roman"/>
        </w:rPr>
        <w:t xml:space="preserve">Australian Technical Advisory Group on Immunisation. ATAGI Bulletin 58th Meeting 15 and 16 October 2015. In: Department of Health: Immunisation Branch, editor. Canberra. </w:t>
      </w:r>
    </w:p>
    <w:p w14:paraId="4BB1F8CB" w14:textId="77777777" w:rsidR="001F7DC0" w:rsidRDefault="001F7DC0" w:rsidP="001F7DC0">
      <w:pPr>
        <w:numPr>
          <w:ilvl w:val="0"/>
          <w:numId w:val="7"/>
        </w:numPr>
        <w:spacing w:before="100" w:beforeAutospacing="1" w:after="100" w:afterAutospacing="1" w:line="240" w:lineRule="auto"/>
        <w:rPr>
          <w:rFonts w:eastAsia="Times New Roman"/>
        </w:rPr>
      </w:pPr>
      <w:r>
        <w:rPr>
          <w:rFonts w:eastAsia="Times New Roman"/>
        </w:rPr>
        <w:t xml:space="preserve">Blyth C. on behalf of the PAEDS and FluCAN Networks. Influenza. Paediatric Active Enhanced Disease Surveillance (PAEDS): 10 Year Anniversary Showcase: ; 2017; Melbourne. </w:t>
      </w:r>
    </w:p>
    <w:p w14:paraId="05A268FA" w14:textId="77777777" w:rsidR="001F7DC0" w:rsidRDefault="001F7DC0" w:rsidP="001F7DC0">
      <w:pPr>
        <w:numPr>
          <w:ilvl w:val="0"/>
          <w:numId w:val="7"/>
        </w:numPr>
        <w:spacing w:before="100" w:beforeAutospacing="1" w:after="100" w:afterAutospacing="1" w:line="240" w:lineRule="auto"/>
        <w:rPr>
          <w:rFonts w:eastAsia="Times New Roman"/>
        </w:rPr>
      </w:pPr>
      <w:r>
        <w:rPr>
          <w:rFonts w:eastAsia="Times New Roman"/>
        </w:rPr>
        <w:lastRenderedPageBreak/>
        <w:t xml:space="preserve">Buttery JP, </w:t>
      </w:r>
      <w:proofErr w:type="spellStart"/>
      <w:r>
        <w:rPr>
          <w:rFonts w:eastAsia="Times New Roman"/>
        </w:rPr>
        <w:t>Danchin</w:t>
      </w:r>
      <w:proofErr w:type="spellEnd"/>
      <w:r>
        <w:rPr>
          <w:rFonts w:eastAsia="Times New Roman"/>
        </w:rPr>
        <w:t xml:space="preserve"> MH, Lee KJ, Carlin JB, McIntyre PB, Elliott EJ, et al. Intussusception following rotavirus vaccine administration: post-marketing surveillance in the National Immunization Program in Australia. </w:t>
      </w:r>
      <w:r w:rsidRPr="00645F52">
        <w:rPr>
          <w:rStyle w:val="Emphasis"/>
          <w:rFonts w:eastAsia="Times New Roman"/>
          <w:b w:val="0"/>
        </w:rPr>
        <w:t>Vaccine</w:t>
      </w:r>
      <w:r>
        <w:rPr>
          <w:rFonts w:eastAsia="Times New Roman"/>
        </w:rPr>
        <w:t xml:space="preserve"> 2011;29(16):3061-3066. </w:t>
      </w:r>
    </w:p>
    <w:p w14:paraId="42A20182" w14:textId="77777777" w:rsidR="001F7DC0" w:rsidRDefault="001F7DC0" w:rsidP="001F7DC0">
      <w:pPr>
        <w:numPr>
          <w:ilvl w:val="0"/>
          <w:numId w:val="7"/>
        </w:numPr>
        <w:spacing w:before="100" w:beforeAutospacing="1" w:after="100" w:afterAutospacing="1" w:line="240" w:lineRule="auto"/>
        <w:rPr>
          <w:rFonts w:eastAsia="Times New Roman"/>
        </w:rPr>
      </w:pPr>
      <w:r>
        <w:rPr>
          <w:rFonts w:eastAsia="Times New Roman"/>
        </w:rPr>
        <w:t xml:space="preserve">NNDSS Annual Report Working Group. Australia’s notifiable disease status, 2014: Annual report of the National Notifiable Diseases Surveillance System. </w:t>
      </w:r>
      <w:r w:rsidRPr="00645F52">
        <w:rPr>
          <w:rStyle w:val="Emphasis"/>
          <w:rFonts w:eastAsia="Times New Roman"/>
          <w:b w:val="0"/>
        </w:rPr>
        <w:t>Commun Dis Intell</w:t>
      </w:r>
      <w:r>
        <w:rPr>
          <w:rFonts w:eastAsia="Times New Roman"/>
        </w:rPr>
        <w:t xml:space="preserve"> 2016;40(1):E48-E145. </w:t>
      </w:r>
    </w:p>
    <w:p w14:paraId="5C20A507" w14:textId="77777777" w:rsidR="001F7DC0" w:rsidRDefault="001F7DC0" w:rsidP="001F7DC0">
      <w:pPr>
        <w:numPr>
          <w:ilvl w:val="0"/>
          <w:numId w:val="7"/>
        </w:numPr>
        <w:spacing w:before="100" w:beforeAutospacing="1" w:after="100" w:afterAutospacing="1" w:line="240" w:lineRule="auto"/>
        <w:rPr>
          <w:rFonts w:eastAsia="Times New Roman"/>
        </w:rPr>
      </w:pPr>
      <w:r>
        <w:rPr>
          <w:rFonts w:eastAsia="Times New Roman"/>
        </w:rPr>
        <w:t xml:space="preserve">Australian Technical Advisory Group on Immunisation (ATAGI). The Australian immunisation handbook. 10th. Canberra: Australian Government Department of Health and Ageing; 2013. </w:t>
      </w:r>
    </w:p>
    <w:p w14:paraId="6B67DE59" w14:textId="77777777" w:rsidR="001F7DC0" w:rsidRDefault="001F7DC0" w:rsidP="001F7DC0">
      <w:pPr>
        <w:numPr>
          <w:ilvl w:val="0"/>
          <w:numId w:val="7"/>
        </w:numPr>
        <w:spacing w:before="100" w:beforeAutospacing="1" w:after="100" w:afterAutospacing="1" w:line="240" w:lineRule="auto"/>
        <w:rPr>
          <w:rFonts w:eastAsia="Times New Roman"/>
        </w:rPr>
      </w:pPr>
      <w:r>
        <w:rPr>
          <w:rFonts w:eastAsia="Times New Roman"/>
        </w:rPr>
        <w:t xml:space="preserve">Amirthalingam G, Andrews N, Campbell H, Ribeiro S, Kara E, Donegan K, et al. Effectiveness of maternal pertussis vaccination in England: an observational study. </w:t>
      </w:r>
      <w:r w:rsidRPr="00645F52">
        <w:rPr>
          <w:rStyle w:val="Emphasis"/>
          <w:rFonts w:eastAsia="Times New Roman"/>
          <w:b w:val="0"/>
        </w:rPr>
        <w:t>Lancet</w:t>
      </w:r>
      <w:r>
        <w:rPr>
          <w:rFonts w:eastAsia="Times New Roman"/>
        </w:rPr>
        <w:t xml:space="preserve"> 2014;384(9953):1521-1528. </w:t>
      </w:r>
    </w:p>
    <w:p w14:paraId="0AC9F040" w14:textId="77777777" w:rsidR="001F7DC0" w:rsidRDefault="001F7DC0" w:rsidP="001F7DC0">
      <w:pPr>
        <w:numPr>
          <w:ilvl w:val="0"/>
          <w:numId w:val="7"/>
        </w:numPr>
        <w:spacing w:before="100" w:beforeAutospacing="1" w:after="100" w:afterAutospacing="1" w:line="240" w:lineRule="auto"/>
        <w:rPr>
          <w:rFonts w:eastAsia="Times New Roman"/>
        </w:rPr>
      </w:pPr>
      <w:r>
        <w:rPr>
          <w:rFonts w:eastAsia="Times New Roman"/>
        </w:rPr>
        <w:t xml:space="preserve">Quinn HE, Snelling TL, </w:t>
      </w:r>
      <w:proofErr w:type="spellStart"/>
      <w:r>
        <w:rPr>
          <w:rFonts w:eastAsia="Times New Roman"/>
        </w:rPr>
        <w:t>Habig</w:t>
      </w:r>
      <w:proofErr w:type="spellEnd"/>
      <w:r>
        <w:rPr>
          <w:rFonts w:eastAsia="Times New Roman"/>
        </w:rPr>
        <w:t xml:space="preserve"> A, Chiu C, Spokes PJ, McIntyre PB. Parental Tdap boosters and infant pertussis: a case-control study. </w:t>
      </w:r>
      <w:proofErr w:type="spellStart"/>
      <w:r w:rsidRPr="00645F52">
        <w:rPr>
          <w:rStyle w:val="Emphasis"/>
          <w:rFonts w:eastAsia="Times New Roman"/>
          <w:b w:val="0"/>
        </w:rPr>
        <w:t>Pediatrics</w:t>
      </w:r>
      <w:proofErr w:type="spellEnd"/>
      <w:r>
        <w:rPr>
          <w:rFonts w:eastAsia="Times New Roman"/>
        </w:rPr>
        <w:t xml:space="preserve"> 2014;134(4):713-720. </w:t>
      </w:r>
    </w:p>
    <w:p w14:paraId="00127ABB" w14:textId="77777777" w:rsidR="001F7DC0" w:rsidRDefault="001F7DC0" w:rsidP="001F7DC0">
      <w:pPr>
        <w:numPr>
          <w:ilvl w:val="0"/>
          <w:numId w:val="7"/>
        </w:numPr>
        <w:spacing w:before="100" w:beforeAutospacing="1" w:after="100" w:afterAutospacing="1" w:line="240" w:lineRule="auto"/>
        <w:rPr>
          <w:rFonts w:eastAsia="Times New Roman"/>
        </w:rPr>
      </w:pPr>
      <w:r>
        <w:rPr>
          <w:rFonts w:eastAsia="Times New Roman"/>
        </w:rPr>
        <w:t xml:space="preserve">Quinn H, Gidding H, Marshall H, </w:t>
      </w:r>
      <w:proofErr w:type="spellStart"/>
      <w:r>
        <w:rPr>
          <w:rFonts w:eastAsia="Times New Roman"/>
        </w:rPr>
        <w:t>Booy</w:t>
      </w:r>
      <w:proofErr w:type="spellEnd"/>
      <w:r>
        <w:rPr>
          <w:rFonts w:eastAsia="Times New Roman"/>
        </w:rPr>
        <w:t xml:space="preserve"> R, Elliott E, Richmond P, et al. Varicella vaccine effectiveness over 10 years in Australia. </w:t>
      </w:r>
      <w:r w:rsidRPr="00645F52">
        <w:rPr>
          <w:rStyle w:val="Emphasis"/>
          <w:rFonts w:eastAsia="Times New Roman"/>
          <w:b w:val="0"/>
        </w:rPr>
        <w:t>(Paper in progress: Planned submission to Journal of infection 2018)</w:t>
      </w:r>
      <w:r>
        <w:rPr>
          <w:rFonts w:eastAsia="Times New Roman"/>
        </w:rPr>
        <w:t xml:space="preserve">. </w:t>
      </w:r>
    </w:p>
    <w:p w14:paraId="5FFB033E" w14:textId="77777777" w:rsidR="001F7DC0" w:rsidRDefault="001F7DC0" w:rsidP="001F7DC0">
      <w:pPr>
        <w:numPr>
          <w:ilvl w:val="0"/>
          <w:numId w:val="7"/>
        </w:numPr>
        <w:spacing w:before="100" w:beforeAutospacing="1" w:after="100" w:afterAutospacing="1" w:line="240" w:lineRule="auto"/>
        <w:rPr>
          <w:rFonts w:eastAsia="Times New Roman"/>
        </w:rPr>
      </w:pPr>
      <w:r>
        <w:rPr>
          <w:rFonts w:eastAsia="Times New Roman"/>
        </w:rPr>
        <w:t xml:space="preserve">Ching NS, Crawford N, McMinn A, Baker C, Azzopardi K, Brownlee K, et al. Prospective surveillance of paediatric invasive group A streptococcal infection. </w:t>
      </w:r>
      <w:r w:rsidRPr="00645F52">
        <w:rPr>
          <w:rStyle w:val="Emphasis"/>
          <w:rFonts w:eastAsia="Times New Roman"/>
          <w:b w:val="0"/>
        </w:rPr>
        <w:t>Journal of the Pediatric Infectious Diseases Society</w:t>
      </w:r>
      <w:r>
        <w:rPr>
          <w:rFonts w:eastAsia="Times New Roman"/>
        </w:rPr>
        <w:t xml:space="preserve"> </w:t>
      </w:r>
      <w:proofErr w:type="gramStart"/>
      <w:r>
        <w:rPr>
          <w:rFonts w:eastAsia="Times New Roman"/>
        </w:rPr>
        <w:t>In</w:t>
      </w:r>
      <w:proofErr w:type="gramEnd"/>
      <w:r>
        <w:rPr>
          <w:rFonts w:eastAsia="Times New Roman"/>
        </w:rPr>
        <w:t xml:space="preserve"> Press.</w:t>
      </w:r>
    </w:p>
    <w:p w14:paraId="6F2D4CF8" w14:textId="77777777" w:rsidR="002201A3" w:rsidRDefault="002201A3">
      <w:pPr>
        <w:rPr>
          <w:rFonts w:eastAsia="Times New Roman"/>
          <w:b/>
        </w:rPr>
      </w:pPr>
      <w:r>
        <w:rPr>
          <w:rFonts w:eastAsia="Times New Roman"/>
        </w:rPr>
        <w:br w:type="page"/>
      </w:r>
    </w:p>
    <w:p w14:paraId="3BB83AEA" w14:textId="568CB5F5" w:rsidR="001F7DC0" w:rsidRDefault="001F7DC0" w:rsidP="00DA4CD1">
      <w:pPr>
        <w:pStyle w:val="CDIFigures"/>
        <w:divId w:val="54862897"/>
        <w:rPr>
          <w:rFonts w:eastAsia="Times New Roman"/>
        </w:rPr>
      </w:pPr>
      <w:r>
        <w:rPr>
          <w:rFonts w:eastAsia="Times New Roman"/>
        </w:rPr>
        <w:lastRenderedPageBreak/>
        <w:t xml:space="preserve">Table 4. Table of Acronyms </w:t>
      </w:r>
    </w:p>
    <w:tbl>
      <w:tblPr>
        <w:tblStyle w:val="CDI-StandardTable"/>
        <w:tblW w:w="0" w:type="auto"/>
        <w:tblCellMar>
          <w:top w:w="57" w:type="dxa"/>
          <w:left w:w="57" w:type="dxa"/>
          <w:bottom w:w="57" w:type="dxa"/>
          <w:right w:w="57" w:type="dxa"/>
        </w:tblCellMar>
        <w:tblLook w:val="04A0" w:firstRow="1" w:lastRow="0" w:firstColumn="1" w:lastColumn="0" w:noHBand="0" w:noVBand="1"/>
        <w:tblCaption w:val="Table 4. Table of Acronyms "/>
      </w:tblPr>
      <w:tblGrid>
        <w:gridCol w:w="788"/>
        <w:gridCol w:w="4520"/>
      </w:tblGrid>
      <w:tr w:rsidR="00DA4CD1" w:rsidRPr="00DA4CD1" w14:paraId="0B13734E" w14:textId="77777777" w:rsidTr="00DA4CD1">
        <w:trPr>
          <w:cnfStyle w:val="100000000000" w:firstRow="1" w:lastRow="0" w:firstColumn="0" w:lastColumn="0" w:oddVBand="0" w:evenVBand="0" w:oddHBand="0" w:evenHBand="0" w:firstRowFirstColumn="0" w:firstRowLastColumn="0" w:lastRowFirstColumn="0" w:lastRowLastColumn="0"/>
          <w:divId w:val="54862897"/>
          <w:tblHeader/>
        </w:trPr>
        <w:tc>
          <w:tcPr>
            <w:tcW w:w="0" w:type="auto"/>
            <w:hideMark/>
          </w:tcPr>
          <w:p w14:paraId="25B8FEDF" w14:textId="77777777" w:rsidR="001F7DC0" w:rsidRPr="00DA4CD1" w:rsidRDefault="001F7DC0">
            <w:pPr>
              <w:rPr>
                <w:rFonts w:eastAsia="Times New Roman"/>
                <w:color w:val="FFFFFF" w:themeColor="background1"/>
                <w:sz w:val="18"/>
                <w:szCs w:val="18"/>
              </w:rPr>
            </w:pPr>
            <w:r w:rsidRPr="00DA4CD1">
              <w:rPr>
                <w:rFonts w:eastAsia="Times New Roman"/>
                <w:color w:val="FFFFFF" w:themeColor="background1"/>
                <w:sz w:val="18"/>
                <w:szCs w:val="18"/>
              </w:rPr>
              <w:t xml:space="preserve">Acronym </w:t>
            </w:r>
          </w:p>
        </w:tc>
        <w:tc>
          <w:tcPr>
            <w:tcW w:w="0" w:type="auto"/>
            <w:hideMark/>
          </w:tcPr>
          <w:p w14:paraId="45167F03" w14:textId="77777777" w:rsidR="001F7DC0" w:rsidRPr="00DA4CD1" w:rsidRDefault="001F7DC0">
            <w:pPr>
              <w:rPr>
                <w:rFonts w:eastAsia="Times New Roman"/>
                <w:color w:val="FFFFFF" w:themeColor="background1"/>
                <w:sz w:val="18"/>
                <w:szCs w:val="18"/>
              </w:rPr>
            </w:pPr>
            <w:r w:rsidRPr="00DA4CD1">
              <w:rPr>
                <w:rFonts w:eastAsia="Times New Roman"/>
                <w:color w:val="FFFFFF" w:themeColor="background1"/>
                <w:sz w:val="18"/>
                <w:szCs w:val="18"/>
              </w:rPr>
              <w:t xml:space="preserve">Definition </w:t>
            </w:r>
          </w:p>
        </w:tc>
      </w:tr>
      <w:tr w:rsidR="001F7DC0" w:rsidRPr="00DA4CD1" w14:paraId="3A947460" w14:textId="77777777" w:rsidTr="00DA4CD1">
        <w:trPr>
          <w:divId w:val="54862897"/>
        </w:trPr>
        <w:tc>
          <w:tcPr>
            <w:tcW w:w="0" w:type="auto"/>
            <w:hideMark/>
          </w:tcPr>
          <w:p w14:paraId="043B2951" w14:textId="77777777" w:rsidR="001F7DC0" w:rsidRPr="00DA4CD1" w:rsidRDefault="001F7DC0">
            <w:pPr>
              <w:rPr>
                <w:rFonts w:eastAsia="Times New Roman"/>
                <w:sz w:val="18"/>
                <w:szCs w:val="18"/>
              </w:rPr>
            </w:pPr>
            <w:r w:rsidRPr="00DA4CD1">
              <w:rPr>
                <w:rStyle w:val="Strong2"/>
                <w:rFonts w:eastAsia="Times New Roman"/>
                <w:sz w:val="18"/>
                <w:szCs w:val="18"/>
              </w:rPr>
              <w:t>ACE</w:t>
            </w:r>
          </w:p>
        </w:tc>
        <w:tc>
          <w:tcPr>
            <w:tcW w:w="0" w:type="auto"/>
            <w:hideMark/>
          </w:tcPr>
          <w:p w14:paraId="6CACC1D2" w14:textId="77777777" w:rsidR="001F7DC0" w:rsidRPr="00DA4CD1" w:rsidRDefault="001F7DC0">
            <w:pPr>
              <w:rPr>
                <w:rFonts w:eastAsia="Times New Roman"/>
                <w:sz w:val="18"/>
                <w:szCs w:val="18"/>
              </w:rPr>
            </w:pPr>
            <w:r w:rsidRPr="00DA4CD1">
              <w:rPr>
                <w:rFonts w:eastAsia="Times New Roman"/>
                <w:sz w:val="18"/>
                <w:szCs w:val="18"/>
              </w:rPr>
              <w:t xml:space="preserve">Acute Childhood Encephalitis </w:t>
            </w:r>
          </w:p>
        </w:tc>
      </w:tr>
      <w:tr w:rsidR="001F7DC0" w:rsidRPr="00DA4CD1" w14:paraId="6B3C8754" w14:textId="77777777" w:rsidTr="00DA4CD1">
        <w:trPr>
          <w:cnfStyle w:val="000000010000" w:firstRow="0" w:lastRow="0" w:firstColumn="0" w:lastColumn="0" w:oddVBand="0" w:evenVBand="0" w:oddHBand="0" w:evenHBand="1" w:firstRowFirstColumn="0" w:firstRowLastColumn="0" w:lastRowFirstColumn="0" w:lastRowLastColumn="0"/>
          <w:divId w:val="54862897"/>
        </w:trPr>
        <w:tc>
          <w:tcPr>
            <w:tcW w:w="0" w:type="auto"/>
            <w:hideMark/>
          </w:tcPr>
          <w:p w14:paraId="6C414DAE" w14:textId="77777777" w:rsidR="001F7DC0" w:rsidRPr="00DA4CD1" w:rsidRDefault="001F7DC0">
            <w:pPr>
              <w:rPr>
                <w:rFonts w:eastAsia="Times New Roman"/>
                <w:sz w:val="18"/>
                <w:szCs w:val="18"/>
              </w:rPr>
            </w:pPr>
            <w:r w:rsidRPr="00DA4CD1">
              <w:rPr>
                <w:rStyle w:val="Strong2"/>
                <w:rFonts w:eastAsia="Times New Roman"/>
                <w:sz w:val="18"/>
                <w:szCs w:val="18"/>
              </w:rPr>
              <w:t>ACIR</w:t>
            </w:r>
          </w:p>
        </w:tc>
        <w:tc>
          <w:tcPr>
            <w:tcW w:w="0" w:type="auto"/>
            <w:hideMark/>
          </w:tcPr>
          <w:p w14:paraId="204DFF01" w14:textId="77777777" w:rsidR="001F7DC0" w:rsidRPr="00DA4CD1" w:rsidRDefault="001F7DC0">
            <w:pPr>
              <w:rPr>
                <w:rFonts w:eastAsia="Times New Roman"/>
                <w:sz w:val="18"/>
                <w:szCs w:val="18"/>
              </w:rPr>
            </w:pPr>
            <w:r w:rsidRPr="00DA4CD1">
              <w:rPr>
                <w:rFonts w:eastAsia="Times New Roman"/>
                <w:sz w:val="18"/>
                <w:szCs w:val="18"/>
              </w:rPr>
              <w:t xml:space="preserve">Australian Childhood Immunisation Register </w:t>
            </w:r>
          </w:p>
        </w:tc>
      </w:tr>
      <w:tr w:rsidR="001F7DC0" w:rsidRPr="00DA4CD1" w14:paraId="76DA3FED" w14:textId="77777777" w:rsidTr="00DA4CD1">
        <w:trPr>
          <w:divId w:val="54862897"/>
        </w:trPr>
        <w:tc>
          <w:tcPr>
            <w:tcW w:w="0" w:type="auto"/>
            <w:hideMark/>
          </w:tcPr>
          <w:p w14:paraId="0C2083AD" w14:textId="77777777" w:rsidR="001F7DC0" w:rsidRPr="00DA4CD1" w:rsidRDefault="001F7DC0">
            <w:pPr>
              <w:rPr>
                <w:rFonts w:eastAsia="Times New Roman"/>
                <w:sz w:val="18"/>
                <w:szCs w:val="18"/>
              </w:rPr>
            </w:pPr>
            <w:r w:rsidRPr="00DA4CD1">
              <w:rPr>
                <w:rStyle w:val="Strong2"/>
                <w:rFonts w:eastAsia="Times New Roman"/>
                <w:sz w:val="18"/>
                <w:szCs w:val="18"/>
              </w:rPr>
              <w:t>ADEM</w:t>
            </w:r>
          </w:p>
        </w:tc>
        <w:tc>
          <w:tcPr>
            <w:tcW w:w="0" w:type="auto"/>
            <w:hideMark/>
          </w:tcPr>
          <w:p w14:paraId="56683586" w14:textId="77777777" w:rsidR="001F7DC0" w:rsidRPr="00DA4CD1" w:rsidRDefault="001F7DC0">
            <w:pPr>
              <w:rPr>
                <w:rFonts w:eastAsia="Times New Roman"/>
                <w:sz w:val="18"/>
                <w:szCs w:val="18"/>
              </w:rPr>
            </w:pPr>
            <w:r w:rsidRPr="00DA4CD1">
              <w:rPr>
                <w:rFonts w:eastAsia="Times New Roman"/>
                <w:sz w:val="18"/>
                <w:szCs w:val="18"/>
              </w:rPr>
              <w:t xml:space="preserve">Acute Demyelinating Encephalomyelitis </w:t>
            </w:r>
          </w:p>
        </w:tc>
      </w:tr>
      <w:tr w:rsidR="001F7DC0" w:rsidRPr="00DA4CD1" w14:paraId="567A8D79" w14:textId="77777777" w:rsidTr="00DA4CD1">
        <w:trPr>
          <w:cnfStyle w:val="000000010000" w:firstRow="0" w:lastRow="0" w:firstColumn="0" w:lastColumn="0" w:oddVBand="0" w:evenVBand="0" w:oddHBand="0" w:evenHBand="1" w:firstRowFirstColumn="0" w:firstRowLastColumn="0" w:lastRowFirstColumn="0" w:lastRowLastColumn="0"/>
          <w:divId w:val="54862897"/>
        </w:trPr>
        <w:tc>
          <w:tcPr>
            <w:tcW w:w="0" w:type="auto"/>
            <w:hideMark/>
          </w:tcPr>
          <w:p w14:paraId="2DD356AB" w14:textId="77777777" w:rsidR="001F7DC0" w:rsidRPr="00DA4CD1" w:rsidRDefault="001F7DC0">
            <w:pPr>
              <w:rPr>
                <w:rFonts w:eastAsia="Times New Roman"/>
                <w:sz w:val="18"/>
                <w:szCs w:val="18"/>
              </w:rPr>
            </w:pPr>
            <w:r w:rsidRPr="00DA4CD1">
              <w:rPr>
                <w:rStyle w:val="Strong2"/>
                <w:rFonts w:eastAsia="Times New Roman"/>
                <w:sz w:val="18"/>
                <w:szCs w:val="18"/>
              </w:rPr>
              <w:t>AEFI</w:t>
            </w:r>
          </w:p>
        </w:tc>
        <w:tc>
          <w:tcPr>
            <w:tcW w:w="0" w:type="auto"/>
            <w:hideMark/>
          </w:tcPr>
          <w:p w14:paraId="1FB0A36F" w14:textId="77777777" w:rsidR="001F7DC0" w:rsidRPr="00DA4CD1" w:rsidRDefault="001F7DC0">
            <w:pPr>
              <w:rPr>
                <w:rFonts w:eastAsia="Times New Roman"/>
                <w:sz w:val="18"/>
                <w:szCs w:val="18"/>
              </w:rPr>
            </w:pPr>
            <w:r w:rsidRPr="00DA4CD1">
              <w:rPr>
                <w:rFonts w:eastAsia="Times New Roman"/>
                <w:sz w:val="18"/>
                <w:szCs w:val="18"/>
              </w:rPr>
              <w:t xml:space="preserve">Adverse events following immunisation </w:t>
            </w:r>
          </w:p>
        </w:tc>
      </w:tr>
      <w:tr w:rsidR="001F7DC0" w:rsidRPr="00DA4CD1" w14:paraId="0B37F56F" w14:textId="77777777" w:rsidTr="00DA4CD1">
        <w:trPr>
          <w:divId w:val="54862897"/>
        </w:trPr>
        <w:tc>
          <w:tcPr>
            <w:tcW w:w="0" w:type="auto"/>
            <w:hideMark/>
          </w:tcPr>
          <w:p w14:paraId="369244FB" w14:textId="77777777" w:rsidR="001F7DC0" w:rsidRPr="00DA4CD1" w:rsidRDefault="001F7DC0">
            <w:pPr>
              <w:rPr>
                <w:rFonts w:eastAsia="Times New Roman"/>
                <w:sz w:val="18"/>
                <w:szCs w:val="18"/>
              </w:rPr>
            </w:pPr>
            <w:r w:rsidRPr="00DA4CD1">
              <w:rPr>
                <w:rStyle w:val="Strong2"/>
                <w:rFonts w:eastAsia="Times New Roman"/>
                <w:sz w:val="18"/>
                <w:szCs w:val="18"/>
              </w:rPr>
              <w:t>AFP</w:t>
            </w:r>
          </w:p>
        </w:tc>
        <w:tc>
          <w:tcPr>
            <w:tcW w:w="0" w:type="auto"/>
            <w:hideMark/>
          </w:tcPr>
          <w:p w14:paraId="246D2BD9" w14:textId="77777777" w:rsidR="001F7DC0" w:rsidRPr="00DA4CD1" w:rsidRDefault="001F7DC0">
            <w:pPr>
              <w:rPr>
                <w:rFonts w:eastAsia="Times New Roman"/>
                <w:sz w:val="18"/>
                <w:szCs w:val="18"/>
              </w:rPr>
            </w:pPr>
            <w:r w:rsidRPr="00DA4CD1">
              <w:rPr>
                <w:rFonts w:eastAsia="Times New Roman"/>
                <w:sz w:val="18"/>
                <w:szCs w:val="18"/>
              </w:rPr>
              <w:t xml:space="preserve">Acute Flaccid Paralysis </w:t>
            </w:r>
          </w:p>
        </w:tc>
      </w:tr>
      <w:tr w:rsidR="001F7DC0" w:rsidRPr="00DA4CD1" w14:paraId="066D19BC" w14:textId="77777777" w:rsidTr="00DA4CD1">
        <w:trPr>
          <w:cnfStyle w:val="000000010000" w:firstRow="0" w:lastRow="0" w:firstColumn="0" w:lastColumn="0" w:oddVBand="0" w:evenVBand="0" w:oddHBand="0" w:evenHBand="1" w:firstRowFirstColumn="0" w:firstRowLastColumn="0" w:lastRowFirstColumn="0" w:lastRowLastColumn="0"/>
          <w:divId w:val="54862897"/>
        </w:trPr>
        <w:tc>
          <w:tcPr>
            <w:tcW w:w="0" w:type="auto"/>
            <w:hideMark/>
          </w:tcPr>
          <w:p w14:paraId="7CCF4F61" w14:textId="77777777" w:rsidR="001F7DC0" w:rsidRPr="00DA4CD1" w:rsidRDefault="001F7DC0">
            <w:pPr>
              <w:rPr>
                <w:rFonts w:eastAsia="Times New Roman"/>
                <w:sz w:val="18"/>
                <w:szCs w:val="18"/>
              </w:rPr>
            </w:pPr>
            <w:r w:rsidRPr="00DA4CD1">
              <w:rPr>
                <w:rStyle w:val="Strong2"/>
                <w:rFonts w:eastAsia="Times New Roman"/>
                <w:sz w:val="18"/>
                <w:szCs w:val="18"/>
              </w:rPr>
              <w:t>APSU</w:t>
            </w:r>
          </w:p>
        </w:tc>
        <w:tc>
          <w:tcPr>
            <w:tcW w:w="0" w:type="auto"/>
            <w:hideMark/>
          </w:tcPr>
          <w:p w14:paraId="382534F3" w14:textId="77777777" w:rsidR="001F7DC0" w:rsidRPr="00DA4CD1" w:rsidRDefault="001F7DC0">
            <w:pPr>
              <w:rPr>
                <w:rFonts w:eastAsia="Times New Roman"/>
                <w:sz w:val="18"/>
                <w:szCs w:val="18"/>
              </w:rPr>
            </w:pPr>
            <w:r w:rsidRPr="00DA4CD1">
              <w:rPr>
                <w:rFonts w:eastAsia="Times New Roman"/>
                <w:sz w:val="18"/>
                <w:szCs w:val="18"/>
              </w:rPr>
              <w:t xml:space="preserve">Australian Paediatric Surveillance Unit </w:t>
            </w:r>
          </w:p>
        </w:tc>
      </w:tr>
      <w:tr w:rsidR="001F7DC0" w:rsidRPr="00DA4CD1" w14:paraId="3D244D41" w14:textId="77777777" w:rsidTr="00DA4CD1">
        <w:trPr>
          <w:divId w:val="54862897"/>
        </w:trPr>
        <w:tc>
          <w:tcPr>
            <w:tcW w:w="0" w:type="auto"/>
            <w:hideMark/>
          </w:tcPr>
          <w:p w14:paraId="2280F167" w14:textId="77777777" w:rsidR="001F7DC0" w:rsidRPr="00DA4CD1" w:rsidRDefault="001F7DC0">
            <w:pPr>
              <w:rPr>
                <w:rFonts w:eastAsia="Times New Roman"/>
                <w:sz w:val="18"/>
                <w:szCs w:val="18"/>
              </w:rPr>
            </w:pPr>
            <w:r w:rsidRPr="00DA4CD1">
              <w:rPr>
                <w:rStyle w:val="Strong2"/>
                <w:rFonts w:eastAsia="Times New Roman"/>
                <w:sz w:val="18"/>
                <w:szCs w:val="18"/>
              </w:rPr>
              <w:t>ARI</w:t>
            </w:r>
          </w:p>
        </w:tc>
        <w:tc>
          <w:tcPr>
            <w:tcW w:w="0" w:type="auto"/>
            <w:hideMark/>
          </w:tcPr>
          <w:p w14:paraId="47B9C76C" w14:textId="77777777" w:rsidR="001F7DC0" w:rsidRPr="00DA4CD1" w:rsidRDefault="001F7DC0">
            <w:pPr>
              <w:rPr>
                <w:rFonts w:eastAsia="Times New Roman"/>
                <w:sz w:val="18"/>
                <w:szCs w:val="18"/>
              </w:rPr>
            </w:pPr>
            <w:r w:rsidRPr="00DA4CD1">
              <w:rPr>
                <w:rFonts w:eastAsia="Times New Roman"/>
                <w:sz w:val="18"/>
                <w:szCs w:val="18"/>
              </w:rPr>
              <w:t xml:space="preserve">Acute Respiratory Illness </w:t>
            </w:r>
          </w:p>
        </w:tc>
      </w:tr>
      <w:tr w:rsidR="001F7DC0" w:rsidRPr="00DA4CD1" w14:paraId="6D1A3584" w14:textId="77777777" w:rsidTr="00DA4CD1">
        <w:trPr>
          <w:cnfStyle w:val="000000010000" w:firstRow="0" w:lastRow="0" w:firstColumn="0" w:lastColumn="0" w:oddVBand="0" w:evenVBand="0" w:oddHBand="0" w:evenHBand="1" w:firstRowFirstColumn="0" w:firstRowLastColumn="0" w:lastRowFirstColumn="0" w:lastRowLastColumn="0"/>
          <w:divId w:val="54862897"/>
        </w:trPr>
        <w:tc>
          <w:tcPr>
            <w:tcW w:w="0" w:type="auto"/>
            <w:hideMark/>
          </w:tcPr>
          <w:p w14:paraId="34B49A58" w14:textId="77777777" w:rsidR="001F7DC0" w:rsidRPr="00DA4CD1" w:rsidRDefault="001F7DC0">
            <w:pPr>
              <w:rPr>
                <w:rFonts w:eastAsia="Times New Roman"/>
                <w:sz w:val="18"/>
                <w:szCs w:val="18"/>
              </w:rPr>
            </w:pPr>
            <w:r w:rsidRPr="00DA4CD1">
              <w:rPr>
                <w:rStyle w:val="Strong2"/>
                <w:rFonts w:eastAsia="Times New Roman"/>
                <w:sz w:val="18"/>
                <w:szCs w:val="18"/>
              </w:rPr>
              <w:t>CHW</w:t>
            </w:r>
          </w:p>
        </w:tc>
        <w:tc>
          <w:tcPr>
            <w:tcW w:w="0" w:type="auto"/>
            <w:hideMark/>
          </w:tcPr>
          <w:p w14:paraId="0F91F2BF" w14:textId="77777777" w:rsidR="001F7DC0" w:rsidRPr="00DA4CD1" w:rsidRDefault="001F7DC0">
            <w:pPr>
              <w:rPr>
                <w:rFonts w:eastAsia="Times New Roman"/>
                <w:sz w:val="18"/>
                <w:szCs w:val="18"/>
              </w:rPr>
            </w:pPr>
            <w:r w:rsidRPr="00DA4CD1">
              <w:rPr>
                <w:rFonts w:eastAsia="Times New Roman"/>
                <w:sz w:val="18"/>
                <w:szCs w:val="18"/>
              </w:rPr>
              <w:t xml:space="preserve">The Children’s Hospital at Westmead </w:t>
            </w:r>
          </w:p>
        </w:tc>
      </w:tr>
      <w:tr w:rsidR="001F7DC0" w:rsidRPr="00DA4CD1" w14:paraId="3A2D600C" w14:textId="77777777" w:rsidTr="00DA4CD1">
        <w:trPr>
          <w:divId w:val="54862897"/>
        </w:trPr>
        <w:tc>
          <w:tcPr>
            <w:tcW w:w="0" w:type="auto"/>
            <w:hideMark/>
          </w:tcPr>
          <w:p w14:paraId="218408A2" w14:textId="77777777" w:rsidR="001F7DC0" w:rsidRPr="00DA4CD1" w:rsidRDefault="001F7DC0">
            <w:pPr>
              <w:rPr>
                <w:rFonts w:eastAsia="Times New Roman"/>
                <w:sz w:val="18"/>
                <w:szCs w:val="18"/>
              </w:rPr>
            </w:pPr>
            <w:r w:rsidRPr="00DA4CD1">
              <w:rPr>
                <w:rStyle w:val="Strong2"/>
                <w:rFonts w:eastAsia="Times New Roman"/>
                <w:sz w:val="18"/>
                <w:szCs w:val="18"/>
              </w:rPr>
              <w:t>ED</w:t>
            </w:r>
          </w:p>
        </w:tc>
        <w:tc>
          <w:tcPr>
            <w:tcW w:w="0" w:type="auto"/>
            <w:hideMark/>
          </w:tcPr>
          <w:p w14:paraId="614BF61B" w14:textId="77777777" w:rsidR="001F7DC0" w:rsidRPr="00DA4CD1" w:rsidRDefault="001F7DC0">
            <w:pPr>
              <w:rPr>
                <w:rFonts w:eastAsia="Times New Roman"/>
                <w:sz w:val="18"/>
                <w:szCs w:val="18"/>
              </w:rPr>
            </w:pPr>
            <w:r w:rsidRPr="00DA4CD1">
              <w:rPr>
                <w:rFonts w:eastAsia="Times New Roman"/>
                <w:sz w:val="18"/>
                <w:szCs w:val="18"/>
              </w:rPr>
              <w:t xml:space="preserve">Emergency department </w:t>
            </w:r>
          </w:p>
        </w:tc>
      </w:tr>
      <w:tr w:rsidR="001F7DC0" w:rsidRPr="00DA4CD1" w14:paraId="41B5FAB1" w14:textId="77777777" w:rsidTr="00DA4CD1">
        <w:trPr>
          <w:cnfStyle w:val="000000010000" w:firstRow="0" w:lastRow="0" w:firstColumn="0" w:lastColumn="0" w:oddVBand="0" w:evenVBand="0" w:oddHBand="0" w:evenHBand="1" w:firstRowFirstColumn="0" w:firstRowLastColumn="0" w:lastRowFirstColumn="0" w:lastRowLastColumn="0"/>
          <w:divId w:val="54862897"/>
        </w:trPr>
        <w:tc>
          <w:tcPr>
            <w:tcW w:w="0" w:type="auto"/>
            <w:hideMark/>
          </w:tcPr>
          <w:p w14:paraId="79CA77F5" w14:textId="77777777" w:rsidR="001F7DC0" w:rsidRPr="00DA4CD1" w:rsidRDefault="001F7DC0">
            <w:pPr>
              <w:rPr>
                <w:rFonts w:eastAsia="Times New Roman"/>
                <w:sz w:val="18"/>
                <w:szCs w:val="18"/>
              </w:rPr>
            </w:pPr>
            <w:r w:rsidRPr="00DA4CD1">
              <w:rPr>
                <w:rStyle w:val="Strong2"/>
                <w:rFonts w:eastAsia="Times New Roman"/>
                <w:sz w:val="18"/>
                <w:szCs w:val="18"/>
              </w:rPr>
              <w:t>FluCAN</w:t>
            </w:r>
          </w:p>
        </w:tc>
        <w:tc>
          <w:tcPr>
            <w:tcW w:w="0" w:type="auto"/>
            <w:hideMark/>
          </w:tcPr>
          <w:p w14:paraId="6768FCC5" w14:textId="77777777" w:rsidR="001F7DC0" w:rsidRPr="00DA4CD1" w:rsidRDefault="001F7DC0">
            <w:pPr>
              <w:rPr>
                <w:rFonts w:eastAsia="Times New Roman"/>
                <w:sz w:val="18"/>
                <w:szCs w:val="18"/>
              </w:rPr>
            </w:pPr>
            <w:r w:rsidRPr="00DA4CD1">
              <w:rPr>
                <w:rFonts w:eastAsia="Times New Roman"/>
                <w:sz w:val="18"/>
                <w:szCs w:val="18"/>
              </w:rPr>
              <w:t xml:space="preserve">Influenza Complications Alert Network </w:t>
            </w:r>
          </w:p>
        </w:tc>
      </w:tr>
      <w:tr w:rsidR="001F7DC0" w:rsidRPr="00DA4CD1" w14:paraId="462BFE12" w14:textId="77777777" w:rsidTr="00DA4CD1">
        <w:trPr>
          <w:divId w:val="54862897"/>
        </w:trPr>
        <w:tc>
          <w:tcPr>
            <w:tcW w:w="0" w:type="auto"/>
            <w:hideMark/>
          </w:tcPr>
          <w:p w14:paraId="7D5F2C11" w14:textId="77777777" w:rsidR="001F7DC0" w:rsidRPr="00DA4CD1" w:rsidRDefault="001F7DC0">
            <w:pPr>
              <w:rPr>
                <w:rFonts w:eastAsia="Times New Roman"/>
                <w:sz w:val="18"/>
                <w:szCs w:val="18"/>
              </w:rPr>
            </w:pPr>
            <w:r w:rsidRPr="00DA4CD1">
              <w:rPr>
                <w:rStyle w:val="Strong2"/>
                <w:rFonts w:eastAsia="Times New Roman"/>
                <w:sz w:val="18"/>
                <w:szCs w:val="18"/>
              </w:rPr>
              <w:t>FS</w:t>
            </w:r>
          </w:p>
        </w:tc>
        <w:tc>
          <w:tcPr>
            <w:tcW w:w="0" w:type="auto"/>
            <w:hideMark/>
          </w:tcPr>
          <w:p w14:paraId="472A8B3A" w14:textId="77777777" w:rsidR="001F7DC0" w:rsidRPr="00DA4CD1" w:rsidRDefault="001F7DC0">
            <w:pPr>
              <w:rPr>
                <w:rFonts w:eastAsia="Times New Roman"/>
                <w:sz w:val="18"/>
                <w:szCs w:val="18"/>
              </w:rPr>
            </w:pPr>
            <w:r w:rsidRPr="00DA4CD1">
              <w:rPr>
                <w:rFonts w:eastAsia="Times New Roman"/>
                <w:sz w:val="18"/>
                <w:szCs w:val="18"/>
              </w:rPr>
              <w:t xml:space="preserve">Febrile Seizures </w:t>
            </w:r>
          </w:p>
        </w:tc>
      </w:tr>
      <w:tr w:rsidR="001F7DC0" w:rsidRPr="00DA4CD1" w14:paraId="2AB8F51E" w14:textId="77777777" w:rsidTr="00DA4CD1">
        <w:trPr>
          <w:cnfStyle w:val="000000010000" w:firstRow="0" w:lastRow="0" w:firstColumn="0" w:lastColumn="0" w:oddVBand="0" w:evenVBand="0" w:oddHBand="0" w:evenHBand="1" w:firstRowFirstColumn="0" w:firstRowLastColumn="0" w:lastRowFirstColumn="0" w:lastRowLastColumn="0"/>
          <w:divId w:val="54862897"/>
        </w:trPr>
        <w:tc>
          <w:tcPr>
            <w:tcW w:w="0" w:type="auto"/>
            <w:hideMark/>
          </w:tcPr>
          <w:p w14:paraId="20BED5C1" w14:textId="77777777" w:rsidR="001F7DC0" w:rsidRPr="00DA4CD1" w:rsidRDefault="001F7DC0">
            <w:pPr>
              <w:rPr>
                <w:rFonts w:eastAsia="Times New Roman"/>
                <w:sz w:val="18"/>
                <w:szCs w:val="18"/>
              </w:rPr>
            </w:pPr>
            <w:r w:rsidRPr="00DA4CD1">
              <w:rPr>
                <w:rStyle w:val="Strong2"/>
                <w:rFonts w:eastAsia="Times New Roman"/>
                <w:sz w:val="18"/>
                <w:szCs w:val="18"/>
              </w:rPr>
              <w:t>GBS</w:t>
            </w:r>
          </w:p>
        </w:tc>
        <w:tc>
          <w:tcPr>
            <w:tcW w:w="0" w:type="auto"/>
            <w:hideMark/>
          </w:tcPr>
          <w:p w14:paraId="541AFF17" w14:textId="77777777" w:rsidR="001F7DC0" w:rsidRPr="00DA4CD1" w:rsidRDefault="001F7DC0">
            <w:pPr>
              <w:rPr>
                <w:rFonts w:eastAsia="Times New Roman"/>
                <w:sz w:val="18"/>
                <w:szCs w:val="18"/>
              </w:rPr>
            </w:pPr>
            <w:r w:rsidRPr="00DA4CD1">
              <w:rPr>
                <w:rFonts w:eastAsia="Times New Roman"/>
                <w:sz w:val="18"/>
                <w:szCs w:val="18"/>
              </w:rPr>
              <w:t xml:space="preserve">Guillain Barre Syndrome </w:t>
            </w:r>
          </w:p>
        </w:tc>
      </w:tr>
      <w:tr w:rsidR="001F7DC0" w:rsidRPr="00DA4CD1" w14:paraId="296BB799" w14:textId="77777777" w:rsidTr="00DA4CD1">
        <w:trPr>
          <w:divId w:val="54862897"/>
        </w:trPr>
        <w:tc>
          <w:tcPr>
            <w:tcW w:w="0" w:type="auto"/>
            <w:hideMark/>
          </w:tcPr>
          <w:p w14:paraId="14A0389F" w14:textId="77777777" w:rsidR="001F7DC0" w:rsidRPr="00DA4CD1" w:rsidRDefault="001F7DC0">
            <w:pPr>
              <w:rPr>
                <w:rFonts w:eastAsia="Times New Roman"/>
                <w:sz w:val="18"/>
                <w:szCs w:val="18"/>
              </w:rPr>
            </w:pPr>
            <w:r w:rsidRPr="00DA4CD1">
              <w:rPr>
                <w:rStyle w:val="Strong2"/>
                <w:rFonts w:eastAsia="Times New Roman"/>
                <w:sz w:val="18"/>
                <w:szCs w:val="18"/>
              </w:rPr>
              <w:t>ICD</w:t>
            </w:r>
          </w:p>
        </w:tc>
        <w:tc>
          <w:tcPr>
            <w:tcW w:w="0" w:type="auto"/>
            <w:hideMark/>
          </w:tcPr>
          <w:p w14:paraId="61A8F27E" w14:textId="77777777" w:rsidR="001F7DC0" w:rsidRPr="00DA4CD1" w:rsidRDefault="001F7DC0">
            <w:pPr>
              <w:rPr>
                <w:rFonts w:eastAsia="Times New Roman"/>
                <w:sz w:val="18"/>
                <w:szCs w:val="18"/>
              </w:rPr>
            </w:pPr>
            <w:r w:rsidRPr="00DA4CD1">
              <w:rPr>
                <w:rFonts w:eastAsia="Times New Roman"/>
                <w:sz w:val="18"/>
                <w:szCs w:val="18"/>
              </w:rPr>
              <w:t xml:space="preserve">International Classification of Diseases </w:t>
            </w:r>
          </w:p>
        </w:tc>
      </w:tr>
      <w:tr w:rsidR="001F7DC0" w:rsidRPr="00DA4CD1" w14:paraId="329C5055" w14:textId="77777777" w:rsidTr="00DA4CD1">
        <w:trPr>
          <w:cnfStyle w:val="000000010000" w:firstRow="0" w:lastRow="0" w:firstColumn="0" w:lastColumn="0" w:oddVBand="0" w:evenVBand="0" w:oddHBand="0" w:evenHBand="1" w:firstRowFirstColumn="0" w:firstRowLastColumn="0" w:lastRowFirstColumn="0" w:lastRowLastColumn="0"/>
          <w:divId w:val="54862897"/>
        </w:trPr>
        <w:tc>
          <w:tcPr>
            <w:tcW w:w="0" w:type="auto"/>
            <w:hideMark/>
          </w:tcPr>
          <w:p w14:paraId="246F2AAC" w14:textId="77777777" w:rsidR="001F7DC0" w:rsidRPr="00DA4CD1" w:rsidRDefault="001F7DC0">
            <w:pPr>
              <w:rPr>
                <w:rFonts w:eastAsia="Times New Roman"/>
                <w:sz w:val="18"/>
                <w:szCs w:val="18"/>
              </w:rPr>
            </w:pPr>
            <w:r w:rsidRPr="00DA4CD1">
              <w:rPr>
                <w:rStyle w:val="Strong2"/>
                <w:rFonts w:eastAsia="Times New Roman"/>
                <w:sz w:val="18"/>
                <w:szCs w:val="18"/>
              </w:rPr>
              <w:t>IMD</w:t>
            </w:r>
          </w:p>
        </w:tc>
        <w:tc>
          <w:tcPr>
            <w:tcW w:w="0" w:type="auto"/>
            <w:hideMark/>
          </w:tcPr>
          <w:p w14:paraId="57C4C3E7" w14:textId="77777777" w:rsidR="001F7DC0" w:rsidRPr="00DA4CD1" w:rsidRDefault="001F7DC0">
            <w:pPr>
              <w:rPr>
                <w:rFonts w:eastAsia="Times New Roman"/>
                <w:sz w:val="18"/>
                <w:szCs w:val="18"/>
              </w:rPr>
            </w:pPr>
            <w:r w:rsidRPr="00DA4CD1">
              <w:rPr>
                <w:rFonts w:eastAsia="Times New Roman"/>
                <w:sz w:val="18"/>
                <w:szCs w:val="18"/>
              </w:rPr>
              <w:t xml:space="preserve">Invasive Meningococcal Disease </w:t>
            </w:r>
          </w:p>
        </w:tc>
      </w:tr>
      <w:tr w:rsidR="001F7DC0" w:rsidRPr="00DA4CD1" w14:paraId="37EAE9A6" w14:textId="77777777" w:rsidTr="00DA4CD1">
        <w:trPr>
          <w:divId w:val="54862897"/>
        </w:trPr>
        <w:tc>
          <w:tcPr>
            <w:tcW w:w="0" w:type="auto"/>
            <w:hideMark/>
          </w:tcPr>
          <w:p w14:paraId="31C2976F" w14:textId="77777777" w:rsidR="001F7DC0" w:rsidRPr="00DA4CD1" w:rsidRDefault="001F7DC0">
            <w:pPr>
              <w:rPr>
                <w:rFonts w:eastAsia="Times New Roman"/>
                <w:sz w:val="18"/>
                <w:szCs w:val="18"/>
              </w:rPr>
            </w:pPr>
            <w:r w:rsidRPr="00DA4CD1">
              <w:rPr>
                <w:rStyle w:val="Strong2"/>
                <w:rFonts w:eastAsia="Times New Roman"/>
                <w:sz w:val="18"/>
                <w:szCs w:val="18"/>
              </w:rPr>
              <w:t>IGAS</w:t>
            </w:r>
          </w:p>
        </w:tc>
        <w:tc>
          <w:tcPr>
            <w:tcW w:w="0" w:type="auto"/>
            <w:hideMark/>
          </w:tcPr>
          <w:p w14:paraId="11384CE7" w14:textId="77777777" w:rsidR="001F7DC0" w:rsidRPr="00DA4CD1" w:rsidRDefault="001F7DC0">
            <w:pPr>
              <w:rPr>
                <w:rFonts w:eastAsia="Times New Roman"/>
                <w:sz w:val="18"/>
                <w:szCs w:val="18"/>
              </w:rPr>
            </w:pPr>
            <w:r w:rsidRPr="00DA4CD1">
              <w:rPr>
                <w:rFonts w:eastAsia="Times New Roman"/>
                <w:sz w:val="18"/>
                <w:szCs w:val="18"/>
              </w:rPr>
              <w:t xml:space="preserve">Invasive Group A Streptococcus </w:t>
            </w:r>
          </w:p>
        </w:tc>
      </w:tr>
      <w:tr w:rsidR="001F7DC0" w:rsidRPr="00DA4CD1" w14:paraId="38921C6F" w14:textId="77777777" w:rsidTr="00DA4CD1">
        <w:trPr>
          <w:cnfStyle w:val="000000010000" w:firstRow="0" w:lastRow="0" w:firstColumn="0" w:lastColumn="0" w:oddVBand="0" w:evenVBand="0" w:oddHBand="0" w:evenHBand="1" w:firstRowFirstColumn="0" w:firstRowLastColumn="0" w:lastRowFirstColumn="0" w:lastRowLastColumn="0"/>
          <w:divId w:val="54862897"/>
        </w:trPr>
        <w:tc>
          <w:tcPr>
            <w:tcW w:w="0" w:type="auto"/>
            <w:hideMark/>
          </w:tcPr>
          <w:p w14:paraId="4A1253D4" w14:textId="77777777" w:rsidR="001F7DC0" w:rsidRPr="00DA4CD1" w:rsidRDefault="001F7DC0">
            <w:pPr>
              <w:rPr>
                <w:rFonts w:eastAsia="Times New Roman"/>
                <w:sz w:val="18"/>
                <w:szCs w:val="18"/>
              </w:rPr>
            </w:pPr>
            <w:r w:rsidRPr="00DA4CD1">
              <w:rPr>
                <w:rStyle w:val="Strong2"/>
                <w:rFonts w:eastAsia="Times New Roman"/>
                <w:sz w:val="18"/>
                <w:szCs w:val="18"/>
              </w:rPr>
              <w:t>IS</w:t>
            </w:r>
          </w:p>
        </w:tc>
        <w:tc>
          <w:tcPr>
            <w:tcW w:w="0" w:type="auto"/>
            <w:hideMark/>
          </w:tcPr>
          <w:p w14:paraId="3C26D3A4" w14:textId="77777777" w:rsidR="001F7DC0" w:rsidRPr="00DA4CD1" w:rsidRDefault="001F7DC0">
            <w:pPr>
              <w:rPr>
                <w:rFonts w:eastAsia="Times New Roman"/>
                <w:sz w:val="18"/>
                <w:szCs w:val="18"/>
              </w:rPr>
            </w:pPr>
            <w:r w:rsidRPr="00DA4CD1">
              <w:rPr>
                <w:rFonts w:eastAsia="Times New Roman"/>
                <w:sz w:val="18"/>
                <w:szCs w:val="18"/>
              </w:rPr>
              <w:t xml:space="preserve">Intussusception </w:t>
            </w:r>
          </w:p>
        </w:tc>
      </w:tr>
      <w:tr w:rsidR="001F7DC0" w:rsidRPr="00DA4CD1" w14:paraId="4A11BF63" w14:textId="77777777" w:rsidTr="00DA4CD1">
        <w:trPr>
          <w:divId w:val="54862897"/>
        </w:trPr>
        <w:tc>
          <w:tcPr>
            <w:tcW w:w="0" w:type="auto"/>
            <w:hideMark/>
          </w:tcPr>
          <w:p w14:paraId="5859B0B4" w14:textId="77777777" w:rsidR="001F7DC0" w:rsidRPr="00DA4CD1" w:rsidRDefault="001F7DC0">
            <w:pPr>
              <w:rPr>
                <w:rFonts w:eastAsia="Times New Roman"/>
                <w:sz w:val="18"/>
                <w:szCs w:val="18"/>
              </w:rPr>
            </w:pPr>
            <w:r w:rsidRPr="00DA4CD1">
              <w:rPr>
                <w:rStyle w:val="Strong2"/>
                <w:rFonts w:eastAsia="Times New Roman"/>
                <w:sz w:val="18"/>
                <w:szCs w:val="18"/>
              </w:rPr>
              <w:t>LCCH</w:t>
            </w:r>
          </w:p>
        </w:tc>
        <w:tc>
          <w:tcPr>
            <w:tcW w:w="0" w:type="auto"/>
            <w:hideMark/>
          </w:tcPr>
          <w:p w14:paraId="03DCD631" w14:textId="77777777" w:rsidR="001F7DC0" w:rsidRPr="00DA4CD1" w:rsidRDefault="001F7DC0">
            <w:pPr>
              <w:rPr>
                <w:rFonts w:eastAsia="Times New Roman"/>
                <w:sz w:val="18"/>
                <w:szCs w:val="18"/>
              </w:rPr>
            </w:pPr>
            <w:r w:rsidRPr="00DA4CD1">
              <w:rPr>
                <w:rFonts w:eastAsia="Times New Roman"/>
                <w:sz w:val="18"/>
                <w:szCs w:val="18"/>
              </w:rPr>
              <w:t xml:space="preserve">Lady Cilento Children’s Hospital Brisbane </w:t>
            </w:r>
          </w:p>
        </w:tc>
      </w:tr>
      <w:tr w:rsidR="001F7DC0" w:rsidRPr="00DA4CD1" w14:paraId="33F14739" w14:textId="77777777" w:rsidTr="00DA4CD1">
        <w:trPr>
          <w:cnfStyle w:val="000000010000" w:firstRow="0" w:lastRow="0" w:firstColumn="0" w:lastColumn="0" w:oddVBand="0" w:evenVBand="0" w:oddHBand="0" w:evenHBand="1" w:firstRowFirstColumn="0" w:firstRowLastColumn="0" w:lastRowFirstColumn="0" w:lastRowLastColumn="0"/>
          <w:divId w:val="54862897"/>
        </w:trPr>
        <w:tc>
          <w:tcPr>
            <w:tcW w:w="0" w:type="auto"/>
            <w:hideMark/>
          </w:tcPr>
          <w:p w14:paraId="25E80B8A" w14:textId="77777777" w:rsidR="001F7DC0" w:rsidRPr="00DA4CD1" w:rsidRDefault="001F7DC0">
            <w:pPr>
              <w:rPr>
                <w:rFonts w:eastAsia="Times New Roman"/>
                <w:sz w:val="18"/>
                <w:szCs w:val="18"/>
              </w:rPr>
            </w:pPr>
            <w:r w:rsidRPr="00DA4CD1">
              <w:rPr>
                <w:rStyle w:val="Strong2"/>
                <w:rFonts w:eastAsia="Times New Roman"/>
                <w:sz w:val="18"/>
                <w:szCs w:val="18"/>
              </w:rPr>
              <w:t>NCIRS</w:t>
            </w:r>
          </w:p>
        </w:tc>
        <w:tc>
          <w:tcPr>
            <w:tcW w:w="0" w:type="auto"/>
            <w:hideMark/>
          </w:tcPr>
          <w:p w14:paraId="520F670D" w14:textId="77777777" w:rsidR="001F7DC0" w:rsidRPr="00DA4CD1" w:rsidRDefault="001F7DC0">
            <w:pPr>
              <w:rPr>
                <w:rFonts w:eastAsia="Times New Roman"/>
                <w:sz w:val="18"/>
                <w:szCs w:val="18"/>
              </w:rPr>
            </w:pPr>
            <w:r w:rsidRPr="00DA4CD1">
              <w:rPr>
                <w:rFonts w:eastAsia="Times New Roman"/>
                <w:sz w:val="18"/>
                <w:szCs w:val="18"/>
              </w:rPr>
              <w:t xml:space="preserve">National Centre for Immunisation Research and Surveillance </w:t>
            </w:r>
          </w:p>
        </w:tc>
      </w:tr>
      <w:tr w:rsidR="001F7DC0" w:rsidRPr="00DA4CD1" w14:paraId="0A494BCB" w14:textId="77777777" w:rsidTr="00DA4CD1">
        <w:trPr>
          <w:divId w:val="54862897"/>
        </w:trPr>
        <w:tc>
          <w:tcPr>
            <w:tcW w:w="0" w:type="auto"/>
            <w:hideMark/>
          </w:tcPr>
          <w:p w14:paraId="4A4625F4" w14:textId="77777777" w:rsidR="001F7DC0" w:rsidRPr="00DA4CD1" w:rsidRDefault="001F7DC0">
            <w:pPr>
              <w:rPr>
                <w:rFonts w:eastAsia="Times New Roman"/>
                <w:sz w:val="18"/>
                <w:szCs w:val="18"/>
              </w:rPr>
            </w:pPr>
            <w:r w:rsidRPr="00DA4CD1">
              <w:rPr>
                <w:rStyle w:val="Strong2"/>
                <w:rFonts w:eastAsia="Times New Roman"/>
                <w:sz w:val="18"/>
                <w:szCs w:val="18"/>
              </w:rPr>
              <w:t>NERL</w:t>
            </w:r>
          </w:p>
        </w:tc>
        <w:tc>
          <w:tcPr>
            <w:tcW w:w="0" w:type="auto"/>
            <w:hideMark/>
          </w:tcPr>
          <w:p w14:paraId="002AF017" w14:textId="77777777" w:rsidR="001F7DC0" w:rsidRPr="00DA4CD1" w:rsidRDefault="001F7DC0">
            <w:pPr>
              <w:rPr>
                <w:rFonts w:eastAsia="Times New Roman"/>
                <w:sz w:val="18"/>
                <w:szCs w:val="18"/>
              </w:rPr>
            </w:pPr>
            <w:r w:rsidRPr="00DA4CD1">
              <w:rPr>
                <w:rFonts w:eastAsia="Times New Roman"/>
                <w:sz w:val="18"/>
                <w:szCs w:val="18"/>
              </w:rPr>
              <w:t xml:space="preserve">National Enterovirus Reference Laboratory </w:t>
            </w:r>
          </w:p>
        </w:tc>
      </w:tr>
      <w:tr w:rsidR="001F7DC0" w:rsidRPr="00DA4CD1" w14:paraId="576EE0BF" w14:textId="77777777" w:rsidTr="00DA4CD1">
        <w:trPr>
          <w:cnfStyle w:val="000000010000" w:firstRow="0" w:lastRow="0" w:firstColumn="0" w:lastColumn="0" w:oddVBand="0" w:evenVBand="0" w:oddHBand="0" w:evenHBand="1" w:firstRowFirstColumn="0" w:firstRowLastColumn="0" w:lastRowFirstColumn="0" w:lastRowLastColumn="0"/>
          <w:divId w:val="54862897"/>
        </w:trPr>
        <w:tc>
          <w:tcPr>
            <w:tcW w:w="0" w:type="auto"/>
            <w:hideMark/>
          </w:tcPr>
          <w:p w14:paraId="38ED6F62" w14:textId="77777777" w:rsidR="001F7DC0" w:rsidRPr="00DA4CD1" w:rsidRDefault="001F7DC0">
            <w:pPr>
              <w:rPr>
                <w:rFonts w:eastAsia="Times New Roman"/>
                <w:sz w:val="18"/>
                <w:szCs w:val="18"/>
              </w:rPr>
            </w:pPr>
            <w:r w:rsidRPr="00DA4CD1">
              <w:rPr>
                <w:rStyle w:val="Strong2"/>
                <w:rFonts w:eastAsia="Times New Roman"/>
                <w:sz w:val="18"/>
                <w:szCs w:val="18"/>
              </w:rPr>
              <w:t>NESB</w:t>
            </w:r>
          </w:p>
        </w:tc>
        <w:tc>
          <w:tcPr>
            <w:tcW w:w="0" w:type="auto"/>
            <w:hideMark/>
          </w:tcPr>
          <w:p w14:paraId="07D6D325" w14:textId="77777777" w:rsidR="001F7DC0" w:rsidRPr="00DA4CD1" w:rsidRDefault="001F7DC0">
            <w:pPr>
              <w:rPr>
                <w:rFonts w:eastAsia="Times New Roman"/>
                <w:sz w:val="18"/>
                <w:szCs w:val="18"/>
              </w:rPr>
            </w:pPr>
            <w:r w:rsidRPr="00DA4CD1">
              <w:rPr>
                <w:rFonts w:eastAsia="Times New Roman"/>
                <w:sz w:val="18"/>
                <w:szCs w:val="18"/>
              </w:rPr>
              <w:t xml:space="preserve">Non-English Speaking Background </w:t>
            </w:r>
          </w:p>
        </w:tc>
      </w:tr>
      <w:tr w:rsidR="001F7DC0" w:rsidRPr="00DA4CD1" w14:paraId="5016B333" w14:textId="77777777" w:rsidTr="00DA4CD1">
        <w:trPr>
          <w:divId w:val="54862897"/>
        </w:trPr>
        <w:tc>
          <w:tcPr>
            <w:tcW w:w="0" w:type="auto"/>
            <w:hideMark/>
          </w:tcPr>
          <w:p w14:paraId="53B0E2F7" w14:textId="77777777" w:rsidR="001F7DC0" w:rsidRPr="00DA4CD1" w:rsidRDefault="001F7DC0">
            <w:pPr>
              <w:rPr>
                <w:rFonts w:eastAsia="Times New Roman"/>
                <w:sz w:val="18"/>
                <w:szCs w:val="18"/>
              </w:rPr>
            </w:pPr>
            <w:r w:rsidRPr="00DA4CD1">
              <w:rPr>
                <w:rStyle w:val="Strong2"/>
                <w:rFonts w:eastAsia="Times New Roman"/>
                <w:sz w:val="18"/>
                <w:szCs w:val="18"/>
              </w:rPr>
              <w:t>NHMRC</w:t>
            </w:r>
          </w:p>
        </w:tc>
        <w:tc>
          <w:tcPr>
            <w:tcW w:w="0" w:type="auto"/>
            <w:hideMark/>
          </w:tcPr>
          <w:p w14:paraId="440006EE" w14:textId="77777777" w:rsidR="001F7DC0" w:rsidRPr="00DA4CD1" w:rsidRDefault="001F7DC0">
            <w:pPr>
              <w:rPr>
                <w:rFonts w:eastAsia="Times New Roman"/>
                <w:sz w:val="18"/>
                <w:szCs w:val="18"/>
              </w:rPr>
            </w:pPr>
            <w:r w:rsidRPr="00DA4CD1">
              <w:rPr>
                <w:rFonts w:eastAsia="Times New Roman"/>
                <w:sz w:val="18"/>
                <w:szCs w:val="18"/>
              </w:rPr>
              <w:t xml:space="preserve">National Health and Medical Research Council </w:t>
            </w:r>
          </w:p>
        </w:tc>
      </w:tr>
      <w:tr w:rsidR="001F7DC0" w:rsidRPr="00DA4CD1" w14:paraId="5AF5A189" w14:textId="77777777" w:rsidTr="00DA4CD1">
        <w:trPr>
          <w:cnfStyle w:val="000000010000" w:firstRow="0" w:lastRow="0" w:firstColumn="0" w:lastColumn="0" w:oddVBand="0" w:evenVBand="0" w:oddHBand="0" w:evenHBand="1" w:firstRowFirstColumn="0" w:firstRowLastColumn="0" w:lastRowFirstColumn="0" w:lastRowLastColumn="0"/>
          <w:divId w:val="54862897"/>
        </w:trPr>
        <w:tc>
          <w:tcPr>
            <w:tcW w:w="0" w:type="auto"/>
            <w:hideMark/>
          </w:tcPr>
          <w:p w14:paraId="11E58419" w14:textId="77777777" w:rsidR="001F7DC0" w:rsidRPr="00DA4CD1" w:rsidRDefault="001F7DC0">
            <w:pPr>
              <w:rPr>
                <w:rFonts w:eastAsia="Times New Roman"/>
                <w:sz w:val="18"/>
                <w:szCs w:val="18"/>
              </w:rPr>
            </w:pPr>
            <w:r w:rsidRPr="00DA4CD1">
              <w:rPr>
                <w:rStyle w:val="Strong2"/>
                <w:rFonts w:eastAsia="Times New Roman"/>
                <w:sz w:val="18"/>
                <w:szCs w:val="18"/>
              </w:rPr>
              <w:t>NIP</w:t>
            </w:r>
          </w:p>
        </w:tc>
        <w:tc>
          <w:tcPr>
            <w:tcW w:w="0" w:type="auto"/>
            <w:hideMark/>
          </w:tcPr>
          <w:p w14:paraId="2D095B05" w14:textId="77777777" w:rsidR="001F7DC0" w:rsidRPr="00DA4CD1" w:rsidRDefault="001F7DC0">
            <w:pPr>
              <w:rPr>
                <w:rFonts w:eastAsia="Times New Roman"/>
                <w:sz w:val="18"/>
                <w:szCs w:val="18"/>
              </w:rPr>
            </w:pPr>
            <w:r w:rsidRPr="00DA4CD1">
              <w:rPr>
                <w:rFonts w:eastAsia="Times New Roman"/>
                <w:sz w:val="18"/>
                <w:szCs w:val="18"/>
              </w:rPr>
              <w:t xml:space="preserve">National Immunisation Program </w:t>
            </w:r>
          </w:p>
        </w:tc>
      </w:tr>
      <w:tr w:rsidR="001F7DC0" w:rsidRPr="00DA4CD1" w14:paraId="31E3039F" w14:textId="77777777" w:rsidTr="00DA4CD1">
        <w:trPr>
          <w:divId w:val="54862897"/>
        </w:trPr>
        <w:tc>
          <w:tcPr>
            <w:tcW w:w="0" w:type="auto"/>
            <w:hideMark/>
          </w:tcPr>
          <w:p w14:paraId="1C42F2FE" w14:textId="77777777" w:rsidR="001F7DC0" w:rsidRPr="00DA4CD1" w:rsidRDefault="001F7DC0">
            <w:pPr>
              <w:rPr>
                <w:rFonts w:eastAsia="Times New Roman"/>
                <w:sz w:val="18"/>
                <w:szCs w:val="18"/>
              </w:rPr>
            </w:pPr>
            <w:r w:rsidRPr="00DA4CD1">
              <w:rPr>
                <w:rStyle w:val="Strong2"/>
                <w:rFonts w:eastAsia="Times New Roman"/>
                <w:sz w:val="18"/>
                <w:szCs w:val="18"/>
              </w:rPr>
              <w:t>NSW</w:t>
            </w:r>
          </w:p>
        </w:tc>
        <w:tc>
          <w:tcPr>
            <w:tcW w:w="0" w:type="auto"/>
            <w:hideMark/>
          </w:tcPr>
          <w:p w14:paraId="4F70B52B" w14:textId="77777777" w:rsidR="001F7DC0" w:rsidRPr="00DA4CD1" w:rsidRDefault="001F7DC0">
            <w:pPr>
              <w:rPr>
                <w:rFonts w:eastAsia="Times New Roman"/>
                <w:sz w:val="18"/>
                <w:szCs w:val="18"/>
              </w:rPr>
            </w:pPr>
            <w:r w:rsidRPr="00DA4CD1">
              <w:rPr>
                <w:rFonts w:eastAsia="Times New Roman"/>
                <w:sz w:val="18"/>
                <w:szCs w:val="18"/>
              </w:rPr>
              <w:t xml:space="preserve">New South Wales </w:t>
            </w:r>
          </w:p>
        </w:tc>
      </w:tr>
      <w:tr w:rsidR="001F7DC0" w:rsidRPr="00DA4CD1" w14:paraId="796DB20D" w14:textId="77777777" w:rsidTr="00DA4CD1">
        <w:trPr>
          <w:cnfStyle w:val="000000010000" w:firstRow="0" w:lastRow="0" w:firstColumn="0" w:lastColumn="0" w:oddVBand="0" w:evenVBand="0" w:oddHBand="0" w:evenHBand="1" w:firstRowFirstColumn="0" w:firstRowLastColumn="0" w:lastRowFirstColumn="0" w:lastRowLastColumn="0"/>
          <w:divId w:val="54862897"/>
        </w:trPr>
        <w:tc>
          <w:tcPr>
            <w:tcW w:w="0" w:type="auto"/>
            <w:hideMark/>
          </w:tcPr>
          <w:p w14:paraId="6D0EABCC" w14:textId="77777777" w:rsidR="001F7DC0" w:rsidRPr="00DA4CD1" w:rsidRDefault="001F7DC0">
            <w:pPr>
              <w:rPr>
                <w:rFonts w:eastAsia="Times New Roman"/>
                <w:sz w:val="18"/>
                <w:szCs w:val="18"/>
              </w:rPr>
            </w:pPr>
            <w:r w:rsidRPr="00DA4CD1">
              <w:rPr>
                <w:rStyle w:val="Strong2"/>
                <w:rFonts w:eastAsia="Times New Roman"/>
                <w:sz w:val="18"/>
                <w:szCs w:val="18"/>
              </w:rPr>
              <w:t>PAEDS</w:t>
            </w:r>
          </w:p>
        </w:tc>
        <w:tc>
          <w:tcPr>
            <w:tcW w:w="0" w:type="auto"/>
            <w:hideMark/>
          </w:tcPr>
          <w:p w14:paraId="66E1A46C" w14:textId="77777777" w:rsidR="001F7DC0" w:rsidRPr="00DA4CD1" w:rsidRDefault="001F7DC0">
            <w:pPr>
              <w:rPr>
                <w:rFonts w:eastAsia="Times New Roman"/>
                <w:sz w:val="18"/>
                <w:szCs w:val="18"/>
              </w:rPr>
            </w:pPr>
            <w:r w:rsidRPr="00DA4CD1">
              <w:rPr>
                <w:rFonts w:eastAsia="Times New Roman"/>
                <w:sz w:val="18"/>
                <w:szCs w:val="18"/>
              </w:rPr>
              <w:t xml:space="preserve">Paediatric Active Enhanced Disease Surveillance </w:t>
            </w:r>
          </w:p>
        </w:tc>
      </w:tr>
      <w:tr w:rsidR="001F7DC0" w:rsidRPr="00DA4CD1" w14:paraId="4E2E9D7D" w14:textId="77777777" w:rsidTr="00DA4CD1">
        <w:trPr>
          <w:divId w:val="54862897"/>
        </w:trPr>
        <w:tc>
          <w:tcPr>
            <w:tcW w:w="0" w:type="auto"/>
            <w:hideMark/>
          </w:tcPr>
          <w:p w14:paraId="00548F5E" w14:textId="77777777" w:rsidR="001F7DC0" w:rsidRPr="00DA4CD1" w:rsidRDefault="001F7DC0">
            <w:pPr>
              <w:rPr>
                <w:rFonts w:eastAsia="Times New Roman"/>
                <w:sz w:val="18"/>
                <w:szCs w:val="18"/>
              </w:rPr>
            </w:pPr>
            <w:r w:rsidRPr="00DA4CD1">
              <w:rPr>
                <w:rStyle w:val="Strong2"/>
                <w:rFonts w:eastAsia="Times New Roman"/>
                <w:sz w:val="18"/>
                <w:szCs w:val="18"/>
              </w:rPr>
              <w:t>PMH</w:t>
            </w:r>
          </w:p>
        </w:tc>
        <w:tc>
          <w:tcPr>
            <w:tcW w:w="0" w:type="auto"/>
            <w:hideMark/>
          </w:tcPr>
          <w:p w14:paraId="470CB954" w14:textId="77777777" w:rsidR="001F7DC0" w:rsidRPr="00DA4CD1" w:rsidRDefault="001F7DC0">
            <w:pPr>
              <w:rPr>
                <w:rFonts w:eastAsia="Times New Roman"/>
                <w:sz w:val="18"/>
                <w:szCs w:val="18"/>
              </w:rPr>
            </w:pPr>
            <w:r w:rsidRPr="00DA4CD1">
              <w:rPr>
                <w:rFonts w:eastAsia="Times New Roman"/>
                <w:sz w:val="18"/>
                <w:szCs w:val="18"/>
              </w:rPr>
              <w:t xml:space="preserve">Princess Margaret Hospital Perth </w:t>
            </w:r>
          </w:p>
        </w:tc>
      </w:tr>
      <w:tr w:rsidR="001F7DC0" w:rsidRPr="00DA4CD1" w14:paraId="36C91418" w14:textId="77777777" w:rsidTr="00DA4CD1">
        <w:trPr>
          <w:cnfStyle w:val="000000010000" w:firstRow="0" w:lastRow="0" w:firstColumn="0" w:lastColumn="0" w:oddVBand="0" w:evenVBand="0" w:oddHBand="0" w:evenHBand="1" w:firstRowFirstColumn="0" w:firstRowLastColumn="0" w:lastRowFirstColumn="0" w:lastRowLastColumn="0"/>
          <w:divId w:val="54862897"/>
        </w:trPr>
        <w:tc>
          <w:tcPr>
            <w:tcW w:w="0" w:type="auto"/>
            <w:hideMark/>
          </w:tcPr>
          <w:p w14:paraId="6D5CA1B2" w14:textId="77777777" w:rsidR="001F7DC0" w:rsidRPr="00DA4CD1" w:rsidRDefault="001F7DC0">
            <w:pPr>
              <w:rPr>
                <w:rFonts w:eastAsia="Times New Roman"/>
                <w:sz w:val="18"/>
                <w:szCs w:val="18"/>
              </w:rPr>
            </w:pPr>
            <w:r w:rsidRPr="00DA4CD1">
              <w:rPr>
                <w:rStyle w:val="Strong2"/>
                <w:rFonts w:eastAsia="Times New Roman"/>
                <w:sz w:val="18"/>
                <w:szCs w:val="18"/>
              </w:rPr>
              <w:t>RCH</w:t>
            </w:r>
          </w:p>
        </w:tc>
        <w:tc>
          <w:tcPr>
            <w:tcW w:w="0" w:type="auto"/>
            <w:hideMark/>
          </w:tcPr>
          <w:p w14:paraId="15B408FA" w14:textId="77777777" w:rsidR="001F7DC0" w:rsidRPr="00DA4CD1" w:rsidRDefault="001F7DC0">
            <w:pPr>
              <w:rPr>
                <w:rFonts w:eastAsia="Times New Roman"/>
                <w:sz w:val="18"/>
                <w:szCs w:val="18"/>
              </w:rPr>
            </w:pPr>
            <w:r w:rsidRPr="00DA4CD1">
              <w:rPr>
                <w:rFonts w:eastAsia="Times New Roman"/>
                <w:sz w:val="18"/>
                <w:szCs w:val="18"/>
              </w:rPr>
              <w:t xml:space="preserve">The Royal Children’s Hospital Melbourne </w:t>
            </w:r>
          </w:p>
        </w:tc>
      </w:tr>
      <w:tr w:rsidR="001F7DC0" w:rsidRPr="00DA4CD1" w14:paraId="72317BF3" w14:textId="77777777" w:rsidTr="00DA4CD1">
        <w:trPr>
          <w:divId w:val="54862897"/>
        </w:trPr>
        <w:tc>
          <w:tcPr>
            <w:tcW w:w="0" w:type="auto"/>
            <w:hideMark/>
          </w:tcPr>
          <w:p w14:paraId="5B14BC2D" w14:textId="77777777" w:rsidR="001F7DC0" w:rsidRPr="00DA4CD1" w:rsidRDefault="001F7DC0">
            <w:pPr>
              <w:rPr>
                <w:rFonts w:eastAsia="Times New Roman"/>
                <w:sz w:val="18"/>
                <w:szCs w:val="18"/>
              </w:rPr>
            </w:pPr>
            <w:r w:rsidRPr="00DA4CD1">
              <w:rPr>
                <w:rStyle w:val="Strong2"/>
                <w:rFonts w:eastAsia="Times New Roman"/>
                <w:sz w:val="18"/>
                <w:szCs w:val="18"/>
              </w:rPr>
              <w:t>SANE</w:t>
            </w:r>
          </w:p>
        </w:tc>
        <w:tc>
          <w:tcPr>
            <w:tcW w:w="0" w:type="auto"/>
            <w:hideMark/>
          </w:tcPr>
          <w:p w14:paraId="4583F3EC" w14:textId="77777777" w:rsidR="001F7DC0" w:rsidRPr="00DA4CD1" w:rsidRDefault="001F7DC0">
            <w:pPr>
              <w:rPr>
                <w:rFonts w:eastAsia="Times New Roman"/>
                <w:sz w:val="18"/>
                <w:szCs w:val="18"/>
              </w:rPr>
            </w:pPr>
            <w:r w:rsidRPr="00DA4CD1">
              <w:rPr>
                <w:rFonts w:eastAsia="Times New Roman"/>
                <w:sz w:val="18"/>
                <w:szCs w:val="18"/>
              </w:rPr>
              <w:t xml:space="preserve">Serious Acute Neurological Event </w:t>
            </w:r>
          </w:p>
        </w:tc>
      </w:tr>
      <w:tr w:rsidR="001F7DC0" w:rsidRPr="00DA4CD1" w14:paraId="7FC47551" w14:textId="77777777" w:rsidTr="00DA4CD1">
        <w:trPr>
          <w:cnfStyle w:val="000000010000" w:firstRow="0" w:lastRow="0" w:firstColumn="0" w:lastColumn="0" w:oddVBand="0" w:evenVBand="0" w:oddHBand="0" w:evenHBand="1" w:firstRowFirstColumn="0" w:firstRowLastColumn="0" w:lastRowFirstColumn="0" w:lastRowLastColumn="0"/>
          <w:divId w:val="54862897"/>
        </w:trPr>
        <w:tc>
          <w:tcPr>
            <w:tcW w:w="0" w:type="auto"/>
            <w:hideMark/>
          </w:tcPr>
          <w:p w14:paraId="6F6D0399" w14:textId="77777777" w:rsidR="001F7DC0" w:rsidRPr="00DA4CD1" w:rsidRDefault="001F7DC0">
            <w:pPr>
              <w:rPr>
                <w:rFonts w:eastAsia="Times New Roman"/>
                <w:sz w:val="18"/>
                <w:szCs w:val="18"/>
              </w:rPr>
            </w:pPr>
            <w:r w:rsidRPr="00DA4CD1">
              <w:rPr>
                <w:rStyle w:val="Strong2"/>
                <w:rFonts w:eastAsia="Times New Roman"/>
                <w:sz w:val="18"/>
                <w:szCs w:val="18"/>
              </w:rPr>
              <w:t>VE</w:t>
            </w:r>
          </w:p>
        </w:tc>
        <w:tc>
          <w:tcPr>
            <w:tcW w:w="0" w:type="auto"/>
            <w:hideMark/>
          </w:tcPr>
          <w:p w14:paraId="442FFB32" w14:textId="77777777" w:rsidR="001F7DC0" w:rsidRPr="00DA4CD1" w:rsidRDefault="001F7DC0">
            <w:pPr>
              <w:rPr>
                <w:rFonts w:eastAsia="Times New Roman"/>
                <w:sz w:val="18"/>
                <w:szCs w:val="18"/>
              </w:rPr>
            </w:pPr>
            <w:r w:rsidRPr="00DA4CD1">
              <w:rPr>
                <w:rFonts w:eastAsia="Times New Roman"/>
                <w:sz w:val="18"/>
                <w:szCs w:val="18"/>
              </w:rPr>
              <w:t xml:space="preserve">Vaccine Effectiveness </w:t>
            </w:r>
          </w:p>
        </w:tc>
      </w:tr>
      <w:tr w:rsidR="001F7DC0" w:rsidRPr="00DA4CD1" w14:paraId="25FB7683" w14:textId="77777777" w:rsidTr="00DA4CD1">
        <w:trPr>
          <w:divId w:val="54862897"/>
        </w:trPr>
        <w:tc>
          <w:tcPr>
            <w:tcW w:w="0" w:type="auto"/>
            <w:hideMark/>
          </w:tcPr>
          <w:p w14:paraId="2ED5A18F" w14:textId="77777777" w:rsidR="001F7DC0" w:rsidRPr="00DA4CD1" w:rsidRDefault="001F7DC0">
            <w:pPr>
              <w:rPr>
                <w:rFonts w:eastAsia="Times New Roman"/>
                <w:sz w:val="18"/>
                <w:szCs w:val="18"/>
              </w:rPr>
            </w:pPr>
            <w:r w:rsidRPr="00DA4CD1">
              <w:rPr>
                <w:rStyle w:val="Strong2"/>
                <w:rFonts w:eastAsia="Times New Roman"/>
                <w:sz w:val="18"/>
                <w:szCs w:val="18"/>
              </w:rPr>
              <w:t>VIDRL</w:t>
            </w:r>
          </w:p>
        </w:tc>
        <w:tc>
          <w:tcPr>
            <w:tcW w:w="0" w:type="auto"/>
            <w:hideMark/>
          </w:tcPr>
          <w:p w14:paraId="54A3AB9D" w14:textId="77777777" w:rsidR="001F7DC0" w:rsidRPr="00DA4CD1" w:rsidRDefault="001F7DC0">
            <w:pPr>
              <w:rPr>
                <w:rFonts w:eastAsia="Times New Roman"/>
                <w:sz w:val="18"/>
                <w:szCs w:val="18"/>
              </w:rPr>
            </w:pPr>
            <w:r w:rsidRPr="00DA4CD1">
              <w:rPr>
                <w:rFonts w:eastAsia="Times New Roman"/>
                <w:sz w:val="18"/>
                <w:szCs w:val="18"/>
              </w:rPr>
              <w:t xml:space="preserve">Victorian Infectious Diseases Reference Laboratory </w:t>
            </w:r>
          </w:p>
        </w:tc>
      </w:tr>
      <w:tr w:rsidR="001F7DC0" w:rsidRPr="00DA4CD1" w14:paraId="595A91A1" w14:textId="77777777" w:rsidTr="00DA4CD1">
        <w:trPr>
          <w:cnfStyle w:val="000000010000" w:firstRow="0" w:lastRow="0" w:firstColumn="0" w:lastColumn="0" w:oddVBand="0" w:evenVBand="0" w:oddHBand="0" w:evenHBand="1" w:firstRowFirstColumn="0" w:firstRowLastColumn="0" w:lastRowFirstColumn="0" w:lastRowLastColumn="0"/>
          <w:divId w:val="54862897"/>
        </w:trPr>
        <w:tc>
          <w:tcPr>
            <w:tcW w:w="0" w:type="auto"/>
            <w:hideMark/>
          </w:tcPr>
          <w:p w14:paraId="3AFE3637" w14:textId="77777777" w:rsidR="001F7DC0" w:rsidRPr="00DA4CD1" w:rsidRDefault="001F7DC0">
            <w:pPr>
              <w:rPr>
                <w:rFonts w:eastAsia="Times New Roman"/>
                <w:sz w:val="18"/>
                <w:szCs w:val="18"/>
              </w:rPr>
            </w:pPr>
            <w:r w:rsidRPr="00DA4CD1">
              <w:rPr>
                <w:rStyle w:val="Strong2"/>
                <w:rFonts w:eastAsia="Times New Roman"/>
                <w:sz w:val="18"/>
                <w:szCs w:val="18"/>
              </w:rPr>
              <w:t>VPD</w:t>
            </w:r>
          </w:p>
        </w:tc>
        <w:tc>
          <w:tcPr>
            <w:tcW w:w="0" w:type="auto"/>
            <w:hideMark/>
          </w:tcPr>
          <w:p w14:paraId="45729F6A" w14:textId="77777777" w:rsidR="001F7DC0" w:rsidRPr="00DA4CD1" w:rsidRDefault="001F7DC0">
            <w:pPr>
              <w:rPr>
                <w:rFonts w:eastAsia="Times New Roman"/>
                <w:sz w:val="18"/>
                <w:szCs w:val="18"/>
              </w:rPr>
            </w:pPr>
            <w:r w:rsidRPr="00DA4CD1">
              <w:rPr>
                <w:rFonts w:eastAsia="Times New Roman"/>
                <w:sz w:val="18"/>
                <w:szCs w:val="18"/>
              </w:rPr>
              <w:t xml:space="preserve">Vaccine Preventable diseases </w:t>
            </w:r>
          </w:p>
        </w:tc>
      </w:tr>
      <w:tr w:rsidR="001F7DC0" w:rsidRPr="00DA4CD1" w14:paraId="0F86B1D2" w14:textId="77777777" w:rsidTr="00DA4CD1">
        <w:trPr>
          <w:divId w:val="54862897"/>
        </w:trPr>
        <w:tc>
          <w:tcPr>
            <w:tcW w:w="0" w:type="auto"/>
            <w:hideMark/>
          </w:tcPr>
          <w:p w14:paraId="0291AB74" w14:textId="77777777" w:rsidR="001F7DC0" w:rsidRPr="00DA4CD1" w:rsidRDefault="001F7DC0">
            <w:pPr>
              <w:rPr>
                <w:rFonts w:eastAsia="Times New Roman"/>
                <w:sz w:val="18"/>
                <w:szCs w:val="18"/>
              </w:rPr>
            </w:pPr>
            <w:r w:rsidRPr="00DA4CD1">
              <w:rPr>
                <w:rStyle w:val="Strong2"/>
                <w:rFonts w:eastAsia="Times New Roman"/>
                <w:sz w:val="18"/>
                <w:szCs w:val="18"/>
              </w:rPr>
              <w:t>VZV</w:t>
            </w:r>
          </w:p>
        </w:tc>
        <w:tc>
          <w:tcPr>
            <w:tcW w:w="0" w:type="auto"/>
            <w:hideMark/>
          </w:tcPr>
          <w:p w14:paraId="296B2C14" w14:textId="77777777" w:rsidR="001F7DC0" w:rsidRPr="00DA4CD1" w:rsidRDefault="001F7DC0">
            <w:pPr>
              <w:rPr>
                <w:rFonts w:eastAsia="Times New Roman"/>
                <w:sz w:val="18"/>
                <w:szCs w:val="18"/>
              </w:rPr>
            </w:pPr>
            <w:r w:rsidRPr="00DA4CD1">
              <w:rPr>
                <w:rFonts w:eastAsia="Times New Roman"/>
                <w:sz w:val="18"/>
                <w:szCs w:val="18"/>
              </w:rPr>
              <w:t xml:space="preserve">Varicella Zoster Virus </w:t>
            </w:r>
          </w:p>
        </w:tc>
      </w:tr>
      <w:tr w:rsidR="001F7DC0" w:rsidRPr="00DA4CD1" w14:paraId="1096EA10" w14:textId="77777777" w:rsidTr="00DA4CD1">
        <w:trPr>
          <w:cnfStyle w:val="000000010000" w:firstRow="0" w:lastRow="0" w:firstColumn="0" w:lastColumn="0" w:oddVBand="0" w:evenVBand="0" w:oddHBand="0" w:evenHBand="1" w:firstRowFirstColumn="0" w:firstRowLastColumn="0" w:lastRowFirstColumn="0" w:lastRowLastColumn="0"/>
          <w:divId w:val="54862897"/>
        </w:trPr>
        <w:tc>
          <w:tcPr>
            <w:tcW w:w="0" w:type="auto"/>
            <w:hideMark/>
          </w:tcPr>
          <w:p w14:paraId="3D607265" w14:textId="77777777" w:rsidR="001F7DC0" w:rsidRPr="00DA4CD1" w:rsidRDefault="001F7DC0">
            <w:pPr>
              <w:rPr>
                <w:rFonts w:eastAsia="Times New Roman"/>
                <w:sz w:val="18"/>
                <w:szCs w:val="18"/>
              </w:rPr>
            </w:pPr>
            <w:r w:rsidRPr="00DA4CD1">
              <w:rPr>
                <w:rStyle w:val="Strong2"/>
                <w:rFonts w:eastAsia="Times New Roman"/>
                <w:sz w:val="18"/>
                <w:szCs w:val="18"/>
              </w:rPr>
              <w:t>WCH</w:t>
            </w:r>
          </w:p>
        </w:tc>
        <w:tc>
          <w:tcPr>
            <w:tcW w:w="0" w:type="auto"/>
            <w:hideMark/>
          </w:tcPr>
          <w:p w14:paraId="381173DE" w14:textId="77777777" w:rsidR="001F7DC0" w:rsidRPr="00DA4CD1" w:rsidRDefault="001F7DC0">
            <w:pPr>
              <w:rPr>
                <w:rFonts w:eastAsia="Times New Roman"/>
                <w:sz w:val="18"/>
                <w:szCs w:val="18"/>
              </w:rPr>
            </w:pPr>
            <w:r w:rsidRPr="00DA4CD1">
              <w:rPr>
                <w:rFonts w:eastAsia="Times New Roman"/>
                <w:sz w:val="18"/>
                <w:szCs w:val="18"/>
              </w:rPr>
              <w:t xml:space="preserve">The Women’s and Children’s Hospital Adelaide </w:t>
            </w:r>
          </w:p>
        </w:tc>
      </w:tr>
      <w:tr w:rsidR="001F7DC0" w:rsidRPr="00DA4CD1" w14:paraId="579F7B69" w14:textId="77777777" w:rsidTr="00DA4CD1">
        <w:trPr>
          <w:divId w:val="54862897"/>
        </w:trPr>
        <w:tc>
          <w:tcPr>
            <w:tcW w:w="0" w:type="auto"/>
            <w:hideMark/>
          </w:tcPr>
          <w:p w14:paraId="089E1632" w14:textId="77777777" w:rsidR="001F7DC0" w:rsidRPr="00DA4CD1" w:rsidRDefault="001F7DC0">
            <w:pPr>
              <w:rPr>
                <w:rFonts w:eastAsia="Times New Roman"/>
                <w:sz w:val="18"/>
                <w:szCs w:val="18"/>
              </w:rPr>
            </w:pPr>
            <w:r w:rsidRPr="00DA4CD1">
              <w:rPr>
                <w:rStyle w:val="Strong2"/>
                <w:rFonts w:eastAsia="Times New Roman"/>
                <w:sz w:val="18"/>
                <w:szCs w:val="18"/>
              </w:rPr>
              <w:t>WHO</w:t>
            </w:r>
          </w:p>
        </w:tc>
        <w:tc>
          <w:tcPr>
            <w:tcW w:w="0" w:type="auto"/>
            <w:hideMark/>
          </w:tcPr>
          <w:p w14:paraId="33C6405A" w14:textId="77777777" w:rsidR="001F7DC0" w:rsidRPr="00DA4CD1" w:rsidRDefault="001F7DC0">
            <w:pPr>
              <w:rPr>
                <w:rFonts w:eastAsia="Times New Roman"/>
                <w:sz w:val="18"/>
                <w:szCs w:val="18"/>
              </w:rPr>
            </w:pPr>
            <w:r w:rsidRPr="00DA4CD1">
              <w:rPr>
                <w:rFonts w:eastAsia="Times New Roman"/>
                <w:sz w:val="18"/>
                <w:szCs w:val="18"/>
              </w:rPr>
              <w:t xml:space="preserve">World Health Organisation </w:t>
            </w:r>
          </w:p>
        </w:tc>
      </w:tr>
    </w:tbl>
    <w:p w14:paraId="1C4E4643" w14:textId="77777777" w:rsidR="001F7DC0" w:rsidRDefault="001F7DC0">
      <w:pPr>
        <w:pStyle w:val="NormalWeb"/>
      </w:pPr>
      <w:r>
        <w:t> </w:t>
      </w:r>
    </w:p>
    <w:p w14:paraId="0E6A8570" w14:textId="77777777" w:rsidR="00382561" w:rsidRDefault="00382561" w:rsidP="001B37B8">
      <w:pPr>
        <w:rPr>
          <w:rFonts w:cs="Myriad Pro"/>
          <w:color w:val="211D1E"/>
        </w:rPr>
        <w:sectPr w:rsidR="00382561" w:rsidSect="00656427">
          <w:headerReference w:type="even" r:id="rId10"/>
          <w:headerReference w:type="default" r:id="rId11"/>
          <w:footerReference w:type="even" r:id="rId12"/>
          <w:footerReference w:type="default" r:id="rId13"/>
          <w:headerReference w:type="first" r:id="rId14"/>
          <w:footerReference w:type="first" r:id="rId15"/>
          <w:pgSz w:w="11906" w:h="16838"/>
          <w:pgMar w:top="720" w:right="720" w:bottom="1134" w:left="720" w:header="709" w:footer="284" w:gutter="0"/>
          <w:pgNumType w:start="1"/>
          <w:cols w:space="708"/>
          <w:titlePg/>
          <w:docGrid w:linePitch="360"/>
        </w:sectPr>
      </w:pPr>
    </w:p>
    <w:p w14:paraId="1DAB2D8D" w14:textId="77777777" w:rsidR="00382561" w:rsidRPr="000606CC" w:rsidRDefault="00382561" w:rsidP="00382561">
      <w:pPr>
        <w:pStyle w:val="NoSpacing"/>
        <w:rPr>
          <w:rFonts w:cstheme="minorHAnsi"/>
          <w:sz w:val="18"/>
          <w:szCs w:val="18"/>
        </w:rPr>
      </w:pPr>
      <w:r w:rsidRPr="000606CC">
        <w:rPr>
          <w:rStyle w:val="Strong"/>
          <w:bCs w:val="0"/>
          <w:sz w:val="20"/>
        </w:rPr>
        <w:lastRenderedPageBreak/>
        <w:t>Communicable Diseases Intelligence</w:t>
      </w:r>
    </w:p>
    <w:p w14:paraId="4AFF4586" w14:textId="77777777" w:rsidR="00382561" w:rsidRPr="000606CC" w:rsidRDefault="00382561" w:rsidP="00382561">
      <w:pPr>
        <w:pStyle w:val="NoSpacing"/>
        <w:rPr>
          <w:rFonts w:cstheme="minorHAnsi"/>
          <w:sz w:val="20"/>
          <w:szCs w:val="18"/>
        </w:rPr>
      </w:pPr>
      <w:r w:rsidRPr="000606CC">
        <w:rPr>
          <w:rFonts w:cstheme="minorHAnsi"/>
          <w:sz w:val="20"/>
          <w:szCs w:val="18"/>
        </w:rPr>
        <w:t>ISSN: 2209-6051 Online</w:t>
      </w:r>
    </w:p>
    <w:p w14:paraId="3E1B1493" w14:textId="77777777" w:rsidR="00382561" w:rsidRPr="000606CC" w:rsidRDefault="00382561" w:rsidP="00382561">
      <w:pPr>
        <w:pStyle w:val="NoSpacing"/>
        <w:rPr>
          <w:rStyle w:val="URI"/>
          <w:rFonts w:cstheme="minorHAnsi"/>
          <w:sz w:val="20"/>
          <w:szCs w:val="18"/>
        </w:rPr>
      </w:pPr>
    </w:p>
    <w:p w14:paraId="2FF11EA6" w14:textId="77777777" w:rsidR="00382561" w:rsidRPr="000606CC" w:rsidRDefault="00382561" w:rsidP="00382561">
      <w:pPr>
        <w:pStyle w:val="NoSpacing"/>
        <w:rPr>
          <w:rStyle w:val="Strong"/>
          <w:rFonts w:cs="Calibri"/>
          <w:sz w:val="20"/>
          <w:szCs w:val="18"/>
        </w:rPr>
      </w:pPr>
      <w:r w:rsidRPr="000606CC">
        <w:rPr>
          <w:rStyle w:val="Strong"/>
          <w:rFonts w:cs="Calibri"/>
          <w:b w:val="0"/>
          <w:bCs w:val="0"/>
          <w:sz w:val="20"/>
          <w:szCs w:val="18"/>
        </w:rPr>
        <w:t xml:space="preserve">Communicable Diseases Intelligence (CDI) is a peer-reviewed scientific journal published by the Office of Health Protection, Department of Health. The journal aims to disseminate information on the epidemiology, surveillance, </w:t>
      </w:r>
      <w:proofErr w:type="gramStart"/>
      <w:r w:rsidRPr="000606CC">
        <w:rPr>
          <w:rStyle w:val="Strong"/>
          <w:rFonts w:cs="Calibri"/>
          <w:b w:val="0"/>
          <w:bCs w:val="0"/>
          <w:sz w:val="20"/>
          <w:szCs w:val="18"/>
        </w:rPr>
        <w:t>prevention</w:t>
      </w:r>
      <w:proofErr w:type="gramEnd"/>
      <w:r w:rsidRPr="000606CC">
        <w:rPr>
          <w:rStyle w:val="Strong"/>
          <w:rFonts w:cs="Calibri"/>
          <w:b w:val="0"/>
          <w:bCs w:val="0"/>
          <w:sz w:val="20"/>
          <w:szCs w:val="18"/>
        </w:rPr>
        <w:t xml:space="preserve"> and control of communicable diseases of relevance to Australia.</w:t>
      </w:r>
    </w:p>
    <w:p w14:paraId="50319893" w14:textId="77777777" w:rsidR="00382561" w:rsidRPr="000606CC" w:rsidRDefault="00382561" w:rsidP="00382561">
      <w:pPr>
        <w:pStyle w:val="NoSpacing"/>
        <w:rPr>
          <w:rStyle w:val="Strong"/>
          <w:rFonts w:cstheme="minorHAnsi"/>
          <w:sz w:val="20"/>
          <w:szCs w:val="18"/>
        </w:rPr>
      </w:pPr>
    </w:p>
    <w:p w14:paraId="19B72A2E" w14:textId="77777777" w:rsidR="00382561" w:rsidRPr="000606CC" w:rsidRDefault="00382561" w:rsidP="00382561">
      <w:pPr>
        <w:pStyle w:val="NoSpacing"/>
        <w:rPr>
          <w:rFonts w:cstheme="minorHAnsi"/>
          <w:sz w:val="20"/>
          <w:szCs w:val="18"/>
        </w:rPr>
      </w:pPr>
      <w:r w:rsidRPr="000606CC">
        <w:rPr>
          <w:rStyle w:val="Strong"/>
          <w:rFonts w:cstheme="minorHAnsi"/>
          <w:sz w:val="20"/>
          <w:szCs w:val="18"/>
        </w:rPr>
        <w:t xml:space="preserve">Editor: </w:t>
      </w:r>
      <w:r w:rsidRPr="000606CC">
        <w:rPr>
          <w:rFonts w:cstheme="minorHAnsi"/>
          <w:sz w:val="20"/>
          <w:szCs w:val="18"/>
        </w:rPr>
        <w:t>Cindy Toms</w:t>
      </w:r>
    </w:p>
    <w:p w14:paraId="22D9D3F8" w14:textId="77777777" w:rsidR="00382561" w:rsidRPr="000606CC" w:rsidRDefault="00382561" w:rsidP="00382561">
      <w:pPr>
        <w:pStyle w:val="NoSpacing"/>
        <w:rPr>
          <w:rFonts w:cstheme="minorHAnsi"/>
          <w:sz w:val="20"/>
          <w:szCs w:val="18"/>
        </w:rPr>
      </w:pPr>
      <w:r w:rsidRPr="000606CC">
        <w:rPr>
          <w:rStyle w:val="Strong"/>
          <w:rFonts w:cstheme="minorHAnsi"/>
          <w:sz w:val="20"/>
          <w:szCs w:val="18"/>
        </w:rPr>
        <w:t xml:space="preserve">Deputy Editor: </w:t>
      </w:r>
      <w:r w:rsidRPr="000606CC">
        <w:rPr>
          <w:rFonts w:cstheme="minorHAnsi"/>
          <w:sz w:val="20"/>
          <w:szCs w:val="18"/>
        </w:rPr>
        <w:t>Phil Wright</w:t>
      </w:r>
    </w:p>
    <w:p w14:paraId="19A59FD9" w14:textId="77777777" w:rsidR="00382561" w:rsidRPr="000606CC" w:rsidRDefault="00382561" w:rsidP="00382561">
      <w:pPr>
        <w:pStyle w:val="NoSpacing"/>
        <w:rPr>
          <w:rFonts w:cstheme="minorHAnsi"/>
          <w:sz w:val="20"/>
          <w:szCs w:val="18"/>
        </w:rPr>
      </w:pPr>
      <w:r w:rsidRPr="000606CC">
        <w:rPr>
          <w:rStyle w:val="Strong"/>
          <w:rFonts w:cstheme="minorHAnsi"/>
          <w:sz w:val="20"/>
          <w:szCs w:val="18"/>
        </w:rPr>
        <w:t xml:space="preserve">Editorial and Production Staff: </w:t>
      </w:r>
      <w:r w:rsidRPr="000606CC">
        <w:rPr>
          <w:rFonts w:cstheme="minorHAnsi"/>
          <w:sz w:val="20"/>
          <w:szCs w:val="18"/>
        </w:rPr>
        <w:t>Leroy Trapani and Kasra Yousefi</w:t>
      </w:r>
    </w:p>
    <w:p w14:paraId="01F1F7A4" w14:textId="77777777" w:rsidR="00382561" w:rsidRPr="000606CC" w:rsidRDefault="00382561" w:rsidP="00382561">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Durrheim, </w:t>
      </w:r>
      <w:r w:rsidRPr="000606CC">
        <w:rPr>
          <w:rStyle w:val="nobreak"/>
          <w:rFonts w:cstheme="minorHAnsi"/>
          <w:sz w:val="20"/>
          <w:szCs w:val="18"/>
        </w:rPr>
        <w:t>Mark Ferson</w:t>
      </w:r>
      <w:r w:rsidRPr="000606CC">
        <w:rPr>
          <w:rFonts w:cstheme="minorHAnsi"/>
          <w:sz w:val="20"/>
          <w:szCs w:val="18"/>
        </w:rPr>
        <w:t xml:space="preserve">, John Kaldor and </w:t>
      </w:r>
      <w:r w:rsidRPr="000606CC">
        <w:rPr>
          <w:rStyle w:val="nobreak"/>
          <w:rFonts w:cstheme="minorHAnsi"/>
          <w:sz w:val="20"/>
          <w:szCs w:val="18"/>
        </w:rPr>
        <w:t>Martyn Kirk</w:t>
      </w:r>
    </w:p>
    <w:p w14:paraId="3AB5FDB5" w14:textId="77777777" w:rsidR="00382561" w:rsidRPr="000606CC" w:rsidRDefault="00382561" w:rsidP="00382561">
      <w:pPr>
        <w:pStyle w:val="NoSpacing"/>
        <w:rPr>
          <w:rStyle w:val="Strong"/>
          <w:rFonts w:cstheme="minorHAnsi"/>
          <w:sz w:val="20"/>
          <w:szCs w:val="18"/>
        </w:rPr>
      </w:pPr>
    </w:p>
    <w:p w14:paraId="72D2EC42" w14:textId="0EF10059" w:rsidR="00382561" w:rsidRPr="000606CC" w:rsidRDefault="00382561" w:rsidP="00382561">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6"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20BE9936" w14:textId="77777777" w:rsidR="00382561" w:rsidRPr="000606CC" w:rsidRDefault="00382561" w:rsidP="00382561">
      <w:pPr>
        <w:pStyle w:val="NoSpacing"/>
        <w:rPr>
          <w:rStyle w:val="Strong"/>
          <w:rFonts w:cstheme="minorHAnsi"/>
          <w:sz w:val="20"/>
          <w:szCs w:val="18"/>
        </w:rPr>
      </w:pPr>
    </w:p>
    <w:p w14:paraId="4B08828F" w14:textId="77777777" w:rsidR="00382561" w:rsidRPr="000606CC" w:rsidRDefault="00382561" w:rsidP="00382561">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Pr="000606CC">
        <w:rPr>
          <w:rFonts w:cstheme="minorHAnsi"/>
          <w:sz w:val="20"/>
          <w:szCs w:val="18"/>
        </w:rPr>
        <w:t xml:space="preserve">Communicable Diseases Intelligence is produced by: </w:t>
      </w:r>
      <w:r w:rsidRPr="000606CC">
        <w:rPr>
          <w:rFonts w:cstheme="minorHAnsi"/>
          <w:sz w:val="20"/>
          <w:szCs w:val="18"/>
        </w:rPr>
        <w:br/>
        <w:t>Health Protection Policy Branch, Office of Health Protection, Australian Government Department of Health</w:t>
      </w:r>
      <w:r w:rsidRPr="000606CC">
        <w:rPr>
          <w:rFonts w:cstheme="minorHAnsi"/>
          <w:sz w:val="20"/>
          <w:szCs w:val="18"/>
        </w:rPr>
        <w:br/>
        <w:t>GPO Box 9848, (MDP 6) CANBERRA ACT 2601</w:t>
      </w:r>
    </w:p>
    <w:p w14:paraId="20858EE7" w14:textId="77777777" w:rsidR="00382561" w:rsidRPr="000606CC" w:rsidRDefault="00382561" w:rsidP="00382561">
      <w:pPr>
        <w:pStyle w:val="NoSpacing"/>
        <w:rPr>
          <w:rStyle w:val="Strong"/>
          <w:rFonts w:cstheme="minorHAnsi"/>
          <w:sz w:val="20"/>
          <w:szCs w:val="18"/>
        </w:rPr>
      </w:pPr>
    </w:p>
    <w:p w14:paraId="3EC7FD6C" w14:textId="5A76B1D9" w:rsidR="00382561" w:rsidRPr="000606CC" w:rsidRDefault="00382561" w:rsidP="00382561">
      <w:pPr>
        <w:pStyle w:val="NoSpacing"/>
        <w:rPr>
          <w:rStyle w:val="URI"/>
          <w:rFonts w:cstheme="minorHAnsi"/>
          <w:sz w:val="20"/>
          <w:szCs w:val="18"/>
        </w:rPr>
      </w:pPr>
      <w:r w:rsidRPr="000606CC">
        <w:rPr>
          <w:rStyle w:val="Strong"/>
          <w:rFonts w:cstheme="minorHAnsi"/>
          <w:sz w:val="20"/>
          <w:szCs w:val="18"/>
        </w:rPr>
        <w:t xml:space="preserve">Email: </w:t>
      </w:r>
      <w:hyperlink r:id="rId17"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1951F958" w14:textId="77777777" w:rsidR="00382561" w:rsidRPr="000606CC" w:rsidRDefault="00382561" w:rsidP="00382561">
      <w:pPr>
        <w:pStyle w:val="NoSpacing"/>
        <w:rPr>
          <w:rStyle w:val="Strong"/>
          <w:rFonts w:cstheme="minorHAnsi"/>
          <w:sz w:val="20"/>
          <w:szCs w:val="18"/>
        </w:rPr>
      </w:pPr>
    </w:p>
    <w:p w14:paraId="78D76807" w14:textId="7251EF62" w:rsidR="00382561" w:rsidRPr="000606CC" w:rsidRDefault="00382561" w:rsidP="00382561">
      <w:pPr>
        <w:pStyle w:val="NoSpacing"/>
        <w:rPr>
          <w:rFonts w:cstheme="minorHAnsi"/>
          <w:sz w:val="20"/>
          <w:szCs w:val="18"/>
        </w:rPr>
      </w:pPr>
      <w:r w:rsidRPr="000606CC">
        <w:rPr>
          <w:rStyle w:val="Strong"/>
          <w:rFonts w:cstheme="minorHAnsi"/>
          <w:sz w:val="20"/>
          <w:szCs w:val="18"/>
        </w:rPr>
        <w:t xml:space="preserve">Submit an </w:t>
      </w:r>
      <w:proofErr w:type="gramStart"/>
      <w:r w:rsidRPr="000606CC">
        <w:rPr>
          <w:rStyle w:val="Strong"/>
          <w:rFonts w:cstheme="minorHAnsi"/>
          <w:sz w:val="20"/>
          <w:szCs w:val="18"/>
        </w:rPr>
        <w:t>Article</w:t>
      </w:r>
      <w:proofErr w:type="gramEnd"/>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18"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7ABEC42F" w14:textId="6FA18CDA" w:rsidR="00382561" w:rsidRPr="000606CC" w:rsidRDefault="00382561" w:rsidP="00382561">
      <w:pPr>
        <w:pStyle w:val="NoSpacing"/>
        <w:rPr>
          <w:rFonts w:cstheme="minorHAnsi"/>
          <w:sz w:val="20"/>
          <w:szCs w:val="18"/>
        </w:rPr>
      </w:pPr>
      <w:r w:rsidRPr="000606CC">
        <w:rPr>
          <w:rFonts w:cstheme="minorHAnsi"/>
          <w:sz w:val="20"/>
          <w:szCs w:val="18"/>
        </w:rPr>
        <w:t xml:space="preserve">Further enquiries should be directed to: </w:t>
      </w:r>
      <w:hyperlink r:id="rId19" w:history="1">
        <w:r w:rsidRPr="000606CC">
          <w:rPr>
            <w:rStyle w:val="Hyperlink"/>
            <w:rFonts w:cstheme="minorHAnsi"/>
            <w:sz w:val="20"/>
            <w:szCs w:val="18"/>
          </w:rPr>
          <w:t>cdi.editor@health.gov.au</w:t>
        </w:r>
      </w:hyperlink>
      <w:r w:rsidRPr="000606CC">
        <w:rPr>
          <w:rFonts w:cstheme="minorHAnsi"/>
          <w:sz w:val="20"/>
          <w:szCs w:val="18"/>
        </w:rPr>
        <w:t>.</w:t>
      </w:r>
    </w:p>
    <w:p w14:paraId="037931CB" w14:textId="77777777" w:rsidR="00382561" w:rsidRPr="000606CC" w:rsidRDefault="00382561" w:rsidP="00382561">
      <w:pPr>
        <w:pStyle w:val="NoSpacing"/>
        <w:pBdr>
          <w:bottom w:val="single" w:sz="6" w:space="1" w:color="auto"/>
        </w:pBdr>
        <w:rPr>
          <w:rStyle w:val="Strong"/>
          <w:rFonts w:cstheme="minorHAnsi"/>
          <w:sz w:val="12"/>
          <w:szCs w:val="18"/>
        </w:rPr>
      </w:pPr>
    </w:p>
    <w:p w14:paraId="5B77EFD1" w14:textId="77777777" w:rsidR="00382561" w:rsidRPr="000606CC" w:rsidRDefault="00382561" w:rsidP="00382561">
      <w:pPr>
        <w:pStyle w:val="NoSpacing"/>
        <w:rPr>
          <w:rFonts w:cstheme="minorHAnsi"/>
          <w:sz w:val="20"/>
          <w:szCs w:val="18"/>
        </w:rPr>
      </w:pPr>
    </w:p>
    <w:p w14:paraId="2338122C" w14:textId="77777777" w:rsidR="00382561" w:rsidRPr="000606CC" w:rsidRDefault="00382561" w:rsidP="00382561">
      <w:pPr>
        <w:pStyle w:val="NoSpacing"/>
        <w:rPr>
          <w:rFonts w:cstheme="minorHAnsi"/>
          <w:sz w:val="20"/>
          <w:szCs w:val="18"/>
        </w:rPr>
      </w:pPr>
      <w:r w:rsidRPr="000606CC">
        <w:rPr>
          <w:rFonts w:cstheme="minorHAnsi"/>
          <w:sz w:val="20"/>
          <w:szCs w:val="18"/>
        </w:rPr>
        <w:t xml:space="preserve">This journal is indexed by Index </w:t>
      </w:r>
      <w:proofErr w:type="spellStart"/>
      <w:r w:rsidRPr="000606CC">
        <w:rPr>
          <w:rFonts w:cstheme="minorHAnsi"/>
          <w:sz w:val="20"/>
          <w:szCs w:val="18"/>
        </w:rPr>
        <w:t>Medicus</w:t>
      </w:r>
      <w:proofErr w:type="spellEnd"/>
      <w:r w:rsidRPr="000606CC">
        <w:rPr>
          <w:rFonts w:cstheme="minorHAnsi"/>
          <w:sz w:val="20"/>
          <w:szCs w:val="18"/>
        </w:rPr>
        <w:t xml:space="preserve"> and Medline.</w:t>
      </w:r>
    </w:p>
    <w:p w14:paraId="391DF561" w14:textId="77777777" w:rsidR="00382561" w:rsidRPr="000606CC" w:rsidRDefault="00382561" w:rsidP="00382561">
      <w:pPr>
        <w:pStyle w:val="NoSpacing"/>
        <w:rPr>
          <w:rFonts w:cstheme="minorHAnsi"/>
          <w:sz w:val="20"/>
          <w:szCs w:val="18"/>
        </w:rPr>
      </w:pPr>
    </w:p>
    <w:p w14:paraId="4D5B6A72" w14:textId="77777777" w:rsidR="00382561" w:rsidRPr="000606CC" w:rsidRDefault="00382561" w:rsidP="00382561">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470F79F2" w14:textId="77777777" w:rsidR="00382561" w:rsidRPr="000606CC" w:rsidRDefault="00382561" w:rsidP="00382561">
      <w:pPr>
        <w:pStyle w:val="NoSpacing"/>
        <w:rPr>
          <w:rFonts w:cstheme="minorHAnsi"/>
          <w:sz w:val="20"/>
          <w:szCs w:val="18"/>
        </w:rPr>
      </w:pPr>
      <w:r w:rsidRPr="000606CC">
        <w:rPr>
          <w:rFonts w:cstheme="minorHAnsi"/>
          <w:sz w:val="20"/>
          <w:szCs w:val="18"/>
        </w:rPr>
        <w:t>© 2019 Commonwealth of Australia as represented by the Department of Health</w:t>
      </w:r>
    </w:p>
    <w:p w14:paraId="37C60D49" w14:textId="027EEB51" w:rsidR="00382561" w:rsidRPr="000606CC" w:rsidRDefault="00382561" w:rsidP="00382561">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20"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43F8713A" w14:textId="77777777" w:rsidR="00382561" w:rsidRPr="000606CC" w:rsidRDefault="00382561" w:rsidP="00382561">
      <w:pPr>
        <w:pStyle w:val="NoSpacing"/>
        <w:rPr>
          <w:rFonts w:cstheme="minorHAnsi"/>
          <w:sz w:val="20"/>
          <w:szCs w:val="18"/>
        </w:rPr>
      </w:pPr>
    </w:p>
    <w:p w14:paraId="2D1C9164" w14:textId="77777777" w:rsidR="00382561" w:rsidRPr="000606CC" w:rsidRDefault="00382561" w:rsidP="00382561">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 xml:space="preserve">The Licence does not cover, and there is no permission given for, use of any of the following material found in this publication (if any): </w:t>
      </w:r>
    </w:p>
    <w:p w14:paraId="3C028291" w14:textId="11F6A3C5" w:rsidR="00382561" w:rsidRPr="00421D31" w:rsidRDefault="00382561" w:rsidP="00382561">
      <w:pPr>
        <w:pStyle w:val="NoSpacing"/>
        <w:numPr>
          <w:ilvl w:val="0"/>
          <w:numId w:val="8"/>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21" w:tooltip="Australian Honours system website" w:history="1">
        <w:r w:rsidRPr="00421D31">
          <w:rPr>
            <w:rStyle w:val="Hyperlink"/>
            <w:rFonts w:cstheme="minorHAnsi"/>
            <w:sz w:val="20"/>
            <w:szCs w:val="18"/>
            <w:u w:val="none"/>
          </w:rPr>
          <w:t>www.itsanhonour.gov.au</w:t>
        </w:r>
      </w:hyperlink>
      <w:r w:rsidRPr="00421D31">
        <w:rPr>
          <w:rStyle w:val="URI"/>
          <w:rFonts w:cstheme="minorHAnsi"/>
          <w:sz w:val="20"/>
          <w:szCs w:val="18"/>
          <w:u w:val="none"/>
        </w:rPr>
        <w:t>)</w:t>
      </w:r>
      <w:r w:rsidRPr="00421D31">
        <w:rPr>
          <w:rFonts w:cstheme="minorHAnsi"/>
          <w:sz w:val="20"/>
          <w:szCs w:val="18"/>
        </w:rPr>
        <w:t xml:space="preserve">;  </w:t>
      </w:r>
    </w:p>
    <w:p w14:paraId="4757DB54" w14:textId="77777777" w:rsidR="00382561" w:rsidRPr="000606CC" w:rsidRDefault="00382561" w:rsidP="00382561">
      <w:pPr>
        <w:pStyle w:val="NoSpacing"/>
        <w:numPr>
          <w:ilvl w:val="0"/>
          <w:numId w:val="8"/>
        </w:numPr>
        <w:rPr>
          <w:rFonts w:cstheme="minorHAnsi"/>
          <w:sz w:val="20"/>
          <w:szCs w:val="18"/>
        </w:rPr>
      </w:pPr>
      <w:r w:rsidRPr="000606CC">
        <w:rPr>
          <w:rFonts w:cstheme="minorHAnsi"/>
          <w:sz w:val="20"/>
          <w:szCs w:val="18"/>
        </w:rPr>
        <w:t xml:space="preserve">any logos (including the Department of Health’s logo) and </w:t>
      </w:r>
      <w:proofErr w:type="gramStart"/>
      <w:r w:rsidRPr="000606CC">
        <w:rPr>
          <w:rFonts w:cstheme="minorHAnsi"/>
          <w:sz w:val="20"/>
          <w:szCs w:val="18"/>
        </w:rPr>
        <w:t>trademarks;</w:t>
      </w:r>
      <w:proofErr w:type="gramEnd"/>
    </w:p>
    <w:p w14:paraId="1085F983" w14:textId="77777777" w:rsidR="00382561" w:rsidRPr="000606CC" w:rsidRDefault="00382561" w:rsidP="00382561">
      <w:pPr>
        <w:pStyle w:val="NoSpacing"/>
        <w:numPr>
          <w:ilvl w:val="0"/>
          <w:numId w:val="8"/>
        </w:numPr>
        <w:rPr>
          <w:rFonts w:cstheme="minorHAnsi"/>
          <w:sz w:val="20"/>
          <w:szCs w:val="18"/>
        </w:rPr>
      </w:pPr>
      <w:r w:rsidRPr="000606CC">
        <w:rPr>
          <w:rFonts w:cstheme="minorHAnsi"/>
          <w:sz w:val="20"/>
          <w:szCs w:val="18"/>
        </w:rPr>
        <w:t xml:space="preserve">any photographs and </w:t>
      </w:r>
      <w:proofErr w:type="gramStart"/>
      <w:r w:rsidRPr="000606CC">
        <w:rPr>
          <w:rFonts w:cstheme="minorHAnsi"/>
          <w:sz w:val="20"/>
          <w:szCs w:val="18"/>
        </w:rPr>
        <w:t>images;</w:t>
      </w:r>
      <w:proofErr w:type="gramEnd"/>
      <w:r w:rsidRPr="000606CC">
        <w:rPr>
          <w:rFonts w:cstheme="minorHAnsi"/>
          <w:sz w:val="20"/>
          <w:szCs w:val="18"/>
        </w:rPr>
        <w:t xml:space="preserve"> </w:t>
      </w:r>
    </w:p>
    <w:p w14:paraId="7EC1E1D0" w14:textId="77777777" w:rsidR="00382561" w:rsidRPr="000606CC" w:rsidRDefault="00382561" w:rsidP="00382561">
      <w:pPr>
        <w:pStyle w:val="NoSpacing"/>
        <w:numPr>
          <w:ilvl w:val="0"/>
          <w:numId w:val="8"/>
        </w:numPr>
        <w:rPr>
          <w:rFonts w:cstheme="minorHAnsi"/>
          <w:sz w:val="20"/>
          <w:szCs w:val="18"/>
        </w:rPr>
      </w:pPr>
      <w:r w:rsidRPr="000606CC">
        <w:rPr>
          <w:rFonts w:cstheme="minorHAnsi"/>
          <w:sz w:val="20"/>
          <w:szCs w:val="18"/>
        </w:rPr>
        <w:t>any signatures; and</w:t>
      </w:r>
    </w:p>
    <w:p w14:paraId="6F00F6D9" w14:textId="77777777" w:rsidR="00382561" w:rsidRPr="000606CC" w:rsidRDefault="00382561" w:rsidP="00382561">
      <w:pPr>
        <w:pStyle w:val="NoSpacing"/>
        <w:numPr>
          <w:ilvl w:val="0"/>
          <w:numId w:val="8"/>
        </w:numPr>
        <w:rPr>
          <w:rFonts w:cstheme="minorHAnsi"/>
          <w:sz w:val="20"/>
          <w:szCs w:val="18"/>
        </w:rPr>
      </w:pPr>
      <w:r w:rsidRPr="000606CC">
        <w:rPr>
          <w:rFonts w:cstheme="minorHAnsi"/>
          <w:sz w:val="20"/>
          <w:szCs w:val="18"/>
        </w:rPr>
        <w:t xml:space="preserve">any material belonging to third parties. </w:t>
      </w:r>
    </w:p>
    <w:p w14:paraId="130AE0A4" w14:textId="77777777" w:rsidR="00382561" w:rsidRPr="000606CC" w:rsidRDefault="00382561" w:rsidP="00382561">
      <w:pPr>
        <w:pStyle w:val="NoSpacing"/>
        <w:rPr>
          <w:rStyle w:val="Strong"/>
          <w:rFonts w:cstheme="minorHAnsi"/>
          <w:sz w:val="20"/>
          <w:szCs w:val="18"/>
        </w:rPr>
      </w:pPr>
    </w:p>
    <w:p w14:paraId="2358A628" w14:textId="77777777" w:rsidR="00382561" w:rsidRPr="000606CC" w:rsidRDefault="00382561" w:rsidP="00382561">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14:paraId="1AEB1750" w14:textId="77777777" w:rsidR="00382561" w:rsidRPr="000606CC" w:rsidRDefault="00382561" w:rsidP="00382561">
      <w:pPr>
        <w:pStyle w:val="NoSpacing"/>
        <w:rPr>
          <w:rStyle w:val="Strong"/>
          <w:rFonts w:cstheme="minorHAnsi"/>
          <w:sz w:val="20"/>
          <w:szCs w:val="18"/>
        </w:rPr>
      </w:pPr>
    </w:p>
    <w:p w14:paraId="47EA162E" w14:textId="57E43853" w:rsidR="00382561" w:rsidRPr="000606CC" w:rsidRDefault="00382561" w:rsidP="00382561">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Department of Health, GPO Box 9848, Canberra ACT 2601, or via e-mail to: </w:t>
      </w:r>
      <w:hyperlink r:id="rId22"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7A61AC70" w14:textId="77777777" w:rsidR="00382561" w:rsidRPr="000606CC" w:rsidRDefault="00382561" w:rsidP="00382561">
      <w:pPr>
        <w:pStyle w:val="NoSpacing"/>
        <w:rPr>
          <w:rStyle w:val="URI"/>
          <w:rFonts w:cstheme="minorHAnsi"/>
          <w:sz w:val="20"/>
          <w:szCs w:val="18"/>
        </w:rPr>
      </w:pPr>
    </w:p>
    <w:p w14:paraId="10213AB4" w14:textId="1C24F902" w:rsidR="00382561" w:rsidRPr="000606CC" w:rsidRDefault="00382561" w:rsidP="00382561">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23" w:tooltip="Communicable Diseases Network Australia website" w:history="1">
        <w:r w:rsidRPr="000606CC">
          <w:rPr>
            <w:rStyle w:val="Hyperlink"/>
            <w:rFonts w:cstheme="minorHAnsi"/>
            <w:sz w:val="20"/>
            <w:szCs w:val="18"/>
          </w:rPr>
          <w:t>http://www.health.gov.au/cdna</w:t>
        </w:r>
      </w:hyperlink>
    </w:p>
    <w:p w14:paraId="46ADEE74" w14:textId="36F5CA9C" w:rsidR="001B37B8" w:rsidRPr="00382561" w:rsidRDefault="001B37B8" w:rsidP="001B37B8">
      <w:pPr>
        <w:rPr>
          <w:rFonts w:cs="Myriad Pro"/>
          <w:color w:val="211D1E"/>
        </w:rPr>
      </w:pPr>
    </w:p>
    <w:sectPr w:rsidR="001B37B8" w:rsidRPr="00382561" w:rsidSect="00382561">
      <w:headerReference w:type="first" r:id="rId24"/>
      <w:pgSz w:w="11906" w:h="16838"/>
      <w:pgMar w:top="720" w:right="720" w:bottom="1134" w:left="720" w:header="62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B0E5E" w14:textId="77777777" w:rsidR="001F7DC0" w:rsidRDefault="001F7DC0" w:rsidP="00E54DBA">
      <w:r>
        <w:separator/>
      </w:r>
    </w:p>
    <w:p w14:paraId="6DE313D9" w14:textId="77777777" w:rsidR="001F7DC0" w:rsidRDefault="001F7DC0"/>
    <w:p w14:paraId="3B7D54A8" w14:textId="77777777" w:rsidR="001F7DC0" w:rsidRDefault="001F7DC0" w:rsidP="008714B0"/>
  </w:endnote>
  <w:endnote w:type="continuationSeparator" w:id="0">
    <w:p w14:paraId="05F9D6EE" w14:textId="77777777" w:rsidR="001F7DC0" w:rsidRDefault="001F7DC0" w:rsidP="00E54DBA">
      <w:r>
        <w:continuationSeparator/>
      </w:r>
    </w:p>
    <w:p w14:paraId="5CB70A67" w14:textId="77777777" w:rsidR="001F7DC0" w:rsidRDefault="001F7DC0"/>
    <w:p w14:paraId="7516F61E" w14:textId="77777777" w:rsidR="001F7DC0" w:rsidRDefault="001F7DC0"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F6925" w14:textId="77777777" w:rsidR="001A5C1F" w:rsidRDefault="001A5C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25420" w14:textId="6750303B" w:rsidR="00401ED1" w:rsidRPr="0042435E" w:rsidRDefault="0042435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B11FEF">
      <w:rPr>
        <w:noProof/>
        <w:sz w:val="18"/>
      </w:rPr>
      <w:t>2</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B11FEF">
      <w:rPr>
        <w:noProof/>
        <w:sz w:val="18"/>
      </w:rPr>
      <w:t>16</w:t>
    </w:r>
    <w:r w:rsidR="007C6454">
      <w:rPr>
        <w:noProof/>
        <w:sz w:val="18"/>
      </w:rPr>
      <w:fldChar w:fldCharType="end"/>
    </w:r>
    <w:r>
      <w:rPr>
        <w:noProof/>
        <w:sz w:val="18"/>
      </w:rPr>
      <w:t xml:space="preserve"> </w:t>
    </w:r>
    <w:r w:rsidRPr="004315F5">
      <w:rPr>
        <w:sz w:val="18"/>
      </w:rPr>
      <w:t xml:space="preserve"> </w:t>
    </w:r>
    <w:r w:rsidR="00231046">
      <w:rPr>
        <w:noProof/>
        <w:sz w:val="18"/>
      </w:rPr>
      <w:ptab w:relativeTo="margin" w:alignment="center" w:leader="none"/>
    </w:r>
    <w:r w:rsidR="001A5C1F" w:rsidRPr="001A5C1F">
      <w:rPr>
        <w:sz w:val="18"/>
      </w:rPr>
      <w:t>Commun Dis Intell (2018) 2019;43 https://doi.org/10.33321/cdi.2019.43.</w:t>
    </w:r>
    <w:r w:rsidR="001A5C1F">
      <w:rPr>
        <w:sz w:val="18"/>
      </w:rPr>
      <w:t>5</w:t>
    </w:r>
    <w:r>
      <w:rPr>
        <w:sz w:val="18"/>
      </w:rPr>
      <w:ptab w:relativeTo="margin" w:alignment="right" w:leader="none"/>
    </w:r>
    <w:r w:rsidRPr="00155582">
      <w:rPr>
        <w:sz w:val="18"/>
      </w:rPr>
      <w:t>health.gov.au/</w:t>
    </w:r>
    <w:proofErr w:type="gramStart"/>
    <w:r w:rsidRPr="00155582">
      <w:rPr>
        <w:sz w:val="18"/>
      </w:rPr>
      <w:t>cdi</w:t>
    </w:r>
    <w:proofErr w:type="gram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E233D" w14:textId="670062D4" w:rsidR="00BB5378" w:rsidRPr="00BB5378" w:rsidRDefault="00BB537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B11FEF">
      <w:rPr>
        <w:noProof/>
        <w:sz w:val="18"/>
      </w:rPr>
      <w:t>1</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B11FEF">
      <w:rPr>
        <w:noProof/>
        <w:sz w:val="18"/>
      </w:rPr>
      <w:t>2</w:t>
    </w:r>
    <w:r w:rsidR="00B132DB">
      <w:rPr>
        <w:noProof/>
        <w:sz w:val="18"/>
      </w:rPr>
      <w:fldChar w:fldCharType="end"/>
    </w:r>
    <w:r>
      <w:rPr>
        <w:noProof/>
        <w:sz w:val="18"/>
      </w:rPr>
      <w:t xml:space="preserve"> </w:t>
    </w:r>
    <w:r>
      <w:rPr>
        <w:noProof/>
        <w:sz w:val="18"/>
      </w:rPr>
      <w:ptab w:relativeTo="margin" w:alignment="center" w:leader="none"/>
    </w:r>
    <w:r w:rsidR="001A5C1F" w:rsidRPr="001A5C1F">
      <w:rPr>
        <w:sz w:val="18"/>
      </w:rPr>
      <w:t>Commun Dis Intell (2018) 2019;43 https://doi.org/10.33321/cdi.2019.43.</w:t>
    </w:r>
    <w:r w:rsidR="001A5C1F">
      <w:rPr>
        <w:sz w:val="18"/>
      </w:rPr>
      <w:t>5</w:t>
    </w:r>
    <w:r>
      <w:rPr>
        <w:sz w:val="18"/>
      </w:rPr>
      <w:ptab w:relativeTo="margin" w:alignment="right" w:leader="none"/>
    </w:r>
    <w:r w:rsidRPr="00155582">
      <w:rPr>
        <w:sz w:val="18"/>
      </w:rPr>
      <w:t>health.gov.au/</w:t>
    </w:r>
    <w:proofErr w:type="gramStart"/>
    <w:r w:rsidRPr="00155582">
      <w:rPr>
        <w:sz w:val="18"/>
      </w:rPr>
      <w:t>cdi</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F608A" w14:textId="77777777" w:rsidR="001F7DC0" w:rsidRDefault="001F7DC0" w:rsidP="00E54DBA">
      <w:r>
        <w:separator/>
      </w:r>
    </w:p>
    <w:p w14:paraId="43A76978" w14:textId="77777777" w:rsidR="001F7DC0" w:rsidRDefault="001F7DC0"/>
    <w:p w14:paraId="08860A8C" w14:textId="77777777" w:rsidR="001F7DC0" w:rsidRDefault="001F7DC0" w:rsidP="008714B0"/>
  </w:footnote>
  <w:footnote w:type="continuationSeparator" w:id="0">
    <w:p w14:paraId="11DE0F86" w14:textId="77777777" w:rsidR="001F7DC0" w:rsidRDefault="001F7DC0" w:rsidP="00E54DBA">
      <w:r>
        <w:continuationSeparator/>
      </w:r>
    </w:p>
    <w:p w14:paraId="0F06335E" w14:textId="77777777" w:rsidR="001F7DC0" w:rsidRDefault="001F7DC0"/>
    <w:p w14:paraId="7BED4CA6" w14:textId="77777777" w:rsidR="001F7DC0" w:rsidRDefault="001F7DC0" w:rsidP="008714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EDBD5" w14:textId="77777777" w:rsidR="001A5C1F" w:rsidRDefault="001A5C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2F7EA" w14:textId="77777777" w:rsidR="00257484" w:rsidRDefault="001A5C1F" w:rsidP="00252C9A">
    <w:pPr>
      <w:pStyle w:val="Header"/>
      <w:pBdr>
        <w:bottom w:val="single" w:sz="2"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2664C6">
          <w:t>Annual report</w:t>
        </w:r>
      </w:sdtContent>
    </w:sdt>
    <w:r w:rsidR="00BB5378">
      <w:ptab w:relativeTo="margin" w:alignment="right" w:leader="none"/>
    </w:r>
    <w:r w:rsidR="00BB5378" w:rsidRPr="00BB5378">
      <w:t>Communicable Diseases Intelligence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D3395" w14:textId="0B1E635C" w:rsidR="00382561" w:rsidRDefault="00382561" w:rsidP="00382561">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5C229" w14:textId="77777777" w:rsidR="00D30F1C" w:rsidRDefault="00C63B81" w:rsidP="008F3500">
    <w:pPr>
      <w:pStyle w:val="Header"/>
      <w:jc w:val="center"/>
    </w:pPr>
    <w:r w:rsidRPr="00E810C5">
      <w:rPr>
        <w:rFonts w:cs="Myriad Pro"/>
        <w:noProof/>
        <w:color w:val="211D1E"/>
        <w:sz w:val="16"/>
      </w:rPr>
      <w:drawing>
        <wp:inline distT="0" distB="0" distL="0" distR="0" wp14:anchorId="4A4D825E" wp14:editId="1A8F2EDC">
          <wp:extent cx="1804481" cy="436389"/>
          <wp:effectExtent l="0" t="0" r="5715" b="1905"/>
          <wp:docPr id="3" name="Picture 3"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C5BB0"/>
    <w:multiLevelType w:val="multilevel"/>
    <w:tmpl w:val="796C8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CF76315"/>
    <w:multiLevelType w:val="multilevel"/>
    <w:tmpl w:val="DA160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33828735">
    <w:abstractNumId w:val="2"/>
  </w:num>
  <w:num w:numId="2" w16cid:durableId="1161581138">
    <w:abstractNumId w:val="3"/>
  </w:num>
  <w:num w:numId="3" w16cid:durableId="2138834632">
    <w:abstractNumId w:val="4"/>
  </w:num>
  <w:num w:numId="4" w16cid:durableId="474491314">
    <w:abstractNumId w:val="1"/>
  </w:num>
  <w:num w:numId="5" w16cid:durableId="822544668">
    <w:abstractNumId w:val="5"/>
  </w:num>
  <w:num w:numId="6" w16cid:durableId="933436375">
    <w:abstractNumId w:val="0"/>
  </w:num>
  <w:num w:numId="7" w16cid:durableId="437874037">
    <w:abstractNumId w:val="7"/>
  </w:num>
  <w:num w:numId="8" w16cid:durableId="8089416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noPunctuationKerning/>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DC0"/>
    <w:rsid w:val="00000B5B"/>
    <w:rsid w:val="000014DA"/>
    <w:rsid w:val="00001611"/>
    <w:rsid w:val="000104A8"/>
    <w:rsid w:val="0001246E"/>
    <w:rsid w:val="000124B1"/>
    <w:rsid w:val="00016FE6"/>
    <w:rsid w:val="00030D9D"/>
    <w:rsid w:val="00031064"/>
    <w:rsid w:val="00031692"/>
    <w:rsid w:val="00032531"/>
    <w:rsid w:val="000471BF"/>
    <w:rsid w:val="00052600"/>
    <w:rsid w:val="0005643C"/>
    <w:rsid w:val="00060E7F"/>
    <w:rsid w:val="0006264A"/>
    <w:rsid w:val="000728EA"/>
    <w:rsid w:val="00073D77"/>
    <w:rsid w:val="0007650C"/>
    <w:rsid w:val="00081149"/>
    <w:rsid w:val="00081655"/>
    <w:rsid w:val="000864E0"/>
    <w:rsid w:val="00087E79"/>
    <w:rsid w:val="000969B3"/>
    <w:rsid w:val="000B05F5"/>
    <w:rsid w:val="000B6E8F"/>
    <w:rsid w:val="000C1A98"/>
    <w:rsid w:val="000D4B4D"/>
    <w:rsid w:val="00104403"/>
    <w:rsid w:val="00113D58"/>
    <w:rsid w:val="00155582"/>
    <w:rsid w:val="00161590"/>
    <w:rsid w:val="00165501"/>
    <w:rsid w:val="00171CC0"/>
    <w:rsid w:val="00175494"/>
    <w:rsid w:val="00175629"/>
    <w:rsid w:val="001830EC"/>
    <w:rsid w:val="00183534"/>
    <w:rsid w:val="00194194"/>
    <w:rsid w:val="001A4A96"/>
    <w:rsid w:val="001A5C1F"/>
    <w:rsid w:val="001A5D05"/>
    <w:rsid w:val="001A796C"/>
    <w:rsid w:val="001B2614"/>
    <w:rsid w:val="001B37B8"/>
    <w:rsid w:val="001B552F"/>
    <w:rsid w:val="001C0893"/>
    <w:rsid w:val="001C1303"/>
    <w:rsid w:val="001C70B2"/>
    <w:rsid w:val="001C7AF5"/>
    <w:rsid w:val="001D6888"/>
    <w:rsid w:val="001F7DC0"/>
    <w:rsid w:val="002201A3"/>
    <w:rsid w:val="002276DC"/>
    <w:rsid w:val="00227E00"/>
    <w:rsid w:val="002307CB"/>
    <w:rsid w:val="00231046"/>
    <w:rsid w:val="00242659"/>
    <w:rsid w:val="002428F7"/>
    <w:rsid w:val="0024315F"/>
    <w:rsid w:val="00252C9A"/>
    <w:rsid w:val="00256309"/>
    <w:rsid w:val="00257484"/>
    <w:rsid w:val="00260636"/>
    <w:rsid w:val="002664C6"/>
    <w:rsid w:val="00280594"/>
    <w:rsid w:val="00281EE3"/>
    <w:rsid w:val="00284E4A"/>
    <w:rsid w:val="002A3799"/>
    <w:rsid w:val="002A3BCC"/>
    <w:rsid w:val="002A4516"/>
    <w:rsid w:val="002A569F"/>
    <w:rsid w:val="002A7066"/>
    <w:rsid w:val="002B001E"/>
    <w:rsid w:val="002B09B7"/>
    <w:rsid w:val="002C21B0"/>
    <w:rsid w:val="002E2FB3"/>
    <w:rsid w:val="002F327B"/>
    <w:rsid w:val="002F598D"/>
    <w:rsid w:val="00301626"/>
    <w:rsid w:val="00316CCD"/>
    <w:rsid w:val="00324F7E"/>
    <w:rsid w:val="003323BC"/>
    <w:rsid w:val="003325E9"/>
    <w:rsid w:val="00346D42"/>
    <w:rsid w:val="00346E11"/>
    <w:rsid w:val="003601C0"/>
    <w:rsid w:val="003635F5"/>
    <w:rsid w:val="00367678"/>
    <w:rsid w:val="00372A88"/>
    <w:rsid w:val="00381A0F"/>
    <w:rsid w:val="00382561"/>
    <w:rsid w:val="0038665C"/>
    <w:rsid w:val="003A1B3A"/>
    <w:rsid w:val="003A40F5"/>
    <w:rsid w:val="003B316D"/>
    <w:rsid w:val="003B46DF"/>
    <w:rsid w:val="003B5B8C"/>
    <w:rsid w:val="003D79B1"/>
    <w:rsid w:val="003E74EE"/>
    <w:rsid w:val="003F0552"/>
    <w:rsid w:val="003F3BC2"/>
    <w:rsid w:val="00401ED1"/>
    <w:rsid w:val="0040354E"/>
    <w:rsid w:val="00413EE1"/>
    <w:rsid w:val="004164BB"/>
    <w:rsid w:val="00421D31"/>
    <w:rsid w:val="00421ECE"/>
    <w:rsid w:val="0042435E"/>
    <w:rsid w:val="004315F5"/>
    <w:rsid w:val="00433456"/>
    <w:rsid w:val="00433DFA"/>
    <w:rsid w:val="00435D67"/>
    <w:rsid w:val="00464A58"/>
    <w:rsid w:val="0047168E"/>
    <w:rsid w:val="00473D2D"/>
    <w:rsid w:val="004A2125"/>
    <w:rsid w:val="004A38F6"/>
    <w:rsid w:val="004B4EB6"/>
    <w:rsid w:val="004C67C6"/>
    <w:rsid w:val="004C6B33"/>
    <w:rsid w:val="004D29DE"/>
    <w:rsid w:val="004D5DF7"/>
    <w:rsid w:val="00510EAC"/>
    <w:rsid w:val="00516DC9"/>
    <w:rsid w:val="00524A07"/>
    <w:rsid w:val="0053014E"/>
    <w:rsid w:val="00542A57"/>
    <w:rsid w:val="00546733"/>
    <w:rsid w:val="005732C0"/>
    <w:rsid w:val="0057336D"/>
    <w:rsid w:val="0057489A"/>
    <w:rsid w:val="00574ACF"/>
    <w:rsid w:val="0058540B"/>
    <w:rsid w:val="00587C87"/>
    <w:rsid w:val="00590B80"/>
    <w:rsid w:val="005B3134"/>
    <w:rsid w:val="005B4E61"/>
    <w:rsid w:val="005B595A"/>
    <w:rsid w:val="005B66C2"/>
    <w:rsid w:val="005D2465"/>
    <w:rsid w:val="005E4229"/>
    <w:rsid w:val="005E540E"/>
    <w:rsid w:val="005E55FB"/>
    <w:rsid w:val="005F16BB"/>
    <w:rsid w:val="00607115"/>
    <w:rsid w:val="00620768"/>
    <w:rsid w:val="0062594B"/>
    <w:rsid w:val="00631406"/>
    <w:rsid w:val="006324FF"/>
    <w:rsid w:val="006351D6"/>
    <w:rsid w:val="00636E0D"/>
    <w:rsid w:val="00636F4D"/>
    <w:rsid w:val="00637F32"/>
    <w:rsid w:val="0064142F"/>
    <w:rsid w:val="00643CB4"/>
    <w:rsid w:val="00645F52"/>
    <w:rsid w:val="00656427"/>
    <w:rsid w:val="00660255"/>
    <w:rsid w:val="00666512"/>
    <w:rsid w:val="00675AD8"/>
    <w:rsid w:val="006971F3"/>
    <w:rsid w:val="006C74A3"/>
    <w:rsid w:val="006D1381"/>
    <w:rsid w:val="006D31BC"/>
    <w:rsid w:val="006E7943"/>
    <w:rsid w:val="006F0813"/>
    <w:rsid w:val="006F24EA"/>
    <w:rsid w:val="006F3204"/>
    <w:rsid w:val="00704CA9"/>
    <w:rsid w:val="0071048D"/>
    <w:rsid w:val="00710F86"/>
    <w:rsid w:val="007111A8"/>
    <w:rsid w:val="00731BC3"/>
    <w:rsid w:val="00741192"/>
    <w:rsid w:val="00743A33"/>
    <w:rsid w:val="00746080"/>
    <w:rsid w:val="0075144A"/>
    <w:rsid w:val="0075689C"/>
    <w:rsid w:val="00762409"/>
    <w:rsid w:val="00786329"/>
    <w:rsid w:val="00792C7D"/>
    <w:rsid w:val="00794A4D"/>
    <w:rsid w:val="007A5234"/>
    <w:rsid w:val="007B7854"/>
    <w:rsid w:val="007C56A1"/>
    <w:rsid w:val="007C6454"/>
    <w:rsid w:val="007D4748"/>
    <w:rsid w:val="007E01E0"/>
    <w:rsid w:val="007F0B93"/>
    <w:rsid w:val="00811708"/>
    <w:rsid w:val="00811F5E"/>
    <w:rsid w:val="00816B90"/>
    <w:rsid w:val="00817799"/>
    <w:rsid w:val="00822F5F"/>
    <w:rsid w:val="00824FD3"/>
    <w:rsid w:val="00826589"/>
    <w:rsid w:val="00834BCC"/>
    <w:rsid w:val="00843BC3"/>
    <w:rsid w:val="00850D54"/>
    <w:rsid w:val="008714B0"/>
    <w:rsid w:val="00876331"/>
    <w:rsid w:val="00880726"/>
    <w:rsid w:val="00880E3A"/>
    <w:rsid w:val="008A3544"/>
    <w:rsid w:val="008B48B8"/>
    <w:rsid w:val="008B58F8"/>
    <w:rsid w:val="008C0712"/>
    <w:rsid w:val="008C4520"/>
    <w:rsid w:val="008C5F09"/>
    <w:rsid w:val="008D470F"/>
    <w:rsid w:val="008D6C1A"/>
    <w:rsid w:val="008E1F8F"/>
    <w:rsid w:val="008E4768"/>
    <w:rsid w:val="008E761E"/>
    <w:rsid w:val="008F173C"/>
    <w:rsid w:val="008F77B3"/>
    <w:rsid w:val="009008F5"/>
    <w:rsid w:val="00904CC1"/>
    <w:rsid w:val="009066AF"/>
    <w:rsid w:val="00912050"/>
    <w:rsid w:val="00912E48"/>
    <w:rsid w:val="00913311"/>
    <w:rsid w:val="009243CF"/>
    <w:rsid w:val="0092746F"/>
    <w:rsid w:val="00935DC9"/>
    <w:rsid w:val="009446C0"/>
    <w:rsid w:val="0096082E"/>
    <w:rsid w:val="00961347"/>
    <w:rsid w:val="00967D73"/>
    <w:rsid w:val="0097272A"/>
    <w:rsid w:val="0098119A"/>
    <w:rsid w:val="00984AAF"/>
    <w:rsid w:val="00991B09"/>
    <w:rsid w:val="00993CB2"/>
    <w:rsid w:val="009A5166"/>
    <w:rsid w:val="009A76F8"/>
    <w:rsid w:val="009B2B83"/>
    <w:rsid w:val="009C49F8"/>
    <w:rsid w:val="009D77CC"/>
    <w:rsid w:val="009E2423"/>
    <w:rsid w:val="009E55D7"/>
    <w:rsid w:val="009F0D00"/>
    <w:rsid w:val="009F3D0C"/>
    <w:rsid w:val="009F4150"/>
    <w:rsid w:val="009F5665"/>
    <w:rsid w:val="009F5CAC"/>
    <w:rsid w:val="009F5DAD"/>
    <w:rsid w:val="00A10458"/>
    <w:rsid w:val="00A2425B"/>
    <w:rsid w:val="00A273C3"/>
    <w:rsid w:val="00A34E48"/>
    <w:rsid w:val="00A36C65"/>
    <w:rsid w:val="00A4085A"/>
    <w:rsid w:val="00A41BBE"/>
    <w:rsid w:val="00A429CE"/>
    <w:rsid w:val="00A45BDD"/>
    <w:rsid w:val="00A46A0A"/>
    <w:rsid w:val="00A553F8"/>
    <w:rsid w:val="00A6708F"/>
    <w:rsid w:val="00A71BF6"/>
    <w:rsid w:val="00A743BD"/>
    <w:rsid w:val="00A750C5"/>
    <w:rsid w:val="00A85AF9"/>
    <w:rsid w:val="00A86F9A"/>
    <w:rsid w:val="00AA35E6"/>
    <w:rsid w:val="00AA50B6"/>
    <w:rsid w:val="00AB3472"/>
    <w:rsid w:val="00AC506A"/>
    <w:rsid w:val="00AC7BE9"/>
    <w:rsid w:val="00AD0762"/>
    <w:rsid w:val="00AE3372"/>
    <w:rsid w:val="00AE4452"/>
    <w:rsid w:val="00AE7C38"/>
    <w:rsid w:val="00B01F99"/>
    <w:rsid w:val="00B02B37"/>
    <w:rsid w:val="00B05276"/>
    <w:rsid w:val="00B11FEF"/>
    <w:rsid w:val="00B132DB"/>
    <w:rsid w:val="00B1457E"/>
    <w:rsid w:val="00B31427"/>
    <w:rsid w:val="00B33861"/>
    <w:rsid w:val="00B40DE2"/>
    <w:rsid w:val="00B50210"/>
    <w:rsid w:val="00B53955"/>
    <w:rsid w:val="00B6408A"/>
    <w:rsid w:val="00B714B8"/>
    <w:rsid w:val="00B82C2C"/>
    <w:rsid w:val="00B8720B"/>
    <w:rsid w:val="00B876EF"/>
    <w:rsid w:val="00B971C6"/>
    <w:rsid w:val="00BA08D5"/>
    <w:rsid w:val="00BA4697"/>
    <w:rsid w:val="00BB431E"/>
    <w:rsid w:val="00BB5378"/>
    <w:rsid w:val="00BC0BD3"/>
    <w:rsid w:val="00BD0107"/>
    <w:rsid w:val="00BD3FF8"/>
    <w:rsid w:val="00BE0C33"/>
    <w:rsid w:val="00BE262C"/>
    <w:rsid w:val="00BE6C3D"/>
    <w:rsid w:val="00C07606"/>
    <w:rsid w:val="00C12542"/>
    <w:rsid w:val="00C24725"/>
    <w:rsid w:val="00C30BA9"/>
    <w:rsid w:val="00C324A5"/>
    <w:rsid w:val="00C3541E"/>
    <w:rsid w:val="00C36471"/>
    <w:rsid w:val="00C36A8F"/>
    <w:rsid w:val="00C42FFA"/>
    <w:rsid w:val="00C507D8"/>
    <w:rsid w:val="00C6262B"/>
    <w:rsid w:val="00C62EAC"/>
    <w:rsid w:val="00C63B81"/>
    <w:rsid w:val="00C63F9F"/>
    <w:rsid w:val="00C7723C"/>
    <w:rsid w:val="00C964EF"/>
    <w:rsid w:val="00CA1AF4"/>
    <w:rsid w:val="00CA6068"/>
    <w:rsid w:val="00CB15E1"/>
    <w:rsid w:val="00CB1B8C"/>
    <w:rsid w:val="00CB3D46"/>
    <w:rsid w:val="00CD1A87"/>
    <w:rsid w:val="00CD35F3"/>
    <w:rsid w:val="00CD5C93"/>
    <w:rsid w:val="00CF320C"/>
    <w:rsid w:val="00CF3A4B"/>
    <w:rsid w:val="00D05837"/>
    <w:rsid w:val="00D12086"/>
    <w:rsid w:val="00D12D8A"/>
    <w:rsid w:val="00D13E0C"/>
    <w:rsid w:val="00D25896"/>
    <w:rsid w:val="00D30F1C"/>
    <w:rsid w:val="00D313B8"/>
    <w:rsid w:val="00D35866"/>
    <w:rsid w:val="00D373A1"/>
    <w:rsid w:val="00D37C0F"/>
    <w:rsid w:val="00D45661"/>
    <w:rsid w:val="00D45943"/>
    <w:rsid w:val="00D47D22"/>
    <w:rsid w:val="00D51865"/>
    <w:rsid w:val="00D51D0C"/>
    <w:rsid w:val="00D74140"/>
    <w:rsid w:val="00DA4CD1"/>
    <w:rsid w:val="00DA6E56"/>
    <w:rsid w:val="00DC23D2"/>
    <w:rsid w:val="00DC6705"/>
    <w:rsid w:val="00DD2DE8"/>
    <w:rsid w:val="00DE38B4"/>
    <w:rsid w:val="00DE5D02"/>
    <w:rsid w:val="00E005A9"/>
    <w:rsid w:val="00E05284"/>
    <w:rsid w:val="00E1166E"/>
    <w:rsid w:val="00E24DC0"/>
    <w:rsid w:val="00E2519C"/>
    <w:rsid w:val="00E25F2A"/>
    <w:rsid w:val="00E41455"/>
    <w:rsid w:val="00E42AD2"/>
    <w:rsid w:val="00E44427"/>
    <w:rsid w:val="00E50856"/>
    <w:rsid w:val="00E538CC"/>
    <w:rsid w:val="00E54DBA"/>
    <w:rsid w:val="00E63D7C"/>
    <w:rsid w:val="00E640D5"/>
    <w:rsid w:val="00E67691"/>
    <w:rsid w:val="00E91D45"/>
    <w:rsid w:val="00E92237"/>
    <w:rsid w:val="00E951EF"/>
    <w:rsid w:val="00EA3D54"/>
    <w:rsid w:val="00EA56D9"/>
    <w:rsid w:val="00EA5CE3"/>
    <w:rsid w:val="00EB51C1"/>
    <w:rsid w:val="00EB5AE1"/>
    <w:rsid w:val="00EB5E0B"/>
    <w:rsid w:val="00EB5E64"/>
    <w:rsid w:val="00EC2171"/>
    <w:rsid w:val="00ED3512"/>
    <w:rsid w:val="00ED442D"/>
    <w:rsid w:val="00ED70C2"/>
    <w:rsid w:val="00ED770E"/>
    <w:rsid w:val="00EE18FF"/>
    <w:rsid w:val="00EE489F"/>
    <w:rsid w:val="00F0647F"/>
    <w:rsid w:val="00F10CE3"/>
    <w:rsid w:val="00F14F3B"/>
    <w:rsid w:val="00F16362"/>
    <w:rsid w:val="00F36B6D"/>
    <w:rsid w:val="00F43FA3"/>
    <w:rsid w:val="00F70046"/>
    <w:rsid w:val="00F71C2A"/>
    <w:rsid w:val="00F748C2"/>
    <w:rsid w:val="00F76C5C"/>
    <w:rsid w:val="00F81EF3"/>
    <w:rsid w:val="00F833EF"/>
    <w:rsid w:val="00F84496"/>
    <w:rsid w:val="00F85DCB"/>
    <w:rsid w:val="00F86F9C"/>
    <w:rsid w:val="00FC002E"/>
    <w:rsid w:val="00FC4C23"/>
    <w:rsid w:val="00FC642E"/>
    <w:rsid w:val="00FE2AE4"/>
    <w:rsid w:val="00FE689F"/>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44253EE7"/>
  <w15:docId w15:val="{285E5577-753A-4883-8FE0-220A00B2C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99"/>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AE4452"/>
    <w:pPr>
      <w:spacing w:after="0" w:line="240" w:lineRule="auto"/>
    </w:pPr>
    <w:rPr>
      <w:rFonts w:ascii="Calibri" w:hAnsi="Calibri"/>
    </w:rPr>
    <w:tblPr>
      <w:tblStyleRowBandSize w:val="1"/>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E5D02"/>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E5D02"/>
    <w:rPr>
      <w:sz w:val="18"/>
    </w:rPr>
  </w:style>
  <w:style w:type="character" w:customStyle="1" w:styleId="CDIFiguresChar">
    <w:name w:val="CDI_Figures Char"/>
    <w:basedOn w:val="NormalWebChar"/>
    <w:link w:val="CDIFigures"/>
    <w:rsid w:val="00C30BA9"/>
    <w:rPr>
      <w:b/>
    </w:rPr>
  </w:style>
  <w:style w:type="character" w:customStyle="1" w:styleId="idgenobjectstyleoverride-1">
    <w:name w:val="_idgenobjectstyleoverride-1"/>
    <w:basedOn w:val="DefaultParagraphFont"/>
    <w:rsid w:val="001F7DC0"/>
  </w:style>
  <w:style w:type="character" w:customStyle="1" w:styleId="Strong2">
    <w:name w:val="Strong2"/>
    <w:basedOn w:val="DefaultParagraphFont"/>
    <w:rsid w:val="001F7DC0"/>
  </w:style>
  <w:style w:type="character" w:customStyle="1" w:styleId="no-break">
    <w:name w:val="no-break"/>
    <w:basedOn w:val="DefaultParagraphFont"/>
    <w:rsid w:val="001F7DC0"/>
  </w:style>
  <w:style w:type="character" w:styleId="CommentReference">
    <w:name w:val="annotation reference"/>
    <w:basedOn w:val="DefaultParagraphFont"/>
    <w:uiPriority w:val="99"/>
    <w:semiHidden/>
    <w:unhideWhenUsed/>
    <w:rsid w:val="00A4085A"/>
    <w:rPr>
      <w:sz w:val="16"/>
      <w:szCs w:val="16"/>
    </w:rPr>
  </w:style>
  <w:style w:type="paragraph" w:styleId="CommentText">
    <w:name w:val="annotation text"/>
    <w:basedOn w:val="Normal"/>
    <w:link w:val="CommentTextChar"/>
    <w:uiPriority w:val="99"/>
    <w:semiHidden/>
    <w:unhideWhenUsed/>
    <w:rsid w:val="00A4085A"/>
    <w:pPr>
      <w:spacing w:line="240" w:lineRule="auto"/>
    </w:pPr>
    <w:rPr>
      <w:sz w:val="20"/>
      <w:szCs w:val="20"/>
    </w:rPr>
  </w:style>
  <w:style w:type="character" w:customStyle="1" w:styleId="CommentTextChar">
    <w:name w:val="Comment Text Char"/>
    <w:basedOn w:val="DefaultParagraphFont"/>
    <w:link w:val="CommentText"/>
    <w:uiPriority w:val="99"/>
    <w:semiHidden/>
    <w:rsid w:val="00A4085A"/>
    <w:rPr>
      <w:sz w:val="20"/>
      <w:szCs w:val="20"/>
    </w:rPr>
  </w:style>
  <w:style w:type="paragraph" w:styleId="CommentSubject">
    <w:name w:val="annotation subject"/>
    <w:basedOn w:val="CommentText"/>
    <w:next w:val="CommentText"/>
    <w:link w:val="CommentSubjectChar"/>
    <w:uiPriority w:val="99"/>
    <w:semiHidden/>
    <w:unhideWhenUsed/>
    <w:rsid w:val="00A4085A"/>
    <w:rPr>
      <w:b/>
      <w:bCs/>
    </w:rPr>
  </w:style>
  <w:style w:type="character" w:customStyle="1" w:styleId="CommentSubjectChar">
    <w:name w:val="Comment Subject Char"/>
    <w:basedOn w:val="CommentTextChar"/>
    <w:link w:val="CommentSubject"/>
    <w:uiPriority w:val="99"/>
    <w:semiHidden/>
    <w:rsid w:val="00A4085A"/>
    <w:rPr>
      <w:b/>
      <w:bCs/>
      <w:sz w:val="20"/>
      <w:szCs w:val="20"/>
    </w:rPr>
  </w:style>
  <w:style w:type="character" w:customStyle="1" w:styleId="URI">
    <w:name w:val="URI"/>
    <w:uiPriority w:val="99"/>
    <w:rsid w:val="00382561"/>
    <w:rPr>
      <w:color w:val="000000"/>
      <w:u w:val="thick"/>
    </w:rPr>
  </w:style>
  <w:style w:type="character" w:customStyle="1" w:styleId="nobreak">
    <w:name w:val="no break"/>
    <w:uiPriority w:val="99"/>
    <w:rsid w:val="00382561"/>
    <w:rPr>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62897">
      <w:marLeft w:val="0"/>
      <w:marRight w:val="0"/>
      <w:marTop w:val="0"/>
      <w:marBottom w:val="0"/>
      <w:divBdr>
        <w:top w:val="none" w:sz="0" w:space="0" w:color="auto"/>
        <w:left w:val="none" w:sz="0" w:space="0" w:color="auto"/>
        <w:bottom w:val="none" w:sz="0" w:space="0" w:color="auto"/>
        <w:right w:val="none" w:sz="0" w:space="0" w:color="auto"/>
      </w:divBdr>
    </w:div>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204412660">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health.gov.au/cdi"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www.itsanhonour.gov.au/"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mailto:cdi.editor@health.gov.a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health.gov.au/cdi" TargetMode="External"/><Relationship Id="rId20" Type="http://schemas.openxmlformats.org/officeDocument/2006/relationships/hyperlink" Target="https://creativecommons.org/licenses/by-nc-nd/4.0/legalcod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www.health.gov.au/cdna" TargetMode="External"/><Relationship Id="rId10" Type="http://schemas.openxmlformats.org/officeDocument/2006/relationships/header" Target="header1.xml"/><Relationship Id="rId19" Type="http://schemas.openxmlformats.org/officeDocument/2006/relationships/hyperlink" Target="mailto:cdi.editor@health.gov.au"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eader" Target="header3.xml"/><Relationship Id="rId22" Type="http://schemas.openxmlformats.org/officeDocument/2006/relationships/hyperlink" Target="mailto:copyright@health.gov.au"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408920A-0CF6-4E1A-BB90-3A380FC66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7179</Words>
  <Characters>44217</Characters>
  <Application>Microsoft Office Word</Application>
  <DocSecurity>0</DocSecurity>
  <Lines>368</Lines>
  <Paragraphs>102</Paragraphs>
  <ScaleCrop>false</ScaleCrop>
  <HeadingPairs>
    <vt:vector size="4" baseType="variant">
      <vt:variant>
        <vt:lpstr>Title</vt:lpstr>
      </vt:variant>
      <vt:variant>
        <vt:i4>1</vt:i4>
      </vt:variant>
      <vt:variant>
        <vt:lpstr>Headings</vt:lpstr>
      </vt:variant>
      <vt:variant>
        <vt:i4>28</vt:i4>
      </vt:variant>
    </vt:vector>
  </HeadingPairs>
  <TitlesOfParts>
    <vt:vector size="29" baseType="lpstr">
      <vt:lpstr>Paediatric Active Enhanced Disease Surveillance (PAEDS) annual report 2016: Prospective hospital-based surveillance for serious paediatric conditions </vt:lpstr>
      <vt:lpstr>Abstract </vt:lpstr>
      <vt:lpstr>    Introduction </vt:lpstr>
      <vt:lpstr>    Methods </vt:lpstr>
      <vt:lpstr>    Results </vt:lpstr>
      <vt:lpstr>    Conclusions </vt:lpstr>
      <vt:lpstr>Introduction </vt:lpstr>
      <vt:lpstr>Methods </vt:lpstr>
      <vt:lpstr>    Active case ascertainment </vt:lpstr>
      <vt:lpstr>    Conditions under surveillance </vt:lpstr>
      <vt:lpstr>    Collection of biological samples </vt:lpstr>
      <vt:lpstr>    Quality assurance and ICD-10-AM audits </vt:lpstr>
      <vt:lpstr>    Data management </vt:lpstr>
      <vt:lpstr>Results </vt:lpstr>
      <vt:lpstr>    Surveillance results for 2016 </vt:lpstr>
      <vt:lpstr>        Acute flaccid paralysis </vt:lpstr>
      <vt:lpstr>        Acute childhood encephalitis </vt:lpstr>
      <vt:lpstr>        Serious acute neurological events (SANE) following influenza immunisation </vt:lpstr>
      <vt:lpstr>        Influenza </vt:lpstr>
      <vt:lpstr>        Intussusception </vt:lpstr>
      <vt:lpstr>        Pertussis </vt:lpstr>
      <vt:lpstr>        Varicella and Herpes Zoster </vt:lpstr>
      <vt:lpstr>        Invasive Meningococcal Disease </vt:lpstr>
      <vt:lpstr>        Invasive Group A Streptococcus </vt:lpstr>
      <vt:lpstr>Discussion </vt:lpstr>
      <vt:lpstr>Acknowledgements </vt:lpstr>
      <vt:lpstr>Author details </vt:lpstr>
      <vt:lpstr>    Corresponding author</vt:lpstr>
      <vt:lpstr>References </vt:lpstr>
    </vt:vector>
  </TitlesOfParts>
  <Company>Australian Government, Department of Health</Company>
  <LinksUpToDate>false</LinksUpToDate>
  <CharactersWithSpaces>51294</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Paediatric Active Enhanced Disease Surveillance (PAEDS) annual report 2016: Prospective hospital-based surveillance for serious paediatric conditions</dc:title>
  <dc:subject>This is the third annual report to Communicable Diseases Intelligence for PAEDS (Paediatric Active Enhanced Disease Surveillance), a hospital-based active surveillance system for select serious paediatric conditions of public health importance. PAEDS has a focus on monitoring vaccine preventable diseases and adverse events following immunisation and in 2016 included surveillance for: acute flaccid paralysis; encephalitis; influenza; intussusception; pertussis; varicella and zoster; invasive meningococcal disease and invasive group A streptococcus.</dc:subject>
  <dc:creator>Jocelynne E McRae, Helen E Quinn, Gemma L Saravanos, Alissa McMinn, Philip N Britton, Nicholas Wood, Helen Marshall and Kristine Macartney on behalf of the PAEDS network</dc:creator>
  <cp:keywords>paediatric, surveillance, child, hospital, vaccine preventable diseases, adverse event following immunisation, acute flaccid paralysis, encephalitis, influenza, intussusception, pertussis, varicella zoster virus, meningococcal, group A streptococcus.</cp:keywords>
  <dc:description>© Commonwealth of Australia CC BY-NC-ND</dc:description>
  <cp:lastPrinted>2018-05-10T02:19:00Z</cp:lastPrinted>
  <dcterms:created xsi:type="dcterms:W3CDTF">2024-08-28T04:22:00Z</dcterms:created>
  <dcterms:modified xsi:type="dcterms:W3CDTF">2024-08-28T04:22:00Z</dcterms:modified>
  <cp:category>Annual report</cp:category>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2019</vt:lpwstr>
  </property>
  <property fmtid="{D5CDD505-2E9C-101B-9397-08002B2CF9AE}" pid="3" name="Vol">
    <vt:i4>43</vt:i4>
  </property>
</Properties>
</file>