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C325" w14:textId="77777777" w:rsidR="00D67940" w:rsidRPr="006012A0" w:rsidRDefault="00D67940" w:rsidP="006012A0">
      <w:pPr>
        <w:pStyle w:val="Title"/>
      </w:pPr>
      <w:r w:rsidRPr="006012A0">
        <w:t>Invasive Pneumococcal Disease Surveillan</w:t>
      </w:r>
      <w:r w:rsidR="004F372B" w:rsidRPr="006012A0">
        <w:t>ce, 1 July to 30 September 2017</w:t>
      </w:r>
      <w:r w:rsidR="004F372B" w:rsidRPr="0027649F">
        <w:rPr>
          <w:rStyle w:val="FootnoteReference"/>
        </w:rPr>
        <w:footnoteReference w:id="2"/>
      </w:r>
    </w:p>
    <w:p w14:paraId="79834605" w14:textId="77777777" w:rsidR="00D67940" w:rsidRDefault="00D67940" w:rsidP="006012A0">
      <w:r>
        <w:t>Kate Pennington and the Enhanced Invasive Pneumococcal Disease Surveillance Working Group, for the Communicable Diseases Network Australia</w:t>
      </w:r>
    </w:p>
    <w:p w14:paraId="3C221704" w14:textId="77777777" w:rsidR="00D67940" w:rsidRPr="006012A0" w:rsidRDefault="00D67940" w:rsidP="006012A0">
      <w:pPr>
        <w:pStyle w:val="Heading1"/>
      </w:pPr>
      <w:r w:rsidRPr="006012A0">
        <w:t>Summary</w:t>
      </w:r>
    </w:p>
    <w:p w14:paraId="02D9CF32" w14:textId="77777777" w:rsidR="00D67940" w:rsidRDefault="00D67940" w:rsidP="006012A0">
      <w:r>
        <w:t>The number of notified cases of invasive pneumococcal disease (IPD) in the third quarter of 2017 was greater than the previous quarter and also the third quarter of 2016. Following the July 2011 replacement of the 7-valent pneumococcal conjugate vaccine (7vPCV) in the childhood immunisation program with the 13-valent pneumococcal conjugate vaccine (13vPCV), there was an initial relatively rapid decline in disease due to the additional six serotypes covered by the 13vPCV across all age groups, however in 2017 this decline is no longer evident. Further, over this period the number of cases due to the eleven serotypes additionally covered by the 23-valent pneumococcal polysaccharide vaccine (23vPPV) and also those serotypes not covered by any available vaccine has been increasing steadily across all age groups (Figure 1).</w:t>
      </w:r>
    </w:p>
    <w:p w14:paraId="78EE635D" w14:textId="77777777" w:rsidR="006012A0" w:rsidRDefault="006012A0">
      <w:pPr>
        <w:rPr>
          <w:b/>
        </w:rPr>
      </w:pPr>
      <w:r>
        <w:br w:type="page"/>
      </w:r>
    </w:p>
    <w:p w14:paraId="6C66DB73" w14:textId="77777777" w:rsidR="00D67940" w:rsidRDefault="00D67940" w:rsidP="006012A0">
      <w:pPr>
        <w:pStyle w:val="CDIFigures"/>
      </w:pPr>
      <w:r>
        <w:lastRenderedPageBreak/>
        <w:t>Figure 1: Notifications of invasive pneumococcal disease, Australia, 1 January 2002 to 30 September 2017, by vaccine serotype group, year and quarter</w:t>
      </w:r>
    </w:p>
    <w:p w14:paraId="40FDB480" w14:textId="77777777" w:rsidR="00D67940" w:rsidRDefault="00D67940">
      <w:pPr>
        <w:pStyle w:val="NormalWeb"/>
      </w:pPr>
      <w:r>
        <w:rPr>
          <w:noProof/>
        </w:rPr>
        <w:drawing>
          <wp:inline distT="0" distB="0" distL="0" distR="0" wp14:anchorId="3CCE6E1C" wp14:editId="4C81E678">
            <wp:extent cx="6685780" cy="4352925"/>
            <wp:effectExtent l="0" t="0" r="1270" b="0"/>
            <wp:docPr id="5" name="Picture 5" descr="Figure 1 - This figure shows all notified cases of IPD in Australia between 2002 and 2017 by year and also 2007 and 2017 by quarter, and the vaccine serotype group causing disease. The figure demonstrates that notified cases have declined following the introductions of the 7vPCV in 2005 and the 13vPCV in 2011. Relative to other serotypes, disease caused by 7vPCV is occurring rarely in recent quarters. Disease caused by the six additional serotypes targeted by the 13vPCV have declined since the 13vPCV replaced the 7vPCV in the universal childhood immunisation program, however more recently this rate of decline has slowed. Since 2011 the number of cases due to the eleven serotypes additionally covered by the 23-valent pneumococcal polysaccharide vaccine (23vPPV) and also those serotypes not covered by any available vaccine has been increasing steadily across all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 This figure shows all notified cases of IPD in Australia between 2002 and 2017 by year and also 2007 and 2017 by quarter, and the vaccine serotype group causing disease. The figure demonstrates that notified cases have declined following the introductions of the 7vPCV in 2005 and the 13vPCV in 2011. Relative to other serotypes, disease caused by 7vPCV is occurring rarely in recent quarters. Disease caused by the six additional serotypes targeted by the 13vPCV have declined since the 13vPCV replaced the 7vPCV in the universal childhood immunisation program, however more recently this rate of decline has slowed. Since 2011 the number of cases due to the eleven serotypes additionally covered by the 23-valent pneumococcal polysaccharide vaccine (23vPPV) and also those serotypes not covered by any available vaccine has been increasing steadily across all age group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94668" cy="4358712"/>
                    </a:xfrm>
                    <a:prstGeom prst="rect">
                      <a:avLst/>
                    </a:prstGeom>
                  </pic:spPr>
                </pic:pic>
              </a:graphicData>
            </a:graphic>
          </wp:inline>
        </w:drawing>
      </w:r>
    </w:p>
    <w:p w14:paraId="600277BA" w14:textId="77777777" w:rsidR="001003AF" w:rsidRDefault="001003AF" w:rsidP="001003AF">
      <w:pPr>
        <w:pStyle w:val="CDIfootnotes"/>
        <w:spacing w:after="0" w:afterAutospacing="0"/>
      </w:pPr>
      <w:r>
        <w:t xml:space="preserve"># </w:t>
      </w:r>
      <w:r w:rsidRPr="001003AF">
        <w:t>In 1999, the 23vPPV was funded for all Indigenous Australians aged 50 years and over, as well as younger Indigenous Australian adults with risk factors.</w:t>
      </w:r>
    </w:p>
    <w:p w14:paraId="59B8039E" w14:textId="77777777" w:rsidR="00D67940" w:rsidRDefault="00D67940" w:rsidP="001003AF">
      <w:pPr>
        <w:pStyle w:val="CDIfootnotes"/>
        <w:spacing w:before="0" w:beforeAutospacing="0"/>
      </w:pPr>
      <w:r>
        <w:t>* NIP - National Immunisation Program.</w:t>
      </w:r>
    </w:p>
    <w:p w14:paraId="036FB791" w14:textId="77777777" w:rsidR="00D67940" w:rsidRDefault="00D67940">
      <w:pPr>
        <w:pStyle w:val="Heading1"/>
        <w:rPr>
          <w:rFonts w:eastAsia="Times New Roman"/>
        </w:rPr>
      </w:pPr>
      <w:r>
        <w:rPr>
          <w:rFonts w:eastAsia="Times New Roman"/>
        </w:rPr>
        <w:t>Key points</w:t>
      </w:r>
    </w:p>
    <w:p w14:paraId="6FE1F01E" w14:textId="77777777" w:rsidR="006A68C0" w:rsidRDefault="00D67940" w:rsidP="008C7827">
      <w:pPr>
        <w:sectPr w:rsidR="006A68C0"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r>
        <w:t>In the third quarter of 2017, there were 870 cases of IPD reported to the National Notifiable Disease Surveillance System (NNDSS). Compared with the number of cases notified in the previous quarter (n=500), this represented a substantial increase in cases (75%), and compared with the same quarter in 2016 (n=647) there was a 34% increase in the number of cases (Table 1). The increase observed in this quarter was consistent with the seasonal increase in cases observed in quarters two and three each year (Figure 1), with IPD notification activity during this period tending to correlate with the winter influenza seasons. The unexpectedly higher levels of IPD observed over the past quarter may potentially have been influenced by the increased seasonal influenza activity levels that have also been observed over this period. In the third quarter of 2017, the most common pneumococcal serotypes causing IPD were 3 (14.6%), 19A (7.5%) and 9N (6.9%) (Table 2).</w:t>
      </w:r>
    </w:p>
    <w:p w14:paraId="49C5A2D0" w14:textId="77777777" w:rsidR="00D67940" w:rsidRDefault="00D67940" w:rsidP="00A73223">
      <w:pPr>
        <w:pStyle w:val="CDIFigures"/>
      </w:pPr>
      <w:r>
        <w:lastRenderedPageBreak/>
        <w:t>Table 1: Notified cases of invasive pneumococcal disease, Australia, 1 July to 30 September 2017, by Indigenous status, serotype completeness and state or territory</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is table shows the numbers of IPD cases which have occurred during the third quarter of 2017 for each state and territory by Indigenous status and serotype completeness compared to historically relevant periods. The number of cases in this quarter was greater than the previous quarter and also the equivalent quarter in 2016. Data on Indigenous status was complete for 86% of cases in all states and territories, with slightly higher levels of completeness in those age groups targeted for follow-up by all jurisdictions. Serotype completeness overall this quarter continued to be high at 85%."/>
      </w:tblPr>
      <w:tblGrid>
        <w:gridCol w:w="3402"/>
        <w:gridCol w:w="965"/>
        <w:gridCol w:w="965"/>
        <w:gridCol w:w="965"/>
        <w:gridCol w:w="965"/>
        <w:gridCol w:w="965"/>
        <w:gridCol w:w="966"/>
        <w:gridCol w:w="965"/>
        <w:gridCol w:w="965"/>
        <w:gridCol w:w="965"/>
        <w:gridCol w:w="965"/>
        <w:gridCol w:w="965"/>
        <w:gridCol w:w="966"/>
      </w:tblGrid>
      <w:tr w:rsidR="00BC5C71" w:rsidRPr="00727C16" w14:paraId="2D3108AD" w14:textId="77777777" w:rsidTr="00FF04A3">
        <w:trPr>
          <w:cnfStyle w:val="100000000000" w:firstRow="1" w:lastRow="0" w:firstColumn="0" w:lastColumn="0" w:oddVBand="0" w:evenVBand="0" w:oddHBand="0" w:evenHBand="0" w:firstRowFirstColumn="0" w:firstRowLastColumn="0" w:lastRowFirstColumn="0" w:lastRowLastColumn="0"/>
          <w:tblHeader/>
        </w:trPr>
        <w:tc>
          <w:tcPr>
            <w:tcW w:w="3402" w:type="dxa"/>
            <w:tcBorders>
              <w:right w:val="single" w:sz="4" w:space="0" w:color="auto"/>
            </w:tcBorders>
            <w:vAlign w:val="center"/>
            <w:hideMark/>
          </w:tcPr>
          <w:p w14:paraId="3E03DF67" w14:textId="77777777" w:rsidR="00D67940" w:rsidRPr="00727C16" w:rsidRDefault="00D67940" w:rsidP="000A5D98">
            <w:pPr>
              <w:pStyle w:val="NormalWeb"/>
              <w:rPr>
                <w:color w:val="FFFFFF" w:themeColor="background1"/>
                <w:sz w:val="18"/>
                <w:szCs w:val="18"/>
              </w:rPr>
            </w:pPr>
            <w:r w:rsidRPr="00727C16">
              <w:rPr>
                <w:color w:val="FFFFFF" w:themeColor="background1"/>
                <w:sz w:val="18"/>
                <w:szCs w:val="18"/>
              </w:rPr>
              <w:t>Indigenous status</w:t>
            </w:r>
          </w:p>
        </w:tc>
        <w:tc>
          <w:tcPr>
            <w:tcW w:w="965" w:type="dxa"/>
            <w:tcBorders>
              <w:left w:val="single" w:sz="4" w:space="0" w:color="auto"/>
            </w:tcBorders>
            <w:vAlign w:val="center"/>
            <w:hideMark/>
          </w:tcPr>
          <w:p w14:paraId="359E4417"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ACT</w:t>
            </w:r>
          </w:p>
        </w:tc>
        <w:tc>
          <w:tcPr>
            <w:tcW w:w="965" w:type="dxa"/>
            <w:vAlign w:val="center"/>
            <w:hideMark/>
          </w:tcPr>
          <w:p w14:paraId="13A6FFBF"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NSW</w:t>
            </w:r>
          </w:p>
        </w:tc>
        <w:tc>
          <w:tcPr>
            <w:tcW w:w="965" w:type="dxa"/>
            <w:vAlign w:val="center"/>
            <w:hideMark/>
          </w:tcPr>
          <w:p w14:paraId="08AE109E"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NT</w:t>
            </w:r>
          </w:p>
        </w:tc>
        <w:tc>
          <w:tcPr>
            <w:tcW w:w="965" w:type="dxa"/>
            <w:vAlign w:val="center"/>
            <w:hideMark/>
          </w:tcPr>
          <w:p w14:paraId="18C022CA"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Qld</w:t>
            </w:r>
          </w:p>
        </w:tc>
        <w:tc>
          <w:tcPr>
            <w:tcW w:w="965" w:type="dxa"/>
            <w:vAlign w:val="center"/>
            <w:hideMark/>
          </w:tcPr>
          <w:p w14:paraId="1E036B5D"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SA</w:t>
            </w:r>
          </w:p>
        </w:tc>
        <w:tc>
          <w:tcPr>
            <w:tcW w:w="966" w:type="dxa"/>
            <w:vAlign w:val="center"/>
            <w:hideMark/>
          </w:tcPr>
          <w:p w14:paraId="043A894F"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Tas</w:t>
            </w:r>
          </w:p>
        </w:tc>
        <w:tc>
          <w:tcPr>
            <w:tcW w:w="965" w:type="dxa"/>
            <w:vAlign w:val="center"/>
            <w:hideMark/>
          </w:tcPr>
          <w:p w14:paraId="54B249DB"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Vic</w:t>
            </w:r>
          </w:p>
        </w:tc>
        <w:tc>
          <w:tcPr>
            <w:tcW w:w="965" w:type="dxa"/>
            <w:tcBorders>
              <w:right w:val="single" w:sz="4" w:space="0" w:color="auto"/>
            </w:tcBorders>
            <w:vAlign w:val="center"/>
            <w:hideMark/>
          </w:tcPr>
          <w:p w14:paraId="56C82C33"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WA</w:t>
            </w:r>
          </w:p>
        </w:tc>
        <w:tc>
          <w:tcPr>
            <w:tcW w:w="965" w:type="dxa"/>
            <w:tcBorders>
              <w:left w:val="single" w:sz="4" w:space="0" w:color="auto"/>
            </w:tcBorders>
            <w:vAlign w:val="center"/>
            <w:hideMark/>
          </w:tcPr>
          <w:p w14:paraId="585491F8"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 xml:space="preserve">Total 3rd </w:t>
            </w:r>
            <w:proofErr w:type="spellStart"/>
            <w:r w:rsidRPr="00727C16">
              <w:rPr>
                <w:color w:val="FFFFFF" w:themeColor="background1"/>
                <w:sz w:val="18"/>
                <w:szCs w:val="18"/>
              </w:rPr>
              <w:t>qtr</w:t>
            </w:r>
            <w:proofErr w:type="spellEnd"/>
            <w:r w:rsidRPr="00727C16">
              <w:rPr>
                <w:color w:val="FFFFFF" w:themeColor="background1"/>
                <w:sz w:val="18"/>
                <w:szCs w:val="18"/>
              </w:rPr>
              <w:t xml:space="preserve"> 2017</w:t>
            </w:r>
          </w:p>
        </w:tc>
        <w:tc>
          <w:tcPr>
            <w:tcW w:w="965" w:type="dxa"/>
            <w:vAlign w:val="center"/>
            <w:hideMark/>
          </w:tcPr>
          <w:p w14:paraId="3F70B115"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 xml:space="preserve">Total 2nd </w:t>
            </w:r>
            <w:proofErr w:type="spellStart"/>
            <w:r w:rsidRPr="00727C16">
              <w:rPr>
                <w:color w:val="FFFFFF" w:themeColor="background1"/>
                <w:sz w:val="18"/>
                <w:szCs w:val="18"/>
              </w:rPr>
              <w:t>qtr</w:t>
            </w:r>
            <w:proofErr w:type="spellEnd"/>
            <w:r w:rsidRPr="00727C16">
              <w:rPr>
                <w:color w:val="FFFFFF" w:themeColor="background1"/>
                <w:sz w:val="18"/>
                <w:szCs w:val="18"/>
              </w:rPr>
              <w:t xml:space="preserve"> 2017</w:t>
            </w:r>
          </w:p>
        </w:tc>
        <w:tc>
          <w:tcPr>
            <w:tcW w:w="965" w:type="dxa"/>
            <w:tcBorders>
              <w:right w:val="single" w:sz="4" w:space="0" w:color="auto"/>
            </w:tcBorders>
            <w:vAlign w:val="center"/>
            <w:hideMark/>
          </w:tcPr>
          <w:p w14:paraId="6146523C"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 xml:space="preserve">Total 3rd </w:t>
            </w:r>
            <w:proofErr w:type="spellStart"/>
            <w:r w:rsidRPr="00727C16">
              <w:rPr>
                <w:color w:val="FFFFFF" w:themeColor="background1"/>
                <w:sz w:val="18"/>
                <w:szCs w:val="18"/>
              </w:rPr>
              <w:t>qtr</w:t>
            </w:r>
            <w:proofErr w:type="spellEnd"/>
            <w:r w:rsidRPr="00727C16">
              <w:rPr>
                <w:color w:val="FFFFFF" w:themeColor="background1"/>
                <w:sz w:val="18"/>
                <w:szCs w:val="18"/>
              </w:rPr>
              <w:t xml:space="preserve"> 2016</w:t>
            </w:r>
          </w:p>
        </w:tc>
        <w:tc>
          <w:tcPr>
            <w:tcW w:w="966" w:type="dxa"/>
            <w:tcBorders>
              <w:left w:val="single" w:sz="4" w:space="0" w:color="auto"/>
            </w:tcBorders>
            <w:vAlign w:val="center"/>
            <w:hideMark/>
          </w:tcPr>
          <w:p w14:paraId="61CDBF4E" w14:textId="77777777" w:rsidR="00D67940" w:rsidRPr="00727C16" w:rsidRDefault="00D67940" w:rsidP="000A5D98">
            <w:pPr>
              <w:pStyle w:val="NormalWeb"/>
              <w:jc w:val="center"/>
              <w:rPr>
                <w:color w:val="FFFFFF" w:themeColor="background1"/>
                <w:sz w:val="18"/>
                <w:szCs w:val="18"/>
              </w:rPr>
            </w:pPr>
            <w:r w:rsidRPr="00727C16">
              <w:rPr>
                <w:color w:val="FFFFFF" w:themeColor="background1"/>
                <w:sz w:val="18"/>
                <w:szCs w:val="18"/>
              </w:rPr>
              <w:t>Year to date 2017</w:t>
            </w:r>
          </w:p>
        </w:tc>
      </w:tr>
      <w:tr w:rsidR="00564DE3" w:rsidRPr="00727C16" w14:paraId="03582650" w14:textId="77777777" w:rsidTr="00564DE3">
        <w:tc>
          <w:tcPr>
            <w:tcW w:w="3402" w:type="dxa"/>
            <w:tcBorders>
              <w:right w:val="single" w:sz="4" w:space="0" w:color="auto"/>
            </w:tcBorders>
            <w:shd w:val="clear" w:color="auto" w:fill="auto"/>
            <w:hideMark/>
          </w:tcPr>
          <w:p w14:paraId="4D26998E" w14:textId="77777777" w:rsidR="00D67940" w:rsidRPr="00727C16" w:rsidRDefault="00D67940">
            <w:pPr>
              <w:pStyle w:val="NormalWeb"/>
              <w:rPr>
                <w:sz w:val="18"/>
                <w:szCs w:val="18"/>
              </w:rPr>
            </w:pPr>
            <w:r w:rsidRPr="00727C16">
              <w:rPr>
                <w:sz w:val="18"/>
                <w:szCs w:val="18"/>
              </w:rPr>
              <w:t>Indigenous</w:t>
            </w:r>
          </w:p>
        </w:tc>
        <w:tc>
          <w:tcPr>
            <w:tcW w:w="965" w:type="dxa"/>
            <w:tcBorders>
              <w:left w:val="single" w:sz="4" w:space="0" w:color="auto"/>
            </w:tcBorders>
            <w:shd w:val="clear" w:color="auto" w:fill="auto"/>
            <w:hideMark/>
          </w:tcPr>
          <w:p w14:paraId="5CDDCC14" w14:textId="77777777" w:rsidR="00D67940" w:rsidRPr="00727C16" w:rsidRDefault="00D67940" w:rsidP="000A5D98">
            <w:pPr>
              <w:pStyle w:val="NormalWeb"/>
              <w:jc w:val="center"/>
              <w:rPr>
                <w:sz w:val="18"/>
                <w:szCs w:val="18"/>
              </w:rPr>
            </w:pPr>
            <w:r w:rsidRPr="00727C16">
              <w:rPr>
                <w:sz w:val="18"/>
                <w:szCs w:val="18"/>
              </w:rPr>
              <w:t>0</w:t>
            </w:r>
          </w:p>
        </w:tc>
        <w:tc>
          <w:tcPr>
            <w:tcW w:w="965" w:type="dxa"/>
            <w:shd w:val="clear" w:color="auto" w:fill="auto"/>
            <w:hideMark/>
          </w:tcPr>
          <w:p w14:paraId="43EAFFE5" w14:textId="77777777" w:rsidR="00D67940" w:rsidRPr="00727C16" w:rsidRDefault="00D67940" w:rsidP="000A5D98">
            <w:pPr>
              <w:pStyle w:val="NormalWeb"/>
              <w:jc w:val="center"/>
              <w:rPr>
                <w:sz w:val="18"/>
                <w:szCs w:val="18"/>
              </w:rPr>
            </w:pPr>
            <w:r w:rsidRPr="00727C16">
              <w:rPr>
                <w:sz w:val="18"/>
                <w:szCs w:val="18"/>
              </w:rPr>
              <w:t>15</w:t>
            </w:r>
          </w:p>
        </w:tc>
        <w:tc>
          <w:tcPr>
            <w:tcW w:w="965" w:type="dxa"/>
            <w:shd w:val="clear" w:color="auto" w:fill="auto"/>
            <w:hideMark/>
          </w:tcPr>
          <w:p w14:paraId="2967CBDC" w14:textId="77777777" w:rsidR="00D67940" w:rsidRPr="00727C16" w:rsidRDefault="00D67940" w:rsidP="000A5D98">
            <w:pPr>
              <w:pStyle w:val="NormalWeb"/>
              <w:jc w:val="center"/>
              <w:rPr>
                <w:sz w:val="18"/>
                <w:szCs w:val="18"/>
              </w:rPr>
            </w:pPr>
            <w:r w:rsidRPr="00727C16">
              <w:rPr>
                <w:sz w:val="18"/>
                <w:szCs w:val="18"/>
              </w:rPr>
              <w:t>26</w:t>
            </w:r>
          </w:p>
        </w:tc>
        <w:tc>
          <w:tcPr>
            <w:tcW w:w="965" w:type="dxa"/>
            <w:shd w:val="clear" w:color="auto" w:fill="auto"/>
            <w:hideMark/>
          </w:tcPr>
          <w:p w14:paraId="0E047E55" w14:textId="77777777" w:rsidR="00D67940" w:rsidRPr="00727C16" w:rsidRDefault="00D67940" w:rsidP="000A5D98">
            <w:pPr>
              <w:pStyle w:val="NormalWeb"/>
              <w:jc w:val="center"/>
              <w:rPr>
                <w:sz w:val="18"/>
                <w:szCs w:val="18"/>
              </w:rPr>
            </w:pPr>
            <w:r w:rsidRPr="00727C16">
              <w:rPr>
                <w:sz w:val="18"/>
                <w:szCs w:val="18"/>
              </w:rPr>
              <w:t>25</w:t>
            </w:r>
          </w:p>
        </w:tc>
        <w:tc>
          <w:tcPr>
            <w:tcW w:w="965" w:type="dxa"/>
            <w:shd w:val="clear" w:color="auto" w:fill="auto"/>
            <w:hideMark/>
          </w:tcPr>
          <w:p w14:paraId="5D6F3A53" w14:textId="77777777" w:rsidR="00D67940" w:rsidRPr="00727C16" w:rsidRDefault="00D67940" w:rsidP="000A5D98">
            <w:pPr>
              <w:pStyle w:val="NormalWeb"/>
              <w:jc w:val="center"/>
              <w:rPr>
                <w:sz w:val="18"/>
                <w:szCs w:val="18"/>
              </w:rPr>
            </w:pPr>
            <w:r w:rsidRPr="00727C16">
              <w:rPr>
                <w:sz w:val="18"/>
                <w:szCs w:val="18"/>
              </w:rPr>
              <w:t>8</w:t>
            </w:r>
          </w:p>
        </w:tc>
        <w:tc>
          <w:tcPr>
            <w:tcW w:w="966" w:type="dxa"/>
            <w:shd w:val="clear" w:color="auto" w:fill="auto"/>
            <w:hideMark/>
          </w:tcPr>
          <w:p w14:paraId="0F1D6BE1" w14:textId="77777777" w:rsidR="00D67940" w:rsidRPr="00727C16" w:rsidRDefault="00D67940" w:rsidP="000A5D98">
            <w:pPr>
              <w:pStyle w:val="NormalWeb"/>
              <w:jc w:val="center"/>
              <w:rPr>
                <w:sz w:val="18"/>
                <w:szCs w:val="18"/>
              </w:rPr>
            </w:pPr>
            <w:r w:rsidRPr="00727C16">
              <w:rPr>
                <w:sz w:val="18"/>
                <w:szCs w:val="18"/>
              </w:rPr>
              <w:t>1</w:t>
            </w:r>
          </w:p>
        </w:tc>
        <w:tc>
          <w:tcPr>
            <w:tcW w:w="965" w:type="dxa"/>
            <w:shd w:val="clear" w:color="auto" w:fill="auto"/>
            <w:hideMark/>
          </w:tcPr>
          <w:p w14:paraId="76C05586" w14:textId="77777777" w:rsidR="00D67940" w:rsidRPr="00727C16" w:rsidRDefault="00D67940" w:rsidP="000A5D98">
            <w:pPr>
              <w:pStyle w:val="NormalWeb"/>
              <w:jc w:val="center"/>
              <w:rPr>
                <w:sz w:val="18"/>
                <w:szCs w:val="18"/>
              </w:rPr>
            </w:pPr>
            <w:r w:rsidRPr="00727C16">
              <w:rPr>
                <w:sz w:val="18"/>
                <w:szCs w:val="18"/>
              </w:rPr>
              <w:t>0</w:t>
            </w:r>
          </w:p>
        </w:tc>
        <w:tc>
          <w:tcPr>
            <w:tcW w:w="965" w:type="dxa"/>
            <w:tcBorders>
              <w:right w:val="single" w:sz="4" w:space="0" w:color="auto"/>
            </w:tcBorders>
            <w:shd w:val="clear" w:color="auto" w:fill="auto"/>
            <w:hideMark/>
          </w:tcPr>
          <w:p w14:paraId="4B9DFE20" w14:textId="77777777" w:rsidR="00D67940" w:rsidRPr="00727C16" w:rsidRDefault="00D67940" w:rsidP="000A5D98">
            <w:pPr>
              <w:pStyle w:val="NormalWeb"/>
              <w:jc w:val="center"/>
              <w:rPr>
                <w:sz w:val="18"/>
                <w:szCs w:val="18"/>
              </w:rPr>
            </w:pPr>
            <w:r w:rsidRPr="00727C16">
              <w:rPr>
                <w:sz w:val="18"/>
                <w:szCs w:val="18"/>
              </w:rPr>
              <w:t>22</w:t>
            </w:r>
          </w:p>
        </w:tc>
        <w:tc>
          <w:tcPr>
            <w:tcW w:w="965" w:type="dxa"/>
            <w:tcBorders>
              <w:left w:val="single" w:sz="4" w:space="0" w:color="auto"/>
            </w:tcBorders>
            <w:shd w:val="clear" w:color="auto" w:fill="auto"/>
            <w:hideMark/>
          </w:tcPr>
          <w:p w14:paraId="072AE2A0" w14:textId="77777777" w:rsidR="00D67940" w:rsidRPr="00727C16" w:rsidRDefault="00D67940" w:rsidP="000A5D98">
            <w:pPr>
              <w:pStyle w:val="NormalWeb"/>
              <w:jc w:val="center"/>
              <w:rPr>
                <w:sz w:val="18"/>
                <w:szCs w:val="18"/>
              </w:rPr>
            </w:pPr>
            <w:r w:rsidRPr="00727C16">
              <w:rPr>
                <w:sz w:val="18"/>
                <w:szCs w:val="18"/>
              </w:rPr>
              <w:t>97</w:t>
            </w:r>
          </w:p>
        </w:tc>
        <w:tc>
          <w:tcPr>
            <w:tcW w:w="965" w:type="dxa"/>
            <w:shd w:val="clear" w:color="auto" w:fill="auto"/>
            <w:hideMark/>
          </w:tcPr>
          <w:p w14:paraId="1344D52A" w14:textId="77777777" w:rsidR="00D67940" w:rsidRPr="00727C16" w:rsidRDefault="00D67940" w:rsidP="000A5D98">
            <w:pPr>
              <w:pStyle w:val="NormalWeb"/>
              <w:jc w:val="center"/>
              <w:rPr>
                <w:sz w:val="18"/>
                <w:szCs w:val="18"/>
              </w:rPr>
            </w:pPr>
            <w:r w:rsidRPr="00727C16">
              <w:rPr>
                <w:sz w:val="18"/>
                <w:szCs w:val="18"/>
              </w:rPr>
              <w:t>41</w:t>
            </w:r>
          </w:p>
        </w:tc>
        <w:tc>
          <w:tcPr>
            <w:tcW w:w="965" w:type="dxa"/>
            <w:tcBorders>
              <w:right w:val="single" w:sz="4" w:space="0" w:color="auto"/>
            </w:tcBorders>
            <w:shd w:val="clear" w:color="auto" w:fill="auto"/>
            <w:hideMark/>
          </w:tcPr>
          <w:p w14:paraId="52B27935" w14:textId="77777777" w:rsidR="00D67940" w:rsidRPr="00727C16" w:rsidRDefault="00D67940" w:rsidP="000A5D98">
            <w:pPr>
              <w:pStyle w:val="NormalWeb"/>
              <w:jc w:val="center"/>
              <w:rPr>
                <w:sz w:val="18"/>
                <w:szCs w:val="18"/>
              </w:rPr>
            </w:pPr>
            <w:r w:rsidRPr="00727C16">
              <w:rPr>
                <w:sz w:val="18"/>
                <w:szCs w:val="18"/>
              </w:rPr>
              <w:t>75</w:t>
            </w:r>
          </w:p>
        </w:tc>
        <w:tc>
          <w:tcPr>
            <w:tcW w:w="966" w:type="dxa"/>
            <w:tcBorders>
              <w:left w:val="single" w:sz="4" w:space="0" w:color="auto"/>
            </w:tcBorders>
            <w:shd w:val="clear" w:color="auto" w:fill="auto"/>
            <w:hideMark/>
          </w:tcPr>
          <w:p w14:paraId="23E0D500" w14:textId="77777777" w:rsidR="00D67940" w:rsidRPr="00727C16" w:rsidRDefault="00D67940" w:rsidP="000A5D98">
            <w:pPr>
              <w:pStyle w:val="NormalWeb"/>
              <w:jc w:val="center"/>
              <w:rPr>
                <w:sz w:val="18"/>
                <w:szCs w:val="18"/>
              </w:rPr>
            </w:pPr>
            <w:r w:rsidRPr="00727C16">
              <w:rPr>
                <w:sz w:val="18"/>
                <w:szCs w:val="18"/>
              </w:rPr>
              <w:t>168</w:t>
            </w:r>
          </w:p>
        </w:tc>
      </w:tr>
      <w:tr w:rsidR="00BC5C71" w:rsidRPr="00727C16" w14:paraId="3A96074F" w14:textId="77777777" w:rsidTr="00564DE3">
        <w:trPr>
          <w:cnfStyle w:val="000000010000" w:firstRow="0" w:lastRow="0" w:firstColumn="0" w:lastColumn="0" w:oddVBand="0" w:evenVBand="0" w:oddHBand="0" w:evenHBand="1" w:firstRowFirstColumn="0" w:firstRowLastColumn="0" w:lastRowFirstColumn="0" w:lastRowLastColumn="0"/>
        </w:trPr>
        <w:tc>
          <w:tcPr>
            <w:tcW w:w="3402" w:type="dxa"/>
            <w:tcBorders>
              <w:right w:val="single" w:sz="4" w:space="0" w:color="auto"/>
            </w:tcBorders>
            <w:shd w:val="clear" w:color="auto" w:fill="auto"/>
            <w:hideMark/>
          </w:tcPr>
          <w:p w14:paraId="67C27F36" w14:textId="77777777" w:rsidR="00D67940" w:rsidRPr="00727C16" w:rsidRDefault="00D67940">
            <w:pPr>
              <w:pStyle w:val="NormalWeb"/>
              <w:rPr>
                <w:sz w:val="18"/>
                <w:szCs w:val="18"/>
              </w:rPr>
            </w:pPr>
            <w:r w:rsidRPr="00727C16">
              <w:rPr>
                <w:sz w:val="18"/>
                <w:szCs w:val="18"/>
              </w:rPr>
              <w:t>Non-Indigenous</w:t>
            </w:r>
          </w:p>
        </w:tc>
        <w:tc>
          <w:tcPr>
            <w:tcW w:w="965" w:type="dxa"/>
            <w:tcBorders>
              <w:left w:val="single" w:sz="4" w:space="0" w:color="auto"/>
            </w:tcBorders>
            <w:shd w:val="clear" w:color="auto" w:fill="auto"/>
            <w:hideMark/>
          </w:tcPr>
          <w:p w14:paraId="2B9724A4" w14:textId="77777777" w:rsidR="00D67940" w:rsidRPr="00727C16" w:rsidRDefault="00D67940" w:rsidP="000A5D98">
            <w:pPr>
              <w:pStyle w:val="NormalWeb"/>
              <w:jc w:val="center"/>
              <w:rPr>
                <w:sz w:val="18"/>
                <w:szCs w:val="18"/>
              </w:rPr>
            </w:pPr>
            <w:r w:rsidRPr="00727C16">
              <w:rPr>
                <w:sz w:val="18"/>
                <w:szCs w:val="18"/>
              </w:rPr>
              <w:t>5</w:t>
            </w:r>
          </w:p>
        </w:tc>
        <w:tc>
          <w:tcPr>
            <w:tcW w:w="965" w:type="dxa"/>
            <w:shd w:val="clear" w:color="auto" w:fill="auto"/>
            <w:hideMark/>
          </w:tcPr>
          <w:p w14:paraId="6065823D" w14:textId="77777777" w:rsidR="00D67940" w:rsidRPr="00727C16" w:rsidRDefault="00D67940" w:rsidP="000A5D98">
            <w:pPr>
              <w:pStyle w:val="NormalWeb"/>
              <w:jc w:val="center"/>
              <w:rPr>
                <w:sz w:val="18"/>
                <w:szCs w:val="18"/>
              </w:rPr>
            </w:pPr>
            <w:r w:rsidRPr="00727C16">
              <w:rPr>
                <w:sz w:val="18"/>
                <w:szCs w:val="18"/>
              </w:rPr>
              <w:t>237</w:t>
            </w:r>
          </w:p>
        </w:tc>
        <w:tc>
          <w:tcPr>
            <w:tcW w:w="965" w:type="dxa"/>
            <w:shd w:val="clear" w:color="auto" w:fill="auto"/>
            <w:hideMark/>
          </w:tcPr>
          <w:p w14:paraId="3142561F" w14:textId="77777777" w:rsidR="00D67940" w:rsidRPr="00727C16" w:rsidRDefault="00D67940" w:rsidP="000A5D98">
            <w:pPr>
              <w:pStyle w:val="NormalWeb"/>
              <w:jc w:val="center"/>
              <w:rPr>
                <w:sz w:val="18"/>
                <w:szCs w:val="18"/>
              </w:rPr>
            </w:pPr>
            <w:r w:rsidRPr="00727C16">
              <w:rPr>
                <w:sz w:val="18"/>
                <w:szCs w:val="18"/>
              </w:rPr>
              <w:t>6</w:t>
            </w:r>
          </w:p>
        </w:tc>
        <w:tc>
          <w:tcPr>
            <w:tcW w:w="965" w:type="dxa"/>
            <w:shd w:val="clear" w:color="auto" w:fill="auto"/>
            <w:hideMark/>
          </w:tcPr>
          <w:p w14:paraId="58EEB5AF" w14:textId="77777777" w:rsidR="00D67940" w:rsidRPr="00727C16" w:rsidRDefault="00D67940" w:rsidP="000A5D98">
            <w:pPr>
              <w:pStyle w:val="NormalWeb"/>
              <w:jc w:val="center"/>
              <w:rPr>
                <w:sz w:val="18"/>
                <w:szCs w:val="18"/>
              </w:rPr>
            </w:pPr>
            <w:r w:rsidRPr="00727C16">
              <w:rPr>
                <w:sz w:val="18"/>
                <w:szCs w:val="18"/>
              </w:rPr>
              <w:t>114</w:t>
            </w:r>
          </w:p>
        </w:tc>
        <w:tc>
          <w:tcPr>
            <w:tcW w:w="965" w:type="dxa"/>
            <w:shd w:val="clear" w:color="auto" w:fill="auto"/>
            <w:hideMark/>
          </w:tcPr>
          <w:p w14:paraId="58BCCCEB" w14:textId="77777777" w:rsidR="00D67940" w:rsidRPr="00727C16" w:rsidRDefault="00D67940" w:rsidP="000A5D98">
            <w:pPr>
              <w:pStyle w:val="NormalWeb"/>
              <w:jc w:val="center"/>
              <w:rPr>
                <w:sz w:val="18"/>
                <w:szCs w:val="18"/>
              </w:rPr>
            </w:pPr>
            <w:r w:rsidRPr="00727C16">
              <w:rPr>
                <w:sz w:val="18"/>
                <w:szCs w:val="18"/>
              </w:rPr>
              <w:t>73</w:t>
            </w:r>
          </w:p>
        </w:tc>
        <w:tc>
          <w:tcPr>
            <w:tcW w:w="966" w:type="dxa"/>
            <w:shd w:val="clear" w:color="auto" w:fill="auto"/>
            <w:hideMark/>
          </w:tcPr>
          <w:p w14:paraId="5E0E451C" w14:textId="77777777" w:rsidR="00D67940" w:rsidRPr="00727C16" w:rsidRDefault="00D67940" w:rsidP="000A5D98">
            <w:pPr>
              <w:pStyle w:val="NormalWeb"/>
              <w:jc w:val="center"/>
              <w:rPr>
                <w:sz w:val="18"/>
                <w:szCs w:val="18"/>
              </w:rPr>
            </w:pPr>
            <w:r w:rsidRPr="00727C16">
              <w:rPr>
                <w:sz w:val="18"/>
                <w:szCs w:val="18"/>
              </w:rPr>
              <w:t>19</w:t>
            </w:r>
          </w:p>
        </w:tc>
        <w:tc>
          <w:tcPr>
            <w:tcW w:w="965" w:type="dxa"/>
            <w:shd w:val="clear" w:color="auto" w:fill="auto"/>
            <w:hideMark/>
          </w:tcPr>
          <w:p w14:paraId="647E3908" w14:textId="77777777" w:rsidR="00D67940" w:rsidRPr="00727C16" w:rsidRDefault="00D67940" w:rsidP="000A5D98">
            <w:pPr>
              <w:pStyle w:val="NormalWeb"/>
              <w:jc w:val="center"/>
              <w:rPr>
                <w:sz w:val="18"/>
                <w:szCs w:val="18"/>
              </w:rPr>
            </w:pPr>
            <w:r w:rsidRPr="00727C16">
              <w:rPr>
                <w:sz w:val="18"/>
                <w:szCs w:val="18"/>
              </w:rPr>
              <w:t>137</w:t>
            </w:r>
          </w:p>
        </w:tc>
        <w:tc>
          <w:tcPr>
            <w:tcW w:w="965" w:type="dxa"/>
            <w:tcBorders>
              <w:right w:val="single" w:sz="4" w:space="0" w:color="auto"/>
            </w:tcBorders>
            <w:shd w:val="clear" w:color="auto" w:fill="auto"/>
            <w:hideMark/>
          </w:tcPr>
          <w:p w14:paraId="595EDD65" w14:textId="77777777" w:rsidR="00D67940" w:rsidRPr="00727C16" w:rsidRDefault="00D67940" w:rsidP="000A5D98">
            <w:pPr>
              <w:pStyle w:val="NormalWeb"/>
              <w:jc w:val="center"/>
              <w:rPr>
                <w:sz w:val="18"/>
                <w:szCs w:val="18"/>
              </w:rPr>
            </w:pPr>
            <w:r w:rsidRPr="00727C16">
              <w:rPr>
                <w:sz w:val="18"/>
                <w:szCs w:val="18"/>
              </w:rPr>
              <w:t>64</w:t>
            </w:r>
          </w:p>
        </w:tc>
        <w:tc>
          <w:tcPr>
            <w:tcW w:w="965" w:type="dxa"/>
            <w:tcBorders>
              <w:left w:val="single" w:sz="4" w:space="0" w:color="auto"/>
            </w:tcBorders>
            <w:shd w:val="clear" w:color="auto" w:fill="auto"/>
            <w:hideMark/>
          </w:tcPr>
          <w:p w14:paraId="27603E57" w14:textId="77777777" w:rsidR="00D67940" w:rsidRPr="00727C16" w:rsidRDefault="00D67940" w:rsidP="000A5D98">
            <w:pPr>
              <w:pStyle w:val="NormalWeb"/>
              <w:jc w:val="center"/>
              <w:rPr>
                <w:sz w:val="18"/>
                <w:szCs w:val="18"/>
              </w:rPr>
            </w:pPr>
            <w:r w:rsidRPr="00727C16">
              <w:rPr>
                <w:sz w:val="18"/>
                <w:szCs w:val="18"/>
              </w:rPr>
              <w:t>655</w:t>
            </w:r>
          </w:p>
        </w:tc>
        <w:tc>
          <w:tcPr>
            <w:tcW w:w="965" w:type="dxa"/>
            <w:shd w:val="clear" w:color="auto" w:fill="auto"/>
            <w:hideMark/>
          </w:tcPr>
          <w:p w14:paraId="3244507F" w14:textId="77777777" w:rsidR="00D67940" w:rsidRPr="00727C16" w:rsidRDefault="00D67940" w:rsidP="000A5D98">
            <w:pPr>
              <w:pStyle w:val="NormalWeb"/>
              <w:jc w:val="center"/>
              <w:rPr>
                <w:sz w:val="18"/>
                <w:szCs w:val="18"/>
              </w:rPr>
            </w:pPr>
            <w:r w:rsidRPr="00727C16">
              <w:rPr>
                <w:sz w:val="18"/>
                <w:szCs w:val="18"/>
              </w:rPr>
              <w:t>401</w:t>
            </w:r>
          </w:p>
        </w:tc>
        <w:tc>
          <w:tcPr>
            <w:tcW w:w="965" w:type="dxa"/>
            <w:tcBorders>
              <w:right w:val="single" w:sz="4" w:space="0" w:color="auto"/>
            </w:tcBorders>
            <w:shd w:val="clear" w:color="auto" w:fill="auto"/>
            <w:hideMark/>
          </w:tcPr>
          <w:p w14:paraId="01D0D728" w14:textId="77777777" w:rsidR="00D67940" w:rsidRPr="00727C16" w:rsidRDefault="00D67940" w:rsidP="000A5D98">
            <w:pPr>
              <w:pStyle w:val="NormalWeb"/>
              <w:jc w:val="center"/>
              <w:rPr>
                <w:sz w:val="18"/>
                <w:szCs w:val="18"/>
              </w:rPr>
            </w:pPr>
            <w:r w:rsidRPr="00727C16">
              <w:rPr>
                <w:sz w:val="18"/>
                <w:szCs w:val="18"/>
              </w:rPr>
              <w:t>521</w:t>
            </w:r>
          </w:p>
        </w:tc>
        <w:tc>
          <w:tcPr>
            <w:tcW w:w="966" w:type="dxa"/>
            <w:tcBorders>
              <w:left w:val="single" w:sz="4" w:space="0" w:color="auto"/>
            </w:tcBorders>
            <w:shd w:val="clear" w:color="auto" w:fill="auto"/>
            <w:hideMark/>
          </w:tcPr>
          <w:p w14:paraId="43DAC3CA" w14:textId="77777777" w:rsidR="00D67940" w:rsidRPr="00727C16" w:rsidRDefault="00D67940" w:rsidP="000A5D98">
            <w:pPr>
              <w:pStyle w:val="NormalWeb"/>
              <w:jc w:val="center"/>
              <w:rPr>
                <w:sz w:val="18"/>
                <w:szCs w:val="18"/>
              </w:rPr>
            </w:pPr>
            <w:r w:rsidRPr="00727C16">
              <w:rPr>
                <w:sz w:val="18"/>
                <w:szCs w:val="18"/>
              </w:rPr>
              <w:t>1245</w:t>
            </w:r>
          </w:p>
        </w:tc>
      </w:tr>
      <w:tr w:rsidR="00FA1CA1" w:rsidRPr="00727C16" w14:paraId="1B5BC1B6" w14:textId="77777777" w:rsidTr="00564DE3">
        <w:tc>
          <w:tcPr>
            <w:tcW w:w="3402" w:type="dxa"/>
            <w:tcBorders>
              <w:bottom w:val="single" w:sz="4" w:space="0" w:color="auto"/>
              <w:right w:val="single" w:sz="4" w:space="0" w:color="auto"/>
            </w:tcBorders>
            <w:shd w:val="clear" w:color="auto" w:fill="auto"/>
            <w:hideMark/>
          </w:tcPr>
          <w:p w14:paraId="28A333E6" w14:textId="77777777" w:rsidR="00D67940" w:rsidRPr="00727C16" w:rsidRDefault="00D67940">
            <w:pPr>
              <w:pStyle w:val="NormalWeb"/>
              <w:rPr>
                <w:sz w:val="18"/>
                <w:szCs w:val="18"/>
              </w:rPr>
            </w:pPr>
            <w:r w:rsidRPr="00727C16">
              <w:rPr>
                <w:sz w:val="18"/>
                <w:szCs w:val="18"/>
              </w:rPr>
              <w:t>Not stated / Unknown</w:t>
            </w:r>
          </w:p>
        </w:tc>
        <w:tc>
          <w:tcPr>
            <w:tcW w:w="965" w:type="dxa"/>
            <w:tcBorders>
              <w:left w:val="single" w:sz="4" w:space="0" w:color="auto"/>
              <w:bottom w:val="single" w:sz="4" w:space="0" w:color="auto"/>
            </w:tcBorders>
            <w:shd w:val="clear" w:color="auto" w:fill="auto"/>
            <w:hideMark/>
          </w:tcPr>
          <w:p w14:paraId="180ABC00" w14:textId="77777777" w:rsidR="00D67940" w:rsidRPr="00727C16" w:rsidRDefault="00D67940" w:rsidP="000A5D98">
            <w:pPr>
              <w:pStyle w:val="NormalWeb"/>
              <w:jc w:val="center"/>
              <w:rPr>
                <w:sz w:val="18"/>
                <w:szCs w:val="18"/>
              </w:rPr>
            </w:pPr>
            <w:r w:rsidRPr="00727C16">
              <w:rPr>
                <w:sz w:val="18"/>
                <w:szCs w:val="18"/>
              </w:rPr>
              <w:t>0</w:t>
            </w:r>
          </w:p>
        </w:tc>
        <w:tc>
          <w:tcPr>
            <w:tcW w:w="965" w:type="dxa"/>
            <w:tcBorders>
              <w:bottom w:val="single" w:sz="4" w:space="0" w:color="auto"/>
            </w:tcBorders>
            <w:shd w:val="clear" w:color="auto" w:fill="auto"/>
            <w:hideMark/>
          </w:tcPr>
          <w:p w14:paraId="6EDAFD60" w14:textId="77777777" w:rsidR="00D67940" w:rsidRPr="00727C16" w:rsidRDefault="00D67940" w:rsidP="000A5D98">
            <w:pPr>
              <w:pStyle w:val="NormalWeb"/>
              <w:jc w:val="center"/>
              <w:rPr>
                <w:sz w:val="18"/>
                <w:szCs w:val="18"/>
              </w:rPr>
            </w:pPr>
            <w:r w:rsidRPr="00727C16">
              <w:rPr>
                <w:sz w:val="18"/>
                <w:szCs w:val="18"/>
              </w:rPr>
              <w:t>46</w:t>
            </w:r>
          </w:p>
        </w:tc>
        <w:tc>
          <w:tcPr>
            <w:tcW w:w="965" w:type="dxa"/>
            <w:tcBorders>
              <w:bottom w:val="single" w:sz="4" w:space="0" w:color="auto"/>
            </w:tcBorders>
            <w:shd w:val="clear" w:color="auto" w:fill="auto"/>
            <w:hideMark/>
          </w:tcPr>
          <w:p w14:paraId="6237409D" w14:textId="77777777" w:rsidR="00D67940" w:rsidRPr="00727C16" w:rsidRDefault="00D67940" w:rsidP="000A5D98">
            <w:pPr>
              <w:pStyle w:val="NormalWeb"/>
              <w:jc w:val="center"/>
              <w:rPr>
                <w:sz w:val="18"/>
                <w:szCs w:val="18"/>
              </w:rPr>
            </w:pPr>
            <w:r w:rsidRPr="00727C16">
              <w:rPr>
                <w:sz w:val="18"/>
                <w:szCs w:val="18"/>
              </w:rPr>
              <w:t>0</w:t>
            </w:r>
          </w:p>
        </w:tc>
        <w:tc>
          <w:tcPr>
            <w:tcW w:w="965" w:type="dxa"/>
            <w:tcBorders>
              <w:bottom w:val="single" w:sz="4" w:space="0" w:color="auto"/>
            </w:tcBorders>
            <w:shd w:val="clear" w:color="auto" w:fill="auto"/>
            <w:hideMark/>
          </w:tcPr>
          <w:p w14:paraId="7CB6A0DF" w14:textId="77777777" w:rsidR="00D67940" w:rsidRPr="00727C16" w:rsidRDefault="00D67940" w:rsidP="000A5D98">
            <w:pPr>
              <w:pStyle w:val="NormalWeb"/>
              <w:jc w:val="center"/>
              <w:rPr>
                <w:sz w:val="18"/>
                <w:szCs w:val="18"/>
              </w:rPr>
            </w:pPr>
            <w:r w:rsidRPr="00727C16">
              <w:rPr>
                <w:sz w:val="18"/>
                <w:szCs w:val="18"/>
              </w:rPr>
              <w:t>0</w:t>
            </w:r>
          </w:p>
        </w:tc>
        <w:tc>
          <w:tcPr>
            <w:tcW w:w="965" w:type="dxa"/>
            <w:tcBorders>
              <w:bottom w:val="single" w:sz="4" w:space="0" w:color="auto"/>
            </w:tcBorders>
            <w:shd w:val="clear" w:color="auto" w:fill="auto"/>
            <w:hideMark/>
          </w:tcPr>
          <w:p w14:paraId="0546830D" w14:textId="77777777" w:rsidR="00D67940" w:rsidRPr="00727C16" w:rsidRDefault="00D67940" w:rsidP="000A5D98">
            <w:pPr>
              <w:pStyle w:val="NormalWeb"/>
              <w:jc w:val="center"/>
              <w:rPr>
                <w:sz w:val="18"/>
                <w:szCs w:val="18"/>
              </w:rPr>
            </w:pPr>
            <w:r w:rsidRPr="00727C16">
              <w:rPr>
                <w:sz w:val="18"/>
                <w:szCs w:val="18"/>
              </w:rPr>
              <w:t>1</w:t>
            </w:r>
          </w:p>
        </w:tc>
        <w:tc>
          <w:tcPr>
            <w:tcW w:w="966" w:type="dxa"/>
            <w:tcBorders>
              <w:bottom w:val="single" w:sz="4" w:space="0" w:color="auto"/>
            </w:tcBorders>
            <w:shd w:val="clear" w:color="auto" w:fill="auto"/>
            <w:hideMark/>
          </w:tcPr>
          <w:p w14:paraId="7D1E3CE5" w14:textId="77777777" w:rsidR="00D67940" w:rsidRPr="00727C16" w:rsidRDefault="00D67940" w:rsidP="000A5D98">
            <w:pPr>
              <w:pStyle w:val="NormalWeb"/>
              <w:jc w:val="center"/>
              <w:rPr>
                <w:sz w:val="18"/>
                <w:szCs w:val="18"/>
              </w:rPr>
            </w:pPr>
            <w:r w:rsidRPr="00727C16">
              <w:rPr>
                <w:sz w:val="18"/>
                <w:szCs w:val="18"/>
              </w:rPr>
              <w:t>1</w:t>
            </w:r>
          </w:p>
        </w:tc>
        <w:tc>
          <w:tcPr>
            <w:tcW w:w="965" w:type="dxa"/>
            <w:tcBorders>
              <w:bottom w:val="single" w:sz="4" w:space="0" w:color="auto"/>
            </w:tcBorders>
            <w:shd w:val="clear" w:color="auto" w:fill="auto"/>
            <w:hideMark/>
          </w:tcPr>
          <w:p w14:paraId="0C131FB8" w14:textId="77777777" w:rsidR="00D67940" w:rsidRPr="00727C16" w:rsidRDefault="00D67940" w:rsidP="000A5D98">
            <w:pPr>
              <w:pStyle w:val="NormalWeb"/>
              <w:jc w:val="center"/>
              <w:rPr>
                <w:sz w:val="18"/>
                <w:szCs w:val="18"/>
              </w:rPr>
            </w:pPr>
            <w:r w:rsidRPr="00727C16">
              <w:rPr>
                <w:sz w:val="18"/>
                <w:szCs w:val="18"/>
              </w:rPr>
              <w:t>70</w:t>
            </w:r>
          </w:p>
        </w:tc>
        <w:tc>
          <w:tcPr>
            <w:tcW w:w="965" w:type="dxa"/>
            <w:tcBorders>
              <w:bottom w:val="single" w:sz="4" w:space="0" w:color="auto"/>
              <w:right w:val="single" w:sz="4" w:space="0" w:color="auto"/>
            </w:tcBorders>
            <w:shd w:val="clear" w:color="auto" w:fill="auto"/>
            <w:hideMark/>
          </w:tcPr>
          <w:p w14:paraId="54B49981" w14:textId="77777777" w:rsidR="00D67940" w:rsidRPr="00727C16" w:rsidRDefault="00D67940" w:rsidP="000A5D98">
            <w:pPr>
              <w:pStyle w:val="NormalWeb"/>
              <w:jc w:val="center"/>
              <w:rPr>
                <w:sz w:val="18"/>
                <w:szCs w:val="18"/>
              </w:rPr>
            </w:pPr>
            <w:r w:rsidRPr="00727C16">
              <w:rPr>
                <w:sz w:val="18"/>
                <w:szCs w:val="18"/>
              </w:rPr>
              <w:t>0</w:t>
            </w:r>
          </w:p>
        </w:tc>
        <w:tc>
          <w:tcPr>
            <w:tcW w:w="965" w:type="dxa"/>
            <w:tcBorders>
              <w:left w:val="single" w:sz="4" w:space="0" w:color="auto"/>
              <w:bottom w:val="single" w:sz="4" w:space="0" w:color="auto"/>
            </w:tcBorders>
            <w:shd w:val="clear" w:color="auto" w:fill="auto"/>
            <w:hideMark/>
          </w:tcPr>
          <w:p w14:paraId="2F71C487" w14:textId="77777777" w:rsidR="00D67940" w:rsidRPr="00727C16" w:rsidRDefault="00D67940" w:rsidP="000A5D98">
            <w:pPr>
              <w:pStyle w:val="NormalWeb"/>
              <w:jc w:val="center"/>
              <w:rPr>
                <w:sz w:val="18"/>
                <w:szCs w:val="18"/>
              </w:rPr>
            </w:pPr>
            <w:r w:rsidRPr="00727C16">
              <w:rPr>
                <w:sz w:val="18"/>
                <w:szCs w:val="18"/>
              </w:rPr>
              <w:t>118</w:t>
            </w:r>
          </w:p>
        </w:tc>
        <w:tc>
          <w:tcPr>
            <w:tcW w:w="965" w:type="dxa"/>
            <w:tcBorders>
              <w:bottom w:val="single" w:sz="4" w:space="0" w:color="auto"/>
            </w:tcBorders>
            <w:shd w:val="clear" w:color="auto" w:fill="auto"/>
            <w:hideMark/>
          </w:tcPr>
          <w:p w14:paraId="3A8D40A4" w14:textId="77777777" w:rsidR="00D67940" w:rsidRPr="00727C16" w:rsidRDefault="00D67940" w:rsidP="000A5D98">
            <w:pPr>
              <w:pStyle w:val="NormalWeb"/>
              <w:jc w:val="center"/>
              <w:rPr>
                <w:sz w:val="18"/>
                <w:szCs w:val="18"/>
              </w:rPr>
            </w:pPr>
            <w:r w:rsidRPr="00727C16">
              <w:rPr>
                <w:sz w:val="18"/>
                <w:szCs w:val="18"/>
              </w:rPr>
              <w:t>58</w:t>
            </w:r>
          </w:p>
        </w:tc>
        <w:tc>
          <w:tcPr>
            <w:tcW w:w="965" w:type="dxa"/>
            <w:tcBorders>
              <w:bottom w:val="single" w:sz="4" w:space="0" w:color="auto"/>
              <w:right w:val="single" w:sz="4" w:space="0" w:color="auto"/>
            </w:tcBorders>
            <w:shd w:val="clear" w:color="auto" w:fill="auto"/>
            <w:hideMark/>
          </w:tcPr>
          <w:p w14:paraId="57F5A600" w14:textId="77777777" w:rsidR="00D67940" w:rsidRPr="00727C16" w:rsidRDefault="00D67940" w:rsidP="000A5D98">
            <w:pPr>
              <w:pStyle w:val="NormalWeb"/>
              <w:jc w:val="center"/>
              <w:rPr>
                <w:sz w:val="18"/>
                <w:szCs w:val="18"/>
              </w:rPr>
            </w:pPr>
            <w:r w:rsidRPr="00727C16">
              <w:rPr>
                <w:sz w:val="18"/>
                <w:szCs w:val="18"/>
              </w:rPr>
              <w:t>51</w:t>
            </w:r>
          </w:p>
        </w:tc>
        <w:tc>
          <w:tcPr>
            <w:tcW w:w="966" w:type="dxa"/>
            <w:tcBorders>
              <w:left w:val="single" w:sz="4" w:space="0" w:color="auto"/>
              <w:bottom w:val="single" w:sz="4" w:space="0" w:color="auto"/>
            </w:tcBorders>
            <w:shd w:val="clear" w:color="auto" w:fill="auto"/>
            <w:hideMark/>
          </w:tcPr>
          <w:p w14:paraId="05EE205A" w14:textId="77777777" w:rsidR="00D67940" w:rsidRPr="00727C16" w:rsidRDefault="00D67940" w:rsidP="000A5D98">
            <w:pPr>
              <w:pStyle w:val="NormalWeb"/>
              <w:jc w:val="center"/>
              <w:rPr>
                <w:sz w:val="18"/>
                <w:szCs w:val="18"/>
              </w:rPr>
            </w:pPr>
            <w:r w:rsidRPr="00727C16">
              <w:rPr>
                <w:sz w:val="18"/>
                <w:szCs w:val="18"/>
              </w:rPr>
              <w:t>209</w:t>
            </w:r>
          </w:p>
        </w:tc>
      </w:tr>
      <w:tr w:rsidR="00BC5C71" w:rsidRPr="00727C16" w14:paraId="4A78004C" w14:textId="77777777" w:rsidTr="00564DE3">
        <w:trPr>
          <w:cnfStyle w:val="000000010000" w:firstRow="0" w:lastRow="0" w:firstColumn="0" w:lastColumn="0" w:oddVBand="0" w:evenVBand="0" w:oddHBand="0" w:evenHBand="1" w:firstRowFirstColumn="0" w:firstRowLastColumn="0" w:lastRowFirstColumn="0" w:lastRowLastColumn="0"/>
        </w:trPr>
        <w:tc>
          <w:tcPr>
            <w:tcW w:w="3402" w:type="dxa"/>
            <w:tcBorders>
              <w:top w:val="single" w:sz="4" w:space="0" w:color="auto"/>
              <w:bottom w:val="single" w:sz="4" w:space="0" w:color="auto"/>
              <w:right w:val="single" w:sz="4" w:space="0" w:color="auto"/>
            </w:tcBorders>
            <w:shd w:val="clear" w:color="auto" w:fill="auto"/>
            <w:hideMark/>
          </w:tcPr>
          <w:p w14:paraId="2A23329E" w14:textId="77777777" w:rsidR="00D67940" w:rsidRPr="00727C16" w:rsidRDefault="00D67940">
            <w:pPr>
              <w:pStyle w:val="NormalWeb"/>
              <w:rPr>
                <w:sz w:val="18"/>
                <w:szCs w:val="18"/>
              </w:rPr>
            </w:pPr>
            <w:r w:rsidRPr="00727C16">
              <w:rPr>
                <w:sz w:val="18"/>
                <w:szCs w:val="18"/>
              </w:rPr>
              <w:t>Total</w:t>
            </w:r>
          </w:p>
        </w:tc>
        <w:tc>
          <w:tcPr>
            <w:tcW w:w="965" w:type="dxa"/>
            <w:tcBorders>
              <w:top w:val="single" w:sz="4" w:space="0" w:color="auto"/>
              <w:left w:val="single" w:sz="4" w:space="0" w:color="auto"/>
              <w:bottom w:val="single" w:sz="4" w:space="0" w:color="auto"/>
            </w:tcBorders>
            <w:shd w:val="clear" w:color="auto" w:fill="auto"/>
            <w:hideMark/>
          </w:tcPr>
          <w:p w14:paraId="2359A686" w14:textId="77777777" w:rsidR="00D67940" w:rsidRPr="00727C16" w:rsidRDefault="00D67940" w:rsidP="000A5D98">
            <w:pPr>
              <w:pStyle w:val="NormalWeb"/>
              <w:jc w:val="center"/>
              <w:rPr>
                <w:sz w:val="18"/>
                <w:szCs w:val="18"/>
              </w:rPr>
            </w:pPr>
            <w:r w:rsidRPr="00727C16">
              <w:rPr>
                <w:sz w:val="18"/>
                <w:szCs w:val="18"/>
              </w:rPr>
              <w:t>5</w:t>
            </w:r>
          </w:p>
        </w:tc>
        <w:tc>
          <w:tcPr>
            <w:tcW w:w="965" w:type="dxa"/>
            <w:tcBorders>
              <w:top w:val="single" w:sz="4" w:space="0" w:color="auto"/>
              <w:bottom w:val="single" w:sz="4" w:space="0" w:color="auto"/>
            </w:tcBorders>
            <w:shd w:val="clear" w:color="auto" w:fill="auto"/>
            <w:hideMark/>
          </w:tcPr>
          <w:p w14:paraId="41563553" w14:textId="77777777" w:rsidR="00D67940" w:rsidRPr="00727C16" w:rsidRDefault="00D67940" w:rsidP="000A5D98">
            <w:pPr>
              <w:pStyle w:val="NormalWeb"/>
              <w:jc w:val="center"/>
              <w:rPr>
                <w:sz w:val="18"/>
                <w:szCs w:val="18"/>
              </w:rPr>
            </w:pPr>
            <w:r w:rsidRPr="00727C16">
              <w:rPr>
                <w:sz w:val="18"/>
                <w:szCs w:val="18"/>
              </w:rPr>
              <w:t>298</w:t>
            </w:r>
          </w:p>
        </w:tc>
        <w:tc>
          <w:tcPr>
            <w:tcW w:w="965" w:type="dxa"/>
            <w:tcBorders>
              <w:top w:val="single" w:sz="4" w:space="0" w:color="auto"/>
              <w:bottom w:val="single" w:sz="4" w:space="0" w:color="auto"/>
            </w:tcBorders>
            <w:shd w:val="clear" w:color="auto" w:fill="auto"/>
            <w:hideMark/>
          </w:tcPr>
          <w:p w14:paraId="23489868" w14:textId="77777777" w:rsidR="00D67940" w:rsidRPr="00727C16" w:rsidRDefault="00D67940" w:rsidP="000A5D98">
            <w:pPr>
              <w:pStyle w:val="NormalWeb"/>
              <w:jc w:val="center"/>
              <w:rPr>
                <w:sz w:val="18"/>
                <w:szCs w:val="18"/>
              </w:rPr>
            </w:pPr>
            <w:r w:rsidRPr="00727C16">
              <w:rPr>
                <w:sz w:val="18"/>
                <w:szCs w:val="18"/>
              </w:rPr>
              <w:t>32</w:t>
            </w:r>
          </w:p>
        </w:tc>
        <w:tc>
          <w:tcPr>
            <w:tcW w:w="965" w:type="dxa"/>
            <w:tcBorders>
              <w:top w:val="single" w:sz="4" w:space="0" w:color="auto"/>
              <w:bottom w:val="single" w:sz="4" w:space="0" w:color="auto"/>
            </w:tcBorders>
            <w:shd w:val="clear" w:color="auto" w:fill="auto"/>
            <w:hideMark/>
          </w:tcPr>
          <w:p w14:paraId="330B8CCC" w14:textId="77777777" w:rsidR="00D67940" w:rsidRPr="00727C16" w:rsidRDefault="00D67940" w:rsidP="000A5D98">
            <w:pPr>
              <w:pStyle w:val="NormalWeb"/>
              <w:jc w:val="center"/>
              <w:rPr>
                <w:sz w:val="18"/>
                <w:szCs w:val="18"/>
              </w:rPr>
            </w:pPr>
            <w:r w:rsidRPr="00727C16">
              <w:rPr>
                <w:sz w:val="18"/>
                <w:szCs w:val="18"/>
              </w:rPr>
              <w:t>139</w:t>
            </w:r>
          </w:p>
        </w:tc>
        <w:tc>
          <w:tcPr>
            <w:tcW w:w="965" w:type="dxa"/>
            <w:tcBorders>
              <w:top w:val="single" w:sz="4" w:space="0" w:color="auto"/>
              <w:bottom w:val="single" w:sz="4" w:space="0" w:color="auto"/>
            </w:tcBorders>
            <w:shd w:val="clear" w:color="auto" w:fill="auto"/>
            <w:hideMark/>
          </w:tcPr>
          <w:p w14:paraId="5D253EBB" w14:textId="77777777" w:rsidR="00D67940" w:rsidRPr="00727C16" w:rsidRDefault="00D67940" w:rsidP="000A5D98">
            <w:pPr>
              <w:pStyle w:val="NormalWeb"/>
              <w:jc w:val="center"/>
              <w:rPr>
                <w:sz w:val="18"/>
                <w:szCs w:val="18"/>
              </w:rPr>
            </w:pPr>
            <w:r w:rsidRPr="00727C16">
              <w:rPr>
                <w:sz w:val="18"/>
                <w:szCs w:val="18"/>
              </w:rPr>
              <w:t>82</w:t>
            </w:r>
          </w:p>
        </w:tc>
        <w:tc>
          <w:tcPr>
            <w:tcW w:w="966" w:type="dxa"/>
            <w:tcBorders>
              <w:top w:val="single" w:sz="4" w:space="0" w:color="auto"/>
              <w:bottom w:val="single" w:sz="4" w:space="0" w:color="auto"/>
            </w:tcBorders>
            <w:shd w:val="clear" w:color="auto" w:fill="auto"/>
            <w:hideMark/>
          </w:tcPr>
          <w:p w14:paraId="78E476DA" w14:textId="77777777" w:rsidR="00D67940" w:rsidRPr="00727C16" w:rsidRDefault="00D67940" w:rsidP="000A5D98">
            <w:pPr>
              <w:pStyle w:val="NormalWeb"/>
              <w:jc w:val="center"/>
              <w:rPr>
                <w:sz w:val="18"/>
                <w:szCs w:val="18"/>
              </w:rPr>
            </w:pPr>
            <w:r w:rsidRPr="00727C16">
              <w:rPr>
                <w:sz w:val="18"/>
                <w:szCs w:val="18"/>
              </w:rPr>
              <w:t>21</w:t>
            </w:r>
          </w:p>
        </w:tc>
        <w:tc>
          <w:tcPr>
            <w:tcW w:w="965" w:type="dxa"/>
            <w:tcBorders>
              <w:top w:val="single" w:sz="4" w:space="0" w:color="auto"/>
              <w:bottom w:val="single" w:sz="4" w:space="0" w:color="auto"/>
            </w:tcBorders>
            <w:shd w:val="clear" w:color="auto" w:fill="auto"/>
            <w:hideMark/>
          </w:tcPr>
          <w:p w14:paraId="6FB0911D" w14:textId="77777777" w:rsidR="00D67940" w:rsidRPr="00727C16" w:rsidRDefault="00D67940" w:rsidP="000A5D98">
            <w:pPr>
              <w:pStyle w:val="NormalWeb"/>
              <w:jc w:val="center"/>
              <w:rPr>
                <w:sz w:val="18"/>
                <w:szCs w:val="18"/>
              </w:rPr>
            </w:pPr>
            <w:r w:rsidRPr="00727C16">
              <w:rPr>
                <w:sz w:val="18"/>
                <w:szCs w:val="18"/>
              </w:rPr>
              <w:t>207</w:t>
            </w:r>
          </w:p>
        </w:tc>
        <w:tc>
          <w:tcPr>
            <w:tcW w:w="965" w:type="dxa"/>
            <w:tcBorders>
              <w:top w:val="single" w:sz="4" w:space="0" w:color="auto"/>
              <w:bottom w:val="single" w:sz="4" w:space="0" w:color="auto"/>
              <w:right w:val="single" w:sz="4" w:space="0" w:color="auto"/>
            </w:tcBorders>
            <w:shd w:val="clear" w:color="auto" w:fill="auto"/>
            <w:hideMark/>
          </w:tcPr>
          <w:p w14:paraId="63BBF28E" w14:textId="77777777" w:rsidR="00D67940" w:rsidRPr="00727C16" w:rsidRDefault="00D67940" w:rsidP="000A5D98">
            <w:pPr>
              <w:pStyle w:val="NormalWeb"/>
              <w:jc w:val="center"/>
              <w:rPr>
                <w:sz w:val="18"/>
                <w:szCs w:val="18"/>
              </w:rPr>
            </w:pPr>
            <w:r w:rsidRPr="00727C16">
              <w:rPr>
                <w:sz w:val="18"/>
                <w:szCs w:val="18"/>
              </w:rPr>
              <w:t>86</w:t>
            </w:r>
          </w:p>
        </w:tc>
        <w:tc>
          <w:tcPr>
            <w:tcW w:w="965" w:type="dxa"/>
            <w:tcBorders>
              <w:top w:val="single" w:sz="4" w:space="0" w:color="auto"/>
              <w:left w:val="single" w:sz="4" w:space="0" w:color="auto"/>
              <w:bottom w:val="single" w:sz="4" w:space="0" w:color="auto"/>
            </w:tcBorders>
            <w:shd w:val="clear" w:color="auto" w:fill="auto"/>
            <w:hideMark/>
          </w:tcPr>
          <w:p w14:paraId="3C551684" w14:textId="77777777" w:rsidR="00D67940" w:rsidRPr="00727C16" w:rsidRDefault="00D67940" w:rsidP="000A5D98">
            <w:pPr>
              <w:pStyle w:val="NormalWeb"/>
              <w:jc w:val="center"/>
              <w:rPr>
                <w:sz w:val="18"/>
                <w:szCs w:val="18"/>
              </w:rPr>
            </w:pPr>
            <w:r w:rsidRPr="00727C16">
              <w:rPr>
                <w:sz w:val="18"/>
                <w:szCs w:val="18"/>
              </w:rPr>
              <w:t>870</w:t>
            </w:r>
          </w:p>
        </w:tc>
        <w:tc>
          <w:tcPr>
            <w:tcW w:w="965" w:type="dxa"/>
            <w:tcBorders>
              <w:top w:val="single" w:sz="4" w:space="0" w:color="auto"/>
              <w:bottom w:val="single" w:sz="4" w:space="0" w:color="auto"/>
            </w:tcBorders>
            <w:shd w:val="clear" w:color="auto" w:fill="auto"/>
            <w:hideMark/>
          </w:tcPr>
          <w:p w14:paraId="274D9322" w14:textId="77777777" w:rsidR="00D67940" w:rsidRPr="00727C16" w:rsidRDefault="00D67940" w:rsidP="000A5D98">
            <w:pPr>
              <w:pStyle w:val="NormalWeb"/>
              <w:jc w:val="center"/>
              <w:rPr>
                <w:sz w:val="18"/>
                <w:szCs w:val="18"/>
              </w:rPr>
            </w:pPr>
            <w:r w:rsidRPr="00727C16">
              <w:rPr>
                <w:sz w:val="18"/>
                <w:szCs w:val="18"/>
              </w:rPr>
              <w:t>500</w:t>
            </w:r>
          </w:p>
        </w:tc>
        <w:tc>
          <w:tcPr>
            <w:tcW w:w="965" w:type="dxa"/>
            <w:tcBorders>
              <w:top w:val="single" w:sz="4" w:space="0" w:color="auto"/>
              <w:bottom w:val="single" w:sz="4" w:space="0" w:color="auto"/>
              <w:right w:val="single" w:sz="4" w:space="0" w:color="auto"/>
            </w:tcBorders>
            <w:shd w:val="clear" w:color="auto" w:fill="auto"/>
            <w:hideMark/>
          </w:tcPr>
          <w:p w14:paraId="66123646" w14:textId="77777777" w:rsidR="00D67940" w:rsidRPr="00727C16" w:rsidRDefault="00D67940" w:rsidP="000A5D98">
            <w:pPr>
              <w:pStyle w:val="NormalWeb"/>
              <w:jc w:val="center"/>
              <w:rPr>
                <w:sz w:val="18"/>
                <w:szCs w:val="18"/>
              </w:rPr>
            </w:pPr>
            <w:r w:rsidRPr="00727C16">
              <w:rPr>
                <w:sz w:val="18"/>
                <w:szCs w:val="18"/>
              </w:rPr>
              <w:t>647</w:t>
            </w:r>
          </w:p>
        </w:tc>
        <w:tc>
          <w:tcPr>
            <w:tcW w:w="966" w:type="dxa"/>
            <w:tcBorders>
              <w:top w:val="single" w:sz="4" w:space="0" w:color="auto"/>
              <w:left w:val="single" w:sz="4" w:space="0" w:color="auto"/>
              <w:bottom w:val="single" w:sz="4" w:space="0" w:color="auto"/>
            </w:tcBorders>
            <w:shd w:val="clear" w:color="auto" w:fill="auto"/>
            <w:hideMark/>
          </w:tcPr>
          <w:p w14:paraId="63B8FABD" w14:textId="77777777" w:rsidR="00D67940" w:rsidRPr="00727C16" w:rsidRDefault="00D67940" w:rsidP="000A5D98">
            <w:pPr>
              <w:pStyle w:val="NormalWeb"/>
              <w:jc w:val="center"/>
              <w:rPr>
                <w:sz w:val="18"/>
                <w:szCs w:val="18"/>
              </w:rPr>
            </w:pPr>
            <w:r w:rsidRPr="00727C16">
              <w:rPr>
                <w:sz w:val="18"/>
                <w:szCs w:val="18"/>
              </w:rPr>
              <w:t>1,622</w:t>
            </w:r>
          </w:p>
        </w:tc>
      </w:tr>
      <w:tr w:rsidR="00564DE3" w:rsidRPr="00727C16" w14:paraId="57F7C889" w14:textId="77777777" w:rsidTr="00564DE3">
        <w:tc>
          <w:tcPr>
            <w:tcW w:w="3402" w:type="dxa"/>
            <w:tcBorders>
              <w:top w:val="single" w:sz="4" w:space="0" w:color="auto"/>
              <w:right w:val="single" w:sz="4" w:space="0" w:color="auto"/>
            </w:tcBorders>
            <w:shd w:val="clear" w:color="auto" w:fill="auto"/>
            <w:hideMark/>
          </w:tcPr>
          <w:p w14:paraId="78B04311" w14:textId="77777777" w:rsidR="00D67940" w:rsidRPr="00727C16" w:rsidRDefault="00D67940">
            <w:pPr>
              <w:pStyle w:val="NormalWeb"/>
              <w:rPr>
                <w:sz w:val="18"/>
                <w:szCs w:val="18"/>
              </w:rPr>
            </w:pPr>
            <w:r w:rsidRPr="00727C16">
              <w:rPr>
                <w:sz w:val="18"/>
                <w:szCs w:val="18"/>
              </w:rPr>
              <w:t>Indigenous status completeness</w:t>
            </w:r>
            <w:r w:rsidRPr="00727C16">
              <w:rPr>
                <w:sz w:val="18"/>
                <w:szCs w:val="18"/>
                <w:vertAlign w:val="superscript"/>
              </w:rPr>
              <w:t>*</w:t>
            </w:r>
            <w:r w:rsidRPr="00727C16">
              <w:rPr>
                <w:sz w:val="18"/>
                <w:szCs w:val="18"/>
              </w:rPr>
              <w:t xml:space="preserve"> (%)</w:t>
            </w:r>
          </w:p>
        </w:tc>
        <w:tc>
          <w:tcPr>
            <w:tcW w:w="965" w:type="dxa"/>
            <w:tcBorders>
              <w:top w:val="single" w:sz="4" w:space="0" w:color="auto"/>
              <w:left w:val="single" w:sz="4" w:space="0" w:color="auto"/>
            </w:tcBorders>
            <w:shd w:val="clear" w:color="auto" w:fill="auto"/>
            <w:hideMark/>
          </w:tcPr>
          <w:p w14:paraId="1D09CCC1"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top w:val="single" w:sz="4" w:space="0" w:color="auto"/>
            </w:tcBorders>
            <w:shd w:val="clear" w:color="auto" w:fill="auto"/>
            <w:hideMark/>
          </w:tcPr>
          <w:p w14:paraId="1C00B90B" w14:textId="77777777" w:rsidR="00D67940" w:rsidRPr="00727C16" w:rsidRDefault="00D67940" w:rsidP="000A5D98">
            <w:pPr>
              <w:pStyle w:val="NormalWeb"/>
              <w:jc w:val="center"/>
              <w:rPr>
                <w:sz w:val="18"/>
                <w:szCs w:val="18"/>
              </w:rPr>
            </w:pPr>
            <w:r w:rsidRPr="00727C16">
              <w:rPr>
                <w:sz w:val="18"/>
                <w:szCs w:val="18"/>
              </w:rPr>
              <w:t>85</w:t>
            </w:r>
          </w:p>
        </w:tc>
        <w:tc>
          <w:tcPr>
            <w:tcW w:w="965" w:type="dxa"/>
            <w:tcBorders>
              <w:top w:val="single" w:sz="4" w:space="0" w:color="auto"/>
            </w:tcBorders>
            <w:shd w:val="clear" w:color="auto" w:fill="auto"/>
            <w:hideMark/>
          </w:tcPr>
          <w:p w14:paraId="62C7A5EC"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top w:val="single" w:sz="4" w:space="0" w:color="auto"/>
            </w:tcBorders>
            <w:shd w:val="clear" w:color="auto" w:fill="auto"/>
            <w:hideMark/>
          </w:tcPr>
          <w:p w14:paraId="20354127"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top w:val="single" w:sz="4" w:space="0" w:color="auto"/>
            </w:tcBorders>
            <w:shd w:val="clear" w:color="auto" w:fill="auto"/>
            <w:hideMark/>
          </w:tcPr>
          <w:p w14:paraId="361136A8" w14:textId="77777777" w:rsidR="00D67940" w:rsidRPr="00727C16" w:rsidRDefault="00D67940" w:rsidP="000A5D98">
            <w:pPr>
              <w:pStyle w:val="NormalWeb"/>
              <w:jc w:val="center"/>
              <w:rPr>
                <w:sz w:val="18"/>
                <w:szCs w:val="18"/>
              </w:rPr>
            </w:pPr>
            <w:r w:rsidRPr="00727C16">
              <w:rPr>
                <w:sz w:val="18"/>
                <w:szCs w:val="18"/>
              </w:rPr>
              <w:t>99</w:t>
            </w:r>
          </w:p>
        </w:tc>
        <w:tc>
          <w:tcPr>
            <w:tcW w:w="966" w:type="dxa"/>
            <w:tcBorders>
              <w:top w:val="single" w:sz="4" w:space="0" w:color="auto"/>
            </w:tcBorders>
            <w:shd w:val="clear" w:color="auto" w:fill="auto"/>
            <w:hideMark/>
          </w:tcPr>
          <w:p w14:paraId="4D6A9B6E" w14:textId="77777777" w:rsidR="00D67940" w:rsidRPr="00727C16" w:rsidRDefault="00D67940" w:rsidP="000A5D98">
            <w:pPr>
              <w:pStyle w:val="NormalWeb"/>
              <w:jc w:val="center"/>
              <w:rPr>
                <w:sz w:val="18"/>
                <w:szCs w:val="18"/>
              </w:rPr>
            </w:pPr>
            <w:r w:rsidRPr="00727C16">
              <w:rPr>
                <w:sz w:val="18"/>
                <w:szCs w:val="18"/>
              </w:rPr>
              <w:t>95</w:t>
            </w:r>
          </w:p>
        </w:tc>
        <w:tc>
          <w:tcPr>
            <w:tcW w:w="965" w:type="dxa"/>
            <w:tcBorders>
              <w:top w:val="single" w:sz="4" w:space="0" w:color="auto"/>
            </w:tcBorders>
            <w:shd w:val="clear" w:color="auto" w:fill="auto"/>
            <w:hideMark/>
          </w:tcPr>
          <w:p w14:paraId="0DD9A0FB" w14:textId="77777777" w:rsidR="00D67940" w:rsidRPr="00727C16" w:rsidRDefault="00D67940" w:rsidP="000A5D98">
            <w:pPr>
              <w:pStyle w:val="NormalWeb"/>
              <w:jc w:val="center"/>
              <w:rPr>
                <w:sz w:val="18"/>
                <w:szCs w:val="18"/>
              </w:rPr>
            </w:pPr>
            <w:r w:rsidRPr="00727C16">
              <w:rPr>
                <w:sz w:val="18"/>
                <w:szCs w:val="18"/>
              </w:rPr>
              <w:t>66</w:t>
            </w:r>
          </w:p>
        </w:tc>
        <w:tc>
          <w:tcPr>
            <w:tcW w:w="965" w:type="dxa"/>
            <w:tcBorders>
              <w:top w:val="single" w:sz="4" w:space="0" w:color="auto"/>
              <w:right w:val="single" w:sz="4" w:space="0" w:color="auto"/>
            </w:tcBorders>
            <w:shd w:val="clear" w:color="auto" w:fill="auto"/>
            <w:hideMark/>
          </w:tcPr>
          <w:p w14:paraId="710184BD"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top w:val="single" w:sz="4" w:space="0" w:color="auto"/>
              <w:left w:val="single" w:sz="4" w:space="0" w:color="auto"/>
            </w:tcBorders>
            <w:shd w:val="clear" w:color="auto" w:fill="auto"/>
            <w:hideMark/>
          </w:tcPr>
          <w:p w14:paraId="624E3268" w14:textId="77777777" w:rsidR="00D67940" w:rsidRPr="00727C16" w:rsidRDefault="00D67940" w:rsidP="000A5D98">
            <w:pPr>
              <w:pStyle w:val="NormalWeb"/>
              <w:jc w:val="center"/>
              <w:rPr>
                <w:sz w:val="18"/>
                <w:szCs w:val="18"/>
              </w:rPr>
            </w:pPr>
            <w:r w:rsidRPr="00727C16">
              <w:rPr>
                <w:sz w:val="18"/>
                <w:szCs w:val="18"/>
              </w:rPr>
              <w:t>86</w:t>
            </w:r>
          </w:p>
        </w:tc>
        <w:tc>
          <w:tcPr>
            <w:tcW w:w="965" w:type="dxa"/>
            <w:tcBorders>
              <w:top w:val="single" w:sz="4" w:space="0" w:color="auto"/>
            </w:tcBorders>
            <w:shd w:val="clear" w:color="auto" w:fill="auto"/>
            <w:hideMark/>
          </w:tcPr>
          <w:p w14:paraId="6CF0A169" w14:textId="77777777" w:rsidR="00D67940" w:rsidRPr="00727C16" w:rsidRDefault="00D67940" w:rsidP="000A5D98">
            <w:pPr>
              <w:pStyle w:val="NormalWeb"/>
              <w:jc w:val="center"/>
              <w:rPr>
                <w:sz w:val="18"/>
                <w:szCs w:val="18"/>
              </w:rPr>
            </w:pPr>
            <w:r w:rsidRPr="00727C16">
              <w:rPr>
                <w:sz w:val="18"/>
                <w:szCs w:val="18"/>
              </w:rPr>
              <w:t>88</w:t>
            </w:r>
          </w:p>
        </w:tc>
        <w:tc>
          <w:tcPr>
            <w:tcW w:w="965" w:type="dxa"/>
            <w:tcBorders>
              <w:top w:val="single" w:sz="4" w:space="0" w:color="auto"/>
              <w:right w:val="single" w:sz="4" w:space="0" w:color="auto"/>
            </w:tcBorders>
            <w:shd w:val="clear" w:color="auto" w:fill="auto"/>
            <w:hideMark/>
          </w:tcPr>
          <w:p w14:paraId="666D2CFB" w14:textId="77777777" w:rsidR="00D67940" w:rsidRPr="00727C16" w:rsidRDefault="00D67940" w:rsidP="000A5D98">
            <w:pPr>
              <w:pStyle w:val="NormalWeb"/>
              <w:jc w:val="center"/>
              <w:rPr>
                <w:sz w:val="18"/>
                <w:szCs w:val="18"/>
              </w:rPr>
            </w:pPr>
            <w:r w:rsidRPr="00727C16">
              <w:rPr>
                <w:sz w:val="18"/>
                <w:szCs w:val="18"/>
              </w:rPr>
              <w:t>92</w:t>
            </w:r>
          </w:p>
        </w:tc>
        <w:tc>
          <w:tcPr>
            <w:tcW w:w="966" w:type="dxa"/>
            <w:tcBorders>
              <w:top w:val="single" w:sz="4" w:space="0" w:color="auto"/>
              <w:left w:val="single" w:sz="4" w:space="0" w:color="auto"/>
            </w:tcBorders>
            <w:shd w:val="clear" w:color="auto" w:fill="auto"/>
            <w:hideMark/>
          </w:tcPr>
          <w:p w14:paraId="0563927F" w14:textId="77777777" w:rsidR="00D67940" w:rsidRPr="00727C16" w:rsidRDefault="00D67940" w:rsidP="000A5D98">
            <w:pPr>
              <w:pStyle w:val="NormalWeb"/>
              <w:jc w:val="center"/>
              <w:rPr>
                <w:sz w:val="18"/>
                <w:szCs w:val="18"/>
              </w:rPr>
            </w:pPr>
            <w:r w:rsidRPr="00727C16">
              <w:rPr>
                <w:sz w:val="18"/>
                <w:szCs w:val="18"/>
              </w:rPr>
              <w:t>87</w:t>
            </w:r>
          </w:p>
        </w:tc>
      </w:tr>
      <w:tr w:rsidR="00BC5C71" w:rsidRPr="00727C16" w14:paraId="53C39D6E" w14:textId="77777777" w:rsidTr="00564DE3">
        <w:trPr>
          <w:cnfStyle w:val="000000010000" w:firstRow="0" w:lastRow="0" w:firstColumn="0" w:lastColumn="0" w:oddVBand="0" w:evenVBand="0" w:oddHBand="0" w:evenHBand="1" w:firstRowFirstColumn="0" w:firstRowLastColumn="0" w:lastRowFirstColumn="0" w:lastRowLastColumn="0"/>
        </w:trPr>
        <w:tc>
          <w:tcPr>
            <w:tcW w:w="3402" w:type="dxa"/>
            <w:tcBorders>
              <w:bottom w:val="single" w:sz="4" w:space="0" w:color="auto"/>
              <w:right w:val="single" w:sz="4" w:space="0" w:color="auto"/>
            </w:tcBorders>
            <w:shd w:val="clear" w:color="auto" w:fill="auto"/>
            <w:hideMark/>
          </w:tcPr>
          <w:p w14:paraId="57D504AA" w14:textId="77777777" w:rsidR="00D67940" w:rsidRPr="00727C16" w:rsidRDefault="00D67940">
            <w:pPr>
              <w:pStyle w:val="NormalWeb"/>
              <w:rPr>
                <w:sz w:val="18"/>
                <w:szCs w:val="18"/>
              </w:rPr>
            </w:pPr>
            <w:r w:rsidRPr="00727C16">
              <w:rPr>
                <w:sz w:val="18"/>
                <w:szCs w:val="18"/>
              </w:rPr>
              <w:t xml:space="preserve">Indigenous status completeness in targeted groups </w:t>
            </w:r>
            <w:r w:rsidRPr="00727C16">
              <w:rPr>
                <w:sz w:val="18"/>
                <w:szCs w:val="18"/>
                <w:vertAlign w:val="superscript"/>
              </w:rPr>
              <w:t>*†</w:t>
            </w:r>
            <w:r w:rsidRPr="00727C16">
              <w:rPr>
                <w:sz w:val="18"/>
                <w:szCs w:val="18"/>
              </w:rPr>
              <w:t xml:space="preserve"> (%)</w:t>
            </w:r>
          </w:p>
        </w:tc>
        <w:tc>
          <w:tcPr>
            <w:tcW w:w="965" w:type="dxa"/>
            <w:tcBorders>
              <w:left w:val="single" w:sz="4" w:space="0" w:color="auto"/>
              <w:bottom w:val="single" w:sz="4" w:space="0" w:color="auto"/>
            </w:tcBorders>
            <w:shd w:val="clear" w:color="auto" w:fill="auto"/>
            <w:hideMark/>
          </w:tcPr>
          <w:p w14:paraId="2220BFE2"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bottom w:val="single" w:sz="4" w:space="0" w:color="auto"/>
            </w:tcBorders>
            <w:shd w:val="clear" w:color="auto" w:fill="auto"/>
            <w:hideMark/>
          </w:tcPr>
          <w:p w14:paraId="5D6DF793" w14:textId="77777777" w:rsidR="00D67940" w:rsidRPr="00727C16" w:rsidRDefault="00D67940" w:rsidP="000A5D98">
            <w:pPr>
              <w:pStyle w:val="NormalWeb"/>
              <w:jc w:val="center"/>
              <w:rPr>
                <w:sz w:val="18"/>
                <w:szCs w:val="18"/>
              </w:rPr>
            </w:pPr>
            <w:r w:rsidRPr="00727C16">
              <w:rPr>
                <w:sz w:val="18"/>
                <w:szCs w:val="18"/>
              </w:rPr>
              <w:t>90</w:t>
            </w:r>
          </w:p>
        </w:tc>
        <w:tc>
          <w:tcPr>
            <w:tcW w:w="965" w:type="dxa"/>
            <w:tcBorders>
              <w:bottom w:val="single" w:sz="4" w:space="0" w:color="auto"/>
            </w:tcBorders>
            <w:shd w:val="clear" w:color="auto" w:fill="auto"/>
            <w:hideMark/>
          </w:tcPr>
          <w:p w14:paraId="5EBF9E43"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bottom w:val="single" w:sz="4" w:space="0" w:color="auto"/>
            </w:tcBorders>
            <w:shd w:val="clear" w:color="auto" w:fill="auto"/>
            <w:hideMark/>
          </w:tcPr>
          <w:p w14:paraId="782764B3"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bottom w:val="single" w:sz="4" w:space="0" w:color="auto"/>
            </w:tcBorders>
            <w:shd w:val="clear" w:color="auto" w:fill="auto"/>
            <w:hideMark/>
          </w:tcPr>
          <w:p w14:paraId="1A4F2A9B" w14:textId="77777777" w:rsidR="00D67940" w:rsidRPr="00727C16" w:rsidRDefault="00D67940" w:rsidP="000A5D98">
            <w:pPr>
              <w:pStyle w:val="NormalWeb"/>
              <w:jc w:val="center"/>
              <w:rPr>
                <w:sz w:val="18"/>
                <w:szCs w:val="18"/>
              </w:rPr>
            </w:pPr>
            <w:r w:rsidRPr="00727C16">
              <w:rPr>
                <w:sz w:val="18"/>
                <w:szCs w:val="18"/>
              </w:rPr>
              <w:t>98</w:t>
            </w:r>
          </w:p>
        </w:tc>
        <w:tc>
          <w:tcPr>
            <w:tcW w:w="966" w:type="dxa"/>
            <w:tcBorders>
              <w:bottom w:val="single" w:sz="4" w:space="0" w:color="auto"/>
            </w:tcBorders>
            <w:shd w:val="clear" w:color="auto" w:fill="auto"/>
            <w:hideMark/>
          </w:tcPr>
          <w:p w14:paraId="6A222E49" w14:textId="77777777" w:rsidR="00D67940" w:rsidRPr="00727C16" w:rsidRDefault="00D67940" w:rsidP="000A5D98">
            <w:pPr>
              <w:pStyle w:val="NormalWeb"/>
              <w:jc w:val="center"/>
              <w:rPr>
                <w:sz w:val="18"/>
                <w:szCs w:val="18"/>
              </w:rPr>
            </w:pPr>
            <w:r w:rsidRPr="00727C16">
              <w:rPr>
                <w:sz w:val="18"/>
                <w:szCs w:val="18"/>
              </w:rPr>
              <w:t>94</w:t>
            </w:r>
          </w:p>
        </w:tc>
        <w:tc>
          <w:tcPr>
            <w:tcW w:w="965" w:type="dxa"/>
            <w:tcBorders>
              <w:bottom w:val="single" w:sz="4" w:space="0" w:color="auto"/>
            </w:tcBorders>
            <w:shd w:val="clear" w:color="auto" w:fill="auto"/>
            <w:hideMark/>
          </w:tcPr>
          <w:p w14:paraId="3C568647" w14:textId="77777777" w:rsidR="00D67940" w:rsidRPr="00727C16" w:rsidRDefault="00D67940" w:rsidP="000A5D98">
            <w:pPr>
              <w:pStyle w:val="NormalWeb"/>
              <w:jc w:val="center"/>
              <w:rPr>
                <w:sz w:val="18"/>
                <w:szCs w:val="18"/>
              </w:rPr>
            </w:pPr>
            <w:r w:rsidRPr="00727C16">
              <w:rPr>
                <w:sz w:val="18"/>
                <w:szCs w:val="18"/>
              </w:rPr>
              <w:t>84</w:t>
            </w:r>
          </w:p>
        </w:tc>
        <w:tc>
          <w:tcPr>
            <w:tcW w:w="965" w:type="dxa"/>
            <w:tcBorders>
              <w:bottom w:val="single" w:sz="4" w:space="0" w:color="auto"/>
              <w:right w:val="single" w:sz="4" w:space="0" w:color="auto"/>
            </w:tcBorders>
            <w:shd w:val="clear" w:color="auto" w:fill="auto"/>
            <w:hideMark/>
          </w:tcPr>
          <w:p w14:paraId="5E6A30E0"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left w:val="single" w:sz="4" w:space="0" w:color="auto"/>
              <w:bottom w:val="single" w:sz="4" w:space="0" w:color="auto"/>
            </w:tcBorders>
            <w:shd w:val="clear" w:color="auto" w:fill="auto"/>
            <w:hideMark/>
          </w:tcPr>
          <w:p w14:paraId="2AE1EE79" w14:textId="77777777" w:rsidR="00D67940" w:rsidRPr="00727C16" w:rsidRDefault="00D67940" w:rsidP="000A5D98">
            <w:pPr>
              <w:pStyle w:val="NormalWeb"/>
              <w:jc w:val="center"/>
              <w:rPr>
                <w:sz w:val="18"/>
                <w:szCs w:val="18"/>
              </w:rPr>
            </w:pPr>
            <w:r w:rsidRPr="00727C16">
              <w:rPr>
                <w:sz w:val="18"/>
                <w:szCs w:val="18"/>
              </w:rPr>
              <w:t>92</w:t>
            </w:r>
          </w:p>
        </w:tc>
        <w:tc>
          <w:tcPr>
            <w:tcW w:w="965" w:type="dxa"/>
            <w:tcBorders>
              <w:bottom w:val="single" w:sz="4" w:space="0" w:color="auto"/>
            </w:tcBorders>
            <w:shd w:val="clear" w:color="auto" w:fill="auto"/>
            <w:hideMark/>
          </w:tcPr>
          <w:p w14:paraId="38865D6B" w14:textId="77777777" w:rsidR="00D67940" w:rsidRPr="00727C16" w:rsidRDefault="00D67940" w:rsidP="000A5D98">
            <w:pPr>
              <w:pStyle w:val="NormalWeb"/>
              <w:jc w:val="center"/>
              <w:rPr>
                <w:sz w:val="18"/>
                <w:szCs w:val="18"/>
              </w:rPr>
            </w:pPr>
            <w:r w:rsidRPr="00727C16">
              <w:rPr>
                <w:sz w:val="18"/>
                <w:szCs w:val="18"/>
              </w:rPr>
              <w:t>94</w:t>
            </w:r>
          </w:p>
        </w:tc>
        <w:tc>
          <w:tcPr>
            <w:tcW w:w="965" w:type="dxa"/>
            <w:tcBorders>
              <w:bottom w:val="single" w:sz="4" w:space="0" w:color="auto"/>
              <w:right w:val="single" w:sz="4" w:space="0" w:color="auto"/>
            </w:tcBorders>
            <w:shd w:val="clear" w:color="auto" w:fill="auto"/>
            <w:hideMark/>
          </w:tcPr>
          <w:p w14:paraId="15BA93F6" w14:textId="77777777" w:rsidR="00D67940" w:rsidRPr="00727C16" w:rsidRDefault="00D67940" w:rsidP="000A5D98">
            <w:pPr>
              <w:pStyle w:val="NormalWeb"/>
              <w:jc w:val="center"/>
              <w:rPr>
                <w:sz w:val="18"/>
                <w:szCs w:val="18"/>
              </w:rPr>
            </w:pPr>
            <w:r w:rsidRPr="00727C16">
              <w:rPr>
                <w:sz w:val="18"/>
                <w:szCs w:val="18"/>
              </w:rPr>
              <w:t>98</w:t>
            </w:r>
          </w:p>
        </w:tc>
        <w:tc>
          <w:tcPr>
            <w:tcW w:w="966" w:type="dxa"/>
            <w:tcBorders>
              <w:left w:val="single" w:sz="4" w:space="0" w:color="auto"/>
              <w:bottom w:val="single" w:sz="4" w:space="0" w:color="auto"/>
            </w:tcBorders>
            <w:shd w:val="clear" w:color="auto" w:fill="auto"/>
            <w:hideMark/>
          </w:tcPr>
          <w:p w14:paraId="31CAFFC9" w14:textId="77777777" w:rsidR="00D67940" w:rsidRPr="00727C16" w:rsidRDefault="00D67940" w:rsidP="000A5D98">
            <w:pPr>
              <w:pStyle w:val="NormalWeb"/>
              <w:jc w:val="center"/>
              <w:rPr>
                <w:sz w:val="18"/>
                <w:szCs w:val="18"/>
              </w:rPr>
            </w:pPr>
            <w:r w:rsidRPr="00727C16">
              <w:rPr>
                <w:sz w:val="18"/>
                <w:szCs w:val="18"/>
              </w:rPr>
              <w:t>93</w:t>
            </w:r>
          </w:p>
        </w:tc>
      </w:tr>
      <w:tr w:rsidR="00564DE3" w:rsidRPr="00727C16" w14:paraId="31A8953F" w14:textId="77777777" w:rsidTr="00564DE3">
        <w:tc>
          <w:tcPr>
            <w:tcW w:w="3402" w:type="dxa"/>
            <w:tcBorders>
              <w:top w:val="single" w:sz="4" w:space="0" w:color="auto"/>
              <w:right w:val="single" w:sz="4" w:space="0" w:color="auto"/>
            </w:tcBorders>
            <w:shd w:val="clear" w:color="auto" w:fill="auto"/>
            <w:hideMark/>
          </w:tcPr>
          <w:p w14:paraId="127B75E2" w14:textId="77777777" w:rsidR="00D67940" w:rsidRPr="00727C16" w:rsidRDefault="00D67940">
            <w:pPr>
              <w:pStyle w:val="NormalWeb"/>
              <w:rPr>
                <w:sz w:val="18"/>
                <w:szCs w:val="18"/>
              </w:rPr>
            </w:pPr>
            <w:r w:rsidRPr="00727C16">
              <w:rPr>
                <w:sz w:val="18"/>
                <w:szCs w:val="18"/>
              </w:rPr>
              <w:t xml:space="preserve">Serotype completeness </w:t>
            </w:r>
            <w:r w:rsidRPr="00727C16">
              <w:rPr>
                <w:rFonts w:hint="cs"/>
                <w:sz w:val="18"/>
                <w:szCs w:val="18"/>
                <w:vertAlign w:val="superscript"/>
              </w:rPr>
              <w:t>ǂ</w:t>
            </w:r>
            <w:r w:rsidRPr="00727C16">
              <w:rPr>
                <w:sz w:val="18"/>
                <w:szCs w:val="18"/>
              </w:rPr>
              <w:t xml:space="preserve"> (%)</w:t>
            </w:r>
          </w:p>
        </w:tc>
        <w:tc>
          <w:tcPr>
            <w:tcW w:w="965" w:type="dxa"/>
            <w:tcBorders>
              <w:top w:val="single" w:sz="4" w:space="0" w:color="auto"/>
              <w:left w:val="single" w:sz="4" w:space="0" w:color="auto"/>
            </w:tcBorders>
            <w:shd w:val="clear" w:color="auto" w:fill="auto"/>
            <w:hideMark/>
          </w:tcPr>
          <w:p w14:paraId="25660850" w14:textId="77777777" w:rsidR="00D67940" w:rsidRPr="00727C16" w:rsidRDefault="00D67940" w:rsidP="000A5D98">
            <w:pPr>
              <w:pStyle w:val="NormalWeb"/>
              <w:jc w:val="center"/>
              <w:rPr>
                <w:sz w:val="18"/>
                <w:szCs w:val="18"/>
              </w:rPr>
            </w:pPr>
            <w:r w:rsidRPr="00727C16">
              <w:rPr>
                <w:sz w:val="18"/>
                <w:szCs w:val="18"/>
              </w:rPr>
              <w:t>100</w:t>
            </w:r>
          </w:p>
        </w:tc>
        <w:tc>
          <w:tcPr>
            <w:tcW w:w="965" w:type="dxa"/>
            <w:tcBorders>
              <w:top w:val="single" w:sz="4" w:space="0" w:color="auto"/>
            </w:tcBorders>
            <w:shd w:val="clear" w:color="auto" w:fill="auto"/>
            <w:hideMark/>
          </w:tcPr>
          <w:p w14:paraId="5659BB27" w14:textId="77777777" w:rsidR="00D67940" w:rsidRPr="00727C16" w:rsidRDefault="00D67940" w:rsidP="000A5D98">
            <w:pPr>
              <w:pStyle w:val="NormalWeb"/>
              <w:jc w:val="center"/>
              <w:rPr>
                <w:sz w:val="18"/>
                <w:szCs w:val="18"/>
              </w:rPr>
            </w:pPr>
            <w:r w:rsidRPr="00727C16">
              <w:rPr>
                <w:sz w:val="18"/>
                <w:szCs w:val="18"/>
              </w:rPr>
              <w:t>76</w:t>
            </w:r>
          </w:p>
        </w:tc>
        <w:tc>
          <w:tcPr>
            <w:tcW w:w="965" w:type="dxa"/>
            <w:tcBorders>
              <w:top w:val="single" w:sz="4" w:space="0" w:color="auto"/>
            </w:tcBorders>
            <w:shd w:val="clear" w:color="auto" w:fill="auto"/>
            <w:hideMark/>
          </w:tcPr>
          <w:p w14:paraId="4B6DBC0E" w14:textId="77777777" w:rsidR="00D67940" w:rsidRPr="00727C16" w:rsidRDefault="00D67940" w:rsidP="000A5D98">
            <w:pPr>
              <w:pStyle w:val="NormalWeb"/>
              <w:jc w:val="center"/>
              <w:rPr>
                <w:sz w:val="18"/>
                <w:szCs w:val="18"/>
              </w:rPr>
            </w:pPr>
            <w:r w:rsidRPr="00727C16">
              <w:rPr>
                <w:sz w:val="18"/>
                <w:szCs w:val="18"/>
              </w:rPr>
              <w:t>94</w:t>
            </w:r>
          </w:p>
        </w:tc>
        <w:tc>
          <w:tcPr>
            <w:tcW w:w="965" w:type="dxa"/>
            <w:tcBorders>
              <w:top w:val="single" w:sz="4" w:space="0" w:color="auto"/>
            </w:tcBorders>
            <w:shd w:val="clear" w:color="auto" w:fill="auto"/>
            <w:hideMark/>
          </w:tcPr>
          <w:p w14:paraId="4BD44CB6" w14:textId="77777777" w:rsidR="00D67940" w:rsidRPr="00727C16" w:rsidRDefault="00D67940" w:rsidP="000A5D98">
            <w:pPr>
              <w:pStyle w:val="NormalWeb"/>
              <w:jc w:val="center"/>
              <w:rPr>
                <w:sz w:val="18"/>
                <w:szCs w:val="18"/>
              </w:rPr>
            </w:pPr>
            <w:r w:rsidRPr="00727C16">
              <w:rPr>
                <w:sz w:val="18"/>
                <w:szCs w:val="18"/>
              </w:rPr>
              <w:t>96</w:t>
            </w:r>
          </w:p>
        </w:tc>
        <w:tc>
          <w:tcPr>
            <w:tcW w:w="965" w:type="dxa"/>
            <w:tcBorders>
              <w:top w:val="single" w:sz="4" w:space="0" w:color="auto"/>
            </w:tcBorders>
            <w:shd w:val="clear" w:color="auto" w:fill="auto"/>
            <w:hideMark/>
          </w:tcPr>
          <w:p w14:paraId="2A8FC3FA" w14:textId="77777777" w:rsidR="00D67940" w:rsidRPr="00727C16" w:rsidRDefault="00D67940" w:rsidP="000A5D98">
            <w:pPr>
              <w:pStyle w:val="NormalWeb"/>
              <w:jc w:val="center"/>
              <w:rPr>
                <w:sz w:val="18"/>
                <w:szCs w:val="18"/>
              </w:rPr>
            </w:pPr>
            <w:r w:rsidRPr="00727C16">
              <w:rPr>
                <w:sz w:val="18"/>
                <w:szCs w:val="18"/>
              </w:rPr>
              <w:t>62</w:t>
            </w:r>
          </w:p>
        </w:tc>
        <w:tc>
          <w:tcPr>
            <w:tcW w:w="966" w:type="dxa"/>
            <w:tcBorders>
              <w:top w:val="single" w:sz="4" w:space="0" w:color="auto"/>
            </w:tcBorders>
            <w:shd w:val="clear" w:color="auto" w:fill="auto"/>
            <w:hideMark/>
          </w:tcPr>
          <w:p w14:paraId="685E09D6" w14:textId="77777777" w:rsidR="00D67940" w:rsidRPr="00727C16" w:rsidRDefault="00D67940" w:rsidP="000A5D98">
            <w:pPr>
              <w:pStyle w:val="NormalWeb"/>
              <w:jc w:val="center"/>
              <w:rPr>
                <w:sz w:val="18"/>
                <w:szCs w:val="18"/>
              </w:rPr>
            </w:pPr>
            <w:r w:rsidRPr="00727C16">
              <w:rPr>
                <w:sz w:val="18"/>
                <w:szCs w:val="18"/>
              </w:rPr>
              <w:t>95</w:t>
            </w:r>
          </w:p>
        </w:tc>
        <w:tc>
          <w:tcPr>
            <w:tcW w:w="965" w:type="dxa"/>
            <w:tcBorders>
              <w:top w:val="single" w:sz="4" w:space="0" w:color="auto"/>
            </w:tcBorders>
            <w:shd w:val="clear" w:color="auto" w:fill="auto"/>
            <w:hideMark/>
          </w:tcPr>
          <w:p w14:paraId="7AAC4389" w14:textId="77777777" w:rsidR="00D67940" w:rsidRPr="00727C16" w:rsidRDefault="00D67940" w:rsidP="000A5D98">
            <w:pPr>
              <w:pStyle w:val="NormalWeb"/>
              <w:jc w:val="center"/>
              <w:rPr>
                <w:sz w:val="18"/>
                <w:szCs w:val="18"/>
              </w:rPr>
            </w:pPr>
            <w:r w:rsidRPr="00727C16">
              <w:rPr>
                <w:sz w:val="18"/>
                <w:szCs w:val="18"/>
              </w:rPr>
              <w:t>96</w:t>
            </w:r>
          </w:p>
        </w:tc>
        <w:tc>
          <w:tcPr>
            <w:tcW w:w="965" w:type="dxa"/>
            <w:tcBorders>
              <w:top w:val="single" w:sz="4" w:space="0" w:color="auto"/>
              <w:right w:val="single" w:sz="4" w:space="0" w:color="auto"/>
            </w:tcBorders>
            <w:shd w:val="clear" w:color="auto" w:fill="auto"/>
            <w:hideMark/>
          </w:tcPr>
          <w:p w14:paraId="3DA7D515" w14:textId="77777777" w:rsidR="00D67940" w:rsidRPr="00727C16" w:rsidRDefault="00D67940" w:rsidP="000A5D98">
            <w:pPr>
              <w:pStyle w:val="NormalWeb"/>
              <w:jc w:val="center"/>
              <w:rPr>
                <w:sz w:val="18"/>
                <w:szCs w:val="18"/>
              </w:rPr>
            </w:pPr>
            <w:r w:rsidRPr="00727C16">
              <w:rPr>
                <w:sz w:val="18"/>
                <w:szCs w:val="18"/>
              </w:rPr>
              <w:t>92</w:t>
            </w:r>
          </w:p>
        </w:tc>
        <w:tc>
          <w:tcPr>
            <w:tcW w:w="965" w:type="dxa"/>
            <w:tcBorders>
              <w:top w:val="single" w:sz="4" w:space="0" w:color="auto"/>
              <w:left w:val="single" w:sz="4" w:space="0" w:color="auto"/>
            </w:tcBorders>
            <w:shd w:val="clear" w:color="auto" w:fill="auto"/>
            <w:hideMark/>
          </w:tcPr>
          <w:p w14:paraId="6AA65946" w14:textId="77777777" w:rsidR="00D67940" w:rsidRPr="00727C16" w:rsidRDefault="00D67940" w:rsidP="000A5D98">
            <w:pPr>
              <w:pStyle w:val="NormalWeb"/>
              <w:jc w:val="center"/>
              <w:rPr>
                <w:sz w:val="18"/>
                <w:szCs w:val="18"/>
              </w:rPr>
            </w:pPr>
            <w:r w:rsidRPr="00727C16">
              <w:rPr>
                <w:sz w:val="18"/>
                <w:szCs w:val="18"/>
              </w:rPr>
              <w:t>85</w:t>
            </w:r>
          </w:p>
        </w:tc>
        <w:tc>
          <w:tcPr>
            <w:tcW w:w="965" w:type="dxa"/>
            <w:tcBorders>
              <w:top w:val="single" w:sz="4" w:space="0" w:color="auto"/>
            </w:tcBorders>
            <w:shd w:val="clear" w:color="auto" w:fill="auto"/>
            <w:hideMark/>
          </w:tcPr>
          <w:p w14:paraId="0ABBB9AF" w14:textId="77777777" w:rsidR="00D67940" w:rsidRPr="00727C16" w:rsidRDefault="00D67940" w:rsidP="000A5D98">
            <w:pPr>
              <w:pStyle w:val="NormalWeb"/>
              <w:jc w:val="center"/>
              <w:rPr>
                <w:sz w:val="18"/>
                <w:szCs w:val="18"/>
              </w:rPr>
            </w:pPr>
            <w:r w:rsidRPr="00727C16">
              <w:rPr>
                <w:sz w:val="18"/>
                <w:szCs w:val="18"/>
              </w:rPr>
              <w:t>91</w:t>
            </w:r>
          </w:p>
        </w:tc>
        <w:tc>
          <w:tcPr>
            <w:tcW w:w="965" w:type="dxa"/>
            <w:tcBorders>
              <w:top w:val="single" w:sz="4" w:space="0" w:color="auto"/>
              <w:right w:val="single" w:sz="4" w:space="0" w:color="auto"/>
            </w:tcBorders>
            <w:shd w:val="clear" w:color="auto" w:fill="auto"/>
            <w:hideMark/>
          </w:tcPr>
          <w:p w14:paraId="5ECF2D96" w14:textId="77777777" w:rsidR="00D67940" w:rsidRPr="00727C16" w:rsidRDefault="00D67940" w:rsidP="000A5D98">
            <w:pPr>
              <w:pStyle w:val="NormalWeb"/>
              <w:jc w:val="center"/>
              <w:rPr>
                <w:sz w:val="18"/>
                <w:szCs w:val="18"/>
              </w:rPr>
            </w:pPr>
            <w:r w:rsidRPr="00727C16">
              <w:rPr>
                <w:sz w:val="18"/>
                <w:szCs w:val="18"/>
              </w:rPr>
              <w:t>96</w:t>
            </w:r>
          </w:p>
        </w:tc>
        <w:tc>
          <w:tcPr>
            <w:tcW w:w="966" w:type="dxa"/>
            <w:tcBorders>
              <w:top w:val="single" w:sz="4" w:space="0" w:color="auto"/>
              <w:left w:val="single" w:sz="4" w:space="0" w:color="auto"/>
            </w:tcBorders>
            <w:shd w:val="clear" w:color="auto" w:fill="auto"/>
            <w:hideMark/>
          </w:tcPr>
          <w:p w14:paraId="4D14CA7A" w14:textId="77777777" w:rsidR="00D67940" w:rsidRPr="00727C16" w:rsidRDefault="00D67940" w:rsidP="000A5D98">
            <w:pPr>
              <w:pStyle w:val="NormalWeb"/>
              <w:jc w:val="center"/>
              <w:rPr>
                <w:sz w:val="18"/>
                <w:szCs w:val="18"/>
              </w:rPr>
            </w:pPr>
            <w:r w:rsidRPr="00727C16">
              <w:rPr>
                <w:sz w:val="18"/>
                <w:szCs w:val="18"/>
              </w:rPr>
              <w:t>88</w:t>
            </w:r>
          </w:p>
        </w:tc>
      </w:tr>
    </w:tbl>
    <w:p w14:paraId="2B724D15" w14:textId="77777777" w:rsidR="00D67940" w:rsidRPr="003B0D0D" w:rsidRDefault="00D67940" w:rsidP="003B0D0D">
      <w:pPr>
        <w:pStyle w:val="CDIfootnotes"/>
      </w:pPr>
      <w:r w:rsidRPr="003B0D0D">
        <w:t>*</w:t>
      </w:r>
      <w:r w:rsidRPr="003B0D0D">
        <w:tab/>
        <w:t>Indigenous status completeness is defined as the reporting of a known Indigenous status, excluding the reporting of not stated or unknown Indigenous status.</w:t>
      </w:r>
    </w:p>
    <w:p w14:paraId="5B03E523" w14:textId="77777777" w:rsidR="00D67940" w:rsidRPr="003B0D0D" w:rsidRDefault="00D67940" w:rsidP="003B0D0D">
      <w:pPr>
        <w:pStyle w:val="CDIfootnotes"/>
      </w:pPr>
      <w:r w:rsidRPr="003B0D0D">
        <w:t>†</w:t>
      </w:r>
      <w:r w:rsidRPr="003B0D0D">
        <w:tab/>
        <w:t xml:space="preserve">Targeted groups for </w:t>
      </w:r>
      <w:r w:rsidR="004F4C83" w:rsidRPr="003B0D0D">
        <w:t>follow-up</w:t>
      </w:r>
      <w:r w:rsidRPr="003B0D0D">
        <w:t xml:space="preserve"> by almost all jurisdictions and public health units are cases aged less than 5 years and 50 years and over.</w:t>
      </w:r>
    </w:p>
    <w:p w14:paraId="3F7A46A2" w14:textId="77777777" w:rsidR="006A68C0" w:rsidRPr="003B0D0D" w:rsidRDefault="00D67940" w:rsidP="003B0D0D">
      <w:pPr>
        <w:pStyle w:val="CDIfootnotes"/>
        <w:sectPr w:rsidR="006A68C0" w:rsidRPr="003B0D0D" w:rsidSect="00860D1D">
          <w:footnotePr>
            <w:numFmt w:val="lowerLetter"/>
          </w:footnotePr>
          <w:pgSz w:w="16838" w:h="11906" w:orient="landscape"/>
          <w:pgMar w:top="720" w:right="720" w:bottom="720" w:left="1134" w:header="709" w:footer="284" w:gutter="0"/>
          <w:cols w:space="708"/>
          <w:titlePg/>
          <w:docGrid w:linePitch="360"/>
        </w:sectPr>
      </w:pPr>
      <w:r w:rsidRPr="003B0D0D">
        <w:t>‡</w:t>
      </w:r>
      <w:r w:rsidRPr="003B0D0D">
        <w:tab/>
        <w:t>Serotype completeness is the proportion of all cases of invasive pneumococcal disease that were reported with a serotype or reported as non-typable. Incomplete serotype data can occur in cases when (</w:t>
      </w:r>
      <w:proofErr w:type="spellStart"/>
      <w:r w:rsidRPr="003B0D0D">
        <w:t>i</w:t>
      </w:r>
      <w:proofErr w:type="spellEnd"/>
      <w:r w:rsidRPr="003B0D0D">
        <w:t>) no isolate was available as diagnosis was by polymerase chain reaction and no molecular typing was attempted or was not possible due to insufficient genetic material; (ii) the isolate was not referred to the reference laboratory or was not viable; (iii) typing was pending at the time of reporting, or no serotype was reported by the notifying jurisdiction to the National Notifiable Diseases Surveillance System.</w:t>
      </w:r>
    </w:p>
    <w:p w14:paraId="50F4834D" w14:textId="77777777" w:rsidR="00D67940" w:rsidRDefault="00D67940" w:rsidP="008C7827">
      <w:pPr>
        <w:pStyle w:val="CDIFigures"/>
      </w:pPr>
      <w:r>
        <w:lastRenderedPageBreak/>
        <w:t>Table 2: Distribution of serotypes causing invasive pneumococcal disease in notified cases, Australia, 1 July to 30 September 2017, by age group</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hows the distribution of serotypes by age group over the reporting quarter, including a reference to any relevant vaccine type. It shows that serotype 3 was the most common cause of IPD this quarter followed by serotypes 19A and 9N. "/>
      </w:tblPr>
      <w:tblGrid>
        <w:gridCol w:w="819"/>
        <w:gridCol w:w="3175"/>
        <w:gridCol w:w="1701"/>
        <w:gridCol w:w="1417"/>
        <w:gridCol w:w="1560"/>
        <w:gridCol w:w="1535"/>
      </w:tblGrid>
      <w:tr w:rsidR="00D67940" w:rsidRPr="006757BF" w14:paraId="5924512A" w14:textId="77777777" w:rsidTr="00244127">
        <w:trPr>
          <w:cnfStyle w:val="100000000000" w:firstRow="1" w:lastRow="0" w:firstColumn="0" w:lastColumn="0" w:oddVBand="0" w:evenVBand="0" w:oddHBand="0" w:evenHBand="0" w:firstRowFirstColumn="0" w:firstRowLastColumn="0" w:lastRowFirstColumn="0" w:lastRowLastColumn="0"/>
          <w:trHeight w:val="269"/>
          <w:tblHeader/>
        </w:trPr>
        <w:tc>
          <w:tcPr>
            <w:tcW w:w="0" w:type="auto"/>
            <w:hideMark/>
          </w:tcPr>
          <w:p w14:paraId="4F5E01A1" w14:textId="77777777" w:rsidR="00D67940" w:rsidRPr="006757BF" w:rsidRDefault="00D67940">
            <w:pPr>
              <w:pStyle w:val="NormalWeb"/>
              <w:rPr>
                <w:color w:val="FFFFFF" w:themeColor="background1"/>
                <w:sz w:val="18"/>
                <w:szCs w:val="18"/>
              </w:rPr>
            </w:pPr>
            <w:r w:rsidRPr="006757BF">
              <w:rPr>
                <w:color w:val="FFFFFF" w:themeColor="background1"/>
                <w:sz w:val="18"/>
                <w:szCs w:val="18"/>
              </w:rPr>
              <w:t>Serotype</w:t>
            </w:r>
          </w:p>
        </w:tc>
        <w:tc>
          <w:tcPr>
            <w:tcW w:w="3175" w:type="dxa"/>
            <w:hideMark/>
          </w:tcPr>
          <w:p w14:paraId="64716377" w14:textId="77777777" w:rsidR="00D67940" w:rsidRPr="006757BF" w:rsidRDefault="00D67940">
            <w:pPr>
              <w:pStyle w:val="NormalWeb"/>
              <w:rPr>
                <w:color w:val="FFFFFF" w:themeColor="background1"/>
                <w:sz w:val="18"/>
                <w:szCs w:val="18"/>
              </w:rPr>
            </w:pPr>
            <w:r w:rsidRPr="006757BF">
              <w:rPr>
                <w:color w:val="FFFFFF" w:themeColor="background1"/>
                <w:sz w:val="18"/>
                <w:szCs w:val="18"/>
              </w:rPr>
              <w:t>Vaccine type</w:t>
            </w:r>
          </w:p>
        </w:tc>
        <w:tc>
          <w:tcPr>
            <w:tcW w:w="4678" w:type="dxa"/>
            <w:gridSpan w:val="3"/>
            <w:hideMark/>
          </w:tcPr>
          <w:p w14:paraId="6D01AE3C" w14:textId="77777777" w:rsidR="00D67940" w:rsidRPr="006757BF" w:rsidRDefault="00D67940" w:rsidP="00F60946">
            <w:pPr>
              <w:pStyle w:val="NormalWeb"/>
              <w:jc w:val="center"/>
              <w:rPr>
                <w:color w:val="FFFFFF" w:themeColor="background1"/>
                <w:sz w:val="18"/>
                <w:szCs w:val="18"/>
              </w:rPr>
            </w:pPr>
            <w:r w:rsidRPr="006757BF">
              <w:rPr>
                <w:color w:val="FFFFFF" w:themeColor="background1"/>
                <w:sz w:val="18"/>
                <w:szCs w:val="18"/>
              </w:rPr>
              <w:t>Age groups</w:t>
            </w:r>
          </w:p>
        </w:tc>
        <w:tc>
          <w:tcPr>
            <w:tcW w:w="1535" w:type="dxa"/>
            <w:hideMark/>
          </w:tcPr>
          <w:p w14:paraId="7486241D" w14:textId="77777777" w:rsidR="00D67940" w:rsidRPr="006757BF" w:rsidRDefault="00D67940" w:rsidP="00F60946">
            <w:pPr>
              <w:jc w:val="center"/>
              <w:rPr>
                <w:color w:val="FFFFFF" w:themeColor="background1"/>
                <w:sz w:val="18"/>
                <w:szCs w:val="18"/>
              </w:rPr>
            </w:pPr>
          </w:p>
        </w:tc>
      </w:tr>
      <w:tr w:rsidR="001304E1" w:rsidRPr="006757BF" w14:paraId="1F879884" w14:textId="77777777" w:rsidTr="00244127">
        <w:trPr>
          <w:cnfStyle w:val="100000000000" w:firstRow="1" w:lastRow="0" w:firstColumn="0" w:lastColumn="0" w:oddVBand="0" w:evenVBand="0" w:oddHBand="0" w:evenHBand="0" w:firstRowFirstColumn="0" w:firstRowLastColumn="0" w:lastRowFirstColumn="0" w:lastRowLastColumn="0"/>
          <w:trHeight w:val="269"/>
          <w:tblHeader/>
        </w:trPr>
        <w:tc>
          <w:tcPr>
            <w:tcW w:w="0" w:type="auto"/>
            <w:hideMark/>
          </w:tcPr>
          <w:p w14:paraId="614A8FFF" w14:textId="77777777" w:rsidR="00D67940" w:rsidRPr="006757BF" w:rsidRDefault="00D67940">
            <w:pPr>
              <w:rPr>
                <w:rFonts w:eastAsia="Times New Roman"/>
                <w:color w:val="FFFFFF" w:themeColor="background1"/>
                <w:sz w:val="18"/>
                <w:szCs w:val="18"/>
              </w:rPr>
            </w:pPr>
          </w:p>
        </w:tc>
        <w:tc>
          <w:tcPr>
            <w:tcW w:w="3175" w:type="dxa"/>
            <w:hideMark/>
          </w:tcPr>
          <w:p w14:paraId="04831E61" w14:textId="77777777" w:rsidR="00D67940" w:rsidRPr="006757BF" w:rsidRDefault="00D67940">
            <w:pPr>
              <w:rPr>
                <w:rFonts w:eastAsia="Times New Roman"/>
                <w:color w:val="FFFFFF" w:themeColor="background1"/>
                <w:sz w:val="18"/>
                <w:szCs w:val="18"/>
              </w:rPr>
            </w:pPr>
          </w:p>
        </w:tc>
        <w:tc>
          <w:tcPr>
            <w:tcW w:w="1701" w:type="dxa"/>
            <w:hideMark/>
          </w:tcPr>
          <w:p w14:paraId="35312291" w14:textId="77777777" w:rsidR="00D67940" w:rsidRPr="006757BF" w:rsidRDefault="00D67940" w:rsidP="00F60946">
            <w:pPr>
              <w:pStyle w:val="NormalWeb"/>
              <w:jc w:val="center"/>
              <w:rPr>
                <w:color w:val="FFFFFF" w:themeColor="background1"/>
                <w:sz w:val="18"/>
                <w:szCs w:val="18"/>
              </w:rPr>
            </w:pPr>
            <w:r w:rsidRPr="006757BF">
              <w:rPr>
                <w:color w:val="FFFFFF" w:themeColor="background1"/>
                <w:sz w:val="18"/>
                <w:szCs w:val="18"/>
              </w:rPr>
              <w:t>Under 5 years</w:t>
            </w:r>
          </w:p>
        </w:tc>
        <w:tc>
          <w:tcPr>
            <w:tcW w:w="1417" w:type="dxa"/>
            <w:hideMark/>
          </w:tcPr>
          <w:p w14:paraId="3907D869" w14:textId="77777777" w:rsidR="00D67940" w:rsidRPr="006757BF" w:rsidRDefault="00D67940" w:rsidP="001003AF">
            <w:pPr>
              <w:pStyle w:val="NormalWeb"/>
              <w:jc w:val="center"/>
              <w:rPr>
                <w:color w:val="FFFFFF" w:themeColor="background1"/>
                <w:sz w:val="18"/>
                <w:szCs w:val="18"/>
              </w:rPr>
            </w:pPr>
            <w:r w:rsidRPr="006757BF">
              <w:rPr>
                <w:color w:val="FFFFFF" w:themeColor="background1"/>
                <w:sz w:val="18"/>
                <w:szCs w:val="18"/>
              </w:rPr>
              <w:t>5</w:t>
            </w:r>
            <w:r w:rsidR="001003AF">
              <w:rPr>
                <w:color w:val="FFFFFF" w:themeColor="background1"/>
                <w:sz w:val="18"/>
                <w:szCs w:val="18"/>
              </w:rPr>
              <w:t>–</w:t>
            </w:r>
            <w:r w:rsidRPr="006757BF">
              <w:rPr>
                <w:color w:val="FFFFFF" w:themeColor="background1"/>
                <w:sz w:val="18"/>
                <w:szCs w:val="18"/>
              </w:rPr>
              <w:t>64 years</w:t>
            </w:r>
          </w:p>
        </w:tc>
        <w:tc>
          <w:tcPr>
            <w:tcW w:w="1560" w:type="dxa"/>
            <w:hideMark/>
          </w:tcPr>
          <w:p w14:paraId="7D0615C6" w14:textId="77777777" w:rsidR="00D67940" w:rsidRPr="006757BF" w:rsidRDefault="00D67940" w:rsidP="00F60946">
            <w:pPr>
              <w:pStyle w:val="NormalWeb"/>
              <w:jc w:val="center"/>
              <w:rPr>
                <w:color w:val="FFFFFF" w:themeColor="background1"/>
                <w:sz w:val="18"/>
                <w:szCs w:val="18"/>
              </w:rPr>
            </w:pPr>
            <w:r w:rsidRPr="006757BF">
              <w:rPr>
                <w:color w:val="FFFFFF" w:themeColor="background1"/>
                <w:sz w:val="18"/>
                <w:szCs w:val="18"/>
              </w:rPr>
              <w:t>Over 65 years</w:t>
            </w:r>
          </w:p>
        </w:tc>
        <w:tc>
          <w:tcPr>
            <w:tcW w:w="1535" w:type="dxa"/>
            <w:hideMark/>
          </w:tcPr>
          <w:p w14:paraId="6D7E40C4" w14:textId="77777777" w:rsidR="00D67940" w:rsidRPr="006757BF" w:rsidRDefault="00D67940" w:rsidP="00F60946">
            <w:pPr>
              <w:pStyle w:val="NormalWeb"/>
              <w:jc w:val="center"/>
              <w:rPr>
                <w:color w:val="FFFFFF" w:themeColor="background1"/>
                <w:sz w:val="18"/>
                <w:szCs w:val="18"/>
              </w:rPr>
            </w:pPr>
            <w:r w:rsidRPr="006757BF">
              <w:rPr>
                <w:color w:val="FFFFFF" w:themeColor="background1"/>
                <w:sz w:val="18"/>
                <w:szCs w:val="18"/>
              </w:rPr>
              <w:t>Serotype total</w:t>
            </w:r>
          </w:p>
        </w:tc>
      </w:tr>
      <w:tr w:rsidR="0075217C" w:rsidRPr="006757BF" w14:paraId="27B6D40A" w14:textId="77777777" w:rsidTr="00244127">
        <w:trPr>
          <w:trHeight w:val="269"/>
        </w:trPr>
        <w:tc>
          <w:tcPr>
            <w:tcW w:w="0" w:type="auto"/>
            <w:hideMark/>
          </w:tcPr>
          <w:p w14:paraId="2FF2B66D" w14:textId="77777777" w:rsidR="00D67940" w:rsidRPr="006757BF" w:rsidRDefault="00D67940">
            <w:pPr>
              <w:pStyle w:val="NormalWeb"/>
              <w:rPr>
                <w:sz w:val="18"/>
                <w:szCs w:val="18"/>
              </w:rPr>
            </w:pPr>
            <w:r w:rsidRPr="006757BF">
              <w:rPr>
                <w:sz w:val="18"/>
                <w:szCs w:val="18"/>
              </w:rPr>
              <w:t>3</w:t>
            </w:r>
          </w:p>
        </w:tc>
        <w:tc>
          <w:tcPr>
            <w:tcW w:w="3175" w:type="dxa"/>
            <w:hideMark/>
          </w:tcPr>
          <w:p w14:paraId="0D4D4F77" w14:textId="77777777" w:rsidR="00D67940" w:rsidRPr="006757BF" w:rsidRDefault="00D67940">
            <w:pPr>
              <w:pStyle w:val="NormalWeb"/>
              <w:rPr>
                <w:sz w:val="18"/>
                <w:szCs w:val="18"/>
              </w:rPr>
            </w:pPr>
            <w:r w:rsidRPr="006757BF">
              <w:rPr>
                <w:sz w:val="18"/>
                <w:szCs w:val="18"/>
              </w:rPr>
              <w:t>13vPCV non-7vPCV</w:t>
            </w:r>
          </w:p>
        </w:tc>
        <w:tc>
          <w:tcPr>
            <w:tcW w:w="1701" w:type="dxa"/>
            <w:hideMark/>
          </w:tcPr>
          <w:p w14:paraId="69EE2FDE" w14:textId="77777777" w:rsidR="00D67940" w:rsidRPr="006757BF" w:rsidRDefault="00D67940" w:rsidP="00F60946">
            <w:pPr>
              <w:pStyle w:val="NormalWeb"/>
              <w:jc w:val="center"/>
              <w:rPr>
                <w:sz w:val="18"/>
                <w:szCs w:val="18"/>
              </w:rPr>
            </w:pPr>
            <w:r w:rsidRPr="006757BF">
              <w:rPr>
                <w:sz w:val="18"/>
                <w:szCs w:val="18"/>
              </w:rPr>
              <w:t>11</w:t>
            </w:r>
          </w:p>
        </w:tc>
        <w:tc>
          <w:tcPr>
            <w:tcW w:w="1417" w:type="dxa"/>
            <w:hideMark/>
          </w:tcPr>
          <w:p w14:paraId="71AF34DB" w14:textId="77777777" w:rsidR="00D67940" w:rsidRPr="006757BF" w:rsidRDefault="00D67940" w:rsidP="00F60946">
            <w:pPr>
              <w:pStyle w:val="NormalWeb"/>
              <w:jc w:val="center"/>
              <w:rPr>
                <w:sz w:val="18"/>
                <w:szCs w:val="18"/>
              </w:rPr>
            </w:pPr>
            <w:r w:rsidRPr="006757BF">
              <w:rPr>
                <w:sz w:val="18"/>
                <w:szCs w:val="18"/>
              </w:rPr>
              <w:t>55</w:t>
            </w:r>
          </w:p>
        </w:tc>
        <w:tc>
          <w:tcPr>
            <w:tcW w:w="1560" w:type="dxa"/>
            <w:hideMark/>
          </w:tcPr>
          <w:p w14:paraId="698BB443" w14:textId="77777777" w:rsidR="00D67940" w:rsidRPr="006757BF" w:rsidRDefault="00D67940" w:rsidP="00F60946">
            <w:pPr>
              <w:pStyle w:val="NormalWeb"/>
              <w:jc w:val="center"/>
              <w:rPr>
                <w:sz w:val="18"/>
                <w:szCs w:val="18"/>
              </w:rPr>
            </w:pPr>
            <w:r w:rsidRPr="006757BF">
              <w:rPr>
                <w:sz w:val="18"/>
                <w:szCs w:val="18"/>
              </w:rPr>
              <w:t>61</w:t>
            </w:r>
          </w:p>
        </w:tc>
        <w:tc>
          <w:tcPr>
            <w:tcW w:w="1535" w:type="dxa"/>
            <w:hideMark/>
          </w:tcPr>
          <w:p w14:paraId="2F8F4E2D" w14:textId="77777777" w:rsidR="00D67940" w:rsidRPr="006757BF" w:rsidRDefault="00D67940" w:rsidP="00F60946">
            <w:pPr>
              <w:pStyle w:val="NormalWeb"/>
              <w:jc w:val="center"/>
              <w:rPr>
                <w:sz w:val="18"/>
                <w:szCs w:val="18"/>
              </w:rPr>
            </w:pPr>
            <w:r w:rsidRPr="006757BF">
              <w:rPr>
                <w:sz w:val="18"/>
                <w:szCs w:val="18"/>
              </w:rPr>
              <w:t>127</w:t>
            </w:r>
          </w:p>
        </w:tc>
      </w:tr>
      <w:tr w:rsidR="00D67940" w:rsidRPr="006757BF" w14:paraId="0316A90E"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2BF1463F" w14:textId="77777777" w:rsidR="00D67940" w:rsidRPr="006757BF" w:rsidRDefault="00D67940">
            <w:pPr>
              <w:pStyle w:val="NormalWeb"/>
              <w:rPr>
                <w:sz w:val="18"/>
                <w:szCs w:val="18"/>
              </w:rPr>
            </w:pPr>
            <w:r w:rsidRPr="006757BF">
              <w:rPr>
                <w:sz w:val="18"/>
                <w:szCs w:val="18"/>
              </w:rPr>
              <w:t>19A</w:t>
            </w:r>
          </w:p>
        </w:tc>
        <w:tc>
          <w:tcPr>
            <w:tcW w:w="3175" w:type="dxa"/>
            <w:hideMark/>
          </w:tcPr>
          <w:p w14:paraId="6220A4B8" w14:textId="77777777" w:rsidR="00D67940" w:rsidRPr="006757BF" w:rsidRDefault="00D67940">
            <w:pPr>
              <w:pStyle w:val="NormalWeb"/>
              <w:rPr>
                <w:sz w:val="18"/>
                <w:szCs w:val="18"/>
              </w:rPr>
            </w:pPr>
            <w:r w:rsidRPr="006757BF">
              <w:rPr>
                <w:sz w:val="18"/>
                <w:szCs w:val="18"/>
              </w:rPr>
              <w:t>13vPCV non-7vPCV</w:t>
            </w:r>
          </w:p>
        </w:tc>
        <w:tc>
          <w:tcPr>
            <w:tcW w:w="1701" w:type="dxa"/>
            <w:hideMark/>
          </w:tcPr>
          <w:p w14:paraId="195C0BC6" w14:textId="77777777" w:rsidR="00D67940" w:rsidRPr="006757BF" w:rsidRDefault="00D67940" w:rsidP="00F60946">
            <w:pPr>
              <w:pStyle w:val="NormalWeb"/>
              <w:jc w:val="center"/>
              <w:rPr>
                <w:sz w:val="18"/>
                <w:szCs w:val="18"/>
              </w:rPr>
            </w:pPr>
            <w:r w:rsidRPr="006757BF">
              <w:rPr>
                <w:sz w:val="18"/>
                <w:szCs w:val="18"/>
              </w:rPr>
              <w:t>14</w:t>
            </w:r>
          </w:p>
        </w:tc>
        <w:tc>
          <w:tcPr>
            <w:tcW w:w="1417" w:type="dxa"/>
            <w:hideMark/>
          </w:tcPr>
          <w:p w14:paraId="7B3C781A" w14:textId="77777777" w:rsidR="00D67940" w:rsidRPr="006757BF" w:rsidRDefault="00D67940" w:rsidP="00F60946">
            <w:pPr>
              <w:pStyle w:val="NormalWeb"/>
              <w:jc w:val="center"/>
              <w:rPr>
                <w:sz w:val="18"/>
                <w:szCs w:val="18"/>
              </w:rPr>
            </w:pPr>
            <w:r w:rsidRPr="006757BF">
              <w:rPr>
                <w:sz w:val="18"/>
                <w:szCs w:val="18"/>
              </w:rPr>
              <w:t>28</w:t>
            </w:r>
          </w:p>
        </w:tc>
        <w:tc>
          <w:tcPr>
            <w:tcW w:w="1560" w:type="dxa"/>
            <w:hideMark/>
          </w:tcPr>
          <w:p w14:paraId="59D88118" w14:textId="77777777" w:rsidR="00D67940" w:rsidRPr="006757BF" w:rsidRDefault="00D67940" w:rsidP="00F60946">
            <w:pPr>
              <w:pStyle w:val="NormalWeb"/>
              <w:jc w:val="center"/>
              <w:rPr>
                <w:sz w:val="18"/>
                <w:szCs w:val="18"/>
              </w:rPr>
            </w:pPr>
            <w:r w:rsidRPr="006757BF">
              <w:rPr>
                <w:sz w:val="18"/>
                <w:szCs w:val="18"/>
              </w:rPr>
              <w:t>23</w:t>
            </w:r>
          </w:p>
        </w:tc>
        <w:tc>
          <w:tcPr>
            <w:tcW w:w="1535" w:type="dxa"/>
            <w:hideMark/>
          </w:tcPr>
          <w:p w14:paraId="61DD551A" w14:textId="77777777" w:rsidR="00D67940" w:rsidRPr="006757BF" w:rsidRDefault="00D67940" w:rsidP="00F60946">
            <w:pPr>
              <w:pStyle w:val="NormalWeb"/>
              <w:jc w:val="center"/>
              <w:rPr>
                <w:sz w:val="18"/>
                <w:szCs w:val="18"/>
              </w:rPr>
            </w:pPr>
            <w:r w:rsidRPr="006757BF">
              <w:rPr>
                <w:sz w:val="18"/>
                <w:szCs w:val="18"/>
              </w:rPr>
              <w:t>65</w:t>
            </w:r>
          </w:p>
        </w:tc>
      </w:tr>
      <w:tr w:rsidR="0075217C" w:rsidRPr="006757BF" w14:paraId="2CCE28AE" w14:textId="77777777" w:rsidTr="00244127">
        <w:trPr>
          <w:trHeight w:val="269"/>
        </w:trPr>
        <w:tc>
          <w:tcPr>
            <w:tcW w:w="0" w:type="auto"/>
            <w:hideMark/>
          </w:tcPr>
          <w:p w14:paraId="17603310" w14:textId="77777777" w:rsidR="00D67940" w:rsidRPr="006757BF" w:rsidRDefault="00D67940">
            <w:pPr>
              <w:pStyle w:val="NormalWeb"/>
              <w:rPr>
                <w:sz w:val="18"/>
                <w:szCs w:val="18"/>
              </w:rPr>
            </w:pPr>
            <w:r w:rsidRPr="006757BF">
              <w:rPr>
                <w:sz w:val="18"/>
                <w:szCs w:val="18"/>
              </w:rPr>
              <w:t>9N</w:t>
            </w:r>
          </w:p>
        </w:tc>
        <w:tc>
          <w:tcPr>
            <w:tcW w:w="3175" w:type="dxa"/>
            <w:hideMark/>
          </w:tcPr>
          <w:p w14:paraId="6093B066"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1CE323C1"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50DF6FC4" w14:textId="77777777" w:rsidR="00D67940" w:rsidRPr="006757BF" w:rsidRDefault="00D67940" w:rsidP="00F60946">
            <w:pPr>
              <w:pStyle w:val="NormalWeb"/>
              <w:jc w:val="center"/>
              <w:rPr>
                <w:sz w:val="18"/>
                <w:szCs w:val="18"/>
              </w:rPr>
            </w:pPr>
            <w:r w:rsidRPr="006757BF">
              <w:rPr>
                <w:sz w:val="18"/>
                <w:szCs w:val="18"/>
              </w:rPr>
              <w:t>35</w:t>
            </w:r>
          </w:p>
        </w:tc>
        <w:tc>
          <w:tcPr>
            <w:tcW w:w="1560" w:type="dxa"/>
            <w:hideMark/>
          </w:tcPr>
          <w:p w14:paraId="26CF8513" w14:textId="77777777" w:rsidR="00D67940" w:rsidRPr="006757BF" w:rsidRDefault="00D67940" w:rsidP="00F60946">
            <w:pPr>
              <w:pStyle w:val="NormalWeb"/>
              <w:jc w:val="center"/>
              <w:rPr>
                <w:sz w:val="18"/>
                <w:szCs w:val="18"/>
              </w:rPr>
            </w:pPr>
            <w:r w:rsidRPr="006757BF">
              <w:rPr>
                <w:sz w:val="18"/>
                <w:szCs w:val="18"/>
              </w:rPr>
              <w:t>24</w:t>
            </w:r>
          </w:p>
        </w:tc>
        <w:tc>
          <w:tcPr>
            <w:tcW w:w="1535" w:type="dxa"/>
            <w:hideMark/>
          </w:tcPr>
          <w:p w14:paraId="0230FFB3" w14:textId="77777777" w:rsidR="00D67940" w:rsidRPr="006757BF" w:rsidRDefault="00D67940" w:rsidP="00F60946">
            <w:pPr>
              <w:pStyle w:val="NormalWeb"/>
              <w:jc w:val="center"/>
              <w:rPr>
                <w:sz w:val="18"/>
                <w:szCs w:val="18"/>
              </w:rPr>
            </w:pPr>
            <w:r w:rsidRPr="006757BF">
              <w:rPr>
                <w:sz w:val="18"/>
                <w:szCs w:val="18"/>
              </w:rPr>
              <w:t>60</w:t>
            </w:r>
          </w:p>
        </w:tc>
      </w:tr>
      <w:tr w:rsidR="00D67940" w:rsidRPr="006757BF" w14:paraId="320B59C2"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7BFB6CF5" w14:textId="77777777" w:rsidR="00D67940" w:rsidRPr="006757BF" w:rsidRDefault="00D67940">
            <w:pPr>
              <w:pStyle w:val="NormalWeb"/>
              <w:rPr>
                <w:sz w:val="18"/>
                <w:szCs w:val="18"/>
              </w:rPr>
            </w:pPr>
            <w:r w:rsidRPr="006757BF">
              <w:rPr>
                <w:sz w:val="18"/>
                <w:szCs w:val="18"/>
              </w:rPr>
              <w:t>22F</w:t>
            </w:r>
          </w:p>
        </w:tc>
        <w:tc>
          <w:tcPr>
            <w:tcW w:w="3175" w:type="dxa"/>
            <w:hideMark/>
          </w:tcPr>
          <w:p w14:paraId="778FEA5D"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671ED942"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2581B356" w14:textId="77777777" w:rsidR="00D67940" w:rsidRPr="006757BF" w:rsidRDefault="00D67940" w:rsidP="00F60946">
            <w:pPr>
              <w:pStyle w:val="NormalWeb"/>
              <w:jc w:val="center"/>
              <w:rPr>
                <w:sz w:val="18"/>
                <w:szCs w:val="18"/>
              </w:rPr>
            </w:pPr>
            <w:r w:rsidRPr="006757BF">
              <w:rPr>
                <w:sz w:val="18"/>
                <w:szCs w:val="18"/>
              </w:rPr>
              <w:t>31</w:t>
            </w:r>
          </w:p>
        </w:tc>
        <w:tc>
          <w:tcPr>
            <w:tcW w:w="1560" w:type="dxa"/>
            <w:hideMark/>
          </w:tcPr>
          <w:p w14:paraId="7BC9B578" w14:textId="77777777" w:rsidR="00D67940" w:rsidRPr="006757BF" w:rsidRDefault="00D67940" w:rsidP="00F60946">
            <w:pPr>
              <w:pStyle w:val="NormalWeb"/>
              <w:jc w:val="center"/>
              <w:rPr>
                <w:sz w:val="18"/>
                <w:szCs w:val="18"/>
              </w:rPr>
            </w:pPr>
            <w:r w:rsidRPr="006757BF">
              <w:rPr>
                <w:sz w:val="18"/>
                <w:szCs w:val="18"/>
              </w:rPr>
              <w:t>22</w:t>
            </w:r>
          </w:p>
        </w:tc>
        <w:tc>
          <w:tcPr>
            <w:tcW w:w="1535" w:type="dxa"/>
            <w:hideMark/>
          </w:tcPr>
          <w:p w14:paraId="0443A486" w14:textId="77777777" w:rsidR="00D67940" w:rsidRPr="006757BF" w:rsidRDefault="00D67940" w:rsidP="00F60946">
            <w:pPr>
              <w:pStyle w:val="NormalWeb"/>
              <w:jc w:val="center"/>
              <w:rPr>
                <w:sz w:val="18"/>
                <w:szCs w:val="18"/>
              </w:rPr>
            </w:pPr>
            <w:r w:rsidRPr="006757BF">
              <w:rPr>
                <w:sz w:val="18"/>
                <w:szCs w:val="18"/>
              </w:rPr>
              <w:t>54</w:t>
            </w:r>
          </w:p>
        </w:tc>
      </w:tr>
      <w:tr w:rsidR="0075217C" w:rsidRPr="006757BF" w14:paraId="16FA4E85" w14:textId="77777777" w:rsidTr="00244127">
        <w:trPr>
          <w:trHeight w:val="269"/>
        </w:trPr>
        <w:tc>
          <w:tcPr>
            <w:tcW w:w="0" w:type="auto"/>
            <w:hideMark/>
          </w:tcPr>
          <w:p w14:paraId="787F4057" w14:textId="77777777" w:rsidR="00D67940" w:rsidRPr="006757BF" w:rsidRDefault="00D67940">
            <w:pPr>
              <w:pStyle w:val="NormalWeb"/>
              <w:rPr>
                <w:sz w:val="18"/>
                <w:szCs w:val="18"/>
              </w:rPr>
            </w:pPr>
            <w:r w:rsidRPr="006757BF">
              <w:rPr>
                <w:sz w:val="18"/>
                <w:szCs w:val="18"/>
              </w:rPr>
              <w:t>19F</w:t>
            </w:r>
          </w:p>
        </w:tc>
        <w:tc>
          <w:tcPr>
            <w:tcW w:w="3175" w:type="dxa"/>
            <w:hideMark/>
          </w:tcPr>
          <w:p w14:paraId="44D433C7" w14:textId="77777777" w:rsidR="00D67940" w:rsidRPr="006757BF" w:rsidRDefault="00D67940">
            <w:pPr>
              <w:pStyle w:val="NormalWeb"/>
              <w:rPr>
                <w:sz w:val="18"/>
                <w:szCs w:val="18"/>
              </w:rPr>
            </w:pPr>
            <w:r w:rsidRPr="006757BF">
              <w:rPr>
                <w:sz w:val="18"/>
                <w:szCs w:val="18"/>
              </w:rPr>
              <w:t>7vPCV</w:t>
            </w:r>
          </w:p>
        </w:tc>
        <w:tc>
          <w:tcPr>
            <w:tcW w:w="1701" w:type="dxa"/>
            <w:hideMark/>
          </w:tcPr>
          <w:p w14:paraId="1BD341F8" w14:textId="77777777" w:rsidR="00D67940" w:rsidRPr="006757BF" w:rsidRDefault="00D67940" w:rsidP="00F60946">
            <w:pPr>
              <w:pStyle w:val="NormalWeb"/>
              <w:jc w:val="center"/>
              <w:rPr>
                <w:sz w:val="18"/>
                <w:szCs w:val="18"/>
              </w:rPr>
            </w:pPr>
            <w:r w:rsidRPr="006757BF">
              <w:rPr>
                <w:sz w:val="18"/>
                <w:szCs w:val="18"/>
              </w:rPr>
              <w:t>4</w:t>
            </w:r>
          </w:p>
        </w:tc>
        <w:tc>
          <w:tcPr>
            <w:tcW w:w="1417" w:type="dxa"/>
            <w:hideMark/>
          </w:tcPr>
          <w:p w14:paraId="1296976C" w14:textId="77777777" w:rsidR="00D67940" w:rsidRPr="006757BF" w:rsidRDefault="00D67940" w:rsidP="00F60946">
            <w:pPr>
              <w:pStyle w:val="NormalWeb"/>
              <w:jc w:val="center"/>
              <w:rPr>
                <w:sz w:val="18"/>
                <w:szCs w:val="18"/>
              </w:rPr>
            </w:pPr>
            <w:r w:rsidRPr="006757BF">
              <w:rPr>
                <w:sz w:val="18"/>
                <w:szCs w:val="18"/>
              </w:rPr>
              <w:t>20</w:t>
            </w:r>
          </w:p>
        </w:tc>
        <w:tc>
          <w:tcPr>
            <w:tcW w:w="1560" w:type="dxa"/>
            <w:hideMark/>
          </w:tcPr>
          <w:p w14:paraId="363BB2EC" w14:textId="77777777" w:rsidR="00D67940" w:rsidRPr="006757BF" w:rsidRDefault="00D67940" w:rsidP="00F60946">
            <w:pPr>
              <w:pStyle w:val="NormalWeb"/>
              <w:jc w:val="center"/>
              <w:rPr>
                <w:sz w:val="18"/>
                <w:szCs w:val="18"/>
              </w:rPr>
            </w:pPr>
            <w:r w:rsidRPr="006757BF">
              <w:rPr>
                <w:sz w:val="18"/>
                <w:szCs w:val="18"/>
              </w:rPr>
              <w:t>21</w:t>
            </w:r>
          </w:p>
        </w:tc>
        <w:tc>
          <w:tcPr>
            <w:tcW w:w="1535" w:type="dxa"/>
            <w:hideMark/>
          </w:tcPr>
          <w:p w14:paraId="2B4BD36A" w14:textId="77777777" w:rsidR="00D67940" w:rsidRPr="006757BF" w:rsidRDefault="00D67940" w:rsidP="00F60946">
            <w:pPr>
              <w:pStyle w:val="NormalWeb"/>
              <w:jc w:val="center"/>
              <w:rPr>
                <w:sz w:val="18"/>
                <w:szCs w:val="18"/>
              </w:rPr>
            </w:pPr>
            <w:r w:rsidRPr="006757BF">
              <w:rPr>
                <w:sz w:val="18"/>
                <w:szCs w:val="18"/>
              </w:rPr>
              <w:t>45</w:t>
            </w:r>
          </w:p>
        </w:tc>
      </w:tr>
      <w:tr w:rsidR="00D67940" w:rsidRPr="006757BF" w14:paraId="6B9D0215"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1BA302F6" w14:textId="77777777" w:rsidR="00D67940" w:rsidRPr="006757BF" w:rsidRDefault="00D67940">
            <w:pPr>
              <w:pStyle w:val="NormalWeb"/>
              <w:rPr>
                <w:sz w:val="18"/>
                <w:szCs w:val="18"/>
              </w:rPr>
            </w:pPr>
            <w:r w:rsidRPr="006757BF">
              <w:rPr>
                <w:sz w:val="18"/>
                <w:szCs w:val="18"/>
              </w:rPr>
              <w:t>23A</w:t>
            </w:r>
          </w:p>
        </w:tc>
        <w:tc>
          <w:tcPr>
            <w:tcW w:w="3175" w:type="dxa"/>
            <w:hideMark/>
          </w:tcPr>
          <w:p w14:paraId="57B54526"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602A9BF8"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5DAE58C7" w14:textId="77777777" w:rsidR="00D67940" w:rsidRPr="006757BF" w:rsidRDefault="00D67940" w:rsidP="00F60946">
            <w:pPr>
              <w:pStyle w:val="NormalWeb"/>
              <w:jc w:val="center"/>
              <w:rPr>
                <w:sz w:val="18"/>
                <w:szCs w:val="18"/>
              </w:rPr>
            </w:pPr>
            <w:r w:rsidRPr="006757BF">
              <w:rPr>
                <w:sz w:val="18"/>
                <w:szCs w:val="18"/>
              </w:rPr>
              <w:t>7</w:t>
            </w:r>
          </w:p>
        </w:tc>
        <w:tc>
          <w:tcPr>
            <w:tcW w:w="1560" w:type="dxa"/>
            <w:hideMark/>
          </w:tcPr>
          <w:p w14:paraId="0490A26A" w14:textId="77777777" w:rsidR="00D67940" w:rsidRPr="006757BF" w:rsidRDefault="00D67940" w:rsidP="00F60946">
            <w:pPr>
              <w:pStyle w:val="NormalWeb"/>
              <w:jc w:val="center"/>
              <w:rPr>
                <w:sz w:val="18"/>
                <w:szCs w:val="18"/>
              </w:rPr>
            </w:pPr>
            <w:r w:rsidRPr="006757BF">
              <w:rPr>
                <w:sz w:val="18"/>
                <w:szCs w:val="18"/>
              </w:rPr>
              <w:t>25</w:t>
            </w:r>
          </w:p>
        </w:tc>
        <w:tc>
          <w:tcPr>
            <w:tcW w:w="1535" w:type="dxa"/>
            <w:hideMark/>
          </w:tcPr>
          <w:p w14:paraId="3BB36100" w14:textId="77777777" w:rsidR="00D67940" w:rsidRPr="006757BF" w:rsidRDefault="00D67940" w:rsidP="00F60946">
            <w:pPr>
              <w:pStyle w:val="NormalWeb"/>
              <w:jc w:val="center"/>
              <w:rPr>
                <w:sz w:val="18"/>
                <w:szCs w:val="18"/>
              </w:rPr>
            </w:pPr>
            <w:r w:rsidRPr="006757BF">
              <w:rPr>
                <w:sz w:val="18"/>
                <w:szCs w:val="18"/>
              </w:rPr>
              <w:t>33</w:t>
            </w:r>
          </w:p>
        </w:tc>
      </w:tr>
      <w:tr w:rsidR="0075217C" w:rsidRPr="006757BF" w14:paraId="0B6B7C47" w14:textId="77777777" w:rsidTr="00244127">
        <w:trPr>
          <w:trHeight w:val="269"/>
        </w:trPr>
        <w:tc>
          <w:tcPr>
            <w:tcW w:w="0" w:type="auto"/>
            <w:hideMark/>
          </w:tcPr>
          <w:p w14:paraId="0165CB9B" w14:textId="77777777" w:rsidR="00D67940" w:rsidRPr="006757BF" w:rsidRDefault="00D67940">
            <w:pPr>
              <w:pStyle w:val="NormalWeb"/>
              <w:rPr>
                <w:sz w:val="18"/>
                <w:szCs w:val="18"/>
              </w:rPr>
            </w:pPr>
            <w:r w:rsidRPr="006757BF">
              <w:rPr>
                <w:sz w:val="18"/>
                <w:szCs w:val="18"/>
              </w:rPr>
              <w:t>8</w:t>
            </w:r>
          </w:p>
        </w:tc>
        <w:tc>
          <w:tcPr>
            <w:tcW w:w="3175" w:type="dxa"/>
            <w:hideMark/>
          </w:tcPr>
          <w:p w14:paraId="3940A30B"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7FBBBD80" w14:textId="77777777" w:rsidR="00D67940" w:rsidRPr="006757BF" w:rsidRDefault="00D67940" w:rsidP="00F60946">
            <w:pPr>
              <w:pStyle w:val="NormalWeb"/>
              <w:jc w:val="center"/>
              <w:rPr>
                <w:sz w:val="18"/>
                <w:szCs w:val="18"/>
              </w:rPr>
            </w:pPr>
            <w:r w:rsidRPr="006757BF">
              <w:rPr>
                <w:sz w:val="18"/>
                <w:szCs w:val="18"/>
              </w:rPr>
              <w:t>4</w:t>
            </w:r>
          </w:p>
        </w:tc>
        <w:tc>
          <w:tcPr>
            <w:tcW w:w="1417" w:type="dxa"/>
            <w:hideMark/>
          </w:tcPr>
          <w:p w14:paraId="6061E15E" w14:textId="77777777" w:rsidR="00D67940" w:rsidRPr="006757BF" w:rsidRDefault="00D67940" w:rsidP="00F60946">
            <w:pPr>
              <w:pStyle w:val="NormalWeb"/>
              <w:jc w:val="center"/>
              <w:rPr>
                <w:sz w:val="18"/>
                <w:szCs w:val="18"/>
              </w:rPr>
            </w:pPr>
            <w:r w:rsidRPr="006757BF">
              <w:rPr>
                <w:sz w:val="18"/>
                <w:szCs w:val="18"/>
              </w:rPr>
              <w:t>19</w:t>
            </w:r>
          </w:p>
        </w:tc>
        <w:tc>
          <w:tcPr>
            <w:tcW w:w="1560" w:type="dxa"/>
            <w:hideMark/>
          </w:tcPr>
          <w:p w14:paraId="260FB562" w14:textId="77777777" w:rsidR="00D67940" w:rsidRPr="006757BF" w:rsidRDefault="00D67940" w:rsidP="00F60946">
            <w:pPr>
              <w:pStyle w:val="NormalWeb"/>
              <w:jc w:val="center"/>
              <w:rPr>
                <w:sz w:val="18"/>
                <w:szCs w:val="18"/>
              </w:rPr>
            </w:pPr>
            <w:r w:rsidRPr="006757BF">
              <w:rPr>
                <w:sz w:val="18"/>
                <w:szCs w:val="18"/>
              </w:rPr>
              <w:t>5</w:t>
            </w:r>
          </w:p>
        </w:tc>
        <w:tc>
          <w:tcPr>
            <w:tcW w:w="1535" w:type="dxa"/>
            <w:hideMark/>
          </w:tcPr>
          <w:p w14:paraId="43AE2919" w14:textId="77777777" w:rsidR="00D67940" w:rsidRPr="006757BF" w:rsidRDefault="00D67940" w:rsidP="00F60946">
            <w:pPr>
              <w:pStyle w:val="NormalWeb"/>
              <w:jc w:val="center"/>
              <w:rPr>
                <w:sz w:val="18"/>
                <w:szCs w:val="18"/>
              </w:rPr>
            </w:pPr>
            <w:r w:rsidRPr="006757BF">
              <w:rPr>
                <w:sz w:val="18"/>
                <w:szCs w:val="18"/>
              </w:rPr>
              <w:t>28</w:t>
            </w:r>
          </w:p>
        </w:tc>
      </w:tr>
      <w:tr w:rsidR="00D67940" w:rsidRPr="006757BF" w14:paraId="44447975"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358B5B41" w14:textId="77777777" w:rsidR="00D67940" w:rsidRPr="006757BF" w:rsidRDefault="00D67940">
            <w:pPr>
              <w:pStyle w:val="NormalWeb"/>
              <w:rPr>
                <w:sz w:val="18"/>
                <w:szCs w:val="18"/>
              </w:rPr>
            </w:pPr>
            <w:r w:rsidRPr="006757BF">
              <w:rPr>
                <w:sz w:val="18"/>
                <w:szCs w:val="18"/>
              </w:rPr>
              <w:t>6C</w:t>
            </w:r>
          </w:p>
        </w:tc>
        <w:tc>
          <w:tcPr>
            <w:tcW w:w="3175" w:type="dxa"/>
            <w:hideMark/>
          </w:tcPr>
          <w:p w14:paraId="3E388D94"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1A9C2CC0"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746D8E40" w14:textId="77777777" w:rsidR="00D67940" w:rsidRPr="006757BF" w:rsidRDefault="00D67940" w:rsidP="00F60946">
            <w:pPr>
              <w:pStyle w:val="NormalWeb"/>
              <w:jc w:val="center"/>
              <w:rPr>
                <w:sz w:val="18"/>
                <w:szCs w:val="18"/>
              </w:rPr>
            </w:pPr>
            <w:r w:rsidRPr="006757BF">
              <w:rPr>
                <w:sz w:val="18"/>
                <w:szCs w:val="18"/>
              </w:rPr>
              <w:t>10</w:t>
            </w:r>
          </w:p>
        </w:tc>
        <w:tc>
          <w:tcPr>
            <w:tcW w:w="1560" w:type="dxa"/>
            <w:hideMark/>
          </w:tcPr>
          <w:p w14:paraId="29F7188D" w14:textId="77777777" w:rsidR="00D67940" w:rsidRPr="006757BF" w:rsidRDefault="00D67940" w:rsidP="00F60946">
            <w:pPr>
              <w:pStyle w:val="NormalWeb"/>
              <w:jc w:val="center"/>
              <w:rPr>
                <w:sz w:val="18"/>
                <w:szCs w:val="18"/>
              </w:rPr>
            </w:pPr>
            <w:r w:rsidRPr="006757BF">
              <w:rPr>
                <w:sz w:val="18"/>
                <w:szCs w:val="18"/>
              </w:rPr>
              <w:t>17</w:t>
            </w:r>
          </w:p>
        </w:tc>
        <w:tc>
          <w:tcPr>
            <w:tcW w:w="1535" w:type="dxa"/>
            <w:hideMark/>
          </w:tcPr>
          <w:p w14:paraId="077590E6" w14:textId="77777777" w:rsidR="00D67940" w:rsidRPr="006757BF" w:rsidRDefault="00D67940" w:rsidP="00F60946">
            <w:pPr>
              <w:pStyle w:val="NormalWeb"/>
              <w:jc w:val="center"/>
              <w:rPr>
                <w:sz w:val="18"/>
                <w:szCs w:val="18"/>
              </w:rPr>
            </w:pPr>
            <w:r w:rsidRPr="006757BF">
              <w:rPr>
                <w:sz w:val="18"/>
                <w:szCs w:val="18"/>
              </w:rPr>
              <w:t>28</w:t>
            </w:r>
          </w:p>
        </w:tc>
      </w:tr>
      <w:tr w:rsidR="0075217C" w:rsidRPr="006757BF" w14:paraId="393C8DAD" w14:textId="77777777" w:rsidTr="00244127">
        <w:trPr>
          <w:trHeight w:val="269"/>
        </w:trPr>
        <w:tc>
          <w:tcPr>
            <w:tcW w:w="0" w:type="auto"/>
            <w:hideMark/>
          </w:tcPr>
          <w:p w14:paraId="11F4564C" w14:textId="77777777" w:rsidR="00D67940" w:rsidRPr="006757BF" w:rsidRDefault="00D67940">
            <w:pPr>
              <w:pStyle w:val="NormalWeb"/>
              <w:rPr>
                <w:sz w:val="18"/>
                <w:szCs w:val="18"/>
              </w:rPr>
            </w:pPr>
            <w:r w:rsidRPr="006757BF">
              <w:rPr>
                <w:sz w:val="18"/>
                <w:szCs w:val="18"/>
              </w:rPr>
              <w:t>11A</w:t>
            </w:r>
          </w:p>
        </w:tc>
        <w:tc>
          <w:tcPr>
            <w:tcW w:w="3175" w:type="dxa"/>
            <w:hideMark/>
          </w:tcPr>
          <w:p w14:paraId="659F5E73"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2DF74E80" w14:textId="77777777" w:rsidR="00D67940" w:rsidRPr="006757BF" w:rsidRDefault="00D67940" w:rsidP="00F60946">
            <w:pPr>
              <w:pStyle w:val="NormalWeb"/>
              <w:jc w:val="center"/>
              <w:rPr>
                <w:sz w:val="18"/>
                <w:szCs w:val="18"/>
              </w:rPr>
            </w:pPr>
            <w:r w:rsidRPr="006757BF">
              <w:rPr>
                <w:sz w:val="18"/>
                <w:szCs w:val="18"/>
              </w:rPr>
              <w:t>3</w:t>
            </w:r>
          </w:p>
        </w:tc>
        <w:tc>
          <w:tcPr>
            <w:tcW w:w="1417" w:type="dxa"/>
            <w:hideMark/>
          </w:tcPr>
          <w:p w14:paraId="038B4D7C" w14:textId="77777777" w:rsidR="00D67940" w:rsidRPr="006757BF" w:rsidRDefault="00D67940" w:rsidP="00F60946">
            <w:pPr>
              <w:pStyle w:val="NormalWeb"/>
              <w:jc w:val="center"/>
              <w:rPr>
                <w:sz w:val="18"/>
                <w:szCs w:val="18"/>
              </w:rPr>
            </w:pPr>
            <w:r w:rsidRPr="006757BF">
              <w:rPr>
                <w:sz w:val="18"/>
                <w:szCs w:val="18"/>
              </w:rPr>
              <w:t>15</w:t>
            </w:r>
          </w:p>
        </w:tc>
        <w:tc>
          <w:tcPr>
            <w:tcW w:w="1560" w:type="dxa"/>
            <w:hideMark/>
          </w:tcPr>
          <w:p w14:paraId="12283E61" w14:textId="77777777" w:rsidR="00D67940" w:rsidRPr="006757BF" w:rsidRDefault="00D67940" w:rsidP="00F60946">
            <w:pPr>
              <w:pStyle w:val="NormalWeb"/>
              <w:jc w:val="center"/>
              <w:rPr>
                <w:sz w:val="18"/>
                <w:szCs w:val="18"/>
              </w:rPr>
            </w:pPr>
            <w:r w:rsidRPr="006757BF">
              <w:rPr>
                <w:sz w:val="18"/>
                <w:szCs w:val="18"/>
              </w:rPr>
              <w:t>9</w:t>
            </w:r>
          </w:p>
        </w:tc>
        <w:tc>
          <w:tcPr>
            <w:tcW w:w="1535" w:type="dxa"/>
            <w:hideMark/>
          </w:tcPr>
          <w:p w14:paraId="2CEDC8C9" w14:textId="77777777" w:rsidR="00D67940" w:rsidRPr="006757BF" w:rsidRDefault="00D67940" w:rsidP="00F60946">
            <w:pPr>
              <w:pStyle w:val="NormalWeb"/>
              <w:jc w:val="center"/>
              <w:rPr>
                <w:sz w:val="18"/>
                <w:szCs w:val="18"/>
              </w:rPr>
            </w:pPr>
            <w:r w:rsidRPr="006757BF">
              <w:rPr>
                <w:sz w:val="18"/>
                <w:szCs w:val="18"/>
              </w:rPr>
              <w:t>27</w:t>
            </w:r>
          </w:p>
        </w:tc>
      </w:tr>
      <w:tr w:rsidR="00D67940" w:rsidRPr="006757BF" w14:paraId="4A26C107"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63140AB3" w14:textId="77777777" w:rsidR="00D67940" w:rsidRPr="006757BF" w:rsidRDefault="00D67940">
            <w:pPr>
              <w:pStyle w:val="NormalWeb"/>
              <w:rPr>
                <w:sz w:val="18"/>
                <w:szCs w:val="18"/>
              </w:rPr>
            </w:pPr>
            <w:r w:rsidRPr="006757BF">
              <w:rPr>
                <w:sz w:val="18"/>
                <w:szCs w:val="18"/>
              </w:rPr>
              <w:t>33F</w:t>
            </w:r>
          </w:p>
        </w:tc>
        <w:tc>
          <w:tcPr>
            <w:tcW w:w="3175" w:type="dxa"/>
            <w:hideMark/>
          </w:tcPr>
          <w:p w14:paraId="12EB619A"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6B0C0BFD" w14:textId="77777777" w:rsidR="00D67940" w:rsidRPr="006757BF" w:rsidRDefault="00D67940" w:rsidP="00F60946">
            <w:pPr>
              <w:pStyle w:val="NormalWeb"/>
              <w:jc w:val="center"/>
              <w:rPr>
                <w:sz w:val="18"/>
                <w:szCs w:val="18"/>
              </w:rPr>
            </w:pPr>
            <w:r w:rsidRPr="006757BF">
              <w:rPr>
                <w:sz w:val="18"/>
                <w:szCs w:val="18"/>
              </w:rPr>
              <w:t>2</w:t>
            </w:r>
          </w:p>
        </w:tc>
        <w:tc>
          <w:tcPr>
            <w:tcW w:w="1417" w:type="dxa"/>
            <w:hideMark/>
          </w:tcPr>
          <w:p w14:paraId="4834C7D8" w14:textId="77777777" w:rsidR="00D67940" w:rsidRPr="006757BF" w:rsidRDefault="00D67940" w:rsidP="00F60946">
            <w:pPr>
              <w:pStyle w:val="NormalWeb"/>
              <w:jc w:val="center"/>
              <w:rPr>
                <w:sz w:val="18"/>
                <w:szCs w:val="18"/>
              </w:rPr>
            </w:pPr>
            <w:r w:rsidRPr="006757BF">
              <w:rPr>
                <w:sz w:val="18"/>
                <w:szCs w:val="18"/>
              </w:rPr>
              <w:t>13</w:t>
            </w:r>
          </w:p>
        </w:tc>
        <w:tc>
          <w:tcPr>
            <w:tcW w:w="1560" w:type="dxa"/>
            <w:hideMark/>
          </w:tcPr>
          <w:p w14:paraId="2BE388B4" w14:textId="77777777" w:rsidR="00D67940" w:rsidRPr="006757BF" w:rsidRDefault="00D67940" w:rsidP="00F60946">
            <w:pPr>
              <w:pStyle w:val="NormalWeb"/>
              <w:jc w:val="center"/>
              <w:rPr>
                <w:sz w:val="18"/>
                <w:szCs w:val="18"/>
              </w:rPr>
            </w:pPr>
            <w:r w:rsidRPr="006757BF">
              <w:rPr>
                <w:sz w:val="18"/>
                <w:szCs w:val="18"/>
              </w:rPr>
              <w:t>10</w:t>
            </w:r>
          </w:p>
        </w:tc>
        <w:tc>
          <w:tcPr>
            <w:tcW w:w="1535" w:type="dxa"/>
            <w:hideMark/>
          </w:tcPr>
          <w:p w14:paraId="5300360F" w14:textId="77777777" w:rsidR="00D67940" w:rsidRPr="006757BF" w:rsidRDefault="00D67940" w:rsidP="00F60946">
            <w:pPr>
              <w:pStyle w:val="NormalWeb"/>
              <w:jc w:val="center"/>
              <w:rPr>
                <w:sz w:val="18"/>
                <w:szCs w:val="18"/>
              </w:rPr>
            </w:pPr>
            <w:r w:rsidRPr="006757BF">
              <w:rPr>
                <w:sz w:val="18"/>
                <w:szCs w:val="18"/>
              </w:rPr>
              <w:t>25</w:t>
            </w:r>
          </w:p>
        </w:tc>
      </w:tr>
      <w:tr w:rsidR="0075217C" w:rsidRPr="006757BF" w14:paraId="7EA2DC7A" w14:textId="77777777" w:rsidTr="00244127">
        <w:trPr>
          <w:trHeight w:val="269"/>
        </w:trPr>
        <w:tc>
          <w:tcPr>
            <w:tcW w:w="0" w:type="auto"/>
            <w:hideMark/>
          </w:tcPr>
          <w:p w14:paraId="4BC812BE" w14:textId="77777777" w:rsidR="00D67940" w:rsidRPr="006757BF" w:rsidRDefault="00D67940">
            <w:pPr>
              <w:pStyle w:val="NormalWeb"/>
              <w:rPr>
                <w:sz w:val="18"/>
                <w:szCs w:val="18"/>
              </w:rPr>
            </w:pPr>
            <w:r w:rsidRPr="006757BF">
              <w:rPr>
                <w:sz w:val="18"/>
                <w:szCs w:val="18"/>
              </w:rPr>
              <w:t>15A</w:t>
            </w:r>
          </w:p>
        </w:tc>
        <w:tc>
          <w:tcPr>
            <w:tcW w:w="3175" w:type="dxa"/>
            <w:hideMark/>
          </w:tcPr>
          <w:p w14:paraId="5583DDC3"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3EDF5A68" w14:textId="77777777" w:rsidR="00D67940" w:rsidRPr="006757BF" w:rsidRDefault="00D67940" w:rsidP="00F60946">
            <w:pPr>
              <w:pStyle w:val="NormalWeb"/>
              <w:jc w:val="center"/>
              <w:rPr>
                <w:sz w:val="18"/>
                <w:szCs w:val="18"/>
              </w:rPr>
            </w:pPr>
            <w:r w:rsidRPr="006757BF">
              <w:rPr>
                <w:sz w:val="18"/>
                <w:szCs w:val="18"/>
              </w:rPr>
              <w:t>2</w:t>
            </w:r>
          </w:p>
        </w:tc>
        <w:tc>
          <w:tcPr>
            <w:tcW w:w="1417" w:type="dxa"/>
            <w:hideMark/>
          </w:tcPr>
          <w:p w14:paraId="199C1616" w14:textId="77777777" w:rsidR="00D67940" w:rsidRPr="006757BF" w:rsidRDefault="00D67940" w:rsidP="00F60946">
            <w:pPr>
              <w:pStyle w:val="NormalWeb"/>
              <w:jc w:val="center"/>
              <w:rPr>
                <w:sz w:val="18"/>
                <w:szCs w:val="18"/>
              </w:rPr>
            </w:pPr>
            <w:r w:rsidRPr="006757BF">
              <w:rPr>
                <w:sz w:val="18"/>
                <w:szCs w:val="18"/>
              </w:rPr>
              <w:t>6</w:t>
            </w:r>
          </w:p>
        </w:tc>
        <w:tc>
          <w:tcPr>
            <w:tcW w:w="1560" w:type="dxa"/>
            <w:hideMark/>
          </w:tcPr>
          <w:p w14:paraId="1407F65A" w14:textId="77777777" w:rsidR="00D67940" w:rsidRPr="006757BF" w:rsidRDefault="00D67940" w:rsidP="00F60946">
            <w:pPr>
              <w:pStyle w:val="NormalWeb"/>
              <w:jc w:val="center"/>
              <w:rPr>
                <w:sz w:val="18"/>
                <w:szCs w:val="18"/>
              </w:rPr>
            </w:pPr>
            <w:r w:rsidRPr="006757BF">
              <w:rPr>
                <w:sz w:val="18"/>
                <w:szCs w:val="18"/>
              </w:rPr>
              <w:t>15</w:t>
            </w:r>
          </w:p>
        </w:tc>
        <w:tc>
          <w:tcPr>
            <w:tcW w:w="1535" w:type="dxa"/>
            <w:hideMark/>
          </w:tcPr>
          <w:p w14:paraId="1082A28E" w14:textId="77777777" w:rsidR="00D67940" w:rsidRPr="006757BF" w:rsidRDefault="00D67940" w:rsidP="00F60946">
            <w:pPr>
              <w:pStyle w:val="NormalWeb"/>
              <w:jc w:val="center"/>
              <w:rPr>
                <w:sz w:val="18"/>
                <w:szCs w:val="18"/>
              </w:rPr>
            </w:pPr>
            <w:r w:rsidRPr="006757BF">
              <w:rPr>
                <w:sz w:val="18"/>
                <w:szCs w:val="18"/>
              </w:rPr>
              <w:t>23</w:t>
            </w:r>
          </w:p>
        </w:tc>
      </w:tr>
      <w:tr w:rsidR="00D67940" w:rsidRPr="006757BF" w14:paraId="6481BA03"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48F12BAE" w14:textId="77777777" w:rsidR="00D67940" w:rsidRPr="006757BF" w:rsidRDefault="00D67940">
            <w:pPr>
              <w:pStyle w:val="NormalWeb"/>
              <w:rPr>
                <w:sz w:val="18"/>
                <w:szCs w:val="18"/>
              </w:rPr>
            </w:pPr>
            <w:r w:rsidRPr="006757BF">
              <w:rPr>
                <w:sz w:val="18"/>
                <w:szCs w:val="18"/>
              </w:rPr>
              <w:t>16F</w:t>
            </w:r>
          </w:p>
        </w:tc>
        <w:tc>
          <w:tcPr>
            <w:tcW w:w="3175" w:type="dxa"/>
            <w:hideMark/>
          </w:tcPr>
          <w:p w14:paraId="672599AF"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2885C8DC"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2F77642F" w14:textId="77777777" w:rsidR="00D67940" w:rsidRPr="006757BF" w:rsidRDefault="00D67940" w:rsidP="00F60946">
            <w:pPr>
              <w:pStyle w:val="NormalWeb"/>
              <w:jc w:val="center"/>
              <w:rPr>
                <w:sz w:val="18"/>
                <w:szCs w:val="18"/>
              </w:rPr>
            </w:pPr>
            <w:r w:rsidRPr="006757BF">
              <w:rPr>
                <w:sz w:val="18"/>
                <w:szCs w:val="18"/>
              </w:rPr>
              <w:t>8</w:t>
            </w:r>
          </w:p>
        </w:tc>
        <w:tc>
          <w:tcPr>
            <w:tcW w:w="1560" w:type="dxa"/>
            <w:hideMark/>
          </w:tcPr>
          <w:p w14:paraId="124B24C3" w14:textId="77777777" w:rsidR="00D67940" w:rsidRPr="006757BF" w:rsidRDefault="00D67940" w:rsidP="00F60946">
            <w:pPr>
              <w:pStyle w:val="NormalWeb"/>
              <w:jc w:val="center"/>
              <w:rPr>
                <w:sz w:val="18"/>
                <w:szCs w:val="18"/>
              </w:rPr>
            </w:pPr>
            <w:r w:rsidRPr="006757BF">
              <w:rPr>
                <w:sz w:val="18"/>
                <w:szCs w:val="18"/>
              </w:rPr>
              <w:t>12</w:t>
            </w:r>
          </w:p>
        </w:tc>
        <w:tc>
          <w:tcPr>
            <w:tcW w:w="1535" w:type="dxa"/>
            <w:hideMark/>
          </w:tcPr>
          <w:p w14:paraId="67CDFD77" w14:textId="77777777" w:rsidR="00D67940" w:rsidRPr="006757BF" w:rsidRDefault="00D67940" w:rsidP="00F60946">
            <w:pPr>
              <w:pStyle w:val="NormalWeb"/>
              <w:jc w:val="center"/>
              <w:rPr>
                <w:sz w:val="18"/>
                <w:szCs w:val="18"/>
              </w:rPr>
            </w:pPr>
            <w:r w:rsidRPr="006757BF">
              <w:rPr>
                <w:sz w:val="18"/>
                <w:szCs w:val="18"/>
              </w:rPr>
              <w:t>20</w:t>
            </w:r>
          </w:p>
        </w:tc>
      </w:tr>
      <w:tr w:rsidR="0075217C" w:rsidRPr="006757BF" w14:paraId="543C330C" w14:textId="77777777" w:rsidTr="00244127">
        <w:trPr>
          <w:trHeight w:val="269"/>
        </w:trPr>
        <w:tc>
          <w:tcPr>
            <w:tcW w:w="0" w:type="auto"/>
            <w:hideMark/>
          </w:tcPr>
          <w:p w14:paraId="5FC9E1A0" w14:textId="77777777" w:rsidR="00D67940" w:rsidRPr="006757BF" w:rsidRDefault="00D67940">
            <w:pPr>
              <w:pStyle w:val="NormalWeb"/>
              <w:rPr>
                <w:sz w:val="18"/>
                <w:szCs w:val="18"/>
              </w:rPr>
            </w:pPr>
            <w:r w:rsidRPr="006757BF">
              <w:rPr>
                <w:sz w:val="18"/>
                <w:szCs w:val="18"/>
              </w:rPr>
              <w:t>35B</w:t>
            </w:r>
          </w:p>
        </w:tc>
        <w:tc>
          <w:tcPr>
            <w:tcW w:w="3175" w:type="dxa"/>
            <w:hideMark/>
          </w:tcPr>
          <w:p w14:paraId="5EE19D7A"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10632FCF" w14:textId="77777777" w:rsidR="00D67940" w:rsidRPr="006757BF" w:rsidRDefault="00D67940" w:rsidP="00F60946">
            <w:pPr>
              <w:pStyle w:val="NormalWeb"/>
              <w:jc w:val="center"/>
              <w:rPr>
                <w:sz w:val="18"/>
                <w:szCs w:val="18"/>
              </w:rPr>
            </w:pPr>
            <w:r w:rsidRPr="006757BF">
              <w:rPr>
                <w:sz w:val="18"/>
                <w:szCs w:val="18"/>
              </w:rPr>
              <w:t>2</w:t>
            </w:r>
          </w:p>
        </w:tc>
        <w:tc>
          <w:tcPr>
            <w:tcW w:w="1417" w:type="dxa"/>
            <w:hideMark/>
          </w:tcPr>
          <w:p w14:paraId="482DCD8C" w14:textId="77777777" w:rsidR="00D67940" w:rsidRPr="006757BF" w:rsidRDefault="00D67940" w:rsidP="00F60946">
            <w:pPr>
              <w:pStyle w:val="NormalWeb"/>
              <w:jc w:val="center"/>
              <w:rPr>
                <w:sz w:val="18"/>
                <w:szCs w:val="18"/>
              </w:rPr>
            </w:pPr>
            <w:r w:rsidRPr="006757BF">
              <w:rPr>
                <w:sz w:val="18"/>
                <w:szCs w:val="18"/>
              </w:rPr>
              <w:t>6</w:t>
            </w:r>
          </w:p>
        </w:tc>
        <w:tc>
          <w:tcPr>
            <w:tcW w:w="1560" w:type="dxa"/>
            <w:hideMark/>
          </w:tcPr>
          <w:p w14:paraId="20335A4A" w14:textId="77777777" w:rsidR="00D67940" w:rsidRPr="006757BF" w:rsidRDefault="00D67940" w:rsidP="00F60946">
            <w:pPr>
              <w:pStyle w:val="NormalWeb"/>
              <w:jc w:val="center"/>
              <w:rPr>
                <w:sz w:val="18"/>
                <w:szCs w:val="18"/>
              </w:rPr>
            </w:pPr>
            <w:r w:rsidRPr="006757BF">
              <w:rPr>
                <w:sz w:val="18"/>
                <w:szCs w:val="18"/>
              </w:rPr>
              <w:t>11</w:t>
            </w:r>
          </w:p>
        </w:tc>
        <w:tc>
          <w:tcPr>
            <w:tcW w:w="1535" w:type="dxa"/>
            <w:hideMark/>
          </w:tcPr>
          <w:p w14:paraId="6D1B87F8" w14:textId="77777777" w:rsidR="00D67940" w:rsidRPr="006757BF" w:rsidRDefault="00D67940" w:rsidP="00F60946">
            <w:pPr>
              <w:pStyle w:val="NormalWeb"/>
              <w:jc w:val="center"/>
              <w:rPr>
                <w:sz w:val="18"/>
                <w:szCs w:val="18"/>
              </w:rPr>
            </w:pPr>
            <w:r w:rsidRPr="006757BF">
              <w:rPr>
                <w:sz w:val="18"/>
                <w:szCs w:val="18"/>
              </w:rPr>
              <w:t>19</w:t>
            </w:r>
          </w:p>
        </w:tc>
      </w:tr>
      <w:tr w:rsidR="00D67940" w:rsidRPr="006757BF" w14:paraId="58917D1A"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247F3A3D" w14:textId="77777777" w:rsidR="00D67940" w:rsidRPr="006757BF" w:rsidRDefault="00D67940">
            <w:pPr>
              <w:pStyle w:val="NormalWeb"/>
              <w:rPr>
                <w:sz w:val="18"/>
                <w:szCs w:val="18"/>
              </w:rPr>
            </w:pPr>
            <w:r w:rsidRPr="006757BF">
              <w:rPr>
                <w:sz w:val="18"/>
                <w:szCs w:val="18"/>
              </w:rPr>
              <w:t>23B</w:t>
            </w:r>
          </w:p>
        </w:tc>
        <w:tc>
          <w:tcPr>
            <w:tcW w:w="3175" w:type="dxa"/>
            <w:hideMark/>
          </w:tcPr>
          <w:p w14:paraId="3FE9F8B2"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0DF6A9E5" w14:textId="77777777" w:rsidR="00D67940" w:rsidRPr="006757BF" w:rsidRDefault="00D67940" w:rsidP="00F60946">
            <w:pPr>
              <w:pStyle w:val="NormalWeb"/>
              <w:jc w:val="center"/>
              <w:rPr>
                <w:sz w:val="18"/>
                <w:szCs w:val="18"/>
              </w:rPr>
            </w:pPr>
            <w:r w:rsidRPr="006757BF">
              <w:rPr>
                <w:sz w:val="18"/>
                <w:szCs w:val="18"/>
              </w:rPr>
              <w:t>5</w:t>
            </w:r>
          </w:p>
        </w:tc>
        <w:tc>
          <w:tcPr>
            <w:tcW w:w="1417" w:type="dxa"/>
            <w:hideMark/>
          </w:tcPr>
          <w:p w14:paraId="4AE078E1" w14:textId="77777777" w:rsidR="00D67940" w:rsidRPr="006757BF" w:rsidRDefault="00D67940" w:rsidP="00F60946">
            <w:pPr>
              <w:pStyle w:val="NormalWeb"/>
              <w:jc w:val="center"/>
              <w:rPr>
                <w:sz w:val="18"/>
                <w:szCs w:val="18"/>
              </w:rPr>
            </w:pPr>
            <w:r w:rsidRPr="006757BF">
              <w:rPr>
                <w:sz w:val="18"/>
                <w:szCs w:val="18"/>
              </w:rPr>
              <w:t>5</w:t>
            </w:r>
          </w:p>
        </w:tc>
        <w:tc>
          <w:tcPr>
            <w:tcW w:w="1560" w:type="dxa"/>
            <w:hideMark/>
          </w:tcPr>
          <w:p w14:paraId="208A1C8B" w14:textId="77777777" w:rsidR="00D67940" w:rsidRPr="006757BF" w:rsidRDefault="00D67940" w:rsidP="00F60946">
            <w:pPr>
              <w:pStyle w:val="NormalWeb"/>
              <w:jc w:val="center"/>
              <w:rPr>
                <w:sz w:val="18"/>
                <w:szCs w:val="18"/>
              </w:rPr>
            </w:pPr>
            <w:r w:rsidRPr="006757BF">
              <w:rPr>
                <w:sz w:val="18"/>
                <w:szCs w:val="18"/>
              </w:rPr>
              <w:t>8</w:t>
            </w:r>
          </w:p>
        </w:tc>
        <w:tc>
          <w:tcPr>
            <w:tcW w:w="1535" w:type="dxa"/>
            <w:hideMark/>
          </w:tcPr>
          <w:p w14:paraId="6D75BAF0" w14:textId="77777777" w:rsidR="00D67940" w:rsidRPr="006757BF" w:rsidRDefault="00D67940" w:rsidP="00F60946">
            <w:pPr>
              <w:pStyle w:val="NormalWeb"/>
              <w:jc w:val="center"/>
              <w:rPr>
                <w:sz w:val="18"/>
                <w:szCs w:val="18"/>
              </w:rPr>
            </w:pPr>
            <w:r w:rsidRPr="006757BF">
              <w:rPr>
                <w:sz w:val="18"/>
                <w:szCs w:val="18"/>
              </w:rPr>
              <w:t>18</w:t>
            </w:r>
          </w:p>
        </w:tc>
      </w:tr>
      <w:tr w:rsidR="0075217C" w:rsidRPr="006757BF" w14:paraId="25C2890D" w14:textId="77777777" w:rsidTr="00244127">
        <w:trPr>
          <w:trHeight w:val="269"/>
        </w:trPr>
        <w:tc>
          <w:tcPr>
            <w:tcW w:w="0" w:type="auto"/>
            <w:hideMark/>
          </w:tcPr>
          <w:p w14:paraId="60792848" w14:textId="77777777" w:rsidR="00D67940" w:rsidRPr="006757BF" w:rsidRDefault="00D67940">
            <w:pPr>
              <w:pStyle w:val="NormalWeb"/>
              <w:rPr>
                <w:sz w:val="18"/>
                <w:szCs w:val="18"/>
              </w:rPr>
            </w:pPr>
            <w:r w:rsidRPr="006757BF">
              <w:rPr>
                <w:sz w:val="18"/>
                <w:szCs w:val="18"/>
              </w:rPr>
              <w:t>7F</w:t>
            </w:r>
          </w:p>
        </w:tc>
        <w:tc>
          <w:tcPr>
            <w:tcW w:w="3175" w:type="dxa"/>
            <w:hideMark/>
          </w:tcPr>
          <w:p w14:paraId="230B4A32" w14:textId="77777777" w:rsidR="00D67940" w:rsidRPr="006757BF" w:rsidRDefault="00D67940">
            <w:pPr>
              <w:pStyle w:val="NormalWeb"/>
              <w:rPr>
                <w:sz w:val="18"/>
                <w:szCs w:val="18"/>
              </w:rPr>
            </w:pPr>
            <w:r w:rsidRPr="006757BF">
              <w:rPr>
                <w:sz w:val="18"/>
                <w:szCs w:val="18"/>
              </w:rPr>
              <w:t>13vPCV non-7vPCV</w:t>
            </w:r>
          </w:p>
        </w:tc>
        <w:tc>
          <w:tcPr>
            <w:tcW w:w="1701" w:type="dxa"/>
            <w:hideMark/>
          </w:tcPr>
          <w:p w14:paraId="032A1332"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002F0D08" w14:textId="77777777" w:rsidR="00D67940" w:rsidRPr="006757BF" w:rsidRDefault="00D67940" w:rsidP="00F60946">
            <w:pPr>
              <w:pStyle w:val="NormalWeb"/>
              <w:jc w:val="center"/>
              <w:rPr>
                <w:sz w:val="18"/>
                <w:szCs w:val="18"/>
              </w:rPr>
            </w:pPr>
            <w:r w:rsidRPr="006757BF">
              <w:rPr>
                <w:sz w:val="18"/>
                <w:szCs w:val="18"/>
              </w:rPr>
              <w:t>14</w:t>
            </w:r>
          </w:p>
        </w:tc>
        <w:tc>
          <w:tcPr>
            <w:tcW w:w="1560" w:type="dxa"/>
            <w:hideMark/>
          </w:tcPr>
          <w:p w14:paraId="2813914D" w14:textId="77777777" w:rsidR="00D67940" w:rsidRPr="006757BF" w:rsidRDefault="00D67940" w:rsidP="00F60946">
            <w:pPr>
              <w:pStyle w:val="NormalWeb"/>
              <w:jc w:val="center"/>
              <w:rPr>
                <w:sz w:val="18"/>
                <w:szCs w:val="18"/>
              </w:rPr>
            </w:pPr>
            <w:r w:rsidRPr="006757BF">
              <w:rPr>
                <w:sz w:val="18"/>
                <w:szCs w:val="18"/>
              </w:rPr>
              <w:t>-</w:t>
            </w:r>
          </w:p>
        </w:tc>
        <w:tc>
          <w:tcPr>
            <w:tcW w:w="1535" w:type="dxa"/>
            <w:hideMark/>
          </w:tcPr>
          <w:p w14:paraId="11B9F396" w14:textId="77777777" w:rsidR="00D67940" w:rsidRPr="006757BF" w:rsidRDefault="00D67940" w:rsidP="00F60946">
            <w:pPr>
              <w:pStyle w:val="NormalWeb"/>
              <w:jc w:val="center"/>
              <w:rPr>
                <w:sz w:val="18"/>
                <w:szCs w:val="18"/>
              </w:rPr>
            </w:pPr>
            <w:r w:rsidRPr="006757BF">
              <w:rPr>
                <w:sz w:val="18"/>
                <w:szCs w:val="18"/>
              </w:rPr>
              <w:t>14</w:t>
            </w:r>
          </w:p>
        </w:tc>
      </w:tr>
      <w:tr w:rsidR="00D67940" w:rsidRPr="006757BF" w14:paraId="2BAE9EE7"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33107D1B" w14:textId="77777777" w:rsidR="00D67940" w:rsidRPr="006757BF" w:rsidRDefault="00D67940">
            <w:pPr>
              <w:pStyle w:val="NormalWeb"/>
              <w:rPr>
                <w:sz w:val="18"/>
                <w:szCs w:val="18"/>
              </w:rPr>
            </w:pPr>
            <w:r w:rsidRPr="006757BF">
              <w:rPr>
                <w:sz w:val="18"/>
                <w:szCs w:val="18"/>
              </w:rPr>
              <w:t>18A</w:t>
            </w:r>
          </w:p>
        </w:tc>
        <w:tc>
          <w:tcPr>
            <w:tcW w:w="3175" w:type="dxa"/>
            <w:hideMark/>
          </w:tcPr>
          <w:p w14:paraId="1A9C564B"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7AA73AC8"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7C870C0E" w14:textId="77777777" w:rsidR="00D67940" w:rsidRPr="006757BF" w:rsidRDefault="00D67940" w:rsidP="00F60946">
            <w:pPr>
              <w:pStyle w:val="NormalWeb"/>
              <w:jc w:val="center"/>
              <w:rPr>
                <w:sz w:val="18"/>
                <w:szCs w:val="18"/>
              </w:rPr>
            </w:pPr>
            <w:r w:rsidRPr="006757BF">
              <w:rPr>
                <w:sz w:val="18"/>
                <w:szCs w:val="18"/>
              </w:rPr>
              <w:t>11</w:t>
            </w:r>
          </w:p>
        </w:tc>
        <w:tc>
          <w:tcPr>
            <w:tcW w:w="1560" w:type="dxa"/>
            <w:hideMark/>
          </w:tcPr>
          <w:p w14:paraId="63E66999" w14:textId="77777777" w:rsidR="00D67940" w:rsidRPr="006757BF" w:rsidRDefault="00D67940" w:rsidP="00F60946">
            <w:pPr>
              <w:pStyle w:val="NormalWeb"/>
              <w:jc w:val="center"/>
              <w:rPr>
                <w:sz w:val="18"/>
                <w:szCs w:val="18"/>
              </w:rPr>
            </w:pPr>
            <w:r w:rsidRPr="006757BF">
              <w:rPr>
                <w:sz w:val="18"/>
                <w:szCs w:val="18"/>
              </w:rPr>
              <w:t>1</w:t>
            </w:r>
          </w:p>
        </w:tc>
        <w:tc>
          <w:tcPr>
            <w:tcW w:w="1535" w:type="dxa"/>
            <w:hideMark/>
          </w:tcPr>
          <w:p w14:paraId="196DFDCF" w14:textId="77777777" w:rsidR="00D67940" w:rsidRPr="006757BF" w:rsidRDefault="00D67940" w:rsidP="00F60946">
            <w:pPr>
              <w:pStyle w:val="NormalWeb"/>
              <w:jc w:val="center"/>
              <w:rPr>
                <w:sz w:val="18"/>
                <w:szCs w:val="18"/>
              </w:rPr>
            </w:pPr>
            <w:r w:rsidRPr="006757BF">
              <w:rPr>
                <w:sz w:val="18"/>
                <w:szCs w:val="18"/>
              </w:rPr>
              <w:t>12</w:t>
            </w:r>
          </w:p>
        </w:tc>
      </w:tr>
      <w:tr w:rsidR="0075217C" w:rsidRPr="006757BF" w14:paraId="08D64DBE" w14:textId="77777777" w:rsidTr="00244127">
        <w:trPr>
          <w:trHeight w:val="269"/>
        </w:trPr>
        <w:tc>
          <w:tcPr>
            <w:tcW w:w="0" w:type="auto"/>
            <w:hideMark/>
          </w:tcPr>
          <w:p w14:paraId="6512E04D" w14:textId="77777777" w:rsidR="00D67940" w:rsidRPr="006757BF" w:rsidRDefault="00D67940">
            <w:pPr>
              <w:pStyle w:val="NormalWeb"/>
              <w:rPr>
                <w:sz w:val="18"/>
                <w:szCs w:val="18"/>
              </w:rPr>
            </w:pPr>
            <w:r w:rsidRPr="006757BF">
              <w:rPr>
                <w:sz w:val="18"/>
                <w:szCs w:val="18"/>
              </w:rPr>
              <w:t>31</w:t>
            </w:r>
          </w:p>
        </w:tc>
        <w:tc>
          <w:tcPr>
            <w:tcW w:w="3175" w:type="dxa"/>
            <w:hideMark/>
          </w:tcPr>
          <w:p w14:paraId="2033E8C1"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0274F47B"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5BD3C748" w14:textId="77777777" w:rsidR="00D67940" w:rsidRPr="006757BF" w:rsidRDefault="00D67940" w:rsidP="00F60946">
            <w:pPr>
              <w:pStyle w:val="NormalWeb"/>
              <w:jc w:val="center"/>
              <w:rPr>
                <w:sz w:val="18"/>
                <w:szCs w:val="18"/>
              </w:rPr>
            </w:pPr>
            <w:r w:rsidRPr="006757BF">
              <w:rPr>
                <w:sz w:val="18"/>
                <w:szCs w:val="18"/>
              </w:rPr>
              <w:t>6</w:t>
            </w:r>
          </w:p>
        </w:tc>
        <w:tc>
          <w:tcPr>
            <w:tcW w:w="1560" w:type="dxa"/>
            <w:hideMark/>
          </w:tcPr>
          <w:p w14:paraId="669102A0" w14:textId="77777777" w:rsidR="00D67940" w:rsidRPr="006757BF" w:rsidRDefault="00D67940" w:rsidP="00F60946">
            <w:pPr>
              <w:pStyle w:val="NormalWeb"/>
              <w:jc w:val="center"/>
              <w:rPr>
                <w:sz w:val="18"/>
                <w:szCs w:val="18"/>
              </w:rPr>
            </w:pPr>
            <w:r w:rsidRPr="006757BF">
              <w:rPr>
                <w:sz w:val="18"/>
                <w:szCs w:val="18"/>
              </w:rPr>
              <w:t>5</w:t>
            </w:r>
          </w:p>
        </w:tc>
        <w:tc>
          <w:tcPr>
            <w:tcW w:w="1535" w:type="dxa"/>
            <w:hideMark/>
          </w:tcPr>
          <w:p w14:paraId="641EB36D" w14:textId="77777777" w:rsidR="00D67940" w:rsidRPr="006757BF" w:rsidRDefault="00D67940" w:rsidP="00F60946">
            <w:pPr>
              <w:pStyle w:val="NormalWeb"/>
              <w:jc w:val="center"/>
              <w:rPr>
                <w:sz w:val="18"/>
                <w:szCs w:val="18"/>
              </w:rPr>
            </w:pPr>
            <w:r w:rsidRPr="006757BF">
              <w:rPr>
                <w:sz w:val="18"/>
                <w:szCs w:val="18"/>
              </w:rPr>
              <w:t>11</w:t>
            </w:r>
          </w:p>
        </w:tc>
      </w:tr>
      <w:tr w:rsidR="00D67940" w:rsidRPr="006757BF" w14:paraId="62E71B75"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20713024" w14:textId="77777777" w:rsidR="00D67940" w:rsidRPr="006757BF" w:rsidRDefault="00D67940">
            <w:pPr>
              <w:pStyle w:val="NormalWeb"/>
              <w:rPr>
                <w:sz w:val="18"/>
                <w:szCs w:val="18"/>
              </w:rPr>
            </w:pPr>
            <w:r w:rsidRPr="006757BF">
              <w:rPr>
                <w:sz w:val="18"/>
                <w:szCs w:val="18"/>
              </w:rPr>
              <w:t>38</w:t>
            </w:r>
          </w:p>
        </w:tc>
        <w:tc>
          <w:tcPr>
            <w:tcW w:w="3175" w:type="dxa"/>
            <w:hideMark/>
          </w:tcPr>
          <w:p w14:paraId="31509ECF"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7CE93AD8"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1A8373E5" w14:textId="77777777" w:rsidR="00D67940" w:rsidRPr="006757BF" w:rsidRDefault="00D67940" w:rsidP="00F60946">
            <w:pPr>
              <w:pStyle w:val="NormalWeb"/>
              <w:jc w:val="center"/>
              <w:rPr>
                <w:sz w:val="18"/>
                <w:szCs w:val="18"/>
              </w:rPr>
            </w:pPr>
            <w:r w:rsidRPr="006757BF">
              <w:rPr>
                <w:sz w:val="18"/>
                <w:szCs w:val="18"/>
              </w:rPr>
              <w:t>4</w:t>
            </w:r>
          </w:p>
        </w:tc>
        <w:tc>
          <w:tcPr>
            <w:tcW w:w="1560" w:type="dxa"/>
            <w:hideMark/>
          </w:tcPr>
          <w:p w14:paraId="4001E2BF" w14:textId="77777777" w:rsidR="00D67940" w:rsidRPr="006757BF" w:rsidRDefault="00D67940" w:rsidP="00F60946">
            <w:pPr>
              <w:pStyle w:val="NormalWeb"/>
              <w:jc w:val="center"/>
              <w:rPr>
                <w:sz w:val="18"/>
                <w:szCs w:val="18"/>
              </w:rPr>
            </w:pPr>
            <w:r w:rsidRPr="006757BF">
              <w:rPr>
                <w:sz w:val="18"/>
                <w:szCs w:val="18"/>
              </w:rPr>
              <w:t>6</w:t>
            </w:r>
          </w:p>
        </w:tc>
        <w:tc>
          <w:tcPr>
            <w:tcW w:w="1535" w:type="dxa"/>
            <w:hideMark/>
          </w:tcPr>
          <w:p w14:paraId="236488F6" w14:textId="77777777" w:rsidR="00D67940" w:rsidRPr="006757BF" w:rsidRDefault="00D67940" w:rsidP="00F60946">
            <w:pPr>
              <w:pStyle w:val="NormalWeb"/>
              <w:jc w:val="center"/>
              <w:rPr>
                <w:sz w:val="18"/>
                <w:szCs w:val="18"/>
              </w:rPr>
            </w:pPr>
            <w:r w:rsidRPr="006757BF">
              <w:rPr>
                <w:sz w:val="18"/>
                <w:szCs w:val="18"/>
              </w:rPr>
              <w:t>11</w:t>
            </w:r>
          </w:p>
        </w:tc>
      </w:tr>
      <w:tr w:rsidR="0075217C" w:rsidRPr="006757BF" w14:paraId="37F75199" w14:textId="77777777" w:rsidTr="00244127">
        <w:trPr>
          <w:trHeight w:val="269"/>
        </w:trPr>
        <w:tc>
          <w:tcPr>
            <w:tcW w:w="0" w:type="auto"/>
            <w:hideMark/>
          </w:tcPr>
          <w:p w14:paraId="57154C64" w14:textId="77777777" w:rsidR="00D67940" w:rsidRPr="006757BF" w:rsidRDefault="00D67940">
            <w:pPr>
              <w:pStyle w:val="NormalWeb"/>
              <w:rPr>
                <w:sz w:val="18"/>
                <w:szCs w:val="18"/>
              </w:rPr>
            </w:pPr>
            <w:r w:rsidRPr="006757BF">
              <w:rPr>
                <w:sz w:val="18"/>
                <w:szCs w:val="18"/>
              </w:rPr>
              <w:t>12F</w:t>
            </w:r>
          </w:p>
        </w:tc>
        <w:tc>
          <w:tcPr>
            <w:tcW w:w="3175" w:type="dxa"/>
            <w:hideMark/>
          </w:tcPr>
          <w:p w14:paraId="67207FF4"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64D9957F"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0A490B85" w14:textId="77777777" w:rsidR="00D67940" w:rsidRPr="006757BF" w:rsidRDefault="00D67940" w:rsidP="00F60946">
            <w:pPr>
              <w:pStyle w:val="NormalWeb"/>
              <w:jc w:val="center"/>
              <w:rPr>
                <w:sz w:val="18"/>
                <w:szCs w:val="18"/>
              </w:rPr>
            </w:pPr>
            <w:r w:rsidRPr="006757BF">
              <w:rPr>
                <w:sz w:val="18"/>
                <w:szCs w:val="18"/>
              </w:rPr>
              <w:t>10</w:t>
            </w:r>
          </w:p>
        </w:tc>
        <w:tc>
          <w:tcPr>
            <w:tcW w:w="1560" w:type="dxa"/>
            <w:hideMark/>
          </w:tcPr>
          <w:p w14:paraId="2F4BB3C0" w14:textId="77777777" w:rsidR="00D67940" w:rsidRPr="006757BF" w:rsidRDefault="00D67940" w:rsidP="00F60946">
            <w:pPr>
              <w:pStyle w:val="NormalWeb"/>
              <w:jc w:val="center"/>
              <w:rPr>
                <w:sz w:val="18"/>
                <w:szCs w:val="18"/>
              </w:rPr>
            </w:pPr>
            <w:r w:rsidRPr="006757BF">
              <w:rPr>
                <w:sz w:val="18"/>
                <w:szCs w:val="18"/>
              </w:rPr>
              <w:t>1</w:t>
            </w:r>
          </w:p>
        </w:tc>
        <w:tc>
          <w:tcPr>
            <w:tcW w:w="1535" w:type="dxa"/>
            <w:hideMark/>
          </w:tcPr>
          <w:p w14:paraId="063B9CB4" w14:textId="77777777" w:rsidR="00D67940" w:rsidRPr="006757BF" w:rsidRDefault="00D67940" w:rsidP="00F60946">
            <w:pPr>
              <w:pStyle w:val="NormalWeb"/>
              <w:jc w:val="center"/>
              <w:rPr>
                <w:sz w:val="18"/>
                <w:szCs w:val="18"/>
              </w:rPr>
            </w:pPr>
            <w:r w:rsidRPr="006757BF">
              <w:rPr>
                <w:sz w:val="18"/>
                <w:szCs w:val="18"/>
              </w:rPr>
              <w:t>11</w:t>
            </w:r>
          </w:p>
        </w:tc>
      </w:tr>
      <w:tr w:rsidR="00D67940" w:rsidRPr="006757BF" w14:paraId="51B67413"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26023ADE" w14:textId="77777777" w:rsidR="00D67940" w:rsidRPr="006757BF" w:rsidRDefault="00D67940">
            <w:pPr>
              <w:pStyle w:val="NormalWeb"/>
              <w:rPr>
                <w:sz w:val="18"/>
                <w:szCs w:val="18"/>
              </w:rPr>
            </w:pPr>
            <w:r w:rsidRPr="006757BF">
              <w:rPr>
                <w:sz w:val="18"/>
                <w:szCs w:val="18"/>
              </w:rPr>
              <w:t>15C</w:t>
            </w:r>
          </w:p>
        </w:tc>
        <w:tc>
          <w:tcPr>
            <w:tcW w:w="3175" w:type="dxa"/>
            <w:hideMark/>
          </w:tcPr>
          <w:p w14:paraId="3E9919C9"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127F0445" w14:textId="77777777" w:rsidR="00D67940" w:rsidRPr="006757BF" w:rsidRDefault="00D67940" w:rsidP="00F60946">
            <w:pPr>
              <w:pStyle w:val="NormalWeb"/>
              <w:jc w:val="center"/>
              <w:rPr>
                <w:sz w:val="18"/>
                <w:szCs w:val="18"/>
              </w:rPr>
            </w:pPr>
            <w:r w:rsidRPr="006757BF">
              <w:rPr>
                <w:sz w:val="18"/>
                <w:szCs w:val="18"/>
              </w:rPr>
              <w:t>2</w:t>
            </w:r>
          </w:p>
        </w:tc>
        <w:tc>
          <w:tcPr>
            <w:tcW w:w="1417" w:type="dxa"/>
            <w:hideMark/>
          </w:tcPr>
          <w:p w14:paraId="2DD39326" w14:textId="77777777" w:rsidR="00D67940" w:rsidRPr="006757BF" w:rsidRDefault="00D67940" w:rsidP="00F60946">
            <w:pPr>
              <w:pStyle w:val="NormalWeb"/>
              <w:jc w:val="center"/>
              <w:rPr>
                <w:sz w:val="18"/>
                <w:szCs w:val="18"/>
              </w:rPr>
            </w:pPr>
            <w:r w:rsidRPr="006757BF">
              <w:rPr>
                <w:sz w:val="18"/>
                <w:szCs w:val="18"/>
              </w:rPr>
              <w:t>4</w:t>
            </w:r>
          </w:p>
        </w:tc>
        <w:tc>
          <w:tcPr>
            <w:tcW w:w="1560" w:type="dxa"/>
            <w:hideMark/>
          </w:tcPr>
          <w:p w14:paraId="28C0E89B" w14:textId="77777777" w:rsidR="00D67940" w:rsidRPr="006757BF" w:rsidRDefault="00D67940" w:rsidP="00F60946">
            <w:pPr>
              <w:pStyle w:val="NormalWeb"/>
              <w:jc w:val="center"/>
              <w:rPr>
                <w:sz w:val="18"/>
                <w:szCs w:val="18"/>
              </w:rPr>
            </w:pPr>
            <w:r w:rsidRPr="006757BF">
              <w:rPr>
                <w:sz w:val="18"/>
                <w:szCs w:val="18"/>
              </w:rPr>
              <w:t>4</w:t>
            </w:r>
          </w:p>
        </w:tc>
        <w:tc>
          <w:tcPr>
            <w:tcW w:w="1535" w:type="dxa"/>
            <w:hideMark/>
          </w:tcPr>
          <w:p w14:paraId="0BA846F2" w14:textId="77777777" w:rsidR="00D67940" w:rsidRPr="006757BF" w:rsidRDefault="00D67940" w:rsidP="00F60946">
            <w:pPr>
              <w:pStyle w:val="NormalWeb"/>
              <w:jc w:val="center"/>
              <w:rPr>
                <w:sz w:val="18"/>
                <w:szCs w:val="18"/>
              </w:rPr>
            </w:pPr>
            <w:r w:rsidRPr="006757BF">
              <w:rPr>
                <w:sz w:val="18"/>
                <w:szCs w:val="18"/>
              </w:rPr>
              <w:t>10</w:t>
            </w:r>
          </w:p>
        </w:tc>
      </w:tr>
      <w:tr w:rsidR="0075217C" w:rsidRPr="006757BF" w14:paraId="0530BF8B" w14:textId="77777777" w:rsidTr="00244127">
        <w:trPr>
          <w:trHeight w:val="269"/>
        </w:trPr>
        <w:tc>
          <w:tcPr>
            <w:tcW w:w="0" w:type="auto"/>
            <w:hideMark/>
          </w:tcPr>
          <w:p w14:paraId="5F8FE5A7" w14:textId="77777777" w:rsidR="00D67940" w:rsidRPr="006757BF" w:rsidRDefault="00D67940">
            <w:pPr>
              <w:pStyle w:val="NormalWeb"/>
              <w:rPr>
                <w:sz w:val="18"/>
                <w:szCs w:val="18"/>
              </w:rPr>
            </w:pPr>
            <w:r w:rsidRPr="006757BF">
              <w:rPr>
                <w:sz w:val="18"/>
                <w:szCs w:val="18"/>
              </w:rPr>
              <w:t>15B</w:t>
            </w:r>
          </w:p>
        </w:tc>
        <w:tc>
          <w:tcPr>
            <w:tcW w:w="3175" w:type="dxa"/>
            <w:hideMark/>
          </w:tcPr>
          <w:p w14:paraId="2E6A0EF6"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35CCBE4C" w14:textId="77777777" w:rsidR="00D67940" w:rsidRPr="006757BF" w:rsidRDefault="00D67940" w:rsidP="00F60946">
            <w:pPr>
              <w:pStyle w:val="NormalWeb"/>
              <w:jc w:val="center"/>
              <w:rPr>
                <w:sz w:val="18"/>
                <w:szCs w:val="18"/>
              </w:rPr>
            </w:pPr>
            <w:r w:rsidRPr="006757BF">
              <w:rPr>
                <w:sz w:val="18"/>
                <w:szCs w:val="18"/>
              </w:rPr>
              <w:t>2</w:t>
            </w:r>
          </w:p>
        </w:tc>
        <w:tc>
          <w:tcPr>
            <w:tcW w:w="1417" w:type="dxa"/>
            <w:hideMark/>
          </w:tcPr>
          <w:p w14:paraId="0AAD35AA" w14:textId="77777777" w:rsidR="00D67940" w:rsidRPr="006757BF" w:rsidRDefault="00D67940" w:rsidP="00F60946">
            <w:pPr>
              <w:pStyle w:val="NormalWeb"/>
              <w:jc w:val="center"/>
              <w:rPr>
                <w:sz w:val="18"/>
                <w:szCs w:val="18"/>
              </w:rPr>
            </w:pPr>
            <w:r w:rsidRPr="006757BF">
              <w:rPr>
                <w:sz w:val="18"/>
                <w:szCs w:val="18"/>
              </w:rPr>
              <w:t>5</w:t>
            </w:r>
          </w:p>
        </w:tc>
        <w:tc>
          <w:tcPr>
            <w:tcW w:w="1560" w:type="dxa"/>
            <w:hideMark/>
          </w:tcPr>
          <w:p w14:paraId="31F07C3F" w14:textId="77777777" w:rsidR="00D67940" w:rsidRPr="006757BF" w:rsidRDefault="00D67940" w:rsidP="00F60946">
            <w:pPr>
              <w:pStyle w:val="NormalWeb"/>
              <w:jc w:val="center"/>
              <w:rPr>
                <w:sz w:val="18"/>
                <w:szCs w:val="18"/>
              </w:rPr>
            </w:pPr>
            <w:r w:rsidRPr="006757BF">
              <w:rPr>
                <w:sz w:val="18"/>
                <w:szCs w:val="18"/>
              </w:rPr>
              <w:t>2</w:t>
            </w:r>
          </w:p>
        </w:tc>
        <w:tc>
          <w:tcPr>
            <w:tcW w:w="1535" w:type="dxa"/>
            <w:hideMark/>
          </w:tcPr>
          <w:p w14:paraId="71DB4D48" w14:textId="77777777" w:rsidR="00D67940" w:rsidRPr="006757BF" w:rsidRDefault="00D67940" w:rsidP="00F60946">
            <w:pPr>
              <w:pStyle w:val="NormalWeb"/>
              <w:jc w:val="center"/>
              <w:rPr>
                <w:sz w:val="18"/>
                <w:szCs w:val="18"/>
              </w:rPr>
            </w:pPr>
            <w:r w:rsidRPr="006757BF">
              <w:rPr>
                <w:sz w:val="18"/>
                <w:szCs w:val="18"/>
              </w:rPr>
              <w:t>9</w:t>
            </w:r>
          </w:p>
        </w:tc>
      </w:tr>
      <w:tr w:rsidR="00D67940" w:rsidRPr="006757BF" w14:paraId="4C667514"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3A30D8B1" w14:textId="77777777" w:rsidR="00D67940" w:rsidRPr="006757BF" w:rsidRDefault="00D67940">
            <w:pPr>
              <w:pStyle w:val="NormalWeb"/>
              <w:rPr>
                <w:sz w:val="18"/>
                <w:szCs w:val="18"/>
              </w:rPr>
            </w:pPr>
            <w:r w:rsidRPr="006757BF">
              <w:rPr>
                <w:sz w:val="18"/>
                <w:szCs w:val="18"/>
              </w:rPr>
              <w:t>17F</w:t>
            </w:r>
          </w:p>
        </w:tc>
        <w:tc>
          <w:tcPr>
            <w:tcW w:w="3175" w:type="dxa"/>
            <w:hideMark/>
          </w:tcPr>
          <w:p w14:paraId="7EF5C3AE"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3560F20F"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6332E910" w14:textId="77777777" w:rsidR="00D67940" w:rsidRPr="006757BF" w:rsidRDefault="00D67940" w:rsidP="00F60946">
            <w:pPr>
              <w:pStyle w:val="NormalWeb"/>
              <w:jc w:val="center"/>
              <w:rPr>
                <w:sz w:val="18"/>
                <w:szCs w:val="18"/>
              </w:rPr>
            </w:pPr>
            <w:r w:rsidRPr="006757BF">
              <w:rPr>
                <w:sz w:val="18"/>
                <w:szCs w:val="18"/>
              </w:rPr>
              <w:t>5</w:t>
            </w:r>
          </w:p>
        </w:tc>
        <w:tc>
          <w:tcPr>
            <w:tcW w:w="1560" w:type="dxa"/>
            <w:hideMark/>
          </w:tcPr>
          <w:p w14:paraId="3323ECD2" w14:textId="77777777" w:rsidR="00D67940" w:rsidRPr="006757BF" w:rsidRDefault="00D67940" w:rsidP="00F60946">
            <w:pPr>
              <w:pStyle w:val="NormalWeb"/>
              <w:jc w:val="center"/>
              <w:rPr>
                <w:sz w:val="18"/>
                <w:szCs w:val="18"/>
              </w:rPr>
            </w:pPr>
            <w:r w:rsidRPr="006757BF">
              <w:rPr>
                <w:sz w:val="18"/>
                <w:szCs w:val="18"/>
              </w:rPr>
              <w:t>4</w:t>
            </w:r>
          </w:p>
        </w:tc>
        <w:tc>
          <w:tcPr>
            <w:tcW w:w="1535" w:type="dxa"/>
            <w:hideMark/>
          </w:tcPr>
          <w:p w14:paraId="0440FE3F" w14:textId="77777777" w:rsidR="00D67940" w:rsidRPr="006757BF" w:rsidRDefault="00D67940" w:rsidP="00F60946">
            <w:pPr>
              <w:pStyle w:val="NormalWeb"/>
              <w:jc w:val="center"/>
              <w:rPr>
                <w:sz w:val="18"/>
                <w:szCs w:val="18"/>
              </w:rPr>
            </w:pPr>
            <w:r w:rsidRPr="006757BF">
              <w:rPr>
                <w:sz w:val="18"/>
                <w:szCs w:val="18"/>
              </w:rPr>
              <w:t>9</w:t>
            </w:r>
          </w:p>
        </w:tc>
      </w:tr>
      <w:tr w:rsidR="0075217C" w:rsidRPr="006757BF" w14:paraId="3A6B320A" w14:textId="77777777" w:rsidTr="00244127">
        <w:trPr>
          <w:trHeight w:val="269"/>
        </w:trPr>
        <w:tc>
          <w:tcPr>
            <w:tcW w:w="0" w:type="auto"/>
            <w:hideMark/>
          </w:tcPr>
          <w:p w14:paraId="11A650F7" w14:textId="77777777" w:rsidR="00D67940" w:rsidRPr="006757BF" w:rsidRDefault="00D67940">
            <w:pPr>
              <w:pStyle w:val="NormalWeb"/>
              <w:rPr>
                <w:sz w:val="18"/>
                <w:szCs w:val="18"/>
              </w:rPr>
            </w:pPr>
            <w:r w:rsidRPr="006757BF">
              <w:rPr>
                <w:sz w:val="18"/>
                <w:szCs w:val="18"/>
              </w:rPr>
              <w:t>14</w:t>
            </w:r>
          </w:p>
        </w:tc>
        <w:tc>
          <w:tcPr>
            <w:tcW w:w="3175" w:type="dxa"/>
            <w:hideMark/>
          </w:tcPr>
          <w:p w14:paraId="347CDF42" w14:textId="77777777" w:rsidR="00D67940" w:rsidRPr="006757BF" w:rsidRDefault="00D67940">
            <w:pPr>
              <w:pStyle w:val="NormalWeb"/>
              <w:rPr>
                <w:sz w:val="18"/>
                <w:szCs w:val="18"/>
              </w:rPr>
            </w:pPr>
            <w:r w:rsidRPr="006757BF">
              <w:rPr>
                <w:sz w:val="18"/>
                <w:szCs w:val="18"/>
              </w:rPr>
              <w:t>7vPCV</w:t>
            </w:r>
          </w:p>
        </w:tc>
        <w:tc>
          <w:tcPr>
            <w:tcW w:w="1701" w:type="dxa"/>
            <w:hideMark/>
          </w:tcPr>
          <w:p w14:paraId="358DC46A"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1AB4DD65" w14:textId="77777777" w:rsidR="00D67940" w:rsidRPr="006757BF" w:rsidRDefault="00D67940" w:rsidP="00F60946">
            <w:pPr>
              <w:pStyle w:val="NormalWeb"/>
              <w:jc w:val="center"/>
              <w:rPr>
                <w:sz w:val="18"/>
                <w:szCs w:val="18"/>
              </w:rPr>
            </w:pPr>
            <w:r w:rsidRPr="006757BF">
              <w:rPr>
                <w:sz w:val="18"/>
                <w:szCs w:val="18"/>
              </w:rPr>
              <w:t>5</w:t>
            </w:r>
          </w:p>
        </w:tc>
        <w:tc>
          <w:tcPr>
            <w:tcW w:w="1560" w:type="dxa"/>
            <w:hideMark/>
          </w:tcPr>
          <w:p w14:paraId="279E18BA" w14:textId="77777777" w:rsidR="00D67940" w:rsidRPr="006757BF" w:rsidRDefault="00D67940" w:rsidP="00F60946">
            <w:pPr>
              <w:pStyle w:val="NormalWeb"/>
              <w:jc w:val="center"/>
              <w:rPr>
                <w:sz w:val="18"/>
                <w:szCs w:val="18"/>
              </w:rPr>
            </w:pPr>
            <w:r w:rsidRPr="006757BF">
              <w:rPr>
                <w:sz w:val="18"/>
                <w:szCs w:val="18"/>
              </w:rPr>
              <w:t>2</w:t>
            </w:r>
          </w:p>
        </w:tc>
        <w:tc>
          <w:tcPr>
            <w:tcW w:w="1535" w:type="dxa"/>
            <w:hideMark/>
          </w:tcPr>
          <w:p w14:paraId="77275169" w14:textId="77777777" w:rsidR="00D67940" w:rsidRPr="006757BF" w:rsidRDefault="00D67940" w:rsidP="00F60946">
            <w:pPr>
              <w:pStyle w:val="NormalWeb"/>
              <w:jc w:val="center"/>
              <w:rPr>
                <w:sz w:val="18"/>
                <w:szCs w:val="18"/>
              </w:rPr>
            </w:pPr>
            <w:r w:rsidRPr="006757BF">
              <w:rPr>
                <w:sz w:val="18"/>
                <w:szCs w:val="18"/>
              </w:rPr>
              <w:t>7</w:t>
            </w:r>
          </w:p>
        </w:tc>
      </w:tr>
      <w:tr w:rsidR="00D67940" w:rsidRPr="006757BF" w14:paraId="222C23F1"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3D6B7E14" w14:textId="77777777" w:rsidR="00D67940" w:rsidRPr="006757BF" w:rsidRDefault="00D67940">
            <w:pPr>
              <w:pStyle w:val="NormalWeb"/>
              <w:rPr>
                <w:sz w:val="18"/>
                <w:szCs w:val="18"/>
              </w:rPr>
            </w:pPr>
            <w:r w:rsidRPr="006757BF">
              <w:rPr>
                <w:sz w:val="18"/>
                <w:szCs w:val="18"/>
              </w:rPr>
              <w:t>20</w:t>
            </w:r>
          </w:p>
        </w:tc>
        <w:tc>
          <w:tcPr>
            <w:tcW w:w="3175" w:type="dxa"/>
            <w:hideMark/>
          </w:tcPr>
          <w:p w14:paraId="5FD093F0"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5FC853C0"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2341C65E" w14:textId="77777777" w:rsidR="00D67940" w:rsidRPr="006757BF" w:rsidRDefault="00D67940" w:rsidP="00F60946">
            <w:pPr>
              <w:pStyle w:val="NormalWeb"/>
              <w:jc w:val="center"/>
              <w:rPr>
                <w:sz w:val="18"/>
                <w:szCs w:val="18"/>
              </w:rPr>
            </w:pPr>
            <w:r w:rsidRPr="006757BF">
              <w:rPr>
                <w:sz w:val="18"/>
                <w:szCs w:val="18"/>
              </w:rPr>
              <w:t>2</w:t>
            </w:r>
          </w:p>
        </w:tc>
        <w:tc>
          <w:tcPr>
            <w:tcW w:w="1560" w:type="dxa"/>
            <w:hideMark/>
          </w:tcPr>
          <w:p w14:paraId="2D63C0EB" w14:textId="77777777" w:rsidR="00D67940" w:rsidRPr="006757BF" w:rsidRDefault="00D67940" w:rsidP="00F60946">
            <w:pPr>
              <w:pStyle w:val="NormalWeb"/>
              <w:jc w:val="center"/>
              <w:rPr>
                <w:sz w:val="18"/>
                <w:szCs w:val="18"/>
              </w:rPr>
            </w:pPr>
            <w:r w:rsidRPr="006757BF">
              <w:rPr>
                <w:sz w:val="18"/>
                <w:szCs w:val="18"/>
              </w:rPr>
              <w:t>5</w:t>
            </w:r>
          </w:p>
        </w:tc>
        <w:tc>
          <w:tcPr>
            <w:tcW w:w="1535" w:type="dxa"/>
            <w:hideMark/>
          </w:tcPr>
          <w:p w14:paraId="66ECB6C2" w14:textId="77777777" w:rsidR="00D67940" w:rsidRPr="006757BF" w:rsidRDefault="00D67940" w:rsidP="00F60946">
            <w:pPr>
              <w:pStyle w:val="NormalWeb"/>
              <w:jc w:val="center"/>
              <w:rPr>
                <w:sz w:val="18"/>
                <w:szCs w:val="18"/>
              </w:rPr>
            </w:pPr>
            <w:r w:rsidRPr="006757BF">
              <w:rPr>
                <w:sz w:val="18"/>
                <w:szCs w:val="18"/>
              </w:rPr>
              <w:t>7</w:t>
            </w:r>
          </w:p>
        </w:tc>
      </w:tr>
      <w:tr w:rsidR="0075217C" w:rsidRPr="006757BF" w14:paraId="272D08C1" w14:textId="77777777" w:rsidTr="00244127">
        <w:trPr>
          <w:trHeight w:val="269"/>
        </w:trPr>
        <w:tc>
          <w:tcPr>
            <w:tcW w:w="0" w:type="auto"/>
            <w:hideMark/>
          </w:tcPr>
          <w:p w14:paraId="126BAADF" w14:textId="77777777" w:rsidR="00D67940" w:rsidRPr="006757BF" w:rsidRDefault="00D67940">
            <w:pPr>
              <w:pStyle w:val="NormalWeb"/>
              <w:rPr>
                <w:sz w:val="18"/>
                <w:szCs w:val="18"/>
              </w:rPr>
            </w:pPr>
            <w:r w:rsidRPr="006757BF">
              <w:rPr>
                <w:sz w:val="18"/>
                <w:szCs w:val="18"/>
              </w:rPr>
              <w:t>10A</w:t>
            </w:r>
          </w:p>
        </w:tc>
        <w:tc>
          <w:tcPr>
            <w:tcW w:w="3175" w:type="dxa"/>
            <w:hideMark/>
          </w:tcPr>
          <w:p w14:paraId="4786EA14" w14:textId="77777777" w:rsidR="00D67940" w:rsidRPr="006757BF" w:rsidRDefault="00D67940">
            <w:pPr>
              <w:pStyle w:val="NormalWeb"/>
              <w:rPr>
                <w:sz w:val="18"/>
                <w:szCs w:val="18"/>
              </w:rPr>
            </w:pPr>
            <w:r w:rsidRPr="006757BF">
              <w:rPr>
                <w:sz w:val="18"/>
                <w:szCs w:val="18"/>
              </w:rPr>
              <w:t>23vPPV non-13vPCV</w:t>
            </w:r>
          </w:p>
        </w:tc>
        <w:tc>
          <w:tcPr>
            <w:tcW w:w="1701" w:type="dxa"/>
            <w:hideMark/>
          </w:tcPr>
          <w:p w14:paraId="1DCEDC88" w14:textId="77777777" w:rsidR="00D67940" w:rsidRPr="006757BF" w:rsidRDefault="00D67940" w:rsidP="00F60946">
            <w:pPr>
              <w:pStyle w:val="NormalWeb"/>
              <w:jc w:val="center"/>
              <w:rPr>
                <w:sz w:val="18"/>
                <w:szCs w:val="18"/>
              </w:rPr>
            </w:pPr>
            <w:r w:rsidRPr="006757BF">
              <w:rPr>
                <w:sz w:val="18"/>
                <w:szCs w:val="18"/>
              </w:rPr>
              <w:t>2</w:t>
            </w:r>
          </w:p>
        </w:tc>
        <w:tc>
          <w:tcPr>
            <w:tcW w:w="1417" w:type="dxa"/>
            <w:hideMark/>
          </w:tcPr>
          <w:p w14:paraId="23EF0A06" w14:textId="77777777" w:rsidR="00D67940" w:rsidRPr="006757BF" w:rsidRDefault="00D67940" w:rsidP="00F60946">
            <w:pPr>
              <w:pStyle w:val="NormalWeb"/>
              <w:jc w:val="center"/>
              <w:rPr>
                <w:sz w:val="18"/>
                <w:szCs w:val="18"/>
              </w:rPr>
            </w:pPr>
            <w:r w:rsidRPr="006757BF">
              <w:rPr>
                <w:sz w:val="18"/>
                <w:szCs w:val="18"/>
              </w:rPr>
              <w:t>3</w:t>
            </w:r>
          </w:p>
        </w:tc>
        <w:tc>
          <w:tcPr>
            <w:tcW w:w="1560" w:type="dxa"/>
            <w:hideMark/>
          </w:tcPr>
          <w:p w14:paraId="24605FFF" w14:textId="77777777" w:rsidR="00D67940" w:rsidRPr="006757BF" w:rsidRDefault="00D67940" w:rsidP="00F60946">
            <w:pPr>
              <w:pStyle w:val="NormalWeb"/>
              <w:jc w:val="center"/>
              <w:rPr>
                <w:sz w:val="18"/>
                <w:szCs w:val="18"/>
              </w:rPr>
            </w:pPr>
            <w:r w:rsidRPr="006757BF">
              <w:rPr>
                <w:sz w:val="18"/>
                <w:szCs w:val="18"/>
              </w:rPr>
              <w:t>2</w:t>
            </w:r>
          </w:p>
        </w:tc>
        <w:tc>
          <w:tcPr>
            <w:tcW w:w="1535" w:type="dxa"/>
            <w:hideMark/>
          </w:tcPr>
          <w:p w14:paraId="204F8EFB" w14:textId="77777777" w:rsidR="00D67940" w:rsidRPr="006757BF" w:rsidRDefault="00D67940" w:rsidP="00F60946">
            <w:pPr>
              <w:pStyle w:val="NormalWeb"/>
              <w:jc w:val="center"/>
              <w:rPr>
                <w:sz w:val="18"/>
                <w:szCs w:val="18"/>
              </w:rPr>
            </w:pPr>
            <w:r w:rsidRPr="006757BF">
              <w:rPr>
                <w:sz w:val="18"/>
                <w:szCs w:val="18"/>
              </w:rPr>
              <w:t>7</w:t>
            </w:r>
          </w:p>
        </w:tc>
      </w:tr>
      <w:tr w:rsidR="00D67940" w:rsidRPr="006757BF" w14:paraId="3A2C783A"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05B5983A" w14:textId="77777777" w:rsidR="00D67940" w:rsidRPr="006757BF" w:rsidRDefault="00D67940">
            <w:pPr>
              <w:pStyle w:val="NormalWeb"/>
              <w:rPr>
                <w:sz w:val="18"/>
                <w:szCs w:val="18"/>
              </w:rPr>
            </w:pPr>
            <w:r w:rsidRPr="006757BF">
              <w:rPr>
                <w:sz w:val="18"/>
                <w:szCs w:val="18"/>
              </w:rPr>
              <w:t>24</w:t>
            </w:r>
          </w:p>
        </w:tc>
        <w:tc>
          <w:tcPr>
            <w:tcW w:w="3175" w:type="dxa"/>
            <w:hideMark/>
          </w:tcPr>
          <w:p w14:paraId="229DA0D2"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142F512A"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7649668F" w14:textId="77777777" w:rsidR="00D67940" w:rsidRPr="006757BF" w:rsidRDefault="00D67940" w:rsidP="00F60946">
            <w:pPr>
              <w:pStyle w:val="NormalWeb"/>
              <w:jc w:val="center"/>
              <w:rPr>
                <w:sz w:val="18"/>
                <w:szCs w:val="18"/>
              </w:rPr>
            </w:pPr>
            <w:r w:rsidRPr="006757BF">
              <w:rPr>
                <w:sz w:val="18"/>
                <w:szCs w:val="18"/>
              </w:rPr>
              <w:t>3</w:t>
            </w:r>
          </w:p>
        </w:tc>
        <w:tc>
          <w:tcPr>
            <w:tcW w:w="1560" w:type="dxa"/>
            <w:hideMark/>
          </w:tcPr>
          <w:p w14:paraId="78F085E4" w14:textId="77777777" w:rsidR="00D67940" w:rsidRPr="006757BF" w:rsidRDefault="00D67940" w:rsidP="00F60946">
            <w:pPr>
              <w:pStyle w:val="NormalWeb"/>
              <w:jc w:val="center"/>
              <w:rPr>
                <w:sz w:val="18"/>
                <w:szCs w:val="18"/>
              </w:rPr>
            </w:pPr>
            <w:r w:rsidRPr="006757BF">
              <w:rPr>
                <w:sz w:val="18"/>
                <w:szCs w:val="18"/>
              </w:rPr>
              <w:t>2</w:t>
            </w:r>
          </w:p>
        </w:tc>
        <w:tc>
          <w:tcPr>
            <w:tcW w:w="1535" w:type="dxa"/>
            <w:hideMark/>
          </w:tcPr>
          <w:p w14:paraId="3E4D651A" w14:textId="77777777" w:rsidR="00D67940" w:rsidRPr="006757BF" w:rsidRDefault="00D67940" w:rsidP="00F60946">
            <w:pPr>
              <w:pStyle w:val="NormalWeb"/>
              <w:jc w:val="center"/>
              <w:rPr>
                <w:sz w:val="18"/>
                <w:szCs w:val="18"/>
              </w:rPr>
            </w:pPr>
            <w:r w:rsidRPr="006757BF">
              <w:rPr>
                <w:sz w:val="18"/>
                <w:szCs w:val="18"/>
              </w:rPr>
              <w:t>6</w:t>
            </w:r>
          </w:p>
        </w:tc>
      </w:tr>
      <w:tr w:rsidR="0075217C" w:rsidRPr="006757BF" w14:paraId="4039843E" w14:textId="77777777" w:rsidTr="00244127">
        <w:trPr>
          <w:trHeight w:val="269"/>
        </w:trPr>
        <w:tc>
          <w:tcPr>
            <w:tcW w:w="0" w:type="auto"/>
            <w:hideMark/>
          </w:tcPr>
          <w:p w14:paraId="570D247B" w14:textId="77777777" w:rsidR="00D67940" w:rsidRPr="006757BF" w:rsidRDefault="00D67940">
            <w:pPr>
              <w:pStyle w:val="NormalWeb"/>
              <w:rPr>
                <w:sz w:val="18"/>
                <w:szCs w:val="18"/>
              </w:rPr>
            </w:pPr>
            <w:r w:rsidRPr="006757BF">
              <w:rPr>
                <w:sz w:val="18"/>
                <w:szCs w:val="18"/>
              </w:rPr>
              <w:t>35F</w:t>
            </w:r>
          </w:p>
        </w:tc>
        <w:tc>
          <w:tcPr>
            <w:tcW w:w="3175" w:type="dxa"/>
            <w:hideMark/>
          </w:tcPr>
          <w:p w14:paraId="2E3D739A"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0688AA86"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44028669" w14:textId="77777777" w:rsidR="00D67940" w:rsidRPr="006757BF" w:rsidRDefault="00D67940" w:rsidP="00F60946">
            <w:pPr>
              <w:pStyle w:val="NormalWeb"/>
              <w:jc w:val="center"/>
              <w:rPr>
                <w:sz w:val="18"/>
                <w:szCs w:val="18"/>
              </w:rPr>
            </w:pPr>
            <w:r w:rsidRPr="006757BF">
              <w:rPr>
                <w:sz w:val="18"/>
                <w:szCs w:val="18"/>
              </w:rPr>
              <w:t>3</w:t>
            </w:r>
          </w:p>
        </w:tc>
        <w:tc>
          <w:tcPr>
            <w:tcW w:w="1560" w:type="dxa"/>
            <w:hideMark/>
          </w:tcPr>
          <w:p w14:paraId="2FEB38AC" w14:textId="77777777" w:rsidR="00D67940" w:rsidRPr="006757BF" w:rsidRDefault="00D67940" w:rsidP="00F60946">
            <w:pPr>
              <w:pStyle w:val="NormalWeb"/>
              <w:jc w:val="center"/>
              <w:rPr>
                <w:sz w:val="18"/>
                <w:szCs w:val="18"/>
              </w:rPr>
            </w:pPr>
            <w:r w:rsidRPr="006757BF">
              <w:rPr>
                <w:sz w:val="18"/>
                <w:szCs w:val="18"/>
              </w:rPr>
              <w:t>3</w:t>
            </w:r>
          </w:p>
        </w:tc>
        <w:tc>
          <w:tcPr>
            <w:tcW w:w="1535" w:type="dxa"/>
            <w:hideMark/>
          </w:tcPr>
          <w:p w14:paraId="6DE9DFBF" w14:textId="77777777" w:rsidR="00D67940" w:rsidRPr="006757BF" w:rsidRDefault="00D67940" w:rsidP="00F60946">
            <w:pPr>
              <w:pStyle w:val="NormalWeb"/>
              <w:jc w:val="center"/>
              <w:rPr>
                <w:sz w:val="18"/>
                <w:szCs w:val="18"/>
              </w:rPr>
            </w:pPr>
            <w:r w:rsidRPr="006757BF">
              <w:rPr>
                <w:sz w:val="18"/>
                <w:szCs w:val="18"/>
              </w:rPr>
              <w:t>6</w:t>
            </w:r>
          </w:p>
        </w:tc>
      </w:tr>
      <w:tr w:rsidR="00D67940" w:rsidRPr="006757BF" w14:paraId="25F5B9FC"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7993210D" w14:textId="77777777" w:rsidR="00D67940" w:rsidRPr="006757BF" w:rsidRDefault="00D67940">
            <w:pPr>
              <w:pStyle w:val="NormalWeb"/>
              <w:rPr>
                <w:sz w:val="18"/>
                <w:szCs w:val="18"/>
              </w:rPr>
            </w:pPr>
            <w:r w:rsidRPr="006757BF">
              <w:rPr>
                <w:sz w:val="18"/>
                <w:szCs w:val="18"/>
              </w:rPr>
              <w:t>13</w:t>
            </w:r>
          </w:p>
        </w:tc>
        <w:tc>
          <w:tcPr>
            <w:tcW w:w="3175" w:type="dxa"/>
            <w:hideMark/>
          </w:tcPr>
          <w:p w14:paraId="1C67EA75"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599A525C" w14:textId="77777777" w:rsidR="00D67940" w:rsidRPr="006757BF" w:rsidRDefault="00D67940" w:rsidP="00F60946">
            <w:pPr>
              <w:pStyle w:val="NormalWeb"/>
              <w:jc w:val="center"/>
              <w:rPr>
                <w:sz w:val="18"/>
                <w:szCs w:val="18"/>
              </w:rPr>
            </w:pPr>
            <w:r w:rsidRPr="006757BF">
              <w:rPr>
                <w:sz w:val="18"/>
                <w:szCs w:val="18"/>
              </w:rPr>
              <w:t>-</w:t>
            </w:r>
          </w:p>
        </w:tc>
        <w:tc>
          <w:tcPr>
            <w:tcW w:w="1417" w:type="dxa"/>
            <w:hideMark/>
          </w:tcPr>
          <w:p w14:paraId="105674AF" w14:textId="77777777" w:rsidR="00D67940" w:rsidRPr="006757BF" w:rsidRDefault="00D67940" w:rsidP="00F60946">
            <w:pPr>
              <w:pStyle w:val="NormalWeb"/>
              <w:jc w:val="center"/>
              <w:rPr>
                <w:sz w:val="18"/>
                <w:szCs w:val="18"/>
              </w:rPr>
            </w:pPr>
            <w:r w:rsidRPr="006757BF">
              <w:rPr>
                <w:sz w:val="18"/>
                <w:szCs w:val="18"/>
              </w:rPr>
              <w:t>4</w:t>
            </w:r>
          </w:p>
        </w:tc>
        <w:tc>
          <w:tcPr>
            <w:tcW w:w="1560" w:type="dxa"/>
            <w:hideMark/>
          </w:tcPr>
          <w:p w14:paraId="5FC70835" w14:textId="77777777" w:rsidR="00D67940" w:rsidRPr="006757BF" w:rsidRDefault="00D67940" w:rsidP="00F60946">
            <w:pPr>
              <w:pStyle w:val="NormalWeb"/>
              <w:jc w:val="center"/>
              <w:rPr>
                <w:sz w:val="18"/>
                <w:szCs w:val="18"/>
              </w:rPr>
            </w:pPr>
            <w:r w:rsidRPr="006757BF">
              <w:rPr>
                <w:sz w:val="18"/>
                <w:szCs w:val="18"/>
              </w:rPr>
              <w:t>1</w:t>
            </w:r>
          </w:p>
        </w:tc>
        <w:tc>
          <w:tcPr>
            <w:tcW w:w="1535" w:type="dxa"/>
            <w:hideMark/>
          </w:tcPr>
          <w:p w14:paraId="7192C0A7" w14:textId="77777777" w:rsidR="00D67940" w:rsidRPr="006757BF" w:rsidRDefault="00D67940" w:rsidP="00F60946">
            <w:pPr>
              <w:pStyle w:val="NormalWeb"/>
              <w:jc w:val="center"/>
              <w:rPr>
                <w:sz w:val="18"/>
                <w:szCs w:val="18"/>
              </w:rPr>
            </w:pPr>
            <w:r w:rsidRPr="006757BF">
              <w:rPr>
                <w:sz w:val="18"/>
                <w:szCs w:val="18"/>
              </w:rPr>
              <w:t>5</w:t>
            </w:r>
          </w:p>
        </w:tc>
      </w:tr>
      <w:tr w:rsidR="0075217C" w:rsidRPr="006757BF" w14:paraId="0284E015" w14:textId="77777777" w:rsidTr="00244127">
        <w:trPr>
          <w:trHeight w:val="269"/>
        </w:trPr>
        <w:tc>
          <w:tcPr>
            <w:tcW w:w="0" w:type="auto"/>
            <w:hideMark/>
          </w:tcPr>
          <w:p w14:paraId="5EECC100" w14:textId="77777777" w:rsidR="00D67940" w:rsidRPr="006757BF" w:rsidRDefault="00D67940">
            <w:pPr>
              <w:pStyle w:val="NormalWeb"/>
              <w:rPr>
                <w:sz w:val="18"/>
                <w:szCs w:val="18"/>
              </w:rPr>
            </w:pPr>
            <w:r w:rsidRPr="006757BF">
              <w:rPr>
                <w:sz w:val="18"/>
                <w:szCs w:val="18"/>
              </w:rPr>
              <w:t>34</w:t>
            </w:r>
          </w:p>
        </w:tc>
        <w:tc>
          <w:tcPr>
            <w:tcW w:w="3175" w:type="dxa"/>
            <w:hideMark/>
          </w:tcPr>
          <w:p w14:paraId="3BB50FA4" w14:textId="77777777" w:rsidR="00D67940" w:rsidRPr="006757BF" w:rsidRDefault="00D67940">
            <w:pPr>
              <w:pStyle w:val="NormalWeb"/>
              <w:rPr>
                <w:sz w:val="18"/>
                <w:szCs w:val="18"/>
              </w:rPr>
            </w:pPr>
            <w:r w:rsidRPr="006757BF">
              <w:rPr>
                <w:sz w:val="18"/>
                <w:szCs w:val="18"/>
              </w:rPr>
              <w:t>Non-vaccine type</w:t>
            </w:r>
          </w:p>
        </w:tc>
        <w:tc>
          <w:tcPr>
            <w:tcW w:w="1701" w:type="dxa"/>
            <w:hideMark/>
          </w:tcPr>
          <w:p w14:paraId="2C25DCF9" w14:textId="77777777" w:rsidR="00D67940" w:rsidRPr="006757BF" w:rsidRDefault="00D67940" w:rsidP="00F60946">
            <w:pPr>
              <w:pStyle w:val="NormalWeb"/>
              <w:jc w:val="center"/>
              <w:rPr>
                <w:sz w:val="18"/>
                <w:szCs w:val="18"/>
              </w:rPr>
            </w:pPr>
            <w:r w:rsidRPr="006757BF">
              <w:rPr>
                <w:sz w:val="18"/>
                <w:szCs w:val="18"/>
              </w:rPr>
              <w:t>1</w:t>
            </w:r>
          </w:p>
        </w:tc>
        <w:tc>
          <w:tcPr>
            <w:tcW w:w="1417" w:type="dxa"/>
            <w:hideMark/>
          </w:tcPr>
          <w:p w14:paraId="439B007E" w14:textId="77777777" w:rsidR="00D67940" w:rsidRPr="006757BF" w:rsidRDefault="00D67940" w:rsidP="00F60946">
            <w:pPr>
              <w:pStyle w:val="NormalWeb"/>
              <w:jc w:val="center"/>
              <w:rPr>
                <w:sz w:val="18"/>
                <w:szCs w:val="18"/>
              </w:rPr>
            </w:pPr>
            <w:r w:rsidRPr="006757BF">
              <w:rPr>
                <w:sz w:val="18"/>
                <w:szCs w:val="18"/>
              </w:rPr>
              <w:t>3</w:t>
            </w:r>
          </w:p>
        </w:tc>
        <w:tc>
          <w:tcPr>
            <w:tcW w:w="1560" w:type="dxa"/>
            <w:hideMark/>
          </w:tcPr>
          <w:p w14:paraId="2C6EB8EB" w14:textId="77777777" w:rsidR="00D67940" w:rsidRPr="006757BF" w:rsidRDefault="00D67940" w:rsidP="00F60946">
            <w:pPr>
              <w:pStyle w:val="NormalWeb"/>
              <w:jc w:val="center"/>
              <w:rPr>
                <w:sz w:val="18"/>
                <w:szCs w:val="18"/>
              </w:rPr>
            </w:pPr>
            <w:r w:rsidRPr="006757BF">
              <w:rPr>
                <w:sz w:val="18"/>
                <w:szCs w:val="18"/>
              </w:rPr>
              <w:t>1</w:t>
            </w:r>
          </w:p>
        </w:tc>
        <w:tc>
          <w:tcPr>
            <w:tcW w:w="1535" w:type="dxa"/>
            <w:hideMark/>
          </w:tcPr>
          <w:p w14:paraId="2EB8CC5D" w14:textId="77777777" w:rsidR="00D67940" w:rsidRPr="006757BF" w:rsidRDefault="00D67940" w:rsidP="00F60946">
            <w:pPr>
              <w:pStyle w:val="NormalWeb"/>
              <w:jc w:val="center"/>
              <w:rPr>
                <w:sz w:val="18"/>
                <w:szCs w:val="18"/>
              </w:rPr>
            </w:pPr>
            <w:r w:rsidRPr="006757BF">
              <w:rPr>
                <w:sz w:val="18"/>
                <w:szCs w:val="18"/>
              </w:rPr>
              <w:t>5</w:t>
            </w:r>
          </w:p>
        </w:tc>
      </w:tr>
      <w:tr w:rsidR="00D67940" w:rsidRPr="006757BF" w14:paraId="4559FDB5"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hideMark/>
          </w:tcPr>
          <w:p w14:paraId="3E95465E" w14:textId="77777777" w:rsidR="00D67940" w:rsidRPr="006757BF" w:rsidRDefault="00D67940">
            <w:pPr>
              <w:pStyle w:val="NormalWeb"/>
              <w:rPr>
                <w:sz w:val="18"/>
                <w:szCs w:val="18"/>
              </w:rPr>
            </w:pPr>
            <w:r w:rsidRPr="006757BF">
              <w:rPr>
                <w:sz w:val="18"/>
                <w:szCs w:val="18"/>
              </w:rPr>
              <w:t>Other</w:t>
            </w:r>
          </w:p>
        </w:tc>
        <w:tc>
          <w:tcPr>
            <w:tcW w:w="3175" w:type="dxa"/>
            <w:hideMark/>
          </w:tcPr>
          <w:p w14:paraId="7FB95B97" w14:textId="77777777" w:rsidR="00D67940" w:rsidRPr="006757BF" w:rsidRDefault="00D67940">
            <w:pPr>
              <w:pStyle w:val="NormalWeb"/>
              <w:rPr>
                <w:sz w:val="18"/>
                <w:szCs w:val="18"/>
              </w:rPr>
            </w:pPr>
            <w:r w:rsidRPr="006757BF">
              <w:rPr>
                <w:sz w:val="18"/>
                <w:szCs w:val="18"/>
              </w:rPr>
              <w:t>-</w:t>
            </w:r>
          </w:p>
        </w:tc>
        <w:tc>
          <w:tcPr>
            <w:tcW w:w="1701" w:type="dxa"/>
            <w:hideMark/>
          </w:tcPr>
          <w:p w14:paraId="04FB9FBA" w14:textId="77777777" w:rsidR="00D67940" w:rsidRPr="006757BF" w:rsidRDefault="00D67940" w:rsidP="00F60946">
            <w:pPr>
              <w:pStyle w:val="NormalWeb"/>
              <w:jc w:val="center"/>
              <w:rPr>
                <w:sz w:val="18"/>
                <w:szCs w:val="18"/>
              </w:rPr>
            </w:pPr>
            <w:r w:rsidRPr="006757BF">
              <w:rPr>
                <w:sz w:val="18"/>
                <w:szCs w:val="18"/>
              </w:rPr>
              <w:t>3</w:t>
            </w:r>
          </w:p>
        </w:tc>
        <w:tc>
          <w:tcPr>
            <w:tcW w:w="1417" w:type="dxa"/>
            <w:hideMark/>
          </w:tcPr>
          <w:p w14:paraId="442B5D64" w14:textId="77777777" w:rsidR="00D67940" w:rsidRPr="006757BF" w:rsidRDefault="00D67940" w:rsidP="00F60946">
            <w:pPr>
              <w:pStyle w:val="NormalWeb"/>
              <w:jc w:val="center"/>
              <w:rPr>
                <w:sz w:val="18"/>
                <w:szCs w:val="18"/>
              </w:rPr>
            </w:pPr>
            <w:r w:rsidRPr="006757BF">
              <w:rPr>
                <w:sz w:val="18"/>
                <w:szCs w:val="18"/>
              </w:rPr>
              <w:t>22</w:t>
            </w:r>
          </w:p>
        </w:tc>
        <w:tc>
          <w:tcPr>
            <w:tcW w:w="1560" w:type="dxa"/>
            <w:hideMark/>
          </w:tcPr>
          <w:p w14:paraId="4EAA8F5B" w14:textId="77777777" w:rsidR="00D67940" w:rsidRPr="006757BF" w:rsidRDefault="00D67940" w:rsidP="00F60946">
            <w:pPr>
              <w:pStyle w:val="NormalWeb"/>
              <w:jc w:val="center"/>
              <w:rPr>
                <w:sz w:val="18"/>
                <w:szCs w:val="18"/>
              </w:rPr>
            </w:pPr>
            <w:r w:rsidRPr="006757BF">
              <w:rPr>
                <w:sz w:val="18"/>
                <w:szCs w:val="18"/>
              </w:rPr>
              <w:t>11</w:t>
            </w:r>
          </w:p>
        </w:tc>
        <w:tc>
          <w:tcPr>
            <w:tcW w:w="1535" w:type="dxa"/>
            <w:hideMark/>
          </w:tcPr>
          <w:p w14:paraId="004A8196" w14:textId="77777777" w:rsidR="00D67940" w:rsidRPr="006757BF" w:rsidRDefault="00D67940" w:rsidP="00F60946">
            <w:pPr>
              <w:pStyle w:val="NormalWeb"/>
              <w:jc w:val="center"/>
              <w:rPr>
                <w:sz w:val="18"/>
                <w:szCs w:val="18"/>
              </w:rPr>
            </w:pPr>
            <w:r w:rsidRPr="006757BF">
              <w:rPr>
                <w:sz w:val="18"/>
                <w:szCs w:val="18"/>
              </w:rPr>
              <w:t>36</w:t>
            </w:r>
          </w:p>
        </w:tc>
      </w:tr>
      <w:tr w:rsidR="0075217C" w:rsidRPr="006757BF" w14:paraId="4B1E0E2E" w14:textId="77777777" w:rsidTr="00244127">
        <w:trPr>
          <w:trHeight w:val="269"/>
        </w:trPr>
        <w:tc>
          <w:tcPr>
            <w:tcW w:w="0" w:type="auto"/>
            <w:tcBorders>
              <w:bottom w:val="single" w:sz="4" w:space="0" w:color="auto"/>
            </w:tcBorders>
            <w:hideMark/>
          </w:tcPr>
          <w:p w14:paraId="2866D4A9" w14:textId="77777777" w:rsidR="00D67940" w:rsidRPr="006757BF" w:rsidRDefault="00D67940">
            <w:pPr>
              <w:pStyle w:val="NormalWeb"/>
              <w:rPr>
                <w:sz w:val="18"/>
                <w:szCs w:val="18"/>
              </w:rPr>
            </w:pPr>
            <w:r w:rsidRPr="006757BF">
              <w:rPr>
                <w:sz w:val="18"/>
                <w:szCs w:val="18"/>
              </w:rPr>
              <w:t>Unknown</w:t>
            </w:r>
          </w:p>
        </w:tc>
        <w:tc>
          <w:tcPr>
            <w:tcW w:w="3175" w:type="dxa"/>
            <w:tcBorders>
              <w:bottom w:val="single" w:sz="4" w:space="0" w:color="auto"/>
            </w:tcBorders>
            <w:hideMark/>
          </w:tcPr>
          <w:p w14:paraId="0BF91956" w14:textId="77777777" w:rsidR="00D67940" w:rsidRPr="006757BF" w:rsidRDefault="00D67940">
            <w:pPr>
              <w:pStyle w:val="NormalWeb"/>
              <w:rPr>
                <w:sz w:val="18"/>
                <w:szCs w:val="18"/>
              </w:rPr>
            </w:pPr>
            <w:r w:rsidRPr="006757BF">
              <w:rPr>
                <w:sz w:val="18"/>
                <w:szCs w:val="18"/>
              </w:rPr>
              <w:t>-</w:t>
            </w:r>
          </w:p>
        </w:tc>
        <w:tc>
          <w:tcPr>
            <w:tcW w:w="1701" w:type="dxa"/>
            <w:tcBorders>
              <w:bottom w:val="single" w:sz="4" w:space="0" w:color="auto"/>
            </w:tcBorders>
            <w:hideMark/>
          </w:tcPr>
          <w:p w14:paraId="6E4DA5B9" w14:textId="77777777" w:rsidR="00D67940" w:rsidRPr="006757BF" w:rsidRDefault="00D67940" w:rsidP="00F60946">
            <w:pPr>
              <w:pStyle w:val="NormalWeb"/>
              <w:jc w:val="center"/>
              <w:rPr>
                <w:sz w:val="18"/>
                <w:szCs w:val="18"/>
              </w:rPr>
            </w:pPr>
            <w:r w:rsidRPr="006757BF">
              <w:rPr>
                <w:sz w:val="18"/>
                <w:szCs w:val="18"/>
              </w:rPr>
              <w:t>34</w:t>
            </w:r>
          </w:p>
        </w:tc>
        <w:tc>
          <w:tcPr>
            <w:tcW w:w="1417" w:type="dxa"/>
            <w:tcBorders>
              <w:bottom w:val="single" w:sz="4" w:space="0" w:color="auto"/>
            </w:tcBorders>
            <w:hideMark/>
          </w:tcPr>
          <w:p w14:paraId="33DB8DDD" w14:textId="77777777" w:rsidR="00D67940" w:rsidRPr="006757BF" w:rsidRDefault="00D67940" w:rsidP="00F60946">
            <w:pPr>
              <w:pStyle w:val="NormalWeb"/>
              <w:jc w:val="center"/>
              <w:rPr>
                <w:sz w:val="18"/>
                <w:szCs w:val="18"/>
              </w:rPr>
            </w:pPr>
            <w:r w:rsidRPr="006757BF">
              <w:rPr>
                <w:sz w:val="18"/>
                <w:szCs w:val="18"/>
              </w:rPr>
              <w:t>60</w:t>
            </w:r>
          </w:p>
        </w:tc>
        <w:tc>
          <w:tcPr>
            <w:tcW w:w="1560" w:type="dxa"/>
            <w:tcBorders>
              <w:bottom w:val="single" w:sz="4" w:space="0" w:color="auto"/>
            </w:tcBorders>
            <w:hideMark/>
          </w:tcPr>
          <w:p w14:paraId="08DE213E" w14:textId="77777777" w:rsidR="00D67940" w:rsidRPr="006757BF" w:rsidRDefault="00D67940" w:rsidP="00F60946">
            <w:pPr>
              <w:pStyle w:val="NormalWeb"/>
              <w:jc w:val="center"/>
              <w:rPr>
                <w:sz w:val="18"/>
                <w:szCs w:val="18"/>
              </w:rPr>
            </w:pPr>
            <w:r w:rsidRPr="006757BF">
              <w:rPr>
                <w:sz w:val="18"/>
                <w:szCs w:val="18"/>
              </w:rPr>
              <w:t>38</w:t>
            </w:r>
          </w:p>
        </w:tc>
        <w:tc>
          <w:tcPr>
            <w:tcW w:w="1535" w:type="dxa"/>
            <w:tcBorders>
              <w:bottom w:val="single" w:sz="4" w:space="0" w:color="auto"/>
            </w:tcBorders>
            <w:hideMark/>
          </w:tcPr>
          <w:p w14:paraId="4CAE05B7" w14:textId="77777777" w:rsidR="00D67940" w:rsidRPr="006757BF" w:rsidRDefault="00D67940" w:rsidP="00F60946">
            <w:pPr>
              <w:pStyle w:val="NormalWeb"/>
              <w:jc w:val="center"/>
              <w:rPr>
                <w:sz w:val="18"/>
                <w:szCs w:val="18"/>
              </w:rPr>
            </w:pPr>
            <w:r w:rsidRPr="006757BF">
              <w:rPr>
                <w:sz w:val="18"/>
                <w:szCs w:val="18"/>
              </w:rPr>
              <w:t>132</w:t>
            </w:r>
          </w:p>
        </w:tc>
      </w:tr>
      <w:tr w:rsidR="001304E1" w:rsidRPr="006757BF" w14:paraId="58BA9CEB" w14:textId="77777777" w:rsidTr="00244127">
        <w:trPr>
          <w:cnfStyle w:val="000000010000" w:firstRow="0" w:lastRow="0" w:firstColumn="0" w:lastColumn="0" w:oddVBand="0" w:evenVBand="0" w:oddHBand="0" w:evenHBand="1" w:firstRowFirstColumn="0" w:firstRowLastColumn="0" w:lastRowFirstColumn="0" w:lastRowLastColumn="0"/>
          <w:trHeight w:val="269"/>
        </w:trPr>
        <w:tc>
          <w:tcPr>
            <w:tcW w:w="0" w:type="auto"/>
            <w:tcBorders>
              <w:top w:val="single" w:sz="4" w:space="0" w:color="auto"/>
              <w:bottom w:val="single" w:sz="4" w:space="0" w:color="auto"/>
            </w:tcBorders>
            <w:hideMark/>
          </w:tcPr>
          <w:p w14:paraId="5B12C63D" w14:textId="77777777" w:rsidR="00D67940" w:rsidRPr="006757BF" w:rsidRDefault="00D67940">
            <w:pPr>
              <w:pStyle w:val="NormalWeb"/>
              <w:rPr>
                <w:sz w:val="18"/>
                <w:szCs w:val="18"/>
              </w:rPr>
            </w:pPr>
            <w:r w:rsidRPr="006757BF">
              <w:rPr>
                <w:sz w:val="18"/>
                <w:szCs w:val="18"/>
              </w:rPr>
              <w:t>Total</w:t>
            </w:r>
          </w:p>
        </w:tc>
        <w:tc>
          <w:tcPr>
            <w:tcW w:w="3175" w:type="dxa"/>
            <w:tcBorders>
              <w:top w:val="single" w:sz="4" w:space="0" w:color="auto"/>
              <w:bottom w:val="single" w:sz="4" w:space="0" w:color="auto"/>
            </w:tcBorders>
            <w:hideMark/>
          </w:tcPr>
          <w:p w14:paraId="7A4BEF98" w14:textId="77777777" w:rsidR="00D67940" w:rsidRPr="006757BF" w:rsidRDefault="00D67940">
            <w:pPr>
              <w:rPr>
                <w:rFonts w:eastAsia="Times New Roman"/>
                <w:sz w:val="18"/>
                <w:szCs w:val="18"/>
              </w:rPr>
            </w:pPr>
            <w:r w:rsidRPr="006757BF">
              <w:rPr>
                <w:rFonts w:eastAsia="Times New Roman"/>
                <w:sz w:val="18"/>
                <w:szCs w:val="18"/>
              </w:rPr>
              <w:t> </w:t>
            </w:r>
          </w:p>
        </w:tc>
        <w:tc>
          <w:tcPr>
            <w:tcW w:w="1701" w:type="dxa"/>
            <w:tcBorders>
              <w:top w:val="single" w:sz="4" w:space="0" w:color="auto"/>
              <w:bottom w:val="single" w:sz="4" w:space="0" w:color="auto"/>
            </w:tcBorders>
            <w:hideMark/>
          </w:tcPr>
          <w:p w14:paraId="4E338777" w14:textId="77777777" w:rsidR="00D67940" w:rsidRPr="006757BF" w:rsidRDefault="00D67940" w:rsidP="00F60946">
            <w:pPr>
              <w:pStyle w:val="NormalWeb"/>
              <w:jc w:val="center"/>
              <w:rPr>
                <w:sz w:val="18"/>
                <w:szCs w:val="18"/>
              </w:rPr>
            </w:pPr>
            <w:r w:rsidRPr="006757BF">
              <w:rPr>
                <w:sz w:val="18"/>
                <w:szCs w:val="18"/>
              </w:rPr>
              <w:t>97</w:t>
            </w:r>
          </w:p>
        </w:tc>
        <w:tc>
          <w:tcPr>
            <w:tcW w:w="1417" w:type="dxa"/>
            <w:tcBorders>
              <w:top w:val="single" w:sz="4" w:space="0" w:color="auto"/>
              <w:bottom w:val="single" w:sz="4" w:space="0" w:color="auto"/>
            </w:tcBorders>
            <w:hideMark/>
          </w:tcPr>
          <w:p w14:paraId="29E0B3C7" w14:textId="77777777" w:rsidR="00D67940" w:rsidRPr="006757BF" w:rsidRDefault="00D67940" w:rsidP="00F60946">
            <w:pPr>
              <w:pStyle w:val="NormalWeb"/>
              <w:jc w:val="center"/>
              <w:rPr>
                <w:sz w:val="18"/>
                <w:szCs w:val="18"/>
              </w:rPr>
            </w:pPr>
            <w:r w:rsidRPr="006757BF">
              <w:rPr>
                <w:sz w:val="18"/>
                <w:szCs w:val="18"/>
              </w:rPr>
              <w:t>422</w:t>
            </w:r>
          </w:p>
        </w:tc>
        <w:tc>
          <w:tcPr>
            <w:tcW w:w="1560" w:type="dxa"/>
            <w:tcBorders>
              <w:top w:val="single" w:sz="4" w:space="0" w:color="auto"/>
              <w:bottom w:val="single" w:sz="4" w:space="0" w:color="auto"/>
            </w:tcBorders>
            <w:hideMark/>
          </w:tcPr>
          <w:p w14:paraId="2C5DA113" w14:textId="77777777" w:rsidR="00D67940" w:rsidRPr="006757BF" w:rsidRDefault="00D67940" w:rsidP="00F60946">
            <w:pPr>
              <w:pStyle w:val="NormalWeb"/>
              <w:jc w:val="center"/>
              <w:rPr>
                <w:sz w:val="18"/>
                <w:szCs w:val="18"/>
              </w:rPr>
            </w:pPr>
            <w:r w:rsidRPr="006757BF">
              <w:rPr>
                <w:sz w:val="18"/>
                <w:szCs w:val="18"/>
              </w:rPr>
              <w:t>351</w:t>
            </w:r>
          </w:p>
        </w:tc>
        <w:tc>
          <w:tcPr>
            <w:tcW w:w="1535" w:type="dxa"/>
            <w:tcBorders>
              <w:top w:val="single" w:sz="4" w:space="0" w:color="auto"/>
              <w:bottom w:val="single" w:sz="4" w:space="0" w:color="auto"/>
            </w:tcBorders>
            <w:hideMark/>
          </w:tcPr>
          <w:p w14:paraId="1EF93031" w14:textId="77777777" w:rsidR="00D67940" w:rsidRPr="006757BF" w:rsidRDefault="00D67940" w:rsidP="00F60946">
            <w:pPr>
              <w:pStyle w:val="NormalWeb"/>
              <w:jc w:val="center"/>
              <w:rPr>
                <w:sz w:val="18"/>
                <w:szCs w:val="18"/>
              </w:rPr>
            </w:pPr>
            <w:r w:rsidRPr="006757BF">
              <w:rPr>
                <w:sz w:val="18"/>
                <w:szCs w:val="18"/>
              </w:rPr>
              <w:t>870</w:t>
            </w:r>
          </w:p>
        </w:tc>
      </w:tr>
    </w:tbl>
    <w:p w14:paraId="0A22CA67" w14:textId="77777777" w:rsidR="00D67940" w:rsidRPr="0002178D" w:rsidRDefault="00D67940" w:rsidP="0002178D">
      <w:pPr>
        <w:pStyle w:val="CDIfootnotes"/>
      </w:pPr>
      <w:r w:rsidRPr="0002178D">
        <w:t>*</w:t>
      </w:r>
      <w:r w:rsidRPr="0002178D">
        <w:tab/>
        <w:t>Serotypes that only occur in less than 5 cases per quarter are grouped as ‘Other’ and include ‘non-typable’ isolates this quarter.</w:t>
      </w:r>
    </w:p>
    <w:p w14:paraId="73BB7B86" w14:textId="77777777" w:rsidR="00D67940" w:rsidRPr="008D23FE" w:rsidRDefault="00D67940" w:rsidP="008D23FE">
      <w:pPr>
        <w:pStyle w:val="CDIfootnotes"/>
      </w:pPr>
      <w:r w:rsidRPr="008D23FE">
        <w:t>†</w:t>
      </w:r>
      <w:r w:rsidRPr="008D23FE">
        <w:tab/>
        <w:t>‘Serotype unknown’ includes those serotypes reported as ‘no isolate’, ‘not referred’, ‘not viable’, ‘typing pending’ and ‘untyped’.</w:t>
      </w:r>
    </w:p>
    <w:p w14:paraId="7A7EC707" w14:textId="77777777" w:rsidR="00D67940" w:rsidRPr="008C7827" w:rsidRDefault="00D67940" w:rsidP="008C7827">
      <w:pPr>
        <w:pStyle w:val="CDIFigures"/>
      </w:pPr>
      <w:r w:rsidRPr="008C7827">
        <w:lastRenderedPageBreak/>
        <w:t>Table 3: Notified cases of invasive pneumococcal disease, Australia, 1 July to 30 September 2017, by Indigenous status and age group</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is table shows the number of IPD cases by Indigenous status and age group for the quarter. In the current reporting quarter, 11% of IPD cases were reported as Indigenous, 75% of cases were reported as non-Indigenous and 14% did not have Indigenous status reported."/>
      </w:tblPr>
      <w:tblGrid>
        <w:gridCol w:w="3969"/>
        <w:gridCol w:w="1843"/>
        <w:gridCol w:w="1843"/>
        <w:gridCol w:w="1843"/>
        <w:gridCol w:w="968"/>
      </w:tblGrid>
      <w:tr w:rsidR="00D67940" w:rsidRPr="00ED7FBD" w14:paraId="47DB17AB" w14:textId="77777777" w:rsidTr="004B1AA0">
        <w:trPr>
          <w:cnfStyle w:val="100000000000" w:firstRow="1" w:lastRow="0" w:firstColumn="0" w:lastColumn="0" w:oddVBand="0" w:evenVBand="0" w:oddHBand="0" w:evenHBand="0" w:firstRowFirstColumn="0" w:firstRowLastColumn="0" w:lastRowFirstColumn="0" w:lastRowLastColumn="0"/>
          <w:tblHeader/>
        </w:trPr>
        <w:tc>
          <w:tcPr>
            <w:tcW w:w="3969" w:type="dxa"/>
            <w:vMerge w:val="restart"/>
            <w:hideMark/>
          </w:tcPr>
          <w:p w14:paraId="6CA6416A" w14:textId="77777777" w:rsidR="00D67940" w:rsidRPr="00ED7FBD" w:rsidRDefault="00D67940">
            <w:pPr>
              <w:pStyle w:val="NormalWeb"/>
              <w:rPr>
                <w:color w:val="FFFFFF" w:themeColor="background1"/>
                <w:sz w:val="18"/>
                <w:szCs w:val="18"/>
              </w:rPr>
            </w:pPr>
            <w:r w:rsidRPr="00ED7FBD">
              <w:rPr>
                <w:color w:val="FFFFFF" w:themeColor="background1"/>
                <w:sz w:val="18"/>
                <w:szCs w:val="18"/>
              </w:rPr>
              <w:t>Age group</w:t>
            </w:r>
          </w:p>
        </w:tc>
        <w:tc>
          <w:tcPr>
            <w:tcW w:w="5529" w:type="dxa"/>
            <w:gridSpan w:val="3"/>
            <w:hideMark/>
          </w:tcPr>
          <w:p w14:paraId="412872AC" w14:textId="77777777" w:rsidR="00D67940" w:rsidRPr="00ED7FBD" w:rsidRDefault="00D67940" w:rsidP="003174EC">
            <w:pPr>
              <w:pStyle w:val="NormalWeb"/>
              <w:jc w:val="center"/>
              <w:rPr>
                <w:color w:val="FFFFFF" w:themeColor="background1"/>
                <w:sz w:val="18"/>
                <w:szCs w:val="18"/>
              </w:rPr>
            </w:pPr>
            <w:r w:rsidRPr="00ED7FBD">
              <w:rPr>
                <w:color w:val="FFFFFF" w:themeColor="background1"/>
                <w:sz w:val="18"/>
                <w:szCs w:val="18"/>
              </w:rPr>
              <w:t>Indigenous status</w:t>
            </w:r>
          </w:p>
        </w:tc>
        <w:tc>
          <w:tcPr>
            <w:tcW w:w="968" w:type="dxa"/>
            <w:vMerge w:val="restart"/>
            <w:hideMark/>
          </w:tcPr>
          <w:p w14:paraId="47C4115E" w14:textId="77777777" w:rsidR="00D67940" w:rsidRPr="00ED7FBD" w:rsidRDefault="00D67940" w:rsidP="003174EC">
            <w:pPr>
              <w:pStyle w:val="NormalWeb"/>
              <w:jc w:val="center"/>
              <w:rPr>
                <w:color w:val="FFFFFF" w:themeColor="background1"/>
                <w:sz w:val="18"/>
                <w:szCs w:val="18"/>
              </w:rPr>
            </w:pPr>
            <w:r w:rsidRPr="00ED7FBD">
              <w:rPr>
                <w:color w:val="FFFFFF" w:themeColor="background1"/>
                <w:sz w:val="18"/>
                <w:szCs w:val="18"/>
              </w:rPr>
              <w:t>Total</w:t>
            </w:r>
          </w:p>
        </w:tc>
      </w:tr>
      <w:tr w:rsidR="00D67940" w:rsidRPr="00ED7FBD" w14:paraId="422DEE33" w14:textId="77777777" w:rsidTr="004B1AA0">
        <w:trPr>
          <w:cnfStyle w:val="100000000000" w:firstRow="1" w:lastRow="0" w:firstColumn="0" w:lastColumn="0" w:oddVBand="0" w:evenVBand="0" w:oddHBand="0" w:evenHBand="0" w:firstRowFirstColumn="0" w:firstRowLastColumn="0" w:lastRowFirstColumn="0" w:lastRowLastColumn="0"/>
          <w:tblHeader/>
        </w:trPr>
        <w:tc>
          <w:tcPr>
            <w:tcW w:w="3969" w:type="dxa"/>
            <w:vMerge/>
            <w:hideMark/>
          </w:tcPr>
          <w:p w14:paraId="3B27D0C4" w14:textId="77777777" w:rsidR="00D67940" w:rsidRPr="00ED7FBD" w:rsidRDefault="00D67940">
            <w:pPr>
              <w:rPr>
                <w:color w:val="FFFFFF" w:themeColor="background1"/>
                <w:sz w:val="18"/>
                <w:szCs w:val="18"/>
              </w:rPr>
            </w:pPr>
          </w:p>
        </w:tc>
        <w:tc>
          <w:tcPr>
            <w:tcW w:w="1843" w:type="dxa"/>
            <w:hideMark/>
          </w:tcPr>
          <w:p w14:paraId="0180BA49" w14:textId="77777777" w:rsidR="00D67940" w:rsidRPr="00ED7FBD" w:rsidRDefault="00D67940" w:rsidP="003174EC">
            <w:pPr>
              <w:pStyle w:val="NormalWeb"/>
              <w:jc w:val="center"/>
              <w:rPr>
                <w:color w:val="FFFFFF" w:themeColor="background1"/>
                <w:sz w:val="18"/>
                <w:szCs w:val="18"/>
              </w:rPr>
            </w:pPr>
            <w:r w:rsidRPr="00ED7FBD">
              <w:rPr>
                <w:color w:val="FFFFFF" w:themeColor="background1"/>
                <w:sz w:val="18"/>
                <w:szCs w:val="18"/>
              </w:rPr>
              <w:t>Indigenous</w:t>
            </w:r>
          </w:p>
        </w:tc>
        <w:tc>
          <w:tcPr>
            <w:tcW w:w="1843" w:type="dxa"/>
            <w:hideMark/>
          </w:tcPr>
          <w:p w14:paraId="42773625" w14:textId="77777777" w:rsidR="00D67940" w:rsidRPr="00ED7FBD" w:rsidRDefault="00D67940" w:rsidP="003174EC">
            <w:pPr>
              <w:pStyle w:val="NormalWeb"/>
              <w:jc w:val="center"/>
              <w:rPr>
                <w:color w:val="FFFFFF" w:themeColor="background1"/>
                <w:sz w:val="18"/>
                <w:szCs w:val="18"/>
              </w:rPr>
            </w:pPr>
            <w:r w:rsidRPr="00ED7FBD">
              <w:rPr>
                <w:color w:val="FFFFFF" w:themeColor="background1"/>
                <w:sz w:val="18"/>
                <w:szCs w:val="18"/>
              </w:rPr>
              <w:t>Non-Indigenous</w:t>
            </w:r>
          </w:p>
        </w:tc>
        <w:tc>
          <w:tcPr>
            <w:tcW w:w="1843" w:type="dxa"/>
            <w:hideMark/>
          </w:tcPr>
          <w:p w14:paraId="7265090C" w14:textId="77777777" w:rsidR="00D67940" w:rsidRPr="00ED7FBD" w:rsidRDefault="00D67940" w:rsidP="003174EC">
            <w:pPr>
              <w:pStyle w:val="NormalWeb"/>
              <w:jc w:val="center"/>
              <w:rPr>
                <w:color w:val="FFFFFF" w:themeColor="background1"/>
                <w:sz w:val="18"/>
                <w:szCs w:val="18"/>
              </w:rPr>
            </w:pPr>
            <w:r w:rsidRPr="00ED7FBD">
              <w:rPr>
                <w:color w:val="FFFFFF" w:themeColor="background1"/>
                <w:sz w:val="18"/>
                <w:szCs w:val="18"/>
              </w:rPr>
              <w:t>Not reported</w:t>
            </w:r>
            <w:r w:rsidRPr="00ED7FBD">
              <w:rPr>
                <w:color w:val="FFFFFF" w:themeColor="background1"/>
                <w:sz w:val="18"/>
                <w:szCs w:val="18"/>
                <w:vertAlign w:val="superscript"/>
              </w:rPr>
              <w:t>*</w:t>
            </w:r>
          </w:p>
        </w:tc>
        <w:tc>
          <w:tcPr>
            <w:tcW w:w="968" w:type="dxa"/>
            <w:vMerge/>
            <w:hideMark/>
          </w:tcPr>
          <w:p w14:paraId="29191456" w14:textId="77777777" w:rsidR="00D67940" w:rsidRPr="00ED7FBD" w:rsidRDefault="00D67940" w:rsidP="003174EC">
            <w:pPr>
              <w:jc w:val="center"/>
              <w:rPr>
                <w:sz w:val="18"/>
                <w:szCs w:val="18"/>
              </w:rPr>
            </w:pPr>
          </w:p>
        </w:tc>
      </w:tr>
      <w:tr w:rsidR="006858F7" w:rsidRPr="00ED7FBD" w14:paraId="1840C678" w14:textId="77777777" w:rsidTr="004B1AA0">
        <w:tc>
          <w:tcPr>
            <w:tcW w:w="3969" w:type="dxa"/>
            <w:hideMark/>
          </w:tcPr>
          <w:p w14:paraId="7717F4E3" w14:textId="77777777" w:rsidR="00D67940" w:rsidRPr="00ED7FBD" w:rsidRDefault="00D67940">
            <w:pPr>
              <w:pStyle w:val="NormalWeb"/>
              <w:rPr>
                <w:sz w:val="18"/>
                <w:szCs w:val="18"/>
              </w:rPr>
            </w:pPr>
            <w:r w:rsidRPr="00ED7FBD">
              <w:rPr>
                <w:sz w:val="18"/>
                <w:szCs w:val="18"/>
              </w:rPr>
              <w:t>00–04</w:t>
            </w:r>
          </w:p>
        </w:tc>
        <w:tc>
          <w:tcPr>
            <w:tcW w:w="1843" w:type="dxa"/>
            <w:hideMark/>
          </w:tcPr>
          <w:p w14:paraId="6D1AAAEA" w14:textId="77777777" w:rsidR="00D67940" w:rsidRPr="00ED7FBD" w:rsidRDefault="00D67940" w:rsidP="003174EC">
            <w:pPr>
              <w:pStyle w:val="NormalWeb"/>
              <w:jc w:val="center"/>
              <w:rPr>
                <w:sz w:val="18"/>
                <w:szCs w:val="18"/>
              </w:rPr>
            </w:pPr>
            <w:r w:rsidRPr="00ED7FBD">
              <w:rPr>
                <w:sz w:val="18"/>
                <w:szCs w:val="18"/>
              </w:rPr>
              <w:t>4</w:t>
            </w:r>
          </w:p>
        </w:tc>
        <w:tc>
          <w:tcPr>
            <w:tcW w:w="1843" w:type="dxa"/>
            <w:hideMark/>
          </w:tcPr>
          <w:p w14:paraId="331BB5FD" w14:textId="77777777" w:rsidR="00D67940" w:rsidRPr="00ED7FBD" w:rsidRDefault="00D67940" w:rsidP="003174EC">
            <w:pPr>
              <w:pStyle w:val="NormalWeb"/>
              <w:jc w:val="center"/>
              <w:rPr>
                <w:sz w:val="18"/>
                <w:szCs w:val="18"/>
              </w:rPr>
            </w:pPr>
            <w:r w:rsidRPr="00ED7FBD">
              <w:rPr>
                <w:sz w:val="18"/>
                <w:szCs w:val="18"/>
              </w:rPr>
              <w:t>91</w:t>
            </w:r>
          </w:p>
        </w:tc>
        <w:tc>
          <w:tcPr>
            <w:tcW w:w="1843" w:type="dxa"/>
            <w:hideMark/>
          </w:tcPr>
          <w:p w14:paraId="492182CD" w14:textId="77777777" w:rsidR="00D67940" w:rsidRPr="00ED7FBD" w:rsidRDefault="00D67940" w:rsidP="003174EC">
            <w:pPr>
              <w:pStyle w:val="NormalWeb"/>
              <w:jc w:val="center"/>
              <w:rPr>
                <w:sz w:val="18"/>
                <w:szCs w:val="18"/>
              </w:rPr>
            </w:pPr>
            <w:r w:rsidRPr="00ED7FBD">
              <w:rPr>
                <w:sz w:val="18"/>
                <w:szCs w:val="18"/>
              </w:rPr>
              <w:t>2</w:t>
            </w:r>
          </w:p>
        </w:tc>
        <w:tc>
          <w:tcPr>
            <w:tcW w:w="968" w:type="dxa"/>
            <w:hideMark/>
          </w:tcPr>
          <w:p w14:paraId="25A3CEC9" w14:textId="77777777" w:rsidR="00D67940" w:rsidRPr="00ED7FBD" w:rsidRDefault="00D67940" w:rsidP="003174EC">
            <w:pPr>
              <w:pStyle w:val="NormalWeb"/>
              <w:jc w:val="center"/>
              <w:rPr>
                <w:sz w:val="18"/>
                <w:szCs w:val="18"/>
              </w:rPr>
            </w:pPr>
            <w:r w:rsidRPr="00ED7FBD">
              <w:rPr>
                <w:sz w:val="18"/>
                <w:szCs w:val="18"/>
              </w:rPr>
              <w:t>97</w:t>
            </w:r>
          </w:p>
        </w:tc>
      </w:tr>
      <w:tr w:rsidR="00D67940" w:rsidRPr="00ED7FBD" w14:paraId="2171EA6F"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080AAE15" w14:textId="77777777" w:rsidR="00D67940" w:rsidRPr="00ED7FBD" w:rsidRDefault="00D67940">
            <w:pPr>
              <w:pStyle w:val="NormalWeb"/>
              <w:rPr>
                <w:sz w:val="18"/>
                <w:szCs w:val="18"/>
              </w:rPr>
            </w:pPr>
            <w:r w:rsidRPr="00ED7FBD">
              <w:rPr>
                <w:sz w:val="18"/>
                <w:szCs w:val="18"/>
              </w:rPr>
              <w:t>05–09</w:t>
            </w:r>
          </w:p>
        </w:tc>
        <w:tc>
          <w:tcPr>
            <w:tcW w:w="1843" w:type="dxa"/>
            <w:hideMark/>
          </w:tcPr>
          <w:p w14:paraId="1CC50FDB" w14:textId="77777777" w:rsidR="00D67940" w:rsidRPr="00ED7FBD" w:rsidRDefault="00D67940" w:rsidP="003174EC">
            <w:pPr>
              <w:pStyle w:val="NormalWeb"/>
              <w:jc w:val="center"/>
              <w:rPr>
                <w:sz w:val="18"/>
                <w:szCs w:val="18"/>
              </w:rPr>
            </w:pPr>
            <w:r w:rsidRPr="00ED7FBD">
              <w:rPr>
                <w:sz w:val="18"/>
                <w:szCs w:val="18"/>
              </w:rPr>
              <w:t>2</w:t>
            </w:r>
          </w:p>
        </w:tc>
        <w:tc>
          <w:tcPr>
            <w:tcW w:w="1843" w:type="dxa"/>
            <w:hideMark/>
          </w:tcPr>
          <w:p w14:paraId="4EFE0F30" w14:textId="77777777" w:rsidR="00D67940" w:rsidRPr="00ED7FBD" w:rsidRDefault="00D67940" w:rsidP="003174EC">
            <w:pPr>
              <w:pStyle w:val="NormalWeb"/>
              <w:jc w:val="center"/>
              <w:rPr>
                <w:sz w:val="18"/>
                <w:szCs w:val="18"/>
              </w:rPr>
            </w:pPr>
            <w:r w:rsidRPr="00ED7FBD">
              <w:rPr>
                <w:sz w:val="18"/>
                <w:szCs w:val="18"/>
              </w:rPr>
              <w:t>19</w:t>
            </w:r>
          </w:p>
        </w:tc>
        <w:tc>
          <w:tcPr>
            <w:tcW w:w="1843" w:type="dxa"/>
            <w:hideMark/>
          </w:tcPr>
          <w:p w14:paraId="03997AFC" w14:textId="77777777" w:rsidR="00D67940" w:rsidRPr="00ED7FBD" w:rsidRDefault="00D67940" w:rsidP="003174EC">
            <w:pPr>
              <w:pStyle w:val="NormalWeb"/>
              <w:jc w:val="center"/>
              <w:rPr>
                <w:sz w:val="18"/>
                <w:szCs w:val="18"/>
              </w:rPr>
            </w:pPr>
            <w:r w:rsidRPr="00ED7FBD">
              <w:rPr>
                <w:sz w:val="18"/>
                <w:szCs w:val="18"/>
              </w:rPr>
              <w:t>5</w:t>
            </w:r>
          </w:p>
        </w:tc>
        <w:tc>
          <w:tcPr>
            <w:tcW w:w="968" w:type="dxa"/>
            <w:hideMark/>
          </w:tcPr>
          <w:p w14:paraId="320FC128" w14:textId="77777777" w:rsidR="00D67940" w:rsidRPr="00ED7FBD" w:rsidRDefault="00D67940" w:rsidP="003174EC">
            <w:pPr>
              <w:pStyle w:val="NormalWeb"/>
              <w:jc w:val="center"/>
              <w:rPr>
                <w:sz w:val="18"/>
                <w:szCs w:val="18"/>
              </w:rPr>
            </w:pPr>
            <w:r w:rsidRPr="00ED7FBD">
              <w:rPr>
                <w:sz w:val="18"/>
                <w:szCs w:val="18"/>
              </w:rPr>
              <w:t>26</w:t>
            </w:r>
          </w:p>
        </w:tc>
      </w:tr>
      <w:tr w:rsidR="006858F7" w:rsidRPr="00ED7FBD" w14:paraId="03D697FA" w14:textId="77777777" w:rsidTr="004B1AA0">
        <w:tc>
          <w:tcPr>
            <w:tcW w:w="3969" w:type="dxa"/>
            <w:hideMark/>
          </w:tcPr>
          <w:p w14:paraId="2A3B6211" w14:textId="77777777" w:rsidR="00D67940" w:rsidRPr="00ED7FBD" w:rsidRDefault="00D67940">
            <w:pPr>
              <w:pStyle w:val="NormalWeb"/>
              <w:rPr>
                <w:sz w:val="18"/>
                <w:szCs w:val="18"/>
              </w:rPr>
            </w:pPr>
            <w:r w:rsidRPr="00ED7FBD">
              <w:rPr>
                <w:sz w:val="18"/>
                <w:szCs w:val="18"/>
              </w:rPr>
              <w:t>10–14</w:t>
            </w:r>
          </w:p>
        </w:tc>
        <w:tc>
          <w:tcPr>
            <w:tcW w:w="1843" w:type="dxa"/>
            <w:hideMark/>
          </w:tcPr>
          <w:p w14:paraId="432DF36D" w14:textId="77777777" w:rsidR="00D67940" w:rsidRPr="00ED7FBD" w:rsidRDefault="00D67940" w:rsidP="003174EC">
            <w:pPr>
              <w:pStyle w:val="NormalWeb"/>
              <w:jc w:val="center"/>
              <w:rPr>
                <w:sz w:val="18"/>
                <w:szCs w:val="18"/>
              </w:rPr>
            </w:pPr>
            <w:r w:rsidRPr="00ED7FBD">
              <w:rPr>
                <w:sz w:val="18"/>
                <w:szCs w:val="18"/>
              </w:rPr>
              <w:t>5</w:t>
            </w:r>
          </w:p>
        </w:tc>
        <w:tc>
          <w:tcPr>
            <w:tcW w:w="1843" w:type="dxa"/>
            <w:hideMark/>
          </w:tcPr>
          <w:p w14:paraId="54E080DA" w14:textId="77777777" w:rsidR="00D67940" w:rsidRPr="00ED7FBD" w:rsidRDefault="00D67940" w:rsidP="003174EC">
            <w:pPr>
              <w:pStyle w:val="NormalWeb"/>
              <w:jc w:val="center"/>
              <w:rPr>
                <w:sz w:val="18"/>
                <w:szCs w:val="18"/>
              </w:rPr>
            </w:pPr>
            <w:r w:rsidRPr="00ED7FBD">
              <w:rPr>
                <w:sz w:val="18"/>
                <w:szCs w:val="18"/>
              </w:rPr>
              <w:t>3</w:t>
            </w:r>
          </w:p>
        </w:tc>
        <w:tc>
          <w:tcPr>
            <w:tcW w:w="1843" w:type="dxa"/>
            <w:hideMark/>
          </w:tcPr>
          <w:p w14:paraId="43BC0662" w14:textId="77777777" w:rsidR="00D67940" w:rsidRPr="00ED7FBD" w:rsidRDefault="00D67940" w:rsidP="003174EC">
            <w:pPr>
              <w:pStyle w:val="NormalWeb"/>
              <w:jc w:val="center"/>
              <w:rPr>
                <w:sz w:val="18"/>
                <w:szCs w:val="18"/>
              </w:rPr>
            </w:pPr>
            <w:r w:rsidRPr="00ED7FBD">
              <w:rPr>
                <w:sz w:val="18"/>
                <w:szCs w:val="18"/>
              </w:rPr>
              <w:t>6</w:t>
            </w:r>
          </w:p>
        </w:tc>
        <w:tc>
          <w:tcPr>
            <w:tcW w:w="968" w:type="dxa"/>
            <w:hideMark/>
          </w:tcPr>
          <w:p w14:paraId="1F4DB99E" w14:textId="77777777" w:rsidR="00D67940" w:rsidRPr="00ED7FBD" w:rsidRDefault="00D67940" w:rsidP="003174EC">
            <w:pPr>
              <w:pStyle w:val="NormalWeb"/>
              <w:jc w:val="center"/>
              <w:rPr>
                <w:sz w:val="18"/>
                <w:szCs w:val="18"/>
              </w:rPr>
            </w:pPr>
            <w:r w:rsidRPr="00ED7FBD">
              <w:rPr>
                <w:sz w:val="18"/>
                <w:szCs w:val="18"/>
              </w:rPr>
              <w:t>14</w:t>
            </w:r>
          </w:p>
        </w:tc>
      </w:tr>
      <w:tr w:rsidR="00D67940" w:rsidRPr="00ED7FBD" w14:paraId="39358F64"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5A91006D" w14:textId="77777777" w:rsidR="00D67940" w:rsidRPr="00ED7FBD" w:rsidRDefault="00D67940">
            <w:pPr>
              <w:pStyle w:val="NormalWeb"/>
              <w:rPr>
                <w:sz w:val="18"/>
                <w:szCs w:val="18"/>
              </w:rPr>
            </w:pPr>
            <w:r w:rsidRPr="00ED7FBD">
              <w:rPr>
                <w:sz w:val="18"/>
                <w:szCs w:val="18"/>
              </w:rPr>
              <w:t>15–19</w:t>
            </w:r>
          </w:p>
        </w:tc>
        <w:tc>
          <w:tcPr>
            <w:tcW w:w="1843" w:type="dxa"/>
            <w:hideMark/>
          </w:tcPr>
          <w:p w14:paraId="07CA2EB1" w14:textId="77777777" w:rsidR="00D67940" w:rsidRPr="00ED7FBD" w:rsidRDefault="00D67940" w:rsidP="003174EC">
            <w:pPr>
              <w:pStyle w:val="NormalWeb"/>
              <w:jc w:val="center"/>
              <w:rPr>
                <w:sz w:val="18"/>
                <w:szCs w:val="18"/>
              </w:rPr>
            </w:pPr>
            <w:r w:rsidRPr="00ED7FBD">
              <w:rPr>
                <w:sz w:val="18"/>
                <w:szCs w:val="18"/>
              </w:rPr>
              <w:t>5</w:t>
            </w:r>
          </w:p>
        </w:tc>
        <w:tc>
          <w:tcPr>
            <w:tcW w:w="1843" w:type="dxa"/>
            <w:hideMark/>
          </w:tcPr>
          <w:p w14:paraId="726DEEA6" w14:textId="77777777" w:rsidR="00D67940" w:rsidRPr="00ED7FBD" w:rsidRDefault="00D67940" w:rsidP="003174EC">
            <w:pPr>
              <w:pStyle w:val="NormalWeb"/>
              <w:jc w:val="center"/>
              <w:rPr>
                <w:sz w:val="18"/>
                <w:szCs w:val="18"/>
              </w:rPr>
            </w:pPr>
            <w:r w:rsidRPr="00ED7FBD">
              <w:rPr>
                <w:sz w:val="18"/>
                <w:szCs w:val="18"/>
              </w:rPr>
              <w:t>5</w:t>
            </w:r>
          </w:p>
        </w:tc>
        <w:tc>
          <w:tcPr>
            <w:tcW w:w="1843" w:type="dxa"/>
            <w:hideMark/>
          </w:tcPr>
          <w:p w14:paraId="7E6958E7" w14:textId="77777777" w:rsidR="00D67940" w:rsidRPr="00ED7FBD" w:rsidRDefault="00D67940" w:rsidP="003174EC">
            <w:pPr>
              <w:pStyle w:val="NormalWeb"/>
              <w:jc w:val="center"/>
              <w:rPr>
                <w:sz w:val="18"/>
                <w:szCs w:val="18"/>
              </w:rPr>
            </w:pPr>
            <w:r w:rsidRPr="00ED7FBD">
              <w:rPr>
                <w:sz w:val="18"/>
                <w:szCs w:val="18"/>
              </w:rPr>
              <w:t>5</w:t>
            </w:r>
          </w:p>
        </w:tc>
        <w:tc>
          <w:tcPr>
            <w:tcW w:w="968" w:type="dxa"/>
            <w:hideMark/>
          </w:tcPr>
          <w:p w14:paraId="2A8486D6" w14:textId="77777777" w:rsidR="00D67940" w:rsidRPr="00ED7FBD" w:rsidRDefault="00D67940" w:rsidP="003174EC">
            <w:pPr>
              <w:pStyle w:val="NormalWeb"/>
              <w:jc w:val="center"/>
              <w:rPr>
                <w:sz w:val="18"/>
                <w:szCs w:val="18"/>
              </w:rPr>
            </w:pPr>
            <w:r w:rsidRPr="00ED7FBD">
              <w:rPr>
                <w:sz w:val="18"/>
                <w:szCs w:val="18"/>
              </w:rPr>
              <w:t>15</w:t>
            </w:r>
          </w:p>
        </w:tc>
      </w:tr>
      <w:tr w:rsidR="006858F7" w:rsidRPr="00ED7FBD" w14:paraId="723B02CA" w14:textId="77777777" w:rsidTr="004B1AA0">
        <w:tc>
          <w:tcPr>
            <w:tcW w:w="3969" w:type="dxa"/>
            <w:hideMark/>
          </w:tcPr>
          <w:p w14:paraId="56CACC63" w14:textId="77777777" w:rsidR="00D67940" w:rsidRPr="00ED7FBD" w:rsidRDefault="00D67940">
            <w:pPr>
              <w:pStyle w:val="NormalWeb"/>
              <w:rPr>
                <w:sz w:val="18"/>
                <w:szCs w:val="18"/>
              </w:rPr>
            </w:pPr>
            <w:r w:rsidRPr="00ED7FBD">
              <w:rPr>
                <w:sz w:val="18"/>
                <w:szCs w:val="18"/>
              </w:rPr>
              <w:t>20–24</w:t>
            </w:r>
          </w:p>
        </w:tc>
        <w:tc>
          <w:tcPr>
            <w:tcW w:w="1843" w:type="dxa"/>
            <w:hideMark/>
          </w:tcPr>
          <w:p w14:paraId="3D0FE2BC" w14:textId="77777777" w:rsidR="00D67940" w:rsidRPr="00ED7FBD" w:rsidRDefault="00D67940" w:rsidP="003174EC">
            <w:pPr>
              <w:pStyle w:val="NormalWeb"/>
              <w:jc w:val="center"/>
              <w:rPr>
                <w:sz w:val="18"/>
                <w:szCs w:val="18"/>
              </w:rPr>
            </w:pPr>
            <w:r w:rsidRPr="00ED7FBD">
              <w:rPr>
                <w:sz w:val="18"/>
                <w:szCs w:val="18"/>
              </w:rPr>
              <w:t>4</w:t>
            </w:r>
          </w:p>
        </w:tc>
        <w:tc>
          <w:tcPr>
            <w:tcW w:w="1843" w:type="dxa"/>
            <w:hideMark/>
          </w:tcPr>
          <w:p w14:paraId="257A07F0" w14:textId="77777777" w:rsidR="00D67940" w:rsidRPr="00ED7FBD" w:rsidRDefault="00D67940" w:rsidP="003174EC">
            <w:pPr>
              <w:pStyle w:val="NormalWeb"/>
              <w:jc w:val="center"/>
              <w:rPr>
                <w:sz w:val="18"/>
                <w:szCs w:val="18"/>
              </w:rPr>
            </w:pPr>
            <w:r w:rsidRPr="00ED7FBD">
              <w:rPr>
                <w:sz w:val="18"/>
                <w:szCs w:val="18"/>
              </w:rPr>
              <w:t>6</w:t>
            </w:r>
          </w:p>
        </w:tc>
        <w:tc>
          <w:tcPr>
            <w:tcW w:w="1843" w:type="dxa"/>
            <w:hideMark/>
          </w:tcPr>
          <w:p w14:paraId="558F3A28" w14:textId="77777777" w:rsidR="00D67940" w:rsidRPr="00ED7FBD" w:rsidRDefault="00D67940" w:rsidP="003174EC">
            <w:pPr>
              <w:pStyle w:val="NormalWeb"/>
              <w:jc w:val="center"/>
              <w:rPr>
                <w:sz w:val="18"/>
                <w:szCs w:val="18"/>
              </w:rPr>
            </w:pPr>
            <w:r w:rsidRPr="00ED7FBD">
              <w:rPr>
                <w:sz w:val="18"/>
                <w:szCs w:val="18"/>
              </w:rPr>
              <w:t>4</w:t>
            </w:r>
          </w:p>
        </w:tc>
        <w:tc>
          <w:tcPr>
            <w:tcW w:w="968" w:type="dxa"/>
            <w:hideMark/>
          </w:tcPr>
          <w:p w14:paraId="72B704AB" w14:textId="77777777" w:rsidR="00D67940" w:rsidRPr="00ED7FBD" w:rsidRDefault="00D67940" w:rsidP="003174EC">
            <w:pPr>
              <w:pStyle w:val="NormalWeb"/>
              <w:jc w:val="center"/>
              <w:rPr>
                <w:sz w:val="18"/>
                <w:szCs w:val="18"/>
              </w:rPr>
            </w:pPr>
            <w:r w:rsidRPr="00ED7FBD">
              <w:rPr>
                <w:sz w:val="18"/>
                <w:szCs w:val="18"/>
              </w:rPr>
              <w:t>14</w:t>
            </w:r>
          </w:p>
        </w:tc>
      </w:tr>
      <w:tr w:rsidR="00D67940" w:rsidRPr="00ED7FBD" w14:paraId="5549EA7C"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5CE6E429" w14:textId="77777777" w:rsidR="00D67940" w:rsidRPr="00ED7FBD" w:rsidRDefault="00D67940">
            <w:pPr>
              <w:pStyle w:val="NormalWeb"/>
              <w:rPr>
                <w:sz w:val="18"/>
                <w:szCs w:val="18"/>
              </w:rPr>
            </w:pPr>
            <w:r w:rsidRPr="00ED7FBD">
              <w:rPr>
                <w:sz w:val="18"/>
                <w:szCs w:val="18"/>
              </w:rPr>
              <w:t>25–29</w:t>
            </w:r>
          </w:p>
        </w:tc>
        <w:tc>
          <w:tcPr>
            <w:tcW w:w="1843" w:type="dxa"/>
            <w:hideMark/>
          </w:tcPr>
          <w:p w14:paraId="20CBDE93" w14:textId="77777777" w:rsidR="00D67940" w:rsidRPr="00ED7FBD" w:rsidRDefault="00D67940" w:rsidP="003174EC">
            <w:pPr>
              <w:pStyle w:val="NormalWeb"/>
              <w:jc w:val="center"/>
              <w:rPr>
                <w:sz w:val="18"/>
                <w:szCs w:val="18"/>
              </w:rPr>
            </w:pPr>
            <w:r w:rsidRPr="00ED7FBD">
              <w:rPr>
                <w:sz w:val="18"/>
                <w:szCs w:val="18"/>
              </w:rPr>
              <w:t>8</w:t>
            </w:r>
          </w:p>
        </w:tc>
        <w:tc>
          <w:tcPr>
            <w:tcW w:w="1843" w:type="dxa"/>
            <w:hideMark/>
          </w:tcPr>
          <w:p w14:paraId="48267389" w14:textId="77777777" w:rsidR="00D67940" w:rsidRPr="00ED7FBD" w:rsidRDefault="00D67940" w:rsidP="003174EC">
            <w:pPr>
              <w:pStyle w:val="NormalWeb"/>
              <w:jc w:val="center"/>
              <w:rPr>
                <w:sz w:val="18"/>
                <w:szCs w:val="18"/>
              </w:rPr>
            </w:pPr>
            <w:r w:rsidRPr="00ED7FBD">
              <w:rPr>
                <w:sz w:val="18"/>
                <w:szCs w:val="18"/>
              </w:rPr>
              <w:t>5</w:t>
            </w:r>
          </w:p>
        </w:tc>
        <w:tc>
          <w:tcPr>
            <w:tcW w:w="1843" w:type="dxa"/>
            <w:hideMark/>
          </w:tcPr>
          <w:p w14:paraId="062B2936" w14:textId="77777777" w:rsidR="00D67940" w:rsidRPr="00ED7FBD" w:rsidRDefault="00D67940" w:rsidP="003174EC">
            <w:pPr>
              <w:pStyle w:val="NormalWeb"/>
              <w:jc w:val="center"/>
              <w:rPr>
                <w:sz w:val="18"/>
                <w:szCs w:val="18"/>
              </w:rPr>
            </w:pPr>
            <w:r w:rsidRPr="00ED7FBD">
              <w:rPr>
                <w:sz w:val="18"/>
                <w:szCs w:val="18"/>
              </w:rPr>
              <w:t>3</w:t>
            </w:r>
          </w:p>
        </w:tc>
        <w:tc>
          <w:tcPr>
            <w:tcW w:w="968" w:type="dxa"/>
            <w:hideMark/>
          </w:tcPr>
          <w:p w14:paraId="40D8B94F" w14:textId="77777777" w:rsidR="00D67940" w:rsidRPr="00ED7FBD" w:rsidRDefault="00D67940" w:rsidP="003174EC">
            <w:pPr>
              <w:pStyle w:val="NormalWeb"/>
              <w:jc w:val="center"/>
              <w:rPr>
                <w:sz w:val="18"/>
                <w:szCs w:val="18"/>
              </w:rPr>
            </w:pPr>
            <w:r w:rsidRPr="00ED7FBD">
              <w:rPr>
                <w:sz w:val="18"/>
                <w:szCs w:val="18"/>
              </w:rPr>
              <w:t>16</w:t>
            </w:r>
          </w:p>
        </w:tc>
      </w:tr>
      <w:tr w:rsidR="006858F7" w:rsidRPr="00ED7FBD" w14:paraId="7E961CEA" w14:textId="77777777" w:rsidTr="004B1AA0">
        <w:tc>
          <w:tcPr>
            <w:tcW w:w="3969" w:type="dxa"/>
            <w:hideMark/>
          </w:tcPr>
          <w:p w14:paraId="0FB56846" w14:textId="77777777" w:rsidR="00D67940" w:rsidRPr="00ED7FBD" w:rsidRDefault="00D67940">
            <w:pPr>
              <w:pStyle w:val="NormalWeb"/>
              <w:rPr>
                <w:sz w:val="18"/>
                <w:szCs w:val="18"/>
              </w:rPr>
            </w:pPr>
            <w:r w:rsidRPr="00ED7FBD">
              <w:rPr>
                <w:sz w:val="18"/>
                <w:szCs w:val="18"/>
              </w:rPr>
              <w:t>30–34</w:t>
            </w:r>
          </w:p>
        </w:tc>
        <w:tc>
          <w:tcPr>
            <w:tcW w:w="1843" w:type="dxa"/>
            <w:hideMark/>
          </w:tcPr>
          <w:p w14:paraId="3D6DF502" w14:textId="77777777" w:rsidR="00D67940" w:rsidRPr="00ED7FBD" w:rsidRDefault="00D67940" w:rsidP="003174EC">
            <w:pPr>
              <w:pStyle w:val="NormalWeb"/>
              <w:jc w:val="center"/>
              <w:rPr>
                <w:sz w:val="18"/>
                <w:szCs w:val="18"/>
              </w:rPr>
            </w:pPr>
            <w:r w:rsidRPr="00ED7FBD">
              <w:rPr>
                <w:sz w:val="18"/>
                <w:szCs w:val="18"/>
              </w:rPr>
              <w:t>9</w:t>
            </w:r>
          </w:p>
        </w:tc>
        <w:tc>
          <w:tcPr>
            <w:tcW w:w="1843" w:type="dxa"/>
            <w:hideMark/>
          </w:tcPr>
          <w:p w14:paraId="3E5D34AE" w14:textId="77777777" w:rsidR="00D67940" w:rsidRPr="00ED7FBD" w:rsidRDefault="00D67940" w:rsidP="003174EC">
            <w:pPr>
              <w:pStyle w:val="NormalWeb"/>
              <w:jc w:val="center"/>
              <w:rPr>
                <w:sz w:val="18"/>
                <w:szCs w:val="18"/>
              </w:rPr>
            </w:pPr>
            <w:r w:rsidRPr="00ED7FBD">
              <w:rPr>
                <w:sz w:val="18"/>
                <w:szCs w:val="18"/>
              </w:rPr>
              <w:t>12</w:t>
            </w:r>
          </w:p>
        </w:tc>
        <w:tc>
          <w:tcPr>
            <w:tcW w:w="1843" w:type="dxa"/>
            <w:hideMark/>
          </w:tcPr>
          <w:p w14:paraId="18BAC0B8" w14:textId="77777777" w:rsidR="00D67940" w:rsidRPr="00ED7FBD" w:rsidRDefault="00D67940" w:rsidP="003174EC">
            <w:pPr>
              <w:pStyle w:val="NormalWeb"/>
              <w:jc w:val="center"/>
              <w:rPr>
                <w:sz w:val="18"/>
                <w:szCs w:val="18"/>
              </w:rPr>
            </w:pPr>
            <w:r w:rsidRPr="00ED7FBD">
              <w:rPr>
                <w:sz w:val="18"/>
                <w:szCs w:val="18"/>
              </w:rPr>
              <w:t>8</w:t>
            </w:r>
          </w:p>
        </w:tc>
        <w:tc>
          <w:tcPr>
            <w:tcW w:w="968" w:type="dxa"/>
            <w:hideMark/>
          </w:tcPr>
          <w:p w14:paraId="4F800D96" w14:textId="77777777" w:rsidR="00D67940" w:rsidRPr="00ED7FBD" w:rsidRDefault="00D67940" w:rsidP="003174EC">
            <w:pPr>
              <w:pStyle w:val="NormalWeb"/>
              <w:jc w:val="center"/>
              <w:rPr>
                <w:sz w:val="18"/>
                <w:szCs w:val="18"/>
              </w:rPr>
            </w:pPr>
            <w:r w:rsidRPr="00ED7FBD">
              <w:rPr>
                <w:sz w:val="18"/>
                <w:szCs w:val="18"/>
              </w:rPr>
              <w:t>29</w:t>
            </w:r>
          </w:p>
        </w:tc>
      </w:tr>
      <w:tr w:rsidR="00D67940" w:rsidRPr="00ED7FBD" w14:paraId="2A96346A"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5FE02CA6" w14:textId="77777777" w:rsidR="00D67940" w:rsidRPr="00ED7FBD" w:rsidRDefault="00D67940">
            <w:pPr>
              <w:pStyle w:val="NormalWeb"/>
              <w:rPr>
                <w:sz w:val="18"/>
                <w:szCs w:val="18"/>
              </w:rPr>
            </w:pPr>
            <w:r w:rsidRPr="00ED7FBD">
              <w:rPr>
                <w:sz w:val="18"/>
                <w:szCs w:val="18"/>
              </w:rPr>
              <w:t>35–39</w:t>
            </w:r>
          </w:p>
        </w:tc>
        <w:tc>
          <w:tcPr>
            <w:tcW w:w="1843" w:type="dxa"/>
            <w:hideMark/>
          </w:tcPr>
          <w:p w14:paraId="361DCF05" w14:textId="77777777" w:rsidR="00D67940" w:rsidRPr="00ED7FBD" w:rsidRDefault="00D67940" w:rsidP="003174EC">
            <w:pPr>
              <w:pStyle w:val="NormalWeb"/>
              <w:jc w:val="center"/>
              <w:rPr>
                <w:sz w:val="18"/>
                <w:szCs w:val="18"/>
              </w:rPr>
            </w:pPr>
            <w:r w:rsidRPr="00ED7FBD">
              <w:rPr>
                <w:sz w:val="18"/>
                <w:szCs w:val="18"/>
              </w:rPr>
              <w:t>8</w:t>
            </w:r>
          </w:p>
        </w:tc>
        <w:tc>
          <w:tcPr>
            <w:tcW w:w="1843" w:type="dxa"/>
            <w:hideMark/>
          </w:tcPr>
          <w:p w14:paraId="309BD02E" w14:textId="77777777" w:rsidR="00D67940" w:rsidRPr="00ED7FBD" w:rsidRDefault="00D67940" w:rsidP="003174EC">
            <w:pPr>
              <w:pStyle w:val="NormalWeb"/>
              <w:jc w:val="center"/>
              <w:rPr>
                <w:sz w:val="18"/>
                <w:szCs w:val="18"/>
              </w:rPr>
            </w:pPr>
            <w:r w:rsidRPr="00ED7FBD">
              <w:rPr>
                <w:sz w:val="18"/>
                <w:szCs w:val="18"/>
              </w:rPr>
              <w:t>18</w:t>
            </w:r>
          </w:p>
        </w:tc>
        <w:tc>
          <w:tcPr>
            <w:tcW w:w="1843" w:type="dxa"/>
            <w:hideMark/>
          </w:tcPr>
          <w:p w14:paraId="648E349F" w14:textId="77777777" w:rsidR="00D67940" w:rsidRPr="00ED7FBD" w:rsidRDefault="00D67940" w:rsidP="003174EC">
            <w:pPr>
              <w:pStyle w:val="NormalWeb"/>
              <w:jc w:val="center"/>
              <w:rPr>
                <w:sz w:val="18"/>
                <w:szCs w:val="18"/>
              </w:rPr>
            </w:pPr>
            <w:r w:rsidRPr="00ED7FBD">
              <w:rPr>
                <w:sz w:val="18"/>
                <w:szCs w:val="18"/>
              </w:rPr>
              <w:t>14</w:t>
            </w:r>
          </w:p>
        </w:tc>
        <w:tc>
          <w:tcPr>
            <w:tcW w:w="968" w:type="dxa"/>
            <w:hideMark/>
          </w:tcPr>
          <w:p w14:paraId="3E85B5A4" w14:textId="77777777" w:rsidR="00D67940" w:rsidRPr="00ED7FBD" w:rsidRDefault="00D67940" w:rsidP="003174EC">
            <w:pPr>
              <w:pStyle w:val="NormalWeb"/>
              <w:jc w:val="center"/>
              <w:rPr>
                <w:sz w:val="18"/>
                <w:szCs w:val="18"/>
              </w:rPr>
            </w:pPr>
            <w:r w:rsidRPr="00ED7FBD">
              <w:rPr>
                <w:sz w:val="18"/>
                <w:szCs w:val="18"/>
              </w:rPr>
              <w:t>40</w:t>
            </w:r>
          </w:p>
        </w:tc>
      </w:tr>
      <w:tr w:rsidR="006858F7" w:rsidRPr="00ED7FBD" w14:paraId="32478D34" w14:textId="77777777" w:rsidTr="004B1AA0">
        <w:tc>
          <w:tcPr>
            <w:tcW w:w="3969" w:type="dxa"/>
            <w:hideMark/>
          </w:tcPr>
          <w:p w14:paraId="5F658632" w14:textId="77777777" w:rsidR="00D67940" w:rsidRPr="00ED7FBD" w:rsidRDefault="00D67940">
            <w:pPr>
              <w:pStyle w:val="NormalWeb"/>
              <w:rPr>
                <w:sz w:val="18"/>
                <w:szCs w:val="18"/>
              </w:rPr>
            </w:pPr>
            <w:r w:rsidRPr="00ED7FBD">
              <w:rPr>
                <w:sz w:val="18"/>
                <w:szCs w:val="18"/>
              </w:rPr>
              <w:t>40–44</w:t>
            </w:r>
          </w:p>
        </w:tc>
        <w:tc>
          <w:tcPr>
            <w:tcW w:w="1843" w:type="dxa"/>
            <w:hideMark/>
          </w:tcPr>
          <w:p w14:paraId="54DA1523" w14:textId="77777777" w:rsidR="00D67940" w:rsidRPr="00ED7FBD" w:rsidRDefault="00D67940" w:rsidP="003174EC">
            <w:pPr>
              <w:pStyle w:val="NormalWeb"/>
              <w:jc w:val="center"/>
              <w:rPr>
                <w:sz w:val="18"/>
                <w:szCs w:val="18"/>
              </w:rPr>
            </w:pPr>
            <w:r w:rsidRPr="00ED7FBD">
              <w:rPr>
                <w:sz w:val="18"/>
                <w:szCs w:val="18"/>
              </w:rPr>
              <w:t>9</w:t>
            </w:r>
          </w:p>
        </w:tc>
        <w:tc>
          <w:tcPr>
            <w:tcW w:w="1843" w:type="dxa"/>
            <w:hideMark/>
          </w:tcPr>
          <w:p w14:paraId="4D69CBE9" w14:textId="77777777" w:rsidR="00D67940" w:rsidRPr="00ED7FBD" w:rsidRDefault="00D67940" w:rsidP="003174EC">
            <w:pPr>
              <w:pStyle w:val="NormalWeb"/>
              <w:jc w:val="center"/>
              <w:rPr>
                <w:sz w:val="18"/>
                <w:szCs w:val="18"/>
              </w:rPr>
            </w:pPr>
            <w:r w:rsidRPr="00ED7FBD">
              <w:rPr>
                <w:sz w:val="18"/>
                <w:szCs w:val="18"/>
              </w:rPr>
              <w:t>14</w:t>
            </w:r>
          </w:p>
        </w:tc>
        <w:tc>
          <w:tcPr>
            <w:tcW w:w="1843" w:type="dxa"/>
            <w:hideMark/>
          </w:tcPr>
          <w:p w14:paraId="6EC08E92" w14:textId="77777777" w:rsidR="00D67940" w:rsidRPr="00ED7FBD" w:rsidRDefault="00D67940" w:rsidP="003174EC">
            <w:pPr>
              <w:pStyle w:val="NormalWeb"/>
              <w:jc w:val="center"/>
              <w:rPr>
                <w:sz w:val="18"/>
                <w:szCs w:val="18"/>
              </w:rPr>
            </w:pPr>
            <w:r w:rsidRPr="00ED7FBD">
              <w:rPr>
                <w:sz w:val="18"/>
                <w:szCs w:val="18"/>
              </w:rPr>
              <w:t>11</w:t>
            </w:r>
          </w:p>
        </w:tc>
        <w:tc>
          <w:tcPr>
            <w:tcW w:w="968" w:type="dxa"/>
            <w:hideMark/>
          </w:tcPr>
          <w:p w14:paraId="6C2A6A93" w14:textId="77777777" w:rsidR="00D67940" w:rsidRPr="00ED7FBD" w:rsidRDefault="00D67940" w:rsidP="003174EC">
            <w:pPr>
              <w:pStyle w:val="NormalWeb"/>
              <w:jc w:val="center"/>
              <w:rPr>
                <w:sz w:val="18"/>
                <w:szCs w:val="18"/>
              </w:rPr>
            </w:pPr>
            <w:r w:rsidRPr="00ED7FBD">
              <w:rPr>
                <w:sz w:val="18"/>
                <w:szCs w:val="18"/>
              </w:rPr>
              <w:t>34</w:t>
            </w:r>
          </w:p>
        </w:tc>
      </w:tr>
      <w:tr w:rsidR="00D67940" w:rsidRPr="00ED7FBD" w14:paraId="07509CE0"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7E00CAD8" w14:textId="77777777" w:rsidR="00D67940" w:rsidRPr="00ED7FBD" w:rsidRDefault="00D67940">
            <w:pPr>
              <w:pStyle w:val="NormalWeb"/>
              <w:rPr>
                <w:sz w:val="18"/>
                <w:szCs w:val="18"/>
              </w:rPr>
            </w:pPr>
            <w:r w:rsidRPr="00ED7FBD">
              <w:rPr>
                <w:sz w:val="18"/>
                <w:szCs w:val="18"/>
              </w:rPr>
              <w:t>45–49</w:t>
            </w:r>
          </w:p>
        </w:tc>
        <w:tc>
          <w:tcPr>
            <w:tcW w:w="1843" w:type="dxa"/>
            <w:hideMark/>
          </w:tcPr>
          <w:p w14:paraId="7F72C131" w14:textId="77777777" w:rsidR="00D67940" w:rsidRPr="00ED7FBD" w:rsidRDefault="00D67940" w:rsidP="003174EC">
            <w:pPr>
              <w:pStyle w:val="NormalWeb"/>
              <w:jc w:val="center"/>
              <w:rPr>
                <w:sz w:val="18"/>
                <w:szCs w:val="18"/>
              </w:rPr>
            </w:pPr>
            <w:r w:rsidRPr="00ED7FBD">
              <w:rPr>
                <w:sz w:val="18"/>
                <w:szCs w:val="18"/>
              </w:rPr>
              <w:t>10</w:t>
            </w:r>
          </w:p>
        </w:tc>
        <w:tc>
          <w:tcPr>
            <w:tcW w:w="1843" w:type="dxa"/>
            <w:hideMark/>
          </w:tcPr>
          <w:p w14:paraId="706A7766" w14:textId="77777777" w:rsidR="00D67940" w:rsidRPr="00ED7FBD" w:rsidRDefault="00D67940" w:rsidP="003174EC">
            <w:pPr>
              <w:pStyle w:val="NormalWeb"/>
              <w:jc w:val="center"/>
              <w:rPr>
                <w:sz w:val="18"/>
                <w:szCs w:val="18"/>
              </w:rPr>
            </w:pPr>
            <w:r w:rsidRPr="00ED7FBD">
              <w:rPr>
                <w:sz w:val="18"/>
                <w:szCs w:val="18"/>
              </w:rPr>
              <w:t>20</w:t>
            </w:r>
          </w:p>
        </w:tc>
        <w:tc>
          <w:tcPr>
            <w:tcW w:w="1843" w:type="dxa"/>
            <w:hideMark/>
          </w:tcPr>
          <w:p w14:paraId="3F7374F9" w14:textId="77777777" w:rsidR="00D67940" w:rsidRPr="00ED7FBD" w:rsidRDefault="00D67940" w:rsidP="003174EC">
            <w:pPr>
              <w:pStyle w:val="NormalWeb"/>
              <w:jc w:val="center"/>
              <w:rPr>
                <w:sz w:val="18"/>
                <w:szCs w:val="18"/>
              </w:rPr>
            </w:pPr>
            <w:r w:rsidRPr="00ED7FBD">
              <w:rPr>
                <w:sz w:val="18"/>
                <w:szCs w:val="18"/>
              </w:rPr>
              <w:t>11</w:t>
            </w:r>
          </w:p>
        </w:tc>
        <w:tc>
          <w:tcPr>
            <w:tcW w:w="968" w:type="dxa"/>
            <w:hideMark/>
          </w:tcPr>
          <w:p w14:paraId="4B5B441B" w14:textId="77777777" w:rsidR="00D67940" w:rsidRPr="00ED7FBD" w:rsidRDefault="00D67940" w:rsidP="003174EC">
            <w:pPr>
              <w:pStyle w:val="NormalWeb"/>
              <w:jc w:val="center"/>
              <w:rPr>
                <w:sz w:val="18"/>
                <w:szCs w:val="18"/>
              </w:rPr>
            </w:pPr>
            <w:r w:rsidRPr="00ED7FBD">
              <w:rPr>
                <w:sz w:val="18"/>
                <w:szCs w:val="18"/>
              </w:rPr>
              <w:t>41</w:t>
            </w:r>
          </w:p>
        </w:tc>
      </w:tr>
      <w:tr w:rsidR="006858F7" w:rsidRPr="00ED7FBD" w14:paraId="158C79DD" w14:textId="77777777" w:rsidTr="004B1AA0">
        <w:tc>
          <w:tcPr>
            <w:tcW w:w="3969" w:type="dxa"/>
            <w:hideMark/>
          </w:tcPr>
          <w:p w14:paraId="3A9EE16B" w14:textId="77777777" w:rsidR="00D67940" w:rsidRPr="00ED7FBD" w:rsidRDefault="00D67940">
            <w:pPr>
              <w:pStyle w:val="NormalWeb"/>
              <w:rPr>
                <w:sz w:val="18"/>
                <w:szCs w:val="18"/>
              </w:rPr>
            </w:pPr>
            <w:r w:rsidRPr="00ED7FBD">
              <w:rPr>
                <w:sz w:val="18"/>
                <w:szCs w:val="18"/>
              </w:rPr>
              <w:t>50–54</w:t>
            </w:r>
          </w:p>
        </w:tc>
        <w:tc>
          <w:tcPr>
            <w:tcW w:w="1843" w:type="dxa"/>
            <w:hideMark/>
          </w:tcPr>
          <w:p w14:paraId="7C3A8781" w14:textId="77777777" w:rsidR="00D67940" w:rsidRPr="00ED7FBD" w:rsidRDefault="00D67940" w:rsidP="003174EC">
            <w:pPr>
              <w:pStyle w:val="NormalWeb"/>
              <w:jc w:val="center"/>
              <w:rPr>
                <w:sz w:val="18"/>
                <w:szCs w:val="18"/>
              </w:rPr>
            </w:pPr>
            <w:r w:rsidRPr="00ED7FBD">
              <w:rPr>
                <w:sz w:val="18"/>
                <w:szCs w:val="18"/>
              </w:rPr>
              <w:t>8</w:t>
            </w:r>
          </w:p>
        </w:tc>
        <w:tc>
          <w:tcPr>
            <w:tcW w:w="1843" w:type="dxa"/>
            <w:hideMark/>
          </w:tcPr>
          <w:p w14:paraId="6C6D648F" w14:textId="77777777" w:rsidR="00D67940" w:rsidRPr="00ED7FBD" w:rsidRDefault="00D67940" w:rsidP="003174EC">
            <w:pPr>
              <w:pStyle w:val="NormalWeb"/>
              <w:jc w:val="center"/>
              <w:rPr>
                <w:sz w:val="18"/>
                <w:szCs w:val="18"/>
              </w:rPr>
            </w:pPr>
            <w:r w:rsidRPr="00ED7FBD">
              <w:rPr>
                <w:sz w:val="18"/>
                <w:szCs w:val="18"/>
              </w:rPr>
              <w:t>39</w:t>
            </w:r>
          </w:p>
        </w:tc>
        <w:tc>
          <w:tcPr>
            <w:tcW w:w="1843" w:type="dxa"/>
            <w:hideMark/>
          </w:tcPr>
          <w:p w14:paraId="3BB7B62A" w14:textId="77777777" w:rsidR="00D67940" w:rsidRPr="00ED7FBD" w:rsidRDefault="00D67940" w:rsidP="003174EC">
            <w:pPr>
              <w:pStyle w:val="NormalWeb"/>
              <w:jc w:val="center"/>
              <w:rPr>
                <w:sz w:val="18"/>
                <w:szCs w:val="18"/>
              </w:rPr>
            </w:pPr>
            <w:r w:rsidRPr="00ED7FBD">
              <w:rPr>
                <w:sz w:val="18"/>
                <w:szCs w:val="18"/>
              </w:rPr>
              <w:t>6</w:t>
            </w:r>
          </w:p>
        </w:tc>
        <w:tc>
          <w:tcPr>
            <w:tcW w:w="968" w:type="dxa"/>
            <w:hideMark/>
          </w:tcPr>
          <w:p w14:paraId="11D4389C" w14:textId="77777777" w:rsidR="00D67940" w:rsidRPr="00ED7FBD" w:rsidRDefault="00D67940" w:rsidP="003174EC">
            <w:pPr>
              <w:pStyle w:val="NormalWeb"/>
              <w:jc w:val="center"/>
              <w:rPr>
                <w:sz w:val="18"/>
                <w:szCs w:val="18"/>
              </w:rPr>
            </w:pPr>
            <w:r w:rsidRPr="00ED7FBD">
              <w:rPr>
                <w:sz w:val="18"/>
                <w:szCs w:val="18"/>
              </w:rPr>
              <w:t>53</w:t>
            </w:r>
          </w:p>
        </w:tc>
      </w:tr>
      <w:tr w:rsidR="00D67940" w:rsidRPr="00ED7FBD" w14:paraId="51FBD439"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492BC7CF" w14:textId="77777777" w:rsidR="00D67940" w:rsidRPr="00ED7FBD" w:rsidRDefault="00D67940">
            <w:pPr>
              <w:pStyle w:val="NormalWeb"/>
              <w:rPr>
                <w:sz w:val="18"/>
                <w:szCs w:val="18"/>
              </w:rPr>
            </w:pPr>
            <w:r w:rsidRPr="00ED7FBD">
              <w:rPr>
                <w:sz w:val="18"/>
                <w:szCs w:val="18"/>
              </w:rPr>
              <w:t>55–59</w:t>
            </w:r>
          </w:p>
        </w:tc>
        <w:tc>
          <w:tcPr>
            <w:tcW w:w="1843" w:type="dxa"/>
            <w:hideMark/>
          </w:tcPr>
          <w:p w14:paraId="2F9D36B4" w14:textId="77777777" w:rsidR="00D67940" w:rsidRPr="00ED7FBD" w:rsidRDefault="00D67940" w:rsidP="003174EC">
            <w:pPr>
              <w:pStyle w:val="NormalWeb"/>
              <w:jc w:val="center"/>
              <w:rPr>
                <w:sz w:val="18"/>
                <w:szCs w:val="18"/>
              </w:rPr>
            </w:pPr>
            <w:r w:rsidRPr="00ED7FBD">
              <w:rPr>
                <w:sz w:val="18"/>
                <w:szCs w:val="18"/>
              </w:rPr>
              <w:t>2</w:t>
            </w:r>
          </w:p>
        </w:tc>
        <w:tc>
          <w:tcPr>
            <w:tcW w:w="1843" w:type="dxa"/>
            <w:hideMark/>
          </w:tcPr>
          <w:p w14:paraId="3D485D73" w14:textId="77777777" w:rsidR="00D67940" w:rsidRPr="00ED7FBD" w:rsidRDefault="00D67940" w:rsidP="003174EC">
            <w:pPr>
              <w:pStyle w:val="NormalWeb"/>
              <w:jc w:val="center"/>
              <w:rPr>
                <w:sz w:val="18"/>
                <w:szCs w:val="18"/>
              </w:rPr>
            </w:pPr>
            <w:r w:rsidRPr="00ED7FBD">
              <w:rPr>
                <w:sz w:val="18"/>
                <w:szCs w:val="18"/>
              </w:rPr>
              <w:t>36</w:t>
            </w:r>
          </w:p>
        </w:tc>
        <w:tc>
          <w:tcPr>
            <w:tcW w:w="1843" w:type="dxa"/>
            <w:hideMark/>
          </w:tcPr>
          <w:p w14:paraId="1C35D840" w14:textId="77777777" w:rsidR="00D67940" w:rsidRPr="00ED7FBD" w:rsidRDefault="00D67940" w:rsidP="003174EC">
            <w:pPr>
              <w:pStyle w:val="NormalWeb"/>
              <w:jc w:val="center"/>
              <w:rPr>
                <w:sz w:val="18"/>
                <w:szCs w:val="18"/>
              </w:rPr>
            </w:pPr>
            <w:r w:rsidRPr="00ED7FBD">
              <w:rPr>
                <w:sz w:val="18"/>
                <w:szCs w:val="18"/>
              </w:rPr>
              <w:t>5</w:t>
            </w:r>
          </w:p>
        </w:tc>
        <w:tc>
          <w:tcPr>
            <w:tcW w:w="968" w:type="dxa"/>
            <w:hideMark/>
          </w:tcPr>
          <w:p w14:paraId="58B5D010" w14:textId="77777777" w:rsidR="00D67940" w:rsidRPr="00ED7FBD" w:rsidRDefault="00D67940" w:rsidP="003174EC">
            <w:pPr>
              <w:pStyle w:val="NormalWeb"/>
              <w:jc w:val="center"/>
              <w:rPr>
                <w:sz w:val="18"/>
                <w:szCs w:val="18"/>
              </w:rPr>
            </w:pPr>
            <w:r w:rsidRPr="00ED7FBD">
              <w:rPr>
                <w:sz w:val="18"/>
                <w:szCs w:val="18"/>
              </w:rPr>
              <w:t>43</w:t>
            </w:r>
          </w:p>
        </w:tc>
      </w:tr>
      <w:tr w:rsidR="006858F7" w:rsidRPr="00ED7FBD" w14:paraId="0FD6C8FB" w14:textId="77777777" w:rsidTr="004B1AA0">
        <w:tc>
          <w:tcPr>
            <w:tcW w:w="3969" w:type="dxa"/>
            <w:hideMark/>
          </w:tcPr>
          <w:p w14:paraId="45096373" w14:textId="77777777" w:rsidR="00D67940" w:rsidRPr="00ED7FBD" w:rsidRDefault="00D67940">
            <w:pPr>
              <w:pStyle w:val="NormalWeb"/>
              <w:rPr>
                <w:sz w:val="18"/>
                <w:szCs w:val="18"/>
              </w:rPr>
            </w:pPr>
            <w:r w:rsidRPr="00ED7FBD">
              <w:rPr>
                <w:sz w:val="18"/>
                <w:szCs w:val="18"/>
              </w:rPr>
              <w:t>60–64</w:t>
            </w:r>
          </w:p>
        </w:tc>
        <w:tc>
          <w:tcPr>
            <w:tcW w:w="1843" w:type="dxa"/>
            <w:hideMark/>
          </w:tcPr>
          <w:p w14:paraId="14391D54" w14:textId="77777777" w:rsidR="00D67940" w:rsidRPr="00ED7FBD" w:rsidRDefault="00D67940" w:rsidP="003174EC">
            <w:pPr>
              <w:pStyle w:val="NormalWeb"/>
              <w:jc w:val="center"/>
              <w:rPr>
                <w:sz w:val="18"/>
                <w:szCs w:val="18"/>
              </w:rPr>
            </w:pPr>
            <w:r w:rsidRPr="00ED7FBD">
              <w:rPr>
                <w:sz w:val="18"/>
                <w:szCs w:val="18"/>
              </w:rPr>
              <w:t>11</w:t>
            </w:r>
          </w:p>
        </w:tc>
        <w:tc>
          <w:tcPr>
            <w:tcW w:w="1843" w:type="dxa"/>
            <w:hideMark/>
          </w:tcPr>
          <w:p w14:paraId="6E26DE3A" w14:textId="77777777" w:rsidR="00D67940" w:rsidRPr="00ED7FBD" w:rsidRDefault="00D67940" w:rsidP="003174EC">
            <w:pPr>
              <w:pStyle w:val="NormalWeb"/>
              <w:jc w:val="center"/>
              <w:rPr>
                <w:sz w:val="18"/>
                <w:szCs w:val="18"/>
              </w:rPr>
            </w:pPr>
            <w:r w:rsidRPr="00ED7FBD">
              <w:rPr>
                <w:sz w:val="18"/>
                <w:szCs w:val="18"/>
              </w:rPr>
              <w:t>74</w:t>
            </w:r>
          </w:p>
        </w:tc>
        <w:tc>
          <w:tcPr>
            <w:tcW w:w="1843" w:type="dxa"/>
            <w:hideMark/>
          </w:tcPr>
          <w:p w14:paraId="6428588B" w14:textId="77777777" w:rsidR="00D67940" w:rsidRPr="00ED7FBD" w:rsidRDefault="00D67940" w:rsidP="003174EC">
            <w:pPr>
              <w:pStyle w:val="NormalWeb"/>
              <w:jc w:val="center"/>
              <w:rPr>
                <w:sz w:val="18"/>
                <w:szCs w:val="18"/>
              </w:rPr>
            </w:pPr>
            <w:r w:rsidRPr="00ED7FBD">
              <w:rPr>
                <w:sz w:val="18"/>
                <w:szCs w:val="18"/>
              </w:rPr>
              <w:t>12</w:t>
            </w:r>
          </w:p>
        </w:tc>
        <w:tc>
          <w:tcPr>
            <w:tcW w:w="968" w:type="dxa"/>
            <w:hideMark/>
          </w:tcPr>
          <w:p w14:paraId="7AD9C7E6" w14:textId="77777777" w:rsidR="00D67940" w:rsidRPr="00ED7FBD" w:rsidRDefault="00D67940" w:rsidP="003174EC">
            <w:pPr>
              <w:pStyle w:val="NormalWeb"/>
              <w:jc w:val="center"/>
              <w:rPr>
                <w:sz w:val="18"/>
                <w:szCs w:val="18"/>
              </w:rPr>
            </w:pPr>
            <w:r w:rsidRPr="00ED7FBD">
              <w:rPr>
                <w:sz w:val="18"/>
                <w:szCs w:val="18"/>
              </w:rPr>
              <w:t>97</w:t>
            </w:r>
          </w:p>
        </w:tc>
      </w:tr>
      <w:tr w:rsidR="00D67940" w:rsidRPr="00ED7FBD" w14:paraId="755A7FD2"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3DE8F391" w14:textId="77777777" w:rsidR="00D67940" w:rsidRPr="00ED7FBD" w:rsidRDefault="00D67940">
            <w:pPr>
              <w:pStyle w:val="NormalWeb"/>
              <w:rPr>
                <w:sz w:val="18"/>
                <w:szCs w:val="18"/>
              </w:rPr>
            </w:pPr>
            <w:r w:rsidRPr="00ED7FBD">
              <w:rPr>
                <w:sz w:val="18"/>
                <w:szCs w:val="18"/>
              </w:rPr>
              <w:t>65–69</w:t>
            </w:r>
          </w:p>
        </w:tc>
        <w:tc>
          <w:tcPr>
            <w:tcW w:w="1843" w:type="dxa"/>
            <w:hideMark/>
          </w:tcPr>
          <w:p w14:paraId="2CD4C5DD" w14:textId="77777777" w:rsidR="00D67940" w:rsidRPr="00ED7FBD" w:rsidRDefault="00D67940" w:rsidP="003174EC">
            <w:pPr>
              <w:pStyle w:val="NormalWeb"/>
              <w:jc w:val="center"/>
              <w:rPr>
                <w:sz w:val="18"/>
                <w:szCs w:val="18"/>
              </w:rPr>
            </w:pPr>
            <w:r w:rsidRPr="00ED7FBD">
              <w:rPr>
                <w:sz w:val="18"/>
                <w:szCs w:val="18"/>
              </w:rPr>
              <w:t>5</w:t>
            </w:r>
          </w:p>
        </w:tc>
        <w:tc>
          <w:tcPr>
            <w:tcW w:w="1843" w:type="dxa"/>
            <w:hideMark/>
          </w:tcPr>
          <w:p w14:paraId="79B76DFF" w14:textId="77777777" w:rsidR="00D67940" w:rsidRPr="00ED7FBD" w:rsidRDefault="00D67940" w:rsidP="003174EC">
            <w:pPr>
              <w:pStyle w:val="NormalWeb"/>
              <w:jc w:val="center"/>
              <w:rPr>
                <w:sz w:val="18"/>
                <w:szCs w:val="18"/>
              </w:rPr>
            </w:pPr>
            <w:r w:rsidRPr="00ED7FBD">
              <w:rPr>
                <w:sz w:val="18"/>
                <w:szCs w:val="18"/>
              </w:rPr>
              <w:t>67</w:t>
            </w:r>
          </w:p>
        </w:tc>
        <w:tc>
          <w:tcPr>
            <w:tcW w:w="1843" w:type="dxa"/>
            <w:hideMark/>
          </w:tcPr>
          <w:p w14:paraId="0D03D11E" w14:textId="77777777" w:rsidR="00D67940" w:rsidRPr="00ED7FBD" w:rsidRDefault="00D67940" w:rsidP="003174EC">
            <w:pPr>
              <w:pStyle w:val="NormalWeb"/>
              <w:jc w:val="center"/>
              <w:rPr>
                <w:sz w:val="18"/>
                <w:szCs w:val="18"/>
              </w:rPr>
            </w:pPr>
            <w:r w:rsidRPr="00ED7FBD">
              <w:rPr>
                <w:sz w:val="18"/>
                <w:szCs w:val="18"/>
              </w:rPr>
              <w:t>10</w:t>
            </w:r>
          </w:p>
        </w:tc>
        <w:tc>
          <w:tcPr>
            <w:tcW w:w="968" w:type="dxa"/>
            <w:hideMark/>
          </w:tcPr>
          <w:p w14:paraId="667A1A94" w14:textId="77777777" w:rsidR="00D67940" w:rsidRPr="00ED7FBD" w:rsidRDefault="00D67940" w:rsidP="003174EC">
            <w:pPr>
              <w:pStyle w:val="NormalWeb"/>
              <w:jc w:val="center"/>
              <w:rPr>
                <w:sz w:val="18"/>
                <w:szCs w:val="18"/>
              </w:rPr>
            </w:pPr>
            <w:r w:rsidRPr="00ED7FBD">
              <w:rPr>
                <w:sz w:val="18"/>
                <w:szCs w:val="18"/>
              </w:rPr>
              <w:t>82</w:t>
            </w:r>
          </w:p>
        </w:tc>
      </w:tr>
      <w:tr w:rsidR="006858F7" w:rsidRPr="00ED7FBD" w14:paraId="4458FCB9" w14:textId="77777777" w:rsidTr="004B1AA0">
        <w:tc>
          <w:tcPr>
            <w:tcW w:w="3969" w:type="dxa"/>
            <w:hideMark/>
          </w:tcPr>
          <w:p w14:paraId="2BE6963F" w14:textId="77777777" w:rsidR="00D67940" w:rsidRPr="00ED7FBD" w:rsidRDefault="00D67940">
            <w:pPr>
              <w:pStyle w:val="NormalWeb"/>
              <w:rPr>
                <w:sz w:val="18"/>
                <w:szCs w:val="18"/>
              </w:rPr>
            </w:pPr>
            <w:r w:rsidRPr="00ED7FBD">
              <w:rPr>
                <w:sz w:val="18"/>
                <w:szCs w:val="18"/>
              </w:rPr>
              <w:t>70–74</w:t>
            </w:r>
          </w:p>
        </w:tc>
        <w:tc>
          <w:tcPr>
            <w:tcW w:w="1843" w:type="dxa"/>
            <w:hideMark/>
          </w:tcPr>
          <w:p w14:paraId="481ECB93" w14:textId="77777777" w:rsidR="00D67940" w:rsidRPr="00ED7FBD" w:rsidRDefault="00D67940" w:rsidP="003174EC">
            <w:pPr>
              <w:pStyle w:val="NormalWeb"/>
              <w:jc w:val="center"/>
              <w:rPr>
                <w:sz w:val="18"/>
                <w:szCs w:val="18"/>
              </w:rPr>
            </w:pPr>
            <w:r w:rsidRPr="00ED7FBD">
              <w:rPr>
                <w:sz w:val="18"/>
                <w:szCs w:val="18"/>
              </w:rPr>
              <w:t>3</w:t>
            </w:r>
          </w:p>
        </w:tc>
        <w:tc>
          <w:tcPr>
            <w:tcW w:w="1843" w:type="dxa"/>
            <w:hideMark/>
          </w:tcPr>
          <w:p w14:paraId="60749453" w14:textId="77777777" w:rsidR="00D67940" w:rsidRPr="00ED7FBD" w:rsidRDefault="00D67940" w:rsidP="003174EC">
            <w:pPr>
              <w:pStyle w:val="NormalWeb"/>
              <w:jc w:val="center"/>
              <w:rPr>
                <w:sz w:val="18"/>
                <w:szCs w:val="18"/>
              </w:rPr>
            </w:pPr>
            <w:r w:rsidRPr="00ED7FBD">
              <w:rPr>
                <w:sz w:val="18"/>
                <w:szCs w:val="18"/>
              </w:rPr>
              <w:t>64</w:t>
            </w:r>
          </w:p>
        </w:tc>
        <w:tc>
          <w:tcPr>
            <w:tcW w:w="1843" w:type="dxa"/>
            <w:hideMark/>
          </w:tcPr>
          <w:p w14:paraId="736B30C1" w14:textId="77777777" w:rsidR="00D67940" w:rsidRPr="00ED7FBD" w:rsidRDefault="00D67940" w:rsidP="003174EC">
            <w:pPr>
              <w:pStyle w:val="NormalWeb"/>
              <w:jc w:val="center"/>
              <w:rPr>
                <w:sz w:val="18"/>
                <w:szCs w:val="18"/>
              </w:rPr>
            </w:pPr>
            <w:r w:rsidRPr="00ED7FBD">
              <w:rPr>
                <w:sz w:val="18"/>
                <w:szCs w:val="18"/>
              </w:rPr>
              <w:t>3</w:t>
            </w:r>
          </w:p>
        </w:tc>
        <w:tc>
          <w:tcPr>
            <w:tcW w:w="968" w:type="dxa"/>
            <w:hideMark/>
          </w:tcPr>
          <w:p w14:paraId="723A5EEF" w14:textId="77777777" w:rsidR="00D67940" w:rsidRPr="00ED7FBD" w:rsidRDefault="00D67940" w:rsidP="003174EC">
            <w:pPr>
              <w:pStyle w:val="NormalWeb"/>
              <w:jc w:val="center"/>
              <w:rPr>
                <w:sz w:val="18"/>
                <w:szCs w:val="18"/>
              </w:rPr>
            </w:pPr>
            <w:r w:rsidRPr="00ED7FBD">
              <w:rPr>
                <w:sz w:val="18"/>
                <w:szCs w:val="18"/>
              </w:rPr>
              <w:t>70</w:t>
            </w:r>
          </w:p>
        </w:tc>
      </w:tr>
      <w:tr w:rsidR="00D67940" w:rsidRPr="00ED7FBD" w14:paraId="5E6B2693" w14:textId="77777777" w:rsidTr="004B1AA0">
        <w:trPr>
          <w:cnfStyle w:val="000000010000" w:firstRow="0" w:lastRow="0" w:firstColumn="0" w:lastColumn="0" w:oddVBand="0" w:evenVBand="0" w:oddHBand="0" w:evenHBand="1" w:firstRowFirstColumn="0" w:firstRowLastColumn="0" w:lastRowFirstColumn="0" w:lastRowLastColumn="0"/>
        </w:trPr>
        <w:tc>
          <w:tcPr>
            <w:tcW w:w="3969" w:type="dxa"/>
            <w:hideMark/>
          </w:tcPr>
          <w:p w14:paraId="24E40F77" w14:textId="77777777" w:rsidR="00D67940" w:rsidRPr="00ED7FBD" w:rsidRDefault="00D67940">
            <w:pPr>
              <w:pStyle w:val="NormalWeb"/>
              <w:rPr>
                <w:sz w:val="18"/>
                <w:szCs w:val="18"/>
              </w:rPr>
            </w:pPr>
            <w:r w:rsidRPr="00ED7FBD">
              <w:rPr>
                <w:sz w:val="18"/>
                <w:szCs w:val="18"/>
              </w:rPr>
              <w:t>75–79</w:t>
            </w:r>
          </w:p>
        </w:tc>
        <w:tc>
          <w:tcPr>
            <w:tcW w:w="1843" w:type="dxa"/>
            <w:hideMark/>
          </w:tcPr>
          <w:p w14:paraId="5C31FBEE" w14:textId="77777777" w:rsidR="00D67940" w:rsidRPr="00ED7FBD" w:rsidRDefault="00D67940" w:rsidP="003174EC">
            <w:pPr>
              <w:pStyle w:val="NormalWeb"/>
              <w:jc w:val="center"/>
              <w:rPr>
                <w:sz w:val="18"/>
                <w:szCs w:val="18"/>
              </w:rPr>
            </w:pPr>
            <w:r w:rsidRPr="00ED7FBD">
              <w:rPr>
                <w:sz w:val="18"/>
                <w:szCs w:val="18"/>
              </w:rPr>
              <w:t>2</w:t>
            </w:r>
          </w:p>
        </w:tc>
        <w:tc>
          <w:tcPr>
            <w:tcW w:w="1843" w:type="dxa"/>
            <w:hideMark/>
          </w:tcPr>
          <w:p w14:paraId="049AC00B" w14:textId="77777777" w:rsidR="00D67940" w:rsidRPr="00ED7FBD" w:rsidRDefault="00D67940" w:rsidP="003174EC">
            <w:pPr>
              <w:pStyle w:val="NormalWeb"/>
              <w:jc w:val="center"/>
              <w:rPr>
                <w:sz w:val="18"/>
                <w:szCs w:val="18"/>
              </w:rPr>
            </w:pPr>
            <w:r w:rsidRPr="00ED7FBD">
              <w:rPr>
                <w:sz w:val="18"/>
                <w:szCs w:val="18"/>
              </w:rPr>
              <w:t>48</w:t>
            </w:r>
          </w:p>
        </w:tc>
        <w:tc>
          <w:tcPr>
            <w:tcW w:w="1843" w:type="dxa"/>
            <w:hideMark/>
          </w:tcPr>
          <w:p w14:paraId="3FC60CA9" w14:textId="77777777" w:rsidR="00D67940" w:rsidRPr="00ED7FBD" w:rsidRDefault="00D67940" w:rsidP="003174EC">
            <w:pPr>
              <w:pStyle w:val="NormalWeb"/>
              <w:jc w:val="center"/>
              <w:rPr>
                <w:sz w:val="18"/>
                <w:szCs w:val="18"/>
              </w:rPr>
            </w:pPr>
            <w:r w:rsidRPr="00ED7FBD">
              <w:rPr>
                <w:sz w:val="18"/>
                <w:szCs w:val="18"/>
              </w:rPr>
              <w:t>4</w:t>
            </w:r>
          </w:p>
        </w:tc>
        <w:tc>
          <w:tcPr>
            <w:tcW w:w="968" w:type="dxa"/>
            <w:hideMark/>
          </w:tcPr>
          <w:p w14:paraId="2BE07EBF" w14:textId="77777777" w:rsidR="00D67940" w:rsidRPr="00ED7FBD" w:rsidRDefault="00D67940" w:rsidP="003174EC">
            <w:pPr>
              <w:pStyle w:val="NormalWeb"/>
              <w:jc w:val="center"/>
              <w:rPr>
                <w:sz w:val="18"/>
                <w:szCs w:val="18"/>
              </w:rPr>
            </w:pPr>
            <w:r w:rsidRPr="00ED7FBD">
              <w:rPr>
                <w:sz w:val="18"/>
                <w:szCs w:val="18"/>
              </w:rPr>
              <w:t>54</w:t>
            </w:r>
          </w:p>
        </w:tc>
      </w:tr>
      <w:tr w:rsidR="006858F7" w:rsidRPr="00ED7FBD" w14:paraId="6B226217" w14:textId="77777777" w:rsidTr="004B1AA0">
        <w:tc>
          <w:tcPr>
            <w:tcW w:w="3969" w:type="dxa"/>
            <w:hideMark/>
          </w:tcPr>
          <w:p w14:paraId="4FB3B04A" w14:textId="77777777" w:rsidR="00D67940" w:rsidRPr="00ED7FBD" w:rsidRDefault="00D67940">
            <w:pPr>
              <w:pStyle w:val="NormalWeb"/>
              <w:rPr>
                <w:sz w:val="18"/>
                <w:szCs w:val="18"/>
              </w:rPr>
            </w:pPr>
            <w:r w:rsidRPr="00ED7FBD">
              <w:rPr>
                <w:sz w:val="18"/>
                <w:szCs w:val="18"/>
              </w:rPr>
              <w:t>80–84</w:t>
            </w:r>
          </w:p>
        </w:tc>
        <w:tc>
          <w:tcPr>
            <w:tcW w:w="1843" w:type="dxa"/>
            <w:hideMark/>
          </w:tcPr>
          <w:p w14:paraId="3B7EED63" w14:textId="77777777" w:rsidR="00D67940" w:rsidRPr="00ED7FBD" w:rsidRDefault="00D67940" w:rsidP="003174EC">
            <w:pPr>
              <w:pStyle w:val="NormalWeb"/>
              <w:jc w:val="center"/>
              <w:rPr>
                <w:sz w:val="18"/>
                <w:szCs w:val="18"/>
              </w:rPr>
            </w:pPr>
            <w:r w:rsidRPr="00ED7FBD">
              <w:rPr>
                <w:sz w:val="18"/>
                <w:szCs w:val="18"/>
              </w:rPr>
              <w:t>0</w:t>
            </w:r>
          </w:p>
        </w:tc>
        <w:tc>
          <w:tcPr>
            <w:tcW w:w="1843" w:type="dxa"/>
            <w:hideMark/>
          </w:tcPr>
          <w:p w14:paraId="0F65B507" w14:textId="77777777" w:rsidR="00D67940" w:rsidRPr="00ED7FBD" w:rsidRDefault="00D67940" w:rsidP="003174EC">
            <w:pPr>
              <w:pStyle w:val="NormalWeb"/>
              <w:jc w:val="center"/>
              <w:rPr>
                <w:sz w:val="18"/>
                <w:szCs w:val="18"/>
              </w:rPr>
            </w:pPr>
            <w:r w:rsidRPr="00ED7FBD">
              <w:rPr>
                <w:sz w:val="18"/>
                <w:szCs w:val="18"/>
              </w:rPr>
              <w:t>58</w:t>
            </w:r>
          </w:p>
        </w:tc>
        <w:tc>
          <w:tcPr>
            <w:tcW w:w="1843" w:type="dxa"/>
            <w:hideMark/>
          </w:tcPr>
          <w:p w14:paraId="4BDE7AA6" w14:textId="77777777" w:rsidR="00D67940" w:rsidRPr="00ED7FBD" w:rsidRDefault="00D67940" w:rsidP="003174EC">
            <w:pPr>
              <w:pStyle w:val="NormalWeb"/>
              <w:jc w:val="center"/>
              <w:rPr>
                <w:sz w:val="18"/>
                <w:szCs w:val="18"/>
              </w:rPr>
            </w:pPr>
            <w:r w:rsidRPr="00ED7FBD">
              <w:rPr>
                <w:sz w:val="18"/>
                <w:szCs w:val="18"/>
              </w:rPr>
              <w:t>6</w:t>
            </w:r>
          </w:p>
        </w:tc>
        <w:tc>
          <w:tcPr>
            <w:tcW w:w="968" w:type="dxa"/>
            <w:hideMark/>
          </w:tcPr>
          <w:p w14:paraId="3114197B" w14:textId="77777777" w:rsidR="00D67940" w:rsidRPr="00ED7FBD" w:rsidRDefault="00D67940" w:rsidP="003174EC">
            <w:pPr>
              <w:pStyle w:val="NormalWeb"/>
              <w:jc w:val="center"/>
              <w:rPr>
                <w:sz w:val="18"/>
                <w:szCs w:val="18"/>
              </w:rPr>
            </w:pPr>
            <w:r w:rsidRPr="00ED7FBD">
              <w:rPr>
                <w:sz w:val="18"/>
                <w:szCs w:val="18"/>
              </w:rPr>
              <w:t>64</w:t>
            </w:r>
          </w:p>
        </w:tc>
      </w:tr>
      <w:tr w:rsidR="00D67940" w:rsidRPr="00ED7FBD" w14:paraId="23EB5EDA" w14:textId="77777777" w:rsidTr="00B35B57">
        <w:trPr>
          <w:cnfStyle w:val="000000010000" w:firstRow="0" w:lastRow="0" w:firstColumn="0" w:lastColumn="0" w:oddVBand="0" w:evenVBand="0" w:oddHBand="0" w:evenHBand="1" w:firstRowFirstColumn="0" w:firstRowLastColumn="0" w:lastRowFirstColumn="0" w:lastRowLastColumn="0"/>
        </w:trPr>
        <w:tc>
          <w:tcPr>
            <w:tcW w:w="3969" w:type="dxa"/>
            <w:tcBorders>
              <w:bottom w:val="single" w:sz="4" w:space="0" w:color="auto"/>
            </w:tcBorders>
            <w:hideMark/>
          </w:tcPr>
          <w:p w14:paraId="211A0777" w14:textId="77777777" w:rsidR="00D67940" w:rsidRPr="00ED7FBD" w:rsidRDefault="00D67940">
            <w:pPr>
              <w:pStyle w:val="NormalWeb"/>
              <w:rPr>
                <w:sz w:val="18"/>
                <w:szCs w:val="18"/>
              </w:rPr>
            </w:pPr>
            <w:r w:rsidRPr="00ED7FBD">
              <w:rPr>
                <w:sz w:val="18"/>
                <w:szCs w:val="18"/>
              </w:rPr>
              <w:t>85+</w:t>
            </w:r>
          </w:p>
        </w:tc>
        <w:tc>
          <w:tcPr>
            <w:tcW w:w="1843" w:type="dxa"/>
            <w:tcBorders>
              <w:bottom w:val="single" w:sz="4" w:space="0" w:color="auto"/>
            </w:tcBorders>
            <w:hideMark/>
          </w:tcPr>
          <w:p w14:paraId="7E9D247D" w14:textId="77777777" w:rsidR="00D67940" w:rsidRPr="00ED7FBD" w:rsidRDefault="00D67940" w:rsidP="003174EC">
            <w:pPr>
              <w:pStyle w:val="NormalWeb"/>
              <w:jc w:val="center"/>
              <w:rPr>
                <w:sz w:val="18"/>
                <w:szCs w:val="18"/>
              </w:rPr>
            </w:pPr>
            <w:r w:rsidRPr="00ED7FBD">
              <w:rPr>
                <w:sz w:val="18"/>
                <w:szCs w:val="18"/>
              </w:rPr>
              <w:t>2</w:t>
            </w:r>
          </w:p>
        </w:tc>
        <w:tc>
          <w:tcPr>
            <w:tcW w:w="1843" w:type="dxa"/>
            <w:tcBorders>
              <w:bottom w:val="single" w:sz="4" w:space="0" w:color="auto"/>
            </w:tcBorders>
            <w:hideMark/>
          </w:tcPr>
          <w:p w14:paraId="6D8DBB74" w14:textId="77777777" w:rsidR="00D67940" w:rsidRPr="00ED7FBD" w:rsidRDefault="00D67940" w:rsidP="003174EC">
            <w:pPr>
              <w:pStyle w:val="NormalWeb"/>
              <w:jc w:val="center"/>
              <w:rPr>
                <w:sz w:val="18"/>
                <w:szCs w:val="18"/>
              </w:rPr>
            </w:pPr>
            <w:r w:rsidRPr="00ED7FBD">
              <w:rPr>
                <w:sz w:val="18"/>
                <w:szCs w:val="18"/>
              </w:rPr>
              <w:t>76</w:t>
            </w:r>
          </w:p>
        </w:tc>
        <w:tc>
          <w:tcPr>
            <w:tcW w:w="1843" w:type="dxa"/>
            <w:tcBorders>
              <w:bottom w:val="single" w:sz="4" w:space="0" w:color="auto"/>
            </w:tcBorders>
            <w:hideMark/>
          </w:tcPr>
          <w:p w14:paraId="715D4EA5" w14:textId="77777777" w:rsidR="00D67940" w:rsidRPr="00ED7FBD" w:rsidRDefault="00D67940" w:rsidP="003174EC">
            <w:pPr>
              <w:pStyle w:val="NormalWeb"/>
              <w:jc w:val="center"/>
              <w:rPr>
                <w:sz w:val="18"/>
                <w:szCs w:val="18"/>
              </w:rPr>
            </w:pPr>
            <w:r w:rsidRPr="00ED7FBD">
              <w:rPr>
                <w:sz w:val="18"/>
                <w:szCs w:val="18"/>
              </w:rPr>
              <w:t>3</w:t>
            </w:r>
          </w:p>
        </w:tc>
        <w:tc>
          <w:tcPr>
            <w:tcW w:w="968" w:type="dxa"/>
            <w:tcBorders>
              <w:bottom w:val="single" w:sz="4" w:space="0" w:color="auto"/>
            </w:tcBorders>
            <w:hideMark/>
          </w:tcPr>
          <w:p w14:paraId="239EF360" w14:textId="77777777" w:rsidR="00D67940" w:rsidRPr="00ED7FBD" w:rsidRDefault="00D67940" w:rsidP="003174EC">
            <w:pPr>
              <w:pStyle w:val="NormalWeb"/>
              <w:jc w:val="center"/>
              <w:rPr>
                <w:sz w:val="18"/>
                <w:szCs w:val="18"/>
              </w:rPr>
            </w:pPr>
            <w:r w:rsidRPr="00ED7FBD">
              <w:rPr>
                <w:sz w:val="18"/>
                <w:szCs w:val="18"/>
              </w:rPr>
              <w:t>81</w:t>
            </w:r>
          </w:p>
        </w:tc>
      </w:tr>
      <w:tr w:rsidR="006858F7" w:rsidRPr="00ED7FBD" w14:paraId="3F094946" w14:textId="77777777" w:rsidTr="00B35B57">
        <w:tc>
          <w:tcPr>
            <w:tcW w:w="3969" w:type="dxa"/>
            <w:tcBorders>
              <w:top w:val="single" w:sz="4" w:space="0" w:color="auto"/>
              <w:bottom w:val="single" w:sz="4" w:space="0" w:color="auto"/>
            </w:tcBorders>
            <w:shd w:val="clear" w:color="auto" w:fill="FDE9D9" w:themeFill="accent6" w:themeFillTint="33"/>
            <w:hideMark/>
          </w:tcPr>
          <w:p w14:paraId="17A294C9" w14:textId="77777777" w:rsidR="00D67940" w:rsidRPr="00ED7FBD" w:rsidRDefault="00D67940">
            <w:pPr>
              <w:pStyle w:val="NormalWeb"/>
              <w:rPr>
                <w:b/>
                <w:sz w:val="18"/>
                <w:szCs w:val="18"/>
              </w:rPr>
            </w:pPr>
            <w:r w:rsidRPr="00ED7FBD">
              <w:rPr>
                <w:b/>
                <w:sz w:val="18"/>
                <w:szCs w:val="18"/>
              </w:rPr>
              <w:t>Total</w:t>
            </w:r>
          </w:p>
        </w:tc>
        <w:tc>
          <w:tcPr>
            <w:tcW w:w="1843" w:type="dxa"/>
            <w:tcBorders>
              <w:top w:val="single" w:sz="4" w:space="0" w:color="auto"/>
              <w:bottom w:val="single" w:sz="4" w:space="0" w:color="auto"/>
            </w:tcBorders>
            <w:shd w:val="clear" w:color="auto" w:fill="FDE9D9" w:themeFill="accent6" w:themeFillTint="33"/>
            <w:hideMark/>
          </w:tcPr>
          <w:p w14:paraId="5332905A" w14:textId="77777777" w:rsidR="00D67940" w:rsidRPr="00ED7FBD" w:rsidRDefault="00D67940" w:rsidP="003174EC">
            <w:pPr>
              <w:pStyle w:val="NormalWeb"/>
              <w:jc w:val="center"/>
              <w:rPr>
                <w:b/>
                <w:sz w:val="18"/>
                <w:szCs w:val="18"/>
              </w:rPr>
            </w:pPr>
            <w:r w:rsidRPr="00ED7FBD">
              <w:rPr>
                <w:b/>
                <w:sz w:val="18"/>
                <w:szCs w:val="18"/>
              </w:rPr>
              <w:t>97</w:t>
            </w:r>
          </w:p>
        </w:tc>
        <w:tc>
          <w:tcPr>
            <w:tcW w:w="1843" w:type="dxa"/>
            <w:tcBorders>
              <w:top w:val="single" w:sz="4" w:space="0" w:color="auto"/>
              <w:bottom w:val="single" w:sz="4" w:space="0" w:color="auto"/>
            </w:tcBorders>
            <w:shd w:val="clear" w:color="auto" w:fill="FDE9D9" w:themeFill="accent6" w:themeFillTint="33"/>
            <w:hideMark/>
          </w:tcPr>
          <w:p w14:paraId="55D8A26A" w14:textId="77777777" w:rsidR="00D67940" w:rsidRPr="00ED7FBD" w:rsidRDefault="00D67940" w:rsidP="003174EC">
            <w:pPr>
              <w:pStyle w:val="NormalWeb"/>
              <w:jc w:val="center"/>
              <w:rPr>
                <w:b/>
                <w:sz w:val="18"/>
                <w:szCs w:val="18"/>
              </w:rPr>
            </w:pPr>
            <w:r w:rsidRPr="00ED7FBD">
              <w:rPr>
                <w:b/>
                <w:sz w:val="18"/>
                <w:szCs w:val="18"/>
              </w:rPr>
              <w:t>655</w:t>
            </w:r>
          </w:p>
        </w:tc>
        <w:tc>
          <w:tcPr>
            <w:tcW w:w="1843" w:type="dxa"/>
            <w:tcBorders>
              <w:top w:val="single" w:sz="4" w:space="0" w:color="auto"/>
              <w:bottom w:val="single" w:sz="4" w:space="0" w:color="auto"/>
            </w:tcBorders>
            <w:shd w:val="clear" w:color="auto" w:fill="FDE9D9" w:themeFill="accent6" w:themeFillTint="33"/>
            <w:hideMark/>
          </w:tcPr>
          <w:p w14:paraId="72DB8E8D" w14:textId="77777777" w:rsidR="00D67940" w:rsidRPr="00ED7FBD" w:rsidRDefault="00D67940" w:rsidP="003174EC">
            <w:pPr>
              <w:pStyle w:val="NormalWeb"/>
              <w:jc w:val="center"/>
              <w:rPr>
                <w:b/>
                <w:sz w:val="18"/>
                <w:szCs w:val="18"/>
              </w:rPr>
            </w:pPr>
            <w:r w:rsidRPr="00ED7FBD">
              <w:rPr>
                <w:b/>
                <w:sz w:val="18"/>
                <w:szCs w:val="18"/>
              </w:rPr>
              <w:t>118</w:t>
            </w:r>
          </w:p>
        </w:tc>
        <w:tc>
          <w:tcPr>
            <w:tcW w:w="968" w:type="dxa"/>
            <w:tcBorders>
              <w:top w:val="single" w:sz="4" w:space="0" w:color="auto"/>
              <w:bottom w:val="single" w:sz="4" w:space="0" w:color="auto"/>
            </w:tcBorders>
            <w:shd w:val="clear" w:color="auto" w:fill="FDE9D9" w:themeFill="accent6" w:themeFillTint="33"/>
            <w:hideMark/>
          </w:tcPr>
          <w:p w14:paraId="6BF8B374" w14:textId="77777777" w:rsidR="00D67940" w:rsidRPr="00ED7FBD" w:rsidRDefault="00D67940" w:rsidP="003174EC">
            <w:pPr>
              <w:pStyle w:val="NormalWeb"/>
              <w:jc w:val="center"/>
              <w:rPr>
                <w:b/>
                <w:sz w:val="18"/>
                <w:szCs w:val="18"/>
              </w:rPr>
            </w:pPr>
            <w:r w:rsidRPr="00ED7FBD">
              <w:rPr>
                <w:b/>
                <w:sz w:val="18"/>
                <w:szCs w:val="18"/>
              </w:rPr>
              <w:t>870</w:t>
            </w:r>
          </w:p>
        </w:tc>
      </w:tr>
    </w:tbl>
    <w:p w14:paraId="624CDE11" w14:textId="77777777" w:rsidR="00D67940" w:rsidRPr="00783C4F" w:rsidRDefault="00D67940" w:rsidP="00783C4F">
      <w:pPr>
        <w:pStyle w:val="CDIfootnotes"/>
      </w:pPr>
      <w:r w:rsidRPr="00783C4F">
        <w:t>*</w:t>
      </w:r>
      <w:r w:rsidRPr="00783C4F">
        <w:tab/>
        <w:t>Not reported is defined as not stated, blank or unknown Indigenous status.</w:t>
      </w:r>
    </w:p>
    <w:p w14:paraId="39F011A3" w14:textId="77777777" w:rsidR="00D67940" w:rsidRDefault="00D67940" w:rsidP="001E563E">
      <w:r>
        <w:t>Among non-Indigenous Australians</w:t>
      </w:r>
      <w:r w:rsidR="00B67C04">
        <w:rPr>
          <w:rStyle w:val="FootnoteReference"/>
        </w:rPr>
        <w:footnoteReference w:id="3"/>
      </w:r>
      <w:r>
        <w:t xml:space="preserve"> this quarter, the number of notified cases continued to be highest in children aged less than 5 years and older adult age groups, especially those aged 60 years or older (Table 3). Among Indigenous Australians, notifications tended to be highest among adults aged 25 to 64 years. The proportion of cases reported as Indigenous Australians this quarter (11%; 97/870) was higher compared with the proportion observed in the previous quarter (8%; 41/500), and similar compared to the proportion reported in the third quarter of 2016 (12%; 75/647) (Table 1).</w:t>
      </w:r>
    </w:p>
    <w:p w14:paraId="49E15D6D" w14:textId="77777777" w:rsidR="00D67940" w:rsidRDefault="00D67940" w:rsidP="001E563E">
      <w:r>
        <w:lastRenderedPageBreak/>
        <w:t>In children aged less than 5 years, there were 97 cases of IPD reported, representing 11% (97/870) of all cases reported in this quarter. The proportion of cases notified in this age group was lower in this reporting period when compared with the previous quarter (17%; 85/500), and similar compared to the proportion reported in the third quarter of 2016 (12%; 76/647). Of those cases aged less than 5 years with a known serotype reported this quarter, 46% (29/63) were due to a serotype included in the 13vPCV, compared with 48% (26/54) of cases in the previous quarter and 42% (25/59) in the third quarter of 2016 (Figure 2). Of the 29 cases with 13vPCV serotypes in the third quarter of 2017, 20 cases were reported in fully vaccinated children aged less than 5 years and considered to be 13vPCV failures. These 13vPCV failures were due to serotypes 19A (n=12) and 3 (n=8) (Table 4). During this quarter the main serotypes affecting children aged less than 5 years were 19A (22%; 14/63), followed by 3 (17%; 11/63) (Table 2). Both of these serotypes are included in the 13vPCV.</w:t>
      </w:r>
    </w:p>
    <w:p w14:paraId="65C9F5D0" w14:textId="77777777" w:rsidR="00D67940" w:rsidRDefault="00D67940" w:rsidP="00783C4F">
      <w:pPr>
        <w:pStyle w:val="CDIFigures"/>
      </w:pPr>
      <w:r>
        <w:t>Figure 2: Notifications and annual rates</w:t>
      </w:r>
      <w:r>
        <w:rPr>
          <w:vertAlign w:val="superscript"/>
        </w:rPr>
        <w:t>*</w:t>
      </w:r>
      <w:r>
        <w:t xml:space="preserve"> of invasive pneumococcal disease in children aged less than 5 years, Australia, 1 January 2008 to 30 September 2017, by vaccine serotype group</w:t>
      </w:r>
    </w:p>
    <w:p w14:paraId="0FE816E4" w14:textId="77777777" w:rsidR="00D67940" w:rsidRDefault="00D67940">
      <w:pPr>
        <w:rPr>
          <w:rFonts w:eastAsia="Times New Roman"/>
        </w:rPr>
      </w:pPr>
      <w:r>
        <w:rPr>
          <w:rFonts w:eastAsia="Times New Roman"/>
          <w:noProof/>
        </w:rPr>
        <w:drawing>
          <wp:inline distT="0" distB="0" distL="0" distR="0" wp14:anchorId="56630681" wp14:editId="6701D62A">
            <wp:extent cx="6629400" cy="4734365"/>
            <wp:effectExtent l="0" t="0" r="0" b="9525"/>
            <wp:docPr id="2" name="Picture 2" descr="Figure 2 -This figure shows all notified cases of IPD in children aged less than 5 years in Australia between 2007 and 2017 by quarter, and the vaccine serotype group causing disease. The figure demonstrates that quarterly notified cases have remained below 100 notifications per quarter since 2012 amongst this age group, with disease caused by the 7vPCV occurring rarely in recent quarters. Over the period 2007 to 2011, disease caused by the six additional serotypes targeted by the 13vPCV increased steadily, but have since fallen since the 13vPCV replaced the 7vPCV in the universal childhood immunisation program in mid-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This figure shows all notified cases of IPD in children aged less than 5 years in Australia between 2007 and 2017 by quarter, and the vaccine serotype group causing disease. The figure demonstrates that quarterly notified cases have remained below 100 notifications per quarter since 2012 amongst this age group, with disease caused by the 7vPCV occurring rarely in recent quarters. Over the period 2007 to 2011, disease caused by the six additional serotypes targeted by the 13vPCV increased steadily, but have since fallen since the 13vPCV replaced the 7vPCV in the universal childhood immunisation program in mid-20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32596" cy="4736647"/>
                    </a:xfrm>
                    <a:prstGeom prst="rect">
                      <a:avLst/>
                    </a:prstGeom>
                  </pic:spPr>
                </pic:pic>
              </a:graphicData>
            </a:graphic>
          </wp:inline>
        </w:drawing>
      </w:r>
    </w:p>
    <w:p w14:paraId="55C2D2A3" w14:textId="77777777" w:rsidR="00D67940" w:rsidRPr="00C0637C" w:rsidRDefault="00D67940" w:rsidP="00C0637C">
      <w:pPr>
        <w:pStyle w:val="CDIfootnotes"/>
      </w:pPr>
      <w:r w:rsidRPr="00C0637C">
        <w:t>*</w:t>
      </w:r>
      <w:r w:rsidRPr="00C0637C">
        <w:tab/>
        <w:t>Annual rates are shown on quarter 2, excluding 2017.</w:t>
      </w:r>
    </w:p>
    <w:p w14:paraId="2E179EB1" w14:textId="77777777" w:rsidR="00983926" w:rsidRDefault="00983926" w:rsidP="00966AA8">
      <w:pPr>
        <w:pStyle w:val="CDIFigures"/>
        <w:sectPr w:rsidR="00983926" w:rsidSect="00A30C37">
          <w:footnotePr>
            <w:numFmt w:val="lowerRoman"/>
          </w:footnotePr>
          <w:pgSz w:w="11906" w:h="16838"/>
          <w:pgMar w:top="720" w:right="720" w:bottom="1134" w:left="720" w:header="709" w:footer="284" w:gutter="0"/>
          <w:cols w:space="708"/>
          <w:titlePg/>
          <w:docGrid w:linePitch="360"/>
        </w:sectPr>
      </w:pPr>
    </w:p>
    <w:p w14:paraId="5B2FC038" w14:textId="77777777" w:rsidR="00D67940" w:rsidRPr="00966AA8" w:rsidRDefault="00D67940" w:rsidP="00966AA8">
      <w:pPr>
        <w:pStyle w:val="CDIFigures"/>
      </w:pPr>
      <w:r w:rsidRPr="00966AA8">
        <w:lastRenderedPageBreak/>
        <w:t>Table 4: Characteristics of 13vPCV failures in children aged less than 5 years, Australia, 1</w:t>
      </w:r>
      <w:r w:rsidR="002E54BB">
        <w:t> </w:t>
      </w:r>
      <w:r w:rsidRPr="00966AA8">
        <w:t>July</w:t>
      </w:r>
      <w:r w:rsidR="002E54BB">
        <w:t> </w:t>
      </w:r>
      <w:r w:rsidRPr="00966AA8">
        <w:t>to</w:t>
      </w:r>
      <w:r w:rsidR="002E54BB">
        <w:t> </w:t>
      </w:r>
      <w:r w:rsidRPr="00966AA8">
        <w:t>30</w:t>
      </w:r>
      <w:r w:rsidR="0075153D">
        <w:t> </w:t>
      </w:r>
      <w:r w:rsidRPr="00966AA8">
        <w:t>September</w:t>
      </w:r>
      <w:r w:rsidR="00966AA8">
        <w:t> </w:t>
      </w:r>
      <w:r w:rsidRPr="00966AA8">
        <w:t>2017</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is table shows the characteristics of 13vPCV failures in children aged less than 5 years for the current reporting quarter. This quarter 20 cases were reported in fully vaccinated children aged less than 5 years who were considered to be 13vPCV failures. Serotypes 3 and 19A were the serotypes associated with 13vPCV failures reported this quarter."/>
      </w:tblPr>
      <w:tblGrid>
        <w:gridCol w:w="1418"/>
        <w:gridCol w:w="2551"/>
        <w:gridCol w:w="1701"/>
        <w:gridCol w:w="4678"/>
        <w:gridCol w:w="4636"/>
      </w:tblGrid>
      <w:tr w:rsidR="00D67940" w:rsidRPr="001D7D5C" w14:paraId="09C755A3" w14:textId="77777777" w:rsidTr="00673DBC">
        <w:trPr>
          <w:cnfStyle w:val="100000000000" w:firstRow="1" w:lastRow="0" w:firstColumn="0" w:lastColumn="0" w:oddVBand="0" w:evenVBand="0" w:oddHBand="0" w:evenHBand="0" w:firstRowFirstColumn="0" w:firstRowLastColumn="0" w:lastRowFirstColumn="0" w:lastRowLastColumn="0"/>
          <w:tblHeader/>
        </w:trPr>
        <w:tc>
          <w:tcPr>
            <w:tcW w:w="1418" w:type="dxa"/>
            <w:hideMark/>
          </w:tcPr>
          <w:p w14:paraId="51EE0EF7" w14:textId="77777777" w:rsidR="00D67940" w:rsidRPr="001D7D5C" w:rsidRDefault="00D67940">
            <w:pPr>
              <w:pStyle w:val="NormalWeb"/>
              <w:rPr>
                <w:color w:val="FFFFFF" w:themeColor="background1"/>
                <w:sz w:val="18"/>
                <w:szCs w:val="18"/>
              </w:rPr>
            </w:pPr>
            <w:r w:rsidRPr="001D7D5C">
              <w:rPr>
                <w:color w:val="FFFFFF" w:themeColor="background1"/>
                <w:sz w:val="18"/>
                <w:szCs w:val="18"/>
              </w:rPr>
              <w:t>Age</w:t>
            </w:r>
          </w:p>
        </w:tc>
        <w:tc>
          <w:tcPr>
            <w:tcW w:w="2551" w:type="dxa"/>
            <w:hideMark/>
          </w:tcPr>
          <w:p w14:paraId="34C105C7" w14:textId="77777777" w:rsidR="00D67940" w:rsidRPr="001D7D5C" w:rsidRDefault="00D67940" w:rsidP="005A7B7B">
            <w:pPr>
              <w:pStyle w:val="NormalWeb"/>
              <w:jc w:val="center"/>
              <w:rPr>
                <w:color w:val="FFFFFF" w:themeColor="background1"/>
                <w:sz w:val="18"/>
                <w:szCs w:val="18"/>
              </w:rPr>
            </w:pPr>
            <w:r w:rsidRPr="001D7D5C">
              <w:rPr>
                <w:color w:val="FFFFFF" w:themeColor="background1"/>
                <w:sz w:val="18"/>
                <w:szCs w:val="18"/>
              </w:rPr>
              <w:t>Indigenous status</w:t>
            </w:r>
          </w:p>
        </w:tc>
        <w:tc>
          <w:tcPr>
            <w:tcW w:w="1701" w:type="dxa"/>
            <w:hideMark/>
          </w:tcPr>
          <w:p w14:paraId="6C077A48" w14:textId="77777777" w:rsidR="00D67940" w:rsidRPr="001D7D5C" w:rsidRDefault="00D67940" w:rsidP="005A7B7B">
            <w:pPr>
              <w:pStyle w:val="NormalWeb"/>
              <w:jc w:val="center"/>
              <w:rPr>
                <w:color w:val="FFFFFF" w:themeColor="background1"/>
                <w:sz w:val="18"/>
                <w:szCs w:val="18"/>
              </w:rPr>
            </w:pPr>
            <w:r w:rsidRPr="001D7D5C">
              <w:rPr>
                <w:color w:val="FFFFFF" w:themeColor="background1"/>
                <w:sz w:val="18"/>
                <w:szCs w:val="18"/>
              </w:rPr>
              <w:t>Serotype</w:t>
            </w:r>
          </w:p>
        </w:tc>
        <w:tc>
          <w:tcPr>
            <w:tcW w:w="4678" w:type="dxa"/>
            <w:hideMark/>
          </w:tcPr>
          <w:p w14:paraId="75EB17EF" w14:textId="77777777" w:rsidR="00D67940" w:rsidRPr="001D7D5C" w:rsidRDefault="00D67940" w:rsidP="005A7B7B">
            <w:pPr>
              <w:pStyle w:val="NormalWeb"/>
              <w:jc w:val="center"/>
              <w:rPr>
                <w:color w:val="FFFFFF" w:themeColor="background1"/>
                <w:sz w:val="18"/>
                <w:szCs w:val="18"/>
              </w:rPr>
            </w:pPr>
            <w:r w:rsidRPr="001D7D5C">
              <w:rPr>
                <w:color w:val="FFFFFF" w:themeColor="background1"/>
                <w:sz w:val="18"/>
                <w:szCs w:val="18"/>
              </w:rPr>
              <w:t>Clinical category</w:t>
            </w:r>
          </w:p>
        </w:tc>
        <w:tc>
          <w:tcPr>
            <w:tcW w:w="4636" w:type="dxa"/>
            <w:hideMark/>
          </w:tcPr>
          <w:p w14:paraId="57022EB9" w14:textId="77777777" w:rsidR="00D67940" w:rsidRPr="001D7D5C" w:rsidRDefault="00D67940" w:rsidP="005A7B7B">
            <w:pPr>
              <w:pStyle w:val="NormalWeb"/>
              <w:jc w:val="center"/>
              <w:rPr>
                <w:color w:val="FFFFFF" w:themeColor="background1"/>
                <w:sz w:val="18"/>
                <w:szCs w:val="18"/>
              </w:rPr>
            </w:pPr>
            <w:r w:rsidRPr="001D7D5C">
              <w:rPr>
                <w:color w:val="FFFFFF" w:themeColor="background1"/>
                <w:sz w:val="18"/>
                <w:szCs w:val="18"/>
              </w:rPr>
              <w:t>Risk factor(s)</w:t>
            </w:r>
          </w:p>
        </w:tc>
      </w:tr>
      <w:tr w:rsidR="00D67940" w:rsidRPr="001D7D5C" w14:paraId="547D0484" w14:textId="77777777" w:rsidTr="009E6E6C">
        <w:tc>
          <w:tcPr>
            <w:tcW w:w="1418" w:type="dxa"/>
            <w:hideMark/>
          </w:tcPr>
          <w:p w14:paraId="3F2D0D4E" w14:textId="77777777" w:rsidR="00D67940" w:rsidRPr="001D7D5C" w:rsidRDefault="00D67940">
            <w:pPr>
              <w:pStyle w:val="NormalWeb"/>
              <w:rPr>
                <w:sz w:val="18"/>
                <w:szCs w:val="18"/>
              </w:rPr>
            </w:pPr>
            <w:r w:rsidRPr="001D7D5C">
              <w:rPr>
                <w:sz w:val="18"/>
                <w:szCs w:val="18"/>
              </w:rPr>
              <w:t>11 months</w:t>
            </w:r>
          </w:p>
        </w:tc>
        <w:tc>
          <w:tcPr>
            <w:tcW w:w="2551" w:type="dxa"/>
            <w:hideMark/>
          </w:tcPr>
          <w:p w14:paraId="3E6440ED"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271BAAE7"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6B781B7C" w14:textId="77777777" w:rsidR="00D67940" w:rsidRPr="001D7D5C" w:rsidRDefault="00D67940" w:rsidP="005A7B7B">
            <w:pPr>
              <w:pStyle w:val="NormalWeb"/>
              <w:jc w:val="center"/>
              <w:rPr>
                <w:sz w:val="18"/>
                <w:szCs w:val="18"/>
              </w:rPr>
            </w:pPr>
            <w:r w:rsidRPr="001D7D5C">
              <w:rPr>
                <w:sz w:val="18"/>
                <w:szCs w:val="18"/>
              </w:rPr>
              <w:t>Septic arthritis</w:t>
            </w:r>
          </w:p>
        </w:tc>
        <w:tc>
          <w:tcPr>
            <w:tcW w:w="4636" w:type="dxa"/>
            <w:hideMark/>
          </w:tcPr>
          <w:p w14:paraId="79C34D65" w14:textId="77777777" w:rsidR="00D67940" w:rsidRPr="001D7D5C" w:rsidRDefault="00D67940" w:rsidP="005A7B7B">
            <w:pPr>
              <w:pStyle w:val="NormalWeb"/>
              <w:jc w:val="center"/>
              <w:rPr>
                <w:sz w:val="18"/>
                <w:szCs w:val="18"/>
              </w:rPr>
            </w:pPr>
            <w:r w:rsidRPr="001D7D5C">
              <w:rPr>
                <w:sz w:val="18"/>
                <w:szCs w:val="18"/>
              </w:rPr>
              <w:t>Childcare attendee</w:t>
            </w:r>
          </w:p>
        </w:tc>
      </w:tr>
      <w:tr w:rsidR="00D67940" w:rsidRPr="001D7D5C" w14:paraId="42104E37"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5B231A49" w14:textId="77777777" w:rsidR="00D67940" w:rsidRPr="001D7D5C" w:rsidRDefault="00D67940">
            <w:pPr>
              <w:pStyle w:val="NormalWeb"/>
              <w:rPr>
                <w:sz w:val="18"/>
                <w:szCs w:val="18"/>
              </w:rPr>
            </w:pPr>
            <w:r w:rsidRPr="001D7D5C">
              <w:rPr>
                <w:sz w:val="18"/>
                <w:szCs w:val="18"/>
              </w:rPr>
              <w:t>1 year</w:t>
            </w:r>
          </w:p>
        </w:tc>
        <w:tc>
          <w:tcPr>
            <w:tcW w:w="2551" w:type="dxa"/>
            <w:hideMark/>
          </w:tcPr>
          <w:p w14:paraId="6CB456A8"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5D6D59B3"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47170CCE" w14:textId="77777777" w:rsidR="00D67940" w:rsidRPr="001D7D5C" w:rsidRDefault="00D67940" w:rsidP="005A7B7B">
            <w:pPr>
              <w:pStyle w:val="NormalWeb"/>
              <w:jc w:val="center"/>
              <w:rPr>
                <w:sz w:val="18"/>
                <w:szCs w:val="18"/>
              </w:rPr>
            </w:pPr>
            <w:r w:rsidRPr="001D7D5C">
              <w:rPr>
                <w:sz w:val="18"/>
                <w:szCs w:val="18"/>
              </w:rPr>
              <w:t>Other sterile site</w:t>
            </w:r>
          </w:p>
        </w:tc>
        <w:tc>
          <w:tcPr>
            <w:tcW w:w="4636" w:type="dxa"/>
            <w:hideMark/>
          </w:tcPr>
          <w:p w14:paraId="5A532070"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7A3F5DE8" w14:textId="77777777" w:rsidTr="009E6E6C">
        <w:tc>
          <w:tcPr>
            <w:tcW w:w="1418" w:type="dxa"/>
            <w:hideMark/>
          </w:tcPr>
          <w:p w14:paraId="0695728B" w14:textId="77777777" w:rsidR="00D67940" w:rsidRPr="001D7D5C" w:rsidRDefault="00D67940">
            <w:pPr>
              <w:pStyle w:val="NormalWeb"/>
              <w:rPr>
                <w:sz w:val="18"/>
                <w:szCs w:val="18"/>
              </w:rPr>
            </w:pPr>
            <w:r w:rsidRPr="001D7D5C">
              <w:rPr>
                <w:sz w:val="18"/>
                <w:szCs w:val="18"/>
              </w:rPr>
              <w:t>1 year</w:t>
            </w:r>
          </w:p>
        </w:tc>
        <w:tc>
          <w:tcPr>
            <w:tcW w:w="2551" w:type="dxa"/>
            <w:hideMark/>
          </w:tcPr>
          <w:p w14:paraId="2E57FAD1"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003DDFDF"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60C22D79" w14:textId="77777777" w:rsidR="00D67940" w:rsidRPr="001D7D5C" w:rsidRDefault="00D67940" w:rsidP="005A7B7B">
            <w:pPr>
              <w:pStyle w:val="NormalWeb"/>
              <w:jc w:val="center"/>
              <w:rPr>
                <w:sz w:val="18"/>
                <w:szCs w:val="18"/>
              </w:rPr>
            </w:pPr>
            <w:r w:rsidRPr="001D7D5C">
              <w:rPr>
                <w:sz w:val="18"/>
                <w:szCs w:val="18"/>
              </w:rPr>
              <w:t>Other sterile site</w:t>
            </w:r>
          </w:p>
        </w:tc>
        <w:tc>
          <w:tcPr>
            <w:tcW w:w="4636" w:type="dxa"/>
            <w:hideMark/>
          </w:tcPr>
          <w:p w14:paraId="14577565" w14:textId="77777777" w:rsidR="00D67940" w:rsidRPr="001D7D5C" w:rsidRDefault="00D67940" w:rsidP="005A7B7B">
            <w:pPr>
              <w:pStyle w:val="NormalWeb"/>
              <w:jc w:val="center"/>
              <w:rPr>
                <w:sz w:val="18"/>
                <w:szCs w:val="18"/>
              </w:rPr>
            </w:pPr>
            <w:r w:rsidRPr="001D7D5C">
              <w:rPr>
                <w:sz w:val="18"/>
                <w:szCs w:val="18"/>
              </w:rPr>
              <w:t>Premature (&lt;37 weeks gestation)</w:t>
            </w:r>
          </w:p>
        </w:tc>
      </w:tr>
      <w:tr w:rsidR="00D67940" w:rsidRPr="001D7D5C" w14:paraId="68C4598C"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6C0292A7" w14:textId="77777777" w:rsidR="00D67940" w:rsidRPr="001D7D5C" w:rsidRDefault="00D67940">
            <w:pPr>
              <w:pStyle w:val="NormalWeb"/>
              <w:rPr>
                <w:sz w:val="18"/>
                <w:szCs w:val="18"/>
              </w:rPr>
            </w:pPr>
            <w:r w:rsidRPr="001D7D5C">
              <w:rPr>
                <w:sz w:val="18"/>
                <w:szCs w:val="18"/>
              </w:rPr>
              <w:t>1 year</w:t>
            </w:r>
          </w:p>
        </w:tc>
        <w:tc>
          <w:tcPr>
            <w:tcW w:w="2551" w:type="dxa"/>
            <w:hideMark/>
          </w:tcPr>
          <w:p w14:paraId="39C0F6CC"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3AC8B9C4"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418B5CE2" w14:textId="77777777" w:rsidR="00D67940" w:rsidRPr="001D7D5C" w:rsidRDefault="00D67940" w:rsidP="005A7B7B">
            <w:pPr>
              <w:pStyle w:val="NormalWeb"/>
              <w:jc w:val="center"/>
              <w:rPr>
                <w:sz w:val="18"/>
                <w:szCs w:val="18"/>
              </w:rPr>
            </w:pPr>
            <w:r w:rsidRPr="001D7D5C">
              <w:rPr>
                <w:sz w:val="18"/>
                <w:szCs w:val="18"/>
              </w:rPr>
              <w:t>Bacteraemia</w:t>
            </w:r>
          </w:p>
        </w:tc>
        <w:tc>
          <w:tcPr>
            <w:tcW w:w="4636" w:type="dxa"/>
            <w:hideMark/>
          </w:tcPr>
          <w:p w14:paraId="1A772B49"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174DB1A4" w14:textId="77777777" w:rsidTr="009E6E6C">
        <w:tc>
          <w:tcPr>
            <w:tcW w:w="1418" w:type="dxa"/>
            <w:hideMark/>
          </w:tcPr>
          <w:p w14:paraId="4FAC3B61" w14:textId="77777777" w:rsidR="00D67940" w:rsidRPr="001D7D5C" w:rsidRDefault="00D67940">
            <w:pPr>
              <w:pStyle w:val="NormalWeb"/>
              <w:rPr>
                <w:sz w:val="18"/>
                <w:szCs w:val="18"/>
              </w:rPr>
            </w:pPr>
            <w:r w:rsidRPr="001D7D5C">
              <w:rPr>
                <w:sz w:val="18"/>
                <w:szCs w:val="18"/>
              </w:rPr>
              <w:t>1 year</w:t>
            </w:r>
          </w:p>
        </w:tc>
        <w:tc>
          <w:tcPr>
            <w:tcW w:w="2551" w:type="dxa"/>
            <w:hideMark/>
          </w:tcPr>
          <w:p w14:paraId="1D6EEB2E"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43410F9D"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3200D3F3" w14:textId="77777777" w:rsidR="00D67940" w:rsidRPr="001D7D5C" w:rsidRDefault="00D67940" w:rsidP="005A7B7B">
            <w:pPr>
              <w:pStyle w:val="NormalWeb"/>
              <w:jc w:val="center"/>
              <w:rPr>
                <w:sz w:val="18"/>
                <w:szCs w:val="18"/>
              </w:rPr>
            </w:pPr>
            <w:r w:rsidRPr="001D7D5C">
              <w:rPr>
                <w:sz w:val="18"/>
                <w:szCs w:val="18"/>
              </w:rPr>
              <w:t>Pneumonia and other (pleural effusion)</w:t>
            </w:r>
          </w:p>
        </w:tc>
        <w:tc>
          <w:tcPr>
            <w:tcW w:w="4636" w:type="dxa"/>
            <w:hideMark/>
          </w:tcPr>
          <w:p w14:paraId="64CFE9EA" w14:textId="77777777" w:rsidR="00D67940" w:rsidRPr="001D7D5C" w:rsidRDefault="00D67940" w:rsidP="005A7B7B">
            <w:pPr>
              <w:pStyle w:val="NormalWeb"/>
              <w:jc w:val="center"/>
              <w:rPr>
                <w:sz w:val="18"/>
                <w:szCs w:val="18"/>
              </w:rPr>
            </w:pPr>
            <w:r w:rsidRPr="001D7D5C">
              <w:rPr>
                <w:sz w:val="18"/>
                <w:szCs w:val="18"/>
              </w:rPr>
              <w:t>Unknown</w:t>
            </w:r>
          </w:p>
        </w:tc>
      </w:tr>
      <w:tr w:rsidR="00D67940" w:rsidRPr="001D7D5C" w14:paraId="7497A9D6"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1AA4AF2E" w14:textId="77777777" w:rsidR="00D67940" w:rsidRPr="001D7D5C" w:rsidRDefault="00D67940">
            <w:pPr>
              <w:pStyle w:val="NormalWeb"/>
              <w:rPr>
                <w:sz w:val="18"/>
                <w:szCs w:val="18"/>
              </w:rPr>
            </w:pPr>
            <w:r w:rsidRPr="001D7D5C">
              <w:rPr>
                <w:sz w:val="18"/>
                <w:szCs w:val="18"/>
              </w:rPr>
              <w:t>1 year</w:t>
            </w:r>
          </w:p>
        </w:tc>
        <w:tc>
          <w:tcPr>
            <w:tcW w:w="2551" w:type="dxa"/>
            <w:hideMark/>
          </w:tcPr>
          <w:p w14:paraId="3AE13FF1"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6E5EDE49"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48827946" w14:textId="77777777" w:rsidR="00D67940" w:rsidRPr="001D7D5C" w:rsidRDefault="00D67940" w:rsidP="005A7B7B">
            <w:pPr>
              <w:pStyle w:val="NormalWeb"/>
              <w:jc w:val="center"/>
              <w:rPr>
                <w:sz w:val="18"/>
                <w:szCs w:val="18"/>
              </w:rPr>
            </w:pPr>
            <w:r w:rsidRPr="001D7D5C">
              <w:rPr>
                <w:sz w:val="18"/>
                <w:szCs w:val="18"/>
              </w:rPr>
              <w:t>Bacteraemia</w:t>
            </w:r>
          </w:p>
        </w:tc>
        <w:tc>
          <w:tcPr>
            <w:tcW w:w="4636" w:type="dxa"/>
            <w:hideMark/>
          </w:tcPr>
          <w:p w14:paraId="50735BDA"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3E1861A5" w14:textId="77777777" w:rsidTr="009E6E6C">
        <w:tc>
          <w:tcPr>
            <w:tcW w:w="1418" w:type="dxa"/>
            <w:hideMark/>
          </w:tcPr>
          <w:p w14:paraId="795B694E" w14:textId="77777777" w:rsidR="00D67940" w:rsidRPr="001D7D5C" w:rsidRDefault="00D67940">
            <w:pPr>
              <w:pStyle w:val="NormalWeb"/>
              <w:rPr>
                <w:sz w:val="18"/>
                <w:szCs w:val="18"/>
              </w:rPr>
            </w:pPr>
            <w:r w:rsidRPr="001D7D5C">
              <w:rPr>
                <w:sz w:val="18"/>
                <w:szCs w:val="18"/>
              </w:rPr>
              <w:t>1 year</w:t>
            </w:r>
          </w:p>
        </w:tc>
        <w:tc>
          <w:tcPr>
            <w:tcW w:w="2551" w:type="dxa"/>
            <w:hideMark/>
          </w:tcPr>
          <w:p w14:paraId="42E3CB33"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37F732BA"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2161E330" w14:textId="77777777" w:rsidR="00D67940" w:rsidRPr="001D7D5C" w:rsidRDefault="00D67940" w:rsidP="005A7B7B">
            <w:pPr>
              <w:pStyle w:val="NormalWeb"/>
              <w:jc w:val="center"/>
              <w:rPr>
                <w:sz w:val="18"/>
                <w:szCs w:val="18"/>
              </w:rPr>
            </w:pPr>
            <w:r w:rsidRPr="001D7D5C">
              <w:rPr>
                <w:sz w:val="18"/>
                <w:szCs w:val="18"/>
              </w:rPr>
              <w:t>Other sterile site</w:t>
            </w:r>
          </w:p>
        </w:tc>
        <w:tc>
          <w:tcPr>
            <w:tcW w:w="4636" w:type="dxa"/>
            <w:hideMark/>
          </w:tcPr>
          <w:p w14:paraId="43556534" w14:textId="77777777" w:rsidR="00D67940" w:rsidRPr="001D7D5C" w:rsidRDefault="00D67940" w:rsidP="005A7B7B">
            <w:pPr>
              <w:pStyle w:val="NormalWeb"/>
              <w:jc w:val="center"/>
              <w:rPr>
                <w:sz w:val="18"/>
                <w:szCs w:val="18"/>
              </w:rPr>
            </w:pPr>
            <w:r w:rsidRPr="001D7D5C">
              <w:rPr>
                <w:sz w:val="18"/>
                <w:szCs w:val="18"/>
              </w:rPr>
              <w:t>Childcare attendee</w:t>
            </w:r>
          </w:p>
        </w:tc>
      </w:tr>
      <w:tr w:rsidR="00D67940" w:rsidRPr="001D7D5C" w14:paraId="01E5B012"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4866C40B" w14:textId="77777777" w:rsidR="00D67940" w:rsidRPr="001D7D5C" w:rsidRDefault="00D67940">
            <w:pPr>
              <w:pStyle w:val="NormalWeb"/>
              <w:rPr>
                <w:sz w:val="18"/>
                <w:szCs w:val="18"/>
              </w:rPr>
            </w:pPr>
            <w:r w:rsidRPr="001D7D5C">
              <w:rPr>
                <w:sz w:val="18"/>
                <w:szCs w:val="18"/>
              </w:rPr>
              <w:t>1 year</w:t>
            </w:r>
          </w:p>
        </w:tc>
        <w:tc>
          <w:tcPr>
            <w:tcW w:w="2551" w:type="dxa"/>
            <w:hideMark/>
          </w:tcPr>
          <w:p w14:paraId="297BB051"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0927D07F"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57764D09" w14:textId="77777777" w:rsidR="00D67940" w:rsidRPr="001D7D5C" w:rsidRDefault="00D67940" w:rsidP="005A7B7B">
            <w:pPr>
              <w:pStyle w:val="NormalWeb"/>
              <w:jc w:val="center"/>
              <w:rPr>
                <w:sz w:val="18"/>
                <w:szCs w:val="18"/>
              </w:rPr>
            </w:pPr>
            <w:r w:rsidRPr="001D7D5C">
              <w:rPr>
                <w:sz w:val="18"/>
                <w:szCs w:val="18"/>
              </w:rPr>
              <w:t>Pneumonia</w:t>
            </w:r>
          </w:p>
        </w:tc>
        <w:tc>
          <w:tcPr>
            <w:tcW w:w="4636" w:type="dxa"/>
            <w:hideMark/>
          </w:tcPr>
          <w:p w14:paraId="7076353F"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4F3B0692" w14:textId="77777777" w:rsidTr="009E6E6C">
        <w:tc>
          <w:tcPr>
            <w:tcW w:w="1418" w:type="dxa"/>
            <w:hideMark/>
          </w:tcPr>
          <w:p w14:paraId="63A05184" w14:textId="77777777" w:rsidR="00D67940" w:rsidRPr="001D7D5C" w:rsidRDefault="00D67940">
            <w:pPr>
              <w:pStyle w:val="NormalWeb"/>
              <w:rPr>
                <w:sz w:val="18"/>
                <w:szCs w:val="18"/>
              </w:rPr>
            </w:pPr>
            <w:r w:rsidRPr="001D7D5C">
              <w:rPr>
                <w:sz w:val="18"/>
                <w:szCs w:val="18"/>
              </w:rPr>
              <w:t>2 years</w:t>
            </w:r>
          </w:p>
        </w:tc>
        <w:tc>
          <w:tcPr>
            <w:tcW w:w="2551" w:type="dxa"/>
            <w:hideMark/>
          </w:tcPr>
          <w:p w14:paraId="186430E4"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56B44F94"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5E5DB5CF" w14:textId="77777777" w:rsidR="00D67940" w:rsidRPr="001D7D5C" w:rsidRDefault="00D67940" w:rsidP="005A7B7B">
            <w:pPr>
              <w:pStyle w:val="NormalWeb"/>
              <w:jc w:val="center"/>
              <w:rPr>
                <w:sz w:val="18"/>
                <w:szCs w:val="18"/>
              </w:rPr>
            </w:pPr>
            <w:r w:rsidRPr="001D7D5C">
              <w:rPr>
                <w:sz w:val="18"/>
                <w:szCs w:val="18"/>
              </w:rPr>
              <w:t>Other sterile site</w:t>
            </w:r>
          </w:p>
        </w:tc>
        <w:tc>
          <w:tcPr>
            <w:tcW w:w="4636" w:type="dxa"/>
            <w:hideMark/>
          </w:tcPr>
          <w:p w14:paraId="4C14A642" w14:textId="77777777" w:rsidR="00D67940" w:rsidRPr="001D7D5C" w:rsidRDefault="00D67940" w:rsidP="005A7B7B">
            <w:pPr>
              <w:pStyle w:val="NormalWeb"/>
              <w:jc w:val="center"/>
              <w:rPr>
                <w:sz w:val="18"/>
                <w:szCs w:val="18"/>
              </w:rPr>
            </w:pPr>
            <w:r w:rsidRPr="001D7D5C">
              <w:rPr>
                <w:sz w:val="18"/>
                <w:szCs w:val="18"/>
              </w:rPr>
              <w:t>Other</w:t>
            </w:r>
          </w:p>
        </w:tc>
      </w:tr>
      <w:tr w:rsidR="00D67940" w:rsidRPr="001D7D5C" w14:paraId="6A1974D7"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2677EBA7" w14:textId="77777777" w:rsidR="00D67940" w:rsidRPr="001D7D5C" w:rsidRDefault="00D67940">
            <w:pPr>
              <w:pStyle w:val="NormalWeb"/>
              <w:rPr>
                <w:sz w:val="18"/>
                <w:szCs w:val="18"/>
              </w:rPr>
            </w:pPr>
            <w:r w:rsidRPr="001D7D5C">
              <w:rPr>
                <w:sz w:val="18"/>
                <w:szCs w:val="18"/>
              </w:rPr>
              <w:t>2 years</w:t>
            </w:r>
          </w:p>
        </w:tc>
        <w:tc>
          <w:tcPr>
            <w:tcW w:w="2551" w:type="dxa"/>
            <w:hideMark/>
          </w:tcPr>
          <w:p w14:paraId="61982CA0"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25F4D07E"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3BEF277F" w14:textId="77777777" w:rsidR="00D67940" w:rsidRPr="001D7D5C" w:rsidRDefault="00D67940" w:rsidP="005A7B7B">
            <w:pPr>
              <w:pStyle w:val="NormalWeb"/>
              <w:jc w:val="center"/>
              <w:rPr>
                <w:sz w:val="18"/>
                <w:szCs w:val="18"/>
              </w:rPr>
            </w:pPr>
            <w:r w:rsidRPr="001D7D5C">
              <w:rPr>
                <w:sz w:val="18"/>
                <w:szCs w:val="18"/>
              </w:rPr>
              <w:t>Pneumonia and other (pleural effusion)</w:t>
            </w:r>
          </w:p>
        </w:tc>
        <w:tc>
          <w:tcPr>
            <w:tcW w:w="4636" w:type="dxa"/>
            <w:hideMark/>
          </w:tcPr>
          <w:p w14:paraId="60CB160A"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784E6FCF" w14:textId="77777777" w:rsidTr="009E6E6C">
        <w:tc>
          <w:tcPr>
            <w:tcW w:w="1418" w:type="dxa"/>
            <w:hideMark/>
          </w:tcPr>
          <w:p w14:paraId="6DA45BEE" w14:textId="77777777" w:rsidR="00D67940" w:rsidRPr="001D7D5C" w:rsidRDefault="00D67940">
            <w:pPr>
              <w:pStyle w:val="NormalWeb"/>
              <w:rPr>
                <w:sz w:val="18"/>
                <w:szCs w:val="18"/>
              </w:rPr>
            </w:pPr>
            <w:r w:rsidRPr="001D7D5C">
              <w:rPr>
                <w:sz w:val="18"/>
                <w:szCs w:val="18"/>
              </w:rPr>
              <w:t>2 years</w:t>
            </w:r>
          </w:p>
        </w:tc>
        <w:tc>
          <w:tcPr>
            <w:tcW w:w="2551" w:type="dxa"/>
            <w:hideMark/>
          </w:tcPr>
          <w:p w14:paraId="5567B504"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06984887"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1B231001" w14:textId="77777777" w:rsidR="00D67940" w:rsidRPr="001D7D5C" w:rsidRDefault="00D67940" w:rsidP="005A7B7B">
            <w:pPr>
              <w:pStyle w:val="NormalWeb"/>
              <w:jc w:val="center"/>
              <w:rPr>
                <w:sz w:val="18"/>
                <w:szCs w:val="18"/>
              </w:rPr>
            </w:pPr>
            <w:r w:rsidRPr="001D7D5C">
              <w:rPr>
                <w:sz w:val="18"/>
                <w:szCs w:val="18"/>
              </w:rPr>
              <w:t>Pneumonia</w:t>
            </w:r>
          </w:p>
        </w:tc>
        <w:tc>
          <w:tcPr>
            <w:tcW w:w="4636" w:type="dxa"/>
            <w:hideMark/>
          </w:tcPr>
          <w:p w14:paraId="2B29A93E" w14:textId="77777777" w:rsidR="00D67940" w:rsidRPr="001D7D5C" w:rsidRDefault="00D67940" w:rsidP="005A7B7B">
            <w:pPr>
              <w:pStyle w:val="NormalWeb"/>
              <w:jc w:val="center"/>
              <w:rPr>
                <w:sz w:val="18"/>
                <w:szCs w:val="18"/>
              </w:rPr>
            </w:pPr>
            <w:r w:rsidRPr="001D7D5C">
              <w:rPr>
                <w:sz w:val="18"/>
                <w:szCs w:val="18"/>
              </w:rPr>
              <w:t>Childcare attendee</w:t>
            </w:r>
          </w:p>
        </w:tc>
      </w:tr>
      <w:tr w:rsidR="00D67940" w:rsidRPr="001D7D5C" w14:paraId="4BB4353B"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7424528E" w14:textId="77777777" w:rsidR="00D67940" w:rsidRPr="001D7D5C" w:rsidRDefault="00D67940">
            <w:pPr>
              <w:pStyle w:val="NormalWeb"/>
              <w:rPr>
                <w:sz w:val="18"/>
                <w:szCs w:val="18"/>
              </w:rPr>
            </w:pPr>
            <w:r w:rsidRPr="001D7D5C">
              <w:rPr>
                <w:sz w:val="18"/>
                <w:szCs w:val="18"/>
              </w:rPr>
              <w:t>2 years</w:t>
            </w:r>
          </w:p>
        </w:tc>
        <w:tc>
          <w:tcPr>
            <w:tcW w:w="2551" w:type="dxa"/>
            <w:hideMark/>
          </w:tcPr>
          <w:p w14:paraId="30800341"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3A099D38"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1DE1478F" w14:textId="77777777" w:rsidR="00D67940" w:rsidRPr="001D7D5C" w:rsidRDefault="00D67940" w:rsidP="005A7B7B">
            <w:pPr>
              <w:pStyle w:val="NormalWeb"/>
              <w:jc w:val="center"/>
              <w:rPr>
                <w:sz w:val="18"/>
                <w:szCs w:val="18"/>
              </w:rPr>
            </w:pPr>
            <w:r w:rsidRPr="001D7D5C">
              <w:rPr>
                <w:sz w:val="18"/>
                <w:szCs w:val="18"/>
              </w:rPr>
              <w:t>Other sterile site</w:t>
            </w:r>
          </w:p>
        </w:tc>
        <w:tc>
          <w:tcPr>
            <w:tcW w:w="4636" w:type="dxa"/>
            <w:hideMark/>
          </w:tcPr>
          <w:p w14:paraId="66830719" w14:textId="77777777" w:rsidR="00D67940" w:rsidRPr="001D7D5C" w:rsidRDefault="00D67940" w:rsidP="005A7B7B">
            <w:pPr>
              <w:pStyle w:val="NormalWeb"/>
              <w:jc w:val="center"/>
              <w:rPr>
                <w:sz w:val="18"/>
                <w:szCs w:val="18"/>
              </w:rPr>
            </w:pPr>
            <w:r w:rsidRPr="001D7D5C">
              <w:rPr>
                <w:sz w:val="18"/>
                <w:szCs w:val="18"/>
              </w:rPr>
              <w:t>Childcare attendee</w:t>
            </w:r>
          </w:p>
        </w:tc>
      </w:tr>
      <w:tr w:rsidR="00D67940" w:rsidRPr="001D7D5C" w14:paraId="36EFAE0C" w14:textId="77777777" w:rsidTr="009E6E6C">
        <w:tc>
          <w:tcPr>
            <w:tcW w:w="1418" w:type="dxa"/>
            <w:hideMark/>
          </w:tcPr>
          <w:p w14:paraId="5B6AE888" w14:textId="77777777" w:rsidR="00D67940" w:rsidRPr="001D7D5C" w:rsidRDefault="00D67940">
            <w:pPr>
              <w:pStyle w:val="NormalWeb"/>
              <w:rPr>
                <w:sz w:val="18"/>
                <w:szCs w:val="18"/>
              </w:rPr>
            </w:pPr>
            <w:r w:rsidRPr="001D7D5C">
              <w:rPr>
                <w:sz w:val="18"/>
                <w:szCs w:val="18"/>
              </w:rPr>
              <w:t>2 years</w:t>
            </w:r>
          </w:p>
        </w:tc>
        <w:tc>
          <w:tcPr>
            <w:tcW w:w="2551" w:type="dxa"/>
            <w:hideMark/>
          </w:tcPr>
          <w:p w14:paraId="2F6789EA"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3222AE0D"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777BEC9B" w14:textId="77777777" w:rsidR="00D67940" w:rsidRPr="001D7D5C" w:rsidRDefault="00D67940" w:rsidP="005A7B7B">
            <w:pPr>
              <w:pStyle w:val="NormalWeb"/>
              <w:jc w:val="center"/>
              <w:rPr>
                <w:sz w:val="18"/>
                <w:szCs w:val="18"/>
              </w:rPr>
            </w:pPr>
            <w:r w:rsidRPr="001D7D5C">
              <w:rPr>
                <w:sz w:val="18"/>
                <w:szCs w:val="18"/>
              </w:rPr>
              <w:t>Pneumonia</w:t>
            </w:r>
          </w:p>
        </w:tc>
        <w:tc>
          <w:tcPr>
            <w:tcW w:w="4636" w:type="dxa"/>
            <w:hideMark/>
          </w:tcPr>
          <w:p w14:paraId="6830E5E0" w14:textId="77777777" w:rsidR="00D67940" w:rsidRPr="001D7D5C" w:rsidRDefault="00D67940" w:rsidP="005A7B7B">
            <w:pPr>
              <w:pStyle w:val="NormalWeb"/>
              <w:jc w:val="center"/>
              <w:rPr>
                <w:sz w:val="18"/>
                <w:szCs w:val="18"/>
              </w:rPr>
            </w:pPr>
            <w:r w:rsidRPr="001D7D5C">
              <w:rPr>
                <w:sz w:val="18"/>
                <w:szCs w:val="18"/>
              </w:rPr>
              <w:t>Childcare attendee</w:t>
            </w:r>
          </w:p>
        </w:tc>
      </w:tr>
      <w:tr w:rsidR="00D67940" w:rsidRPr="001D7D5C" w14:paraId="2203A9D8"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23F4DCE0" w14:textId="77777777" w:rsidR="00D67940" w:rsidRPr="001D7D5C" w:rsidRDefault="00D67940">
            <w:pPr>
              <w:pStyle w:val="NormalWeb"/>
              <w:rPr>
                <w:sz w:val="18"/>
                <w:szCs w:val="18"/>
              </w:rPr>
            </w:pPr>
            <w:r w:rsidRPr="001D7D5C">
              <w:rPr>
                <w:sz w:val="18"/>
                <w:szCs w:val="18"/>
              </w:rPr>
              <w:t>2 years</w:t>
            </w:r>
          </w:p>
        </w:tc>
        <w:tc>
          <w:tcPr>
            <w:tcW w:w="2551" w:type="dxa"/>
            <w:hideMark/>
          </w:tcPr>
          <w:p w14:paraId="03CA410A"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012DD0F0"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55B5326C" w14:textId="77777777" w:rsidR="00D67940" w:rsidRPr="001D7D5C" w:rsidRDefault="00D67940" w:rsidP="005A7B7B">
            <w:pPr>
              <w:pStyle w:val="NormalWeb"/>
              <w:jc w:val="center"/>
              <w:rPr>
                <w:sz w:val="18"/>
                <w:szCs w:val="18"/>
              </w:rPr>
            </w:pPr>
            <w:r w:rsidRPr="001D7D5C">
              <w:rPr>
                <w:sz w:val="18"/>
                <w:szCs w:val="18"/>
              </w:rPr>
              <w:t>Pneumonia</w:t>
            </w:r>
          </w:p>
        </w:tc>
        <w:tc>
          <w:tcPr>
            <w:tcW w:w="4636" w:type="dxa"/>
            <w:hideMark/>
          </w:tcPr>
          <w:p w14:paraId="235C2BA9"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7052B176" w14:textId="77777777" w:rsidTr="009E6E6C">
        <w:tc>
          <w:tcPr>
            <w:tcW w:w="1418" w:type="dxa"/>
            <w:hideMark/>
          </w:tcPr>
          <w:p w14:paraId="019786D5" w14:textId="77777777" w:rsidR="00D67940" w:rsidRPr="001D7D5C" w:rsidRDefault="00D67940">
            <w:pPr>
              <w:pStyle w:val="NormalWeb"/>
              <w:rPr>
                <w:sz w:val="18"/>
                <w:szCs w:val="18"/>
              </w:rPr>
            </w:pPr>
            <w:r w:rsidRPr="001D7D5C">
              <w:rPr>
                <w:sz w:val="18"/>
                <w:szCs w:val="18"/>
              </w:rPr>
              <w:t>2 years</w:t>
            </w:r>
          </w:p>
        </w:tc>
        <w:tc>
          <w:tcPr>
            <w:tcW w:w="2551" w:type="dxa"/>
            <w:hideMark/>
          </w:tcPr>
          <w:p w14:paraId="2D1C582C"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336F4BB4"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4FB814D0" w14:textId="77777777" w:rsidR="00D67940" w:rsidRPr="001D7D5C" w:rsidRDefault="00D67940" w:rsidP="005A7B7B">
            <w:pPr>
              <w:pStyle w:val="NormalWeb"/>
              <w:jc w:val="center"/>
              <w:rPr>
                <w:sz w:val="18"/>
                <w:szCs w:val="18"/>
              </w:rPr>
            </w:pPr>
            <w:r w:rsidRPr="001D7D5C">
              <w:rPr>
                <w:sz w:val="18"/>
                <w:szCs w:val="18"/>
              </w:rPr>
              <w:t>Pleural effusion</w:t>
            </w:r>
          </w:p>
        </w:tc>
        <w:tc>
          <w:tcPr>
            <w:tcW w:w="4636" w:type="dxa"/>
            <w:hideMark/>
          </w:tcPr>
          <w:p w14:paraId="64035EA4" w14:textId="77777777" w:rsidR="00D67940" w:rsidRPr="001D7D5C" w:rsidRDefault="00D67940" w:rsidP="005A7B7B">
            <w:pPr>
              <w:pStyle w:val="NormalWeb"/>
              <w:jc w:val="center"/>
              <w:rPr>
                <w:sz w:val="18"/>
                <w:szCs w:val="18"/>
              </w:rPr>
            </w:pPr>
            <w:r w:rsidRPr="001D7D5C">
              <w:rPr>
                <w:sz w:val="18"/>
                <w:szCs w:val="18"/>
              </w:rPr>
              <w:t>No risk factor identified</w:t>
            </w:r>
          </w:p>
        </w:tc>
      </w:tr>
      <w:tr w:rsidR="00D67940" w:rsidRPr="001D7D5C" w14:paraId="68633300"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2F6EEDAF" w14:textId="77777777" w:rsidR="00D67940" w:rsidRPr="001D7D5C" w:rsidRDefault="00D67940">
            <w:pPr>
              <w:pStyle w:val="NormalWeb"/>
              <w:rPr>
                <w:sz w:val="18"/>
                <w:szCs w:val="18"/>
              </w:rPr>
            </w:pPr>
            <w:r w:rsidRPr="001D7D5C">
              <w:rPr>
                <w:sz w:val="18"/>
                <w:szCs w:val="18"/>
              </w:rPr>
              <w:t>2 years</w:t>
            </w:r>
          </w:p>
        </w:tc>
        <w:tc>
          <w:tcPr>
            <w:tcW w:w="2551" w:type="dxa"/>
            <w:hideMark/>
          </w:tcPr>
          <w:p w14:paraId="4DA1291E"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3AB335DF"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08267AEA" w14:textId="77777777" w:rsidR="00D67940" w:rsidRPr="001D7D5C" w:rsidRDefault="00D67940" w:rsidP="005A7B7B">
            <w:pPr>
              <w:pStyle w:val="NormalWeb"/>
              <w:jc w:val="center"/>
              <w:rPr>
                <w:sz w:val="18"/>
                <w:szCs w:val="18"/>
              </w:rPr>
            </w:pPr>
            <w:r w:rsidRPr="001D7D5C">
              <w:rPr>
                <w:sz w:val="18"/>
                <w:szCs w:val="18"/>
              </w:rPr>
              <w:t>Pneumonia and other (pleural effusion)</w:t>
            </w:r>
          </w:p>
        </w:tc>
        <w:tc>
          <w:tcPr>
            <w:tcW w:w="4636" w:type="dxa"/>
            <w:hideMark/>
          </w:tcPr>
          <w:p w14:paraId="474620C0" w14:textId="77777777" w:rsidR="00D67940" w:rsidRPr="001D7D5C" w:rsidRDefault="00D67940" w:rsidP="005A7B7B">
            <w:pPr>
              <w:pStyle w:val="NormalWeb"/>
              <w:jc w:val="center"/>
              <w:rPr>
                <w:sz w:val="18"/>
                <w:szCs w:val="18"/>
              </w:rPr>
            </w:pPr>
            <w:r w:rsidRPr="001D7D5C">
              <w:rPr>
                <w:sz w:val="18"/>
                <w:szCs w:val="18"/>
              </w:rPr>
              <w:t>No data available</w:t>
            </w:r>
          </w:p>
        </w:tc>
      </w:tr>
      <w:tr w:rsidR="00D67940" w:rsidRPr="001D7D5C" w14:paraId="1903D40C" w14:textId="77777777" w:rsidTr="009E6E6C">
        <w:tc>
          <w:tcPr>
            <w:tcW w:w="1418" w:type="dxa"/>
            <w:hideMark/>
          </w:tcPr>
          <w:p w14:paraId="40A86B41" w14:textId="77777777" w:rsidR="00D67940" w:rsidRPr="001D7D5C" w:rsidRDefault="00D67940">
            <w:pPr>
              <w:pStyle w:val="NormalWeb"/>
              <w:rPr>
                <w:sz w:val="18"/>
                <w:szCs w:val="18"/>
              </w:rPr>
            </w:pPr>
            <w:r w:rsidRPr="001D7D5C">
              <w:rPr>
                <w:sz w:val="18"/>
                <w:szCs w:val="18"/>
              </w:rPr>
              <w:t>3 years</w:t>
            </w:r>
          </w:p>
        </w:tc>
        <w:tc>
          <w:tcPr>
            <w:tcW w:w="2551" w:type="dxa"/>
            <w:hideMark/>
          </w:tcPr>
          <w:p w14:paraId="182777CE" w14:textId="77777777" w:rsidR="00D67940" w:rsidRPr="001D7D5C" w:rsidRDefault="00D67940" w:rsidP="005A7B7B">
            <w:pPr>
              <w:pStyle w:val="NormalWeb"/>
              <w:jc w:val="center"/>
              <w:rPr>
                <w:sz w:val="18"/>
                <w:szCs w:val="18"/>
              </w:rPr>
            </w:pPr>
            <w:r w:rsidRPr="001D7D5C">
              <w:rPr>
                <w:sz w:val="18"/>
                <w:szCs w:val="18"/>
              </w:rPr>
              <w:t>Indigenous</w:t>
            </w:r>
          </w:p>
        </w:tc>
        <w:tc>
          <w:tcPr>
            <w:tcW w:w="1701" w:type="dxa"/>
            <w:hideMark/>
          </w:tcPr>
          <w:p w14:paraId="3D2BCF7C"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54C3A3FC" w14:textId="77777777" w:rsidR="00D67940" w:rsidRPr="001D7D5C" w:rsidRDefault="00D67940" w:rsidP="005A7B7B">
            <w:pPr>
              <w:pStyle w:val="NormalWeb"/>
              <w:jc w:val="center"/>
              <w:rPr>
                <w:sz w:val="18"/>
                <w:szCs w:val="18"/>
              </w:rPr>
            </w:pPr>
            <w:r w:rsidRPr="001D7D5C">
              <w:rPr>
                <w:sz w:val="18"/>
                <w:szCs w:val="18"/>
              </w:rPr>
              <w:t>Pneumonia</w:t>
            </w:r>
          </w:p>
        </w:tc>
        <w:tc>
          <w:tcPr>
            <w:tcW w:w="4636" w:type="dxa"/>
            <w:hideMark/>
          </w:tcPr>
          <w:p w14:paraId="7076CF83" w14:textId="77777777" w:rsidR="00D67940" w:rsidRPr="001D7D5C" w:rsidRDefault="00D67940" w:rsidP="005A7B7B">
            <w:pPr>
              <w:pStyle w:val="NormalWeb"/>
              <w:jc w:val="center"/>
              <w:rPr>
                <w:sz w:val="18"/>
                <w:szCs w:val="18"/>
              </w:rPr>
            </w:pPr>
            <w:r w:rsidRPr="001D7D5C">
              <w:rPr>
                <w:sz w:val="18"/>
                <w:szCs w:val="18"/>
              </w:rPr>
              <w:t>No risk factor identified</w:t>
            </w:r>
          </w:p>
        </w:tc>
      </w:tr>
      <w:tr w:rsidR="00D67940" w:rsidRPr="001D7D5C" w14:paraId="05258170"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42EA82C9" w14:textId="77777777" w:rsidR="00D67940" w:rsidRPr="001D7D5C" w:rsidRDefault="00D67940">
            <w:pPr>
              <w:pStyle w:val="NormalWeb"/>
              <w:rPr>
                <w:sz w:val="18"/>
                <w:szCs w:val="18"/>
              </w:rPr>
            </w:pPr>
            <w:r w:rsidRPr="001D7D5C">
              <w:rPr>
                <w:sz w:val="18"/>
                <w:szCs w:val="18"/>
              </w:rPr>
              <w:t>3 years</w:t>
            </w:r>
          </w:p>
        </w:tc>
        <w:tc>
          <w:tcPr>
            <w:tcW w:w="2551" w:type="dxa"/>
            <w:hideMark/>
          </w:tcPr>
          <w:p w14:paraId="39A83C3A"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061B436F" w14:textId="77777777" w:rsidR="00D67940" w:rsidRPr="001D7D5C" w:rsidRDefault="00D67940" w:rsidP="005A7B7B">
            <w:pPr>
              <w:pStyle w:val="NormalWeb"/>
              <w:jc w:val="center"/>
              <w:rPr>
                <w:sz w:val="18"/>
                <w:szCs w:val="18"/>
              </w:rPr>
            </w:pPr>
            <w:r w:rsidRPr="001D7D5C">
              <w:rPr>
                <w:sz w:val="18"/>
                <w:szCs w:val="18"/>
              </w:rPr>
              <w:t>19A</w:t>
            </w:r>
          </w:p>
        </w:tc>
        <w:tc>
          <w:tcPr>
            <w:tcW w:w="4678" w:type="dxa"/>
            <w:hideMark/>
          </w:tcPr>
          <w:p w14:paraId="5EF69BF1" w14:textId="77777777" w:rsidR="00D67940" w:rsidRPr="001D7D5C" w:rsidRDefault="00D67940" w:rsidP="005A7B7B">
            <w:pPr>
              <w:pStyle w:val="NormalWeb"/>
              <w:jc w:val="center"/>
              <w:rPr>
                <w:sz w:val="18"/>
                <w:szCs w:val="18"/>
              </w:rPr>
            </w:pPr>
            <w:r w:rsidRPr="001D7D5C">
              <w:rPr>
                <w:sz w:val="18"/>
                <w:szCs w:val="18"/>
              </w:rPr>
              <w:t>Pneumonia and other (pleural empyema)</w:t>
            </w:r>
          </w:p>
        </w:tc>
        <w:tc>
          <w:tcPr>
            <w:tcW w:w="4636" w:type="dxa"/>
            <w:hideMark/>
          </w:tcPr>
          <w:p w14:paraId="35C9433E" w14:textId="77777777" w:rsidR="00D67940" w:rsidRPr="001D7D5C" w:rsidRDefault="00D67940" w:rsidP="005A7B7B">
            <w:pPr>
              <w:pStyle w:val="NormalWeb"/>
              <w:jc w:val="center"/>
              <w:rPr>
                <w:sz w:val="18"/>
                <w:szCs w:val="18"/>
              </w:rPr>
            </w:pPr>
            <w:r w:rsidRPr="001D7D5C">
              <w:rPr>
                <w:sz w:val="18"/>
                <w:szCs w:val="18"/>
              </w:rPr>
              <w:t>Other</w:t>
            </w:r>
          </w:p>
        </w:tc>
      </w:tr>
      <w:tr w:rsidR="00D67940" w:rsidRPr="001D7D5C" w14:paraId="459970D7" w14:textId="77777777" w:rsidTr="009E6E6C">
        <w:tc>
          <w:tcPr>
            <w:tcW w:w="1418" w:type="dxa"/>
            <w:hideMark/>
          </w:tcPr>
          <w:p w14:paraId="0AE345FC" w14:textId="77777777" w:rsidR="00D67940" w:rsidRPr="001D7D5C" w:rsidRDefault="00D67940">
            <w:pPr>
              <w:pStyle w:val="NormalWeb"/>
              <w:rPr>
                <w:sz w:val="18"/>
                <w:szCs w:val="18"/>
              </w:rPr>
            </w:pPr>
            <w:r w:rsidRPr="001D7D5C">
              <w:rPr>
                <w:sz w:val="18"/>
                <w:szCs w:val="18"/>
              </w:rPr>
              <w:t>3 years</w:t>
            </w:r>
          </w:p>
        </w:tc>
        <w:tc>
          <w:tcPr>
            <w:tcW w:w="2551" w:type="dxa"/>
            <w:hideMark/>
          </w:tcPr>
          <w:p w14:paraId="4C009309"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4D15ACD7"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53949583" w14:textId="77777777" w:rsidR="00D67940" w:rsidRPr="001D7D5C" w:rsidRDefault="00D67940" w:rsidP="005A7B7B">
            <w:pPr>
              <w:pStyle w:val="NormalWeb"/>
              <w:jc w:val="center"/>
              <w:rPr>
                <w:sz w:val="18"/>
                <w:szCs w:val="18"/>
              </w:rPr>
            </w:pPr>
            <w:r w:rsidRPr="001D7D5C">
              <w:rPr>
                <w:sz w:val="18"/>
                <w:szCs w:val="18"/>
              </w:rPr>
              <w:t>Pneumonia and other (pleural effusion)</w:t>
            </w:r>
          </w:p>
        </w:tc>
        <w:tc>
          <w:tcPr>
            <w:tcW w:w="4636" w:type="dxa"/>
            <w:hideMark/>
          </w:tcPr>
          <w:p w14:paraId="0638A187" w14:textId="77777777" w:rsidR="00D67940" w:rsidRPr="001D7D5C" w:rsidRDefault="00D67940" w:rsidP="005A7B7B">
            <w:pPr>
              <w:pStyle w:val="NormalWeb"/>
              <w:jc w:val="center"/>
              <w:rPr>
                <w:sz w:val="18"/>
                <w:szCs w:val="18"/>
              </w:rPr>
            </w:pPr>
            <w:r w:rsidRPr="001D7D5C">
              <w:rPr>
                <w:sz w:val="18"/>
                <w:szCs w:val="18"/>
              </w:rPr>
              <w:t>Childcare attendee</w:t>
            </w:r>
          </w:p>
        </w:tc>
      </w:tr>
      <w:tr w:rsidR="00D67940" w:rsidRPr="001D7D5C" w14:paraId="1A04E334" w14:textId="77777777" w:rsidTr="009E6E6C">
        <w:trPr>
          <w:cnfStyle w:val="000000010000" w:firstRow="0" w:lastRow="0" w:firstColumn="0" w:lastColumn="0" w:oddVBand="0" w:evenVBand="0" w:oddHBand="0" w:evenHBand="1" w:firstRowFirstColumn="0" w:firstRowLastColumn="0" w:lastRowFirstColumn="0" w:lastRowLastColumn="0"/>
        </w:trPr>
        <w:tc>
          <w:tcPr>
            <w:tcW w:w="1418" w:type="dxa"/>
            <w:hideMark/>
          </w:tcPr>
          <w:p w14:paraId="2A8AB5CF" w14:textId="77777777" w:rsidR="00D67940" w:rsidRPr="001D7D5C" w:rsidRDefault="00D67940">
            <w:pPr>
              <w:pStyle w:val="NormalWeb"/>
              <w:rPr>
                <w:sz w:val="18"/>
                <w:szCs w:val="18"/>
              </w:rPr>
            </w:pPr>
            <w:r w:rsidRPr="001D7D5C">
              <w:rPr>
                <w:sz w:val="18"/>
                <w:szCs w:val="18"/>
              </w:rPr>
              <w:t>3 years</w:t>
            </w:r>
          </w:p>
        </w:tc>
        <w:tc>
          <w:tcPr>
            <w:tcW w:w="2551" w:type="dxa"/>
            <w:hideMark/>
          </w:tcPr>
          <w:p w14:paraId="266D878A" w14:textId="77777777" w:rsidR="00D67940" w:rsidRPr="001D7D5C" w:rsidRDefault="00D67940" w:rsidP="005A7B7B">
            <w:pPr>
              <w:pStyle w:val="NormalWeb"/>
              <w:jc w:val="center"/>
              <w:rPr>
                <w:sz w:val="18"/>
                <w:szCs w:val="18"/>
              </w:rPr>
            </w:pPr>
            <w:r w:rsidRPr="001D7D5C">
              <w:rPr>
                <w:sz w:val="18"/>
                <w:szCs w:val="18"/>
              </w:rPr>
              <w:t>Non-Indigenous</w:t>
            </w:r>
          </w:p>
        </w:tc>
        <w:tc>
          <w:tcPr>
            <w:tcW w:w="1701" w:type="dxa"/>
            <w:hideMark/>
          </w:tcPr>
          <w:p w14:paraId="52F57B98" w14:textId="77777777" w:rsidR="00D67940" w:rsidRPr="001D7D5C" w:rsidRDefault="00D67940" w:rsidP="005A7B7B">
            <w:pPr>
              <w:pStyle w:val="NormalWeb"/>
              <w:jc w:val="center"/>
              <w:rPr>
                <w:sz w:val="18"/>
                <w:szCs w:val="18"/>
              </w:rPr>
            </w:pPr>
            <w:r w:rsidRPr="001D7D5C">
              <w:rPr>
                <w:sz w:val="18"/>
                <w:szCs w:val="18"/>
              </w:rPr>
              <w:t>3</w:t>
            </w:r>
          </w:p>
        </w:tc>
        <w:tc>
          <w:tcPr>
            <w:tcW w:w="4678" w:type="dxa"/>
            <w:hideMark/>
          </w:tcPr>
          <w:p w14:paraId="2E93547B" w14:textId="77777777" w:rsidR="00D67940" w:rsidRPr="001D7D5C" w:rsidRDefault="00D67940" w:rsidP="005A7B7B">
            <w:pPr>
              <w:pStyle w:val="NormalWeb"/>
              <w:jc w:val="center"/>
              <w:rPr>
                <w:sz w:val="18"/>
                <w:szCs w:val="18"/>
              </w:rPr>
            </w:pPr>
            <w:r w:rsidRPr="001D7D5C">
              <w:rPr>
                <w:sz w:val="18"/>
                <w:szCs w:val="18"/>
              </w:rPr>
              <w:t>Pneumonia</w:t>
            </w:r>
          </w:p>
        </w:tc>
        <w:tc>
          <w:tcPr>
            <w:tcW w:w="4636" w:type="dxa"/>
            <w:hideMark/>
          </w:tcPr>
          <w:p w14:paraId="651CB97D" w14:textId="77777777" w:rsidR="00D67940" w:rsidRPr="001D7D5C" w:rsidRDefault="00D67940" w:rsidP="005A7B7B">
            <w:pPr>
              <w:pStyle w:val="NormalWeb"/>
              <w:jc w:val="center"/>
              <w:rPr>
                <w:sz w:val="18"/>
                <w:szCs w:val="18"/>
              </w:rPr>
            </w:pPr>
            <w:r w:rsidRPr="001D7D5C">
              <w:rPr>
                <w:sz w:val="18"/>
                <w:szCs w:val="18"/>
              </w:rPr>
              <w:t>Congenital or chromosomal abnormality</w:t>
            </w:r>
          </w:p>
        </w:tc>
      </w:tr>
    </w:tbl>
    <w:p w14:paraId="488CFFDB" w14:textId="77777777" w:rsidR="00983926" w:rsidRDefault="00983926" w:rsidP="00783C4F">
      <w:pPr>
        <w:sectPr w:rsidR="00983926" w:rsidSect="00D508D4">
          <w:footnotePr>
            <w:numFmt w:val="lowerLetter"/>
          </w:footnotePr>
          <w:pgSz w:w="16838" w:h="11906" w:orient="landscape"/>
          <w:pgMar w:top="720" w:right="720" w:bottom="720" w:left="1134" w:header="709" w:footer="284" w:gutter="0"/>
          <w:cols w:space="708"/>
          <w:titlePg/>
          <w:docGrid w:linePitch="360"/>
        </w:sectPr>
      </w:pPr>
    </w:p>
    <w:p w14:paraId="644056B6" w14:textId="77777777" w:rsidR="00D67940" w:rsidRDefault="00D67940" w:rsidP="00783C4F">
      <w:r>
        <w:lastRenderedPageBreak/>
        <w:t>Among Indigenous Australians aged 50 years and over, there were 33 cases of IPD reported this quarter. Of those cases with a reported serotype (n=27), 16 (59%) were due to a serotype included in the 23vPPV, with half of these cases due to serotype 3 (n=8) (Figure 3). The number of notified cases of IPD in this population group were higher than the number of cases reported in both the previous quarter (n=18) and also the number reported in the third quarter of 2016 (n=26).</w:t>
      </w:r>
    </w:p>
    <w:p w14:paraId="134B8260" w14:textId="77777777" w:rsidR="00D67940" w:rsidRDefault="00D67940" w:rsidP="00783C4F">
      <w:pPr>
        <w:pStyle w:val="CDIFigures"/>
      </w:pPr>
      <w:r>
        <w:t>Figure 3: Notifications and annual rates</w:t>
      </w:r>
      <w:r>
        <w:rPr>
          <w:vertAlign w:val="superscript"/>
        </w:rPr>
        <w:t>*</w:t>
      </w:r>
      <w:r>
        <w:t xml:space="preserve"> of all invasive pneumococcal disease in Indigenous Australians aged 50 years or over, Australia, 1 January 2008 to 30 September 2017, by vaccine serotype group</w:t>
      </w:r>
    </w:p>
    <w:p w14:paraId="52D552D3" w14:textId="77777777" w:rsidR="00D67940" w:rsidRDefault="00D67940">
      <w:pPr>
        <w:rPr>
          <w:rFonts w:eastAsia="Times New Roman"/>
        </w:rPr>
      </w:pPr>
      <w:r>
        <w:rPr>
          <w:rFonts w:eastAsia="Times New Roman"/>
          <w:noProof/>
        </w:rPr>
        <w:drawing>
          <wp:inline distT="0" distB="0" distL="0" distR="0" wp14:anchorId="2FFD7701" wp14:editId="04771233">
            <wp:extent cx="6629400" cy="4365863"/>
            <wp:effectExtent l="0" t="0" r="0" b="0"/>
            <wp:docPr id="3" name="Picture 3" descr="Figure 3 - This figure shows all notified cases of IPD in Indigenous Australians aged 50 years or older in Australia between 2007 and 2017 by quarter, and the serotype causing disease, grouped according to the serotypes targeted by the vaccines. The figure demonstrates that the rising trend in quarterly notified cases evident from 2010 to 2012 reverses considerably during 2013. However, since 2015 notifications have been incre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 This figure shows all notified cases of IPD in Indigenous Australians aged 50 years or older in Australia between 2007 and 2017 by quarter, and the serotype causing disease, grouped according to the serotypes targeted by the vaccines. The figure demonstrates that the rising trend in quarterly notified cases evident from 2010 to 2012 reverses considerably during 2013. However, since 2015 notifications have been increasi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633195" cy="4368362"/>
                    </a:xfrm>
                    <a:prstGeom prst="rect">
                      <a:avLst/>
                    </a:prstGeom>
                  </pic:spPr>
                </pic:pic>
              </a:graphicData>
            </a:graphic>
          </wp:inline>
        </w:drawing>
      </w:r>
    </w:p>
    <w:p w14:paraId="5CD73A19" w14:textId="77777777" w:rsidR="00D67940" w:rsidRPr="00FC23FF" w:rsidRDefault="00D67940" w:rsidP="00FC23FF">
      <w:pPr>
        <w:pStyle w:val="CDIfootnotes"/>
      </w:pPr>
      <w:r w:rsidRPr="00FC23FF">
        <w:t>*</w:t>
      </w:r>
      <w:r w:rsidRPr="00FC23FF">
        <w:tab/>
        <w:t>Annual rates are shown on quarter 2, excluding 2017.</w:t>
      </w:r>
    </w:p>
    <w:p w14:paraId="47DCBBEE" w14:textId="77777777" w:rsidR="00D67940" w:rsidRDefault="00D67940" w:rsidP="00783C4F">
      <w:r>
        <w:t>Among non</w:t>
      </w:r>
      <w:r w:rsidR="00A45761">
        <w:t>-</w:t>
      </w:r>
      <w:r>
        <w:t>Indigenous Australians aged 65 years and over there were 339 cases of IPD reported this quarter. The number of notified cases of IPD in this population group were 80% higher compared to the number of cases reported in the previous quarter (n=188) and 45% higher than the number reported in the third quarter of 2016 (n=234). Of those cases with a reported serotype (n=306), almost two-thirds (62%; 190/306) were due to a serotype included in the 23vPPV (Figure 4), which was similar to the proportion in the previous quarter (62%; 107/175). For this quarter, serotype 3 (n=59) was the most common serotype for this population group followed by 23A (n=25), 9N (n=23), 19A (n=22), 22F (n=22) and 19F (n=22). All of these serotypes, except 23A, are included in the 23vPPV.</w:t>
      </w:r>
    </w:p>
    <w:p w14:paraId="7A22740C" w14:textId="77777777" w:rsidR="007B6E95" w:rsidRDefault="007B6E95">
      <w:pPr>
        <w:rPr>
          <w:b/>
        </w:rPr>
      </w:pPr>
      <w:r>
        <w:br w:type="page"/>
      </w:r>
    </w:p>
    <w:p w14:paraId="16CAE15B" w14:textId="77777777" w:rsidR="00D67940" w:rsidRDefault="00D67940" w:rsidP="00783C4F">
      <w:pPr>
        <w:pStyle w:val="CDIFigures"/>
      </w:pPr>
      <w:r>
        <w:lastRenderedPageBreak/>
        <w:t>Figure 4: Notifications and annual rates</w:t>
      </w:r>
      <w:r>
        <w:rPr>
          <w:vertAlign w:val="superscript"/>
        </w:rPr>
        <w:t>*</w:t>
      </w:r>
      <w:r>
        <w:t xml:space="preserve"> of all invasive pneumococcal disease in non-indigenous Australians</w:t>
      </w:r>
      <w:r w:rsidRPr="00D6421C">
        <w:rPr>
          <w:vertAlign w:val="superscript"/>
        </w:rPr>
        <w:t>#</w:t>
      </w:r>
      <w:r>
        <w:t xml:space="preserve"> aged 65 years or over, Australia, 1 January 2008 to 30 September 2017, by vaccine serotype group</w:t>
      </w:r>
    </w:p>
    <w:p w14:paraId="0034103E" w14:textId="77777777" w:rsidR="00D67940" w:rsidRDefault="00D67940">
      <w:pPr>
        <w:pStyle w:val="NormalWeb"/>
      </w:pPr>
      <w:r>
        <w:rPr>
          <w:noProof/>
        </w:rPr>
        <w:drawing>
          <wp:inline distT="0" distB="0" distL="0" distR="0" wp14:anchorId="29CB29AC" wp14:editId="63426059">
            <wp:extent cx="6629400" cy="4708795"/>
            <wp:effectExtent l="0" t="0" r="0" b="0"/>
            <wp:docPr id="4" name="Picture 4" descr="Figure 4 - This figure shows all notified cases of IPD in non-Indigenous Australians aged 65 years or older in Australia between 2007 and 2017 by quarter and the serotype causing disease, grouped according to targeted vaccines. The figure shows that overall rates of IPD have declined amongst this population since 2012, although there has been a recent increase in cases, especially due to non-vaccine serotypes. Disease due to serotypes targeted by the 13vPCV has reduced substantially in this population group likely due to herd immunity impacts from the childhood immunis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 This figure shows all notified cases of IPD in non-Indigenous Australians aged 65 years or older in Australia between 2007 and 2017 by quarter and the serotype causing disease, grouped according to targeted vaccines. The figure shows that overall rates of IPD have declined amongst this population since 2012, although there has been a recent increase in cases, especially due to non-vaccine serotypes. Disease due to serotypes targeted by the 13vPCV has reduced substantially in this population group likely due to herd immunity impacts from the childhood immunisation program."/>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638833" cy="4715495"/>
                    </a:xfrm>
                    <a:prstGeom prst="rect">
                      <a:avLst/>
                    </a:prstGeom>
                  </pic:spPr>
                </pic:pic>
              </a:graphicData>
            </a:graphic>
          </wp:inline>
        </w:drawing>
      </w:r>
    </w:p>
    <w:p w14:paraId="685FC621" w14:textId="77777777" w:rsidR="00D67940" w:rsidRPr="008E1730" w:rsidRDefault="00D67940" w:rsidP="008E1730">
      <w:pPr>
        <w:pStyle w:val="CDIfootnotes"/>
      </w:pPr>
      <w:r w:rsidRPr="008E1730">
        <w:t>*</w:t>
      </w:r>
      <w:r w:rsidRPr="008E1730">
        <w:tab/>
        <w:t>Annual rates are shown on quarter 2, excluding 2017.</w:t>
      </w:r>
    </w:p>
    <w:p w14:paraId="3D40D541" w14:textId="77777777" w:rsidR="00D67940" w:rsidRPr="008E1730" w:rsidRDefault="00D67940" w:rsidP="008E1730">
      <w:pPr>
        <w:pStyle w:val="CDIfootnotes"/>
      </w:pPr>
      <w:r w:rsidRPr="008E1730">
        <w:t>#</w:t>
      </w:r>
      <w:r w:rsidRPr="008E1730">
        <w:tab/>
        <w:t>Non-Indigenous Australians includes cases reported as non-Indigenous, not stated, blank or unknown.</w:t>
      </w:r>
    </w:p>
    <w:p w14:paraId="7B41EABD" w14:textId="77777777" w:rsidR="008C0153" w:rsidRDefault="008C0153" w:rsidP="008C0153">
      <w:r w:rsidRPr="008E1730">
        <w:t>During this quarter there were 65 deaths attributed to a variety of IPD serotypes, with serotypes 9N (n=9), 3 (n=8) and 19F (n=6) being the most common. Almost all of the reported deaths (92%; n=60) occurred in non-Indigenous Australians. The median age of those cases reported to have died this quarter was 67 years (range 0 to 102 years).</w:t>
      </w:r>
    </w:p>
    <w:p w14:paraId="2AD7437B" w14:textId="77777777" w:rsidR="008C0153" w:rsidRPr="008C0153" w:rsidRDefault="008C0153" w:rsidP="008C0153"/>
    <w:p w14:paraId="1F44920A" w14:textId="77777777" w:rsidR="00D67940" w:rsidRPr="004F3337" w:rsidRDefault="00D67940" w:rsidP="004F3337">
      <w:pPr>
        <w:pStyle w:val="Heading1"/>
      </w:pPr>
      <w:r>
        <w:rPr>
          <w:rFonts w:eastAsia="Times New Roman"/>
        </w:rPr>
        <w:t>Notes</w:t>
      </w:r>
    </w:p>
    <w:p w14:paraId="24A340A2" w14:textId="77777777" w:rsidR="00D67940" w:rsidRDefault="00D67940" w:rsidP="00571F67">
      <w:r>
        <w:t xml:space="preserve">The data in this report are provisional and subject to change as laboratory results and additional case information become available. More detailed data analysis of IPD in Australia and surveillance methodology are described in the IPD annual report series published in </w:t>
      </w:r>
      <w:r w:rsidRPr="0096705B">
        <w:rPr>
          <w:rStyle w:val="Emphasis"/>
          <w:b w:val="0"/>
        </w:rPr>
        <w:t>Communicable Diseases Intelligence</w:t>
      </w:r>
      <w:r>
        <w:t>.</w:t>
      </w:r>
    </w:p>
    <w:p w14:paraId="25F346C4" w14:textId="77777777" w:rsidR="00D67940" w:rsidRDefault="00D67940" w:rsidP="00571F67">
      <w:r>
        <w:t xml:space="preserve">In Australia, pneumococcal vaccination is recommended as part of routine immunisation for children, individuals with specific underlying conditions associated with increased risk of IPD and older Australians. More information on </w:t>
      </w:r>
      <w:r>
        <w:lastRenderedPageBreak/>
        <w:t>the scheduling of the pneumococcal vaccination can be found on the Immunise Australia Program website (www.immunise.health.gov.au).</w:t>
      </w:r>
    </w:p>
    <w:p w14:paraId="00EEA4B9" w14:textId="77777777" w:rsidR="00D67940" w:rsidRDefault="00D67940" w:rsidP="00571F67">
      <w:r>
        <w:t>In this report, a ‘vaccine failure’ is reported when a child aged less than 5 years is diagnosed with IPD due to a serotype found in the 13vPCV and they have received 3 primary scheduled doses of 13vPCV at least 2 weeks prior to disease onset with at least 28 days between doses of vaccine.</w:t>
      </w:r>
    </w:p>
    <w:p w14:paraId="5E3206AD" w14:textId="77777777" w:rsidR="00D67940" w:rsidRDefault="00D67940" w:rsidP="00571F67">
      <w:r>
        <w:t>There are 3 pneumococcal vaccines available in Australia, each targeting multiple serotypes (Table 5). Note that in this report serotype analysis is generally grouped according to vaccine composition.</w:t>
      </w:r>
    </w:p>
    <w:p w14:paraId="403700E7" w14:textId="77777777" w:rsidR="00D67940" w:rsidRDefault="00D67940" w:rsidP="00571F67">
      <w:pPr>
        <w:pStyle w:val="CDIFigures"/>
      </w:pPr>
      <w:r>
        <w:t>Table 5: Streptococcus pneumoniae serotypes targeted by pneumococcal vaccines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hows the four pneumococcal vaccines available in Australia and the multiple serotypes targeted by each vaccine. The 7-valent pneumococcal conjugate vaccine (7vPCV) targets serotypes 4, 6B, 9V, 14, 18C, 19F and 23F. The 10-valent pneumococcal conjugate vaccine (10-vPCV) targets the same serotypes as the 7vPCV plus 1, 5 and 7F. The 13-valent pneumococcal conjugate vaccine (13-vPCV) targets the same serotypes as the 10vPCV plus 3, 6A and 19F. The 23-valent pneumococcal polysaccharide vaccine (23-vPPV) targets same serotypes as the 10vPCV plus 2, 3, 8, 9N, 10A, 11A, 12F, 15B, 17F, 19A, 20, 22F and 33F."/>
      </w:tblPr>
      <w:tblGrid>
        <w:gridCol w:w="858"/>
        <w:gridCol w:w="2300"/>
        <w:gridCol w:w="2377"/>
        <w:gridCol w:w="2377"/>
        <w:gridCol w:w="2554"/>
      </w:tblGrid>
      <w:tr w:rsidR="00D67940" w:rsidRPr="00DD418E" w14:paraId="1AC7232B" w14:textId="77777777" w:rsidTr="00453BE5">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4" w:space="0" w:color="auto"/>
            </w:tcBorders>
            <w:hideMark/>
          </w:tcPr>
          <w:p w14:paraId="192A6BFF" w14:textId="77777777" w:rsidR="00D67940" w:rsidRPr="00DD418E" w:rsidRDefault="00D67940">
            <w:pPr>
              <w:pStyle w:val="NormalWeb"/>
              <w:rPr>
                <w:color w:val="FFFFFF" w:themeColor="background1"/>
                <w:sz w:val="18"/>
                <w:szCs w:val="18"/>
              </w:rPr>
            </w:pPr>
            <w:r w:rsidRPr="00DD418E">
              <w:rPr>
                <w:color w:val="FFFFFF" w:themeColor="background1"/>
                <w:sz w:val="18"/>
                <w:szCs w:val="18"/>
              </w:rPr>
              <w:t>Serotypes</w:t>
            </w:r>
          </w:p>
        </w:tc>
        <w:tc>
          <w:tcPr>
            <w:tcW w:w="0" w:type="auto"/>
            <w:tcBorders>
              <w:left w:val="single" w:sz="4" w:space="0" w:color="auto"/>
              <w:right w:val="single" w:sz="4" w:space="0" w:color="auto"/>
            </w:tcBorders>
            <w:hideMark/>
          </w:tcPr>
          <w:p w14:paraId="0B7DD375" w14:textId="77777777" w:rsidR="00D67940" w:rsidRPr="00DD418E" w:rsidRDefault="00D67940" w:rsidP="00453BE5">
            <w:pPr>
              <w:pStyle w:val="NormalWeb"/>
              <w:jc w:val="center"/>
              <w:rPr>
                <w:color w:val="FFFFFF" w:themeColor="background1"/>
                <w:sz w:val="18"/>
                <w:szCs w:val="18"/>
              </w:rPr>
            </w:pPr>
            <w:r w:rsidRPr="00DD418E">
              <w:rPr>
                <w:color w:val="FFFFFF" w:themeColor="background1"/>
                <w:sz w:val="18"/>
                <w:szCs w:val="18"/>
              </w:rPr>
              <w:t>7-valent pneumococcal conjugate vaccine (7vPCV)</w:t>
            </w:r>
          </w:p>
        </w:tc>
        <w:tc>
          <w:tcPr>
            <w:tcW w:w="0" w:type="auto"/>
            <w:tcBorders>
              <w:left w:val="single" w:sz="4" w:space="0" w:color="auto"/>
              <w:right w:val="single" w:sz="4" w:space="0" w:color="auto"/>
            </w:tcBorders>
            <w:hideMark/>
          </w:tcPr>
          <w:p w14:paraId="7525DD5B" w14:textId="77777777" w:rsidR="00D67940" w:rsidRPr="00DD418E" w:rsidRDefault="00D67940" w:rsidP="00453BE5">
            <w:pPr>
              <w:pStyle w:val="NormalWeb"/>
              <w:jc w:val="center"/>
              <w:rPr>
                <w:color w:val="FFFFFF" w:themeColor="background1"/>
                <w:sz w:val="18"/>
                <w:szCs w:val="18"/>
              </w:rPr>
            </w:pPr>
            <w:r w:rsidRPr="00DD418E">
              <w:rPr>
                <w:color w:val="FFFFFF" w:themeColor="background1"/>
                <w:sz w:val="18"/>
                <w:szCs w:val="18"/>
              </w:rPr>
              <w:t>10-valent pneumococcal conjugate vaccine (10vPCV)</w:t>
            </w:r>
          </w:p>
        </w:tc>
        <w:tc>
          <w:tcPr>
            <w:tcW w:w="0" w:type="auto"/>
            <w:tcBorders>
              <w:left w:val="single" w:sz="4" w:space="0" w:color="auto"/>
              <w:right w:val="single" w:sz="4" w:space="0" w:color="auto"/>
            </w:tcBorders>
            <w:hideMark/>
          </w:tcPr>
          <w:p w14:paraId="48A9F28E" w14:textId="77777777" w:rsidR="00D67940" w:rsidRPr="00DD418E" w:rsidRDefault="00D67940" w:rsidP="00453BE5">
            <w:pPr>
              <w:pStyle w:val="NormalWeb"/>
              <w:jc w:val="center"/>
              <w:rPr>
                <w:color w:val="FFFFFF" w:themeColor="background1"/>
                <w:sz w:val="18"/>
                <w:szCs w:val="18"/>
              </w:rPr>
            </w:pPr>
            <w:r w:rsidRPr="00DD418E">
              <w:rPr>
                <w:color w:val="FFFFFF" w:themeColor="background1"/>
                <w:sz w:val="18"/>
                <w:szCs w:val="18"/>
              </w:rPr>
              <w:t>13-valent pneumococcal conjugate vaccine (13vPCV)</w:t>
            </w:r>
          </w:p>
        </w:tc>
        <w:tc>
          <w:tcPr>
            <w:tcW w:w="0" w:type="auto"/>
            <w:tcBorders>
              <w:left w:val="single" w:sz="4" w:space="0" w:color="auto"/>
            </w:tcBorders>
            <w:hideMark/>
          </w:tcPr>
          <w:p w14:paraId="3ACB0D39" w14:textId="77777777" w:rsidR="00D67940" w:rsidRPr="00DD418E" w:rsidRDefault="00D67940" w:rsidP="00453BE5">
            <w:pPr>
              <w:pStyle w:val="NormalWeb"/>
              <w:jc w:val="center"/>
              <w:rPr>
                <w:color w:val="FFFFFF" w:themeColor="background1"/>
                <w:sz w:val="18"/>
                <w:szCs w:val="18"/>
              </w:rPr>
            </w:pPr>
            <w:r w:rsidRPr="00DD418E">
              <w:rPr>
                <w:color w:val="FFFFFF" w:themeColor="background1"/>
                <w:sz w:val="18"/>
                <w:szCs w:val="18"/>
              </w:rPr>
              <w:t>23-valent pneumococcal polysaccharide vaccine (23vPPV)</w:t>
            </w:r>
          </w:p>
        </w:tc>
      </w:tr>
      <w:tr w:rsidR="00D67940" w:rsidRPr="00DD418E" w14:paraId="785D6064" w14:textId="77777777" w:rsidTr="00453BE5">
        <w:tc>
          <w:tcPr>
            <w:tcW w:w="0" w:type="auto"/>
            <w:tcBorders>
              <w:right w:val="single" w:sz="4" w:space="0" w:color="auto"/>
            </w:tcBorders>
            <w:hideMark/>
          </w:tcPr>
          <w:p w14:paraId="649CEBD4" w14:textId="77777777" w:rsidR="00D67940" w:rsidRPr="00DD418E" w:rsidRDefault="00D67940">
            <w:pPr>
              <w:pStyle w:val="NormalWeb"/>
              <w:rPr>
                <w:sz w:val="18"/>
                <w:szCs w:val="18"/>
              </w:rPr>
            </w:pPr>
            <w:r w:rsidRPr="00DD418E">
              <w:rPr>
                <w:sz w:val="18"/>
                <w:szCs w:val="18"/>
              </w:rPr>
              <w:t>1</w:t>
            </w:r>
          </w:p>
        </w:tc>
        <w:tc>
          <w:tcPr>
            <w:tcW w:w="0" w:type="auto"/>
            <w:tcBorders>
              <w:left w:val="single" w:sz="4" w:space="0" w:color="auto"/>
              <w:right w:val="single" w:sz="4" w:space="0" w:color="auto"/>
            </w:tcBorders>
            <w:hideMark/>
          </w:tcPr>
          <w:p w14:paraId="73102198"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4CE5AE8B"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2265DABF"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38859978"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263B0864"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3147C754" w14:textId="77777777" w:rsidR="00D67940" w:rsidRPr="00DD418E" w:rsidRDefault="00D67940">
            <w:pPr>
              <w:pStyle w:val="NormalWeb"/>
              <w:rPr>
                <w:sz w:val="18"/>
                <w:szCs w:val="18"/>
              </w:rPr>
            </w:pPr>
            <w:r w:rsidRPr="00DD418E">
              <w:rPr>
                <w:sz w:val="18"/>
                <w:szCs w:val="18"/>
              </w:rPr>
              <w:t>2</w:t>
            </w:r>
          </w:p>
        </w:tc>
        <w:tc>
          <w:tcPr>
            <w:tcW w:w="0" w:type="auto"/>
            <w:tcBorders>
              <w:left w:val="single" w:sz="4" w:space="0" w:color="auto"/>
              <w:right w:val="single" w:sz="4" w:space="0" w:color="auto"/>
            </w:tcBorders>
            <w:hideMark/>
          </w:tcPr>
          <w:p w14:paraId="29B6A3AE"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5EB20C99"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6F9A20DF"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06EBFC4F"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5413A65E" w14:textId="77777777" w:rsidTr="00453BE5">
        <w:tc>
          <w:tcPr>
            <w:tcW w:w="0" w:type="auto"/>
            <w:tcBorders>
              <w:right w:val="single" w:sz="4" w:space="0" w:color="auto"/>
            </w:tcBorders>
            <w:hideMark/>
          </w:tcPr>
          <w:p w14:paraId="41BDA5D1" w14:textId="77777777" w:rsidR="00D67940" w:rsidRPr="00DD418E" w:rsidRDefault="00D67940">
            <w:pPr>
              <w:pStyle w:val="NormalWeb"/>
              <w:rPr>
                <w:sz w:val="18"/>
                <w:szCs w:val="18"/>
              </w:rPr>
            </w:pPr>
            <w:r w:rsidRPr="00DD418E">
              <w:rPr>
                <w:sz w:val="18"/>
                <w:szCs w:val="18"/>
              </w:rPr>
              <w:t>3</w:t>
            </w:r>
          </w:p>
        </w:tc>
        <w:tc>
          <w:tcPr>
            <w:tcW w:w="0" w:type="auto"/>
            <w:tcBorders>
              <w:left w:val="single" w:sz="4" w:space="0" w:color="auto"/>
              <w:right w:val="single" w:sz="4" w:space="0" w:color="auto"/>
            </w:tcBorders>
            <w:hideMark/>
          </w:tcPr>
          <w:p w14:paraId="238F1353"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42E52D2C"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6D02B88A"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1C6E71E2"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25E7D4C4"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10E257FE" w14:textId="77777777" w:rsidR="00D67940" w:rsidRPr="00DD418E" w:rsidRDefault="00D67940">
            <w:pPr>
              <w:pStyle w:val="NormalWeb"/>
              <w:rPr>
                <w:sz w:val="18"/>
                <w:szCs w:val="18"/>
              </w:rPr>
            </w:pPr>
            <w:r w:rsidRPr="00DD418E">
              <w:rPr>
                <w:sz w:val="18"/>
                <w:szCs w:val="18"/>
              </w:rPr>
              <w:t>4</w:t>
            </w:r>
          </w:p>
        </w:tc>
        <w:tc>
          <w:tcPr>
            <w:tcW w:w="0" w:type="auto"/>
            <w:tcBorders>
              <w:left w:val="single" w:sz="4" w:space="0" w:color="auto"/>
              <w:right w:val="single" w:sz="4" w:space="0" w:color="auto"/>
            </w:tcBorders>
            <w:hideMark/>
          </w:tcPr>
          <w:p w14:paraId="565657B4"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496F8994"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56FDCFE7"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621DA24A"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5F25B902" w14:textId="77777777" w:rsidTr="00453BE5">
        <w:tc>
          <w:tcPr>
            <w:tcW w:w="0" w:type="auto"/>
            <w:tcBorders>
              <w:right w:val="single" w:sz="4" w:space="0" w:color="auto"/>
            </w:tcBorders>
            <w:hideMark/>
          </w:tcPr>
          <w:p w14:paraId="49DA1B8D" w14:textId="77777777" w:rsidR="00D67940" w:rsidRPr="00DD418E" w:rsidRDefault="00D67940">
            <w:pPr>
              <w:pStyle w:val="NormalWeb"/>
              <w:rPr>
                <w:sz w:val="18"/>
                <w:szCs w:val="18"/>
              </w:rPr>
            </w:pPr>
            <w:r w:rsidRPr="00DD418E">
              <w:rPr>
                <w:sz w:val="18"/>
                <w:szCs w:val="18"/>
              </w:rPr>
              <w:t>5</w:t>
            </w:r>
          </w:p>
        </w:tc>
        <w:tc>
          <w:tcPr>
            <w:tcW w:w="0" w:type="auto"/>
            <w:tcBorders>
              <w:left w:val="single" w:sz="4" w:space="0" w:color="auto"/>
              <w:right w:val="single" w:sz="4" w:space="0" w:color="auto"/>
            </w:tcBorders>
            <w:hideMark/>
          </w:tcPr>
          <w:p w14:paraId="4F5FBA7A"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2681B463"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58F1FA2D"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561783BC"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67820A1F"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45376947" w14:textId="77777777" w:rsidR="00D67940" w:rsidRPr="00DD418E" w:rsidRDefault="00D67940">
            <w:pPr>
              <w:pStyle w:val="NormalWeb"/>
              <w:rPr>
                <w:sz w:val="18"/>
                <w:szCs w:val="18"/>
              </w:rPr>
            </w:pPr>
            <w:r w:rsidRPr="00DD418E">
              <w:rPr>
                <w:sz w:val="18"/>
                <w:szCs w:val="18"/>
              </w:rPr>
              <w:t>6A</w:t>
            </w:r>
          </w:p>
        </w:tc>
        <w:tc>
          <w:tcPr>
            <w:tcW w:w="0" w:type="auto"/>
            <w:tcBorders>
              <w:left w:val="single" w:sz="4" w:space="0" w:color="auto"/>
              <w:right w:val="single" w:sz="4" w:space="0" w:color="auto"/>
            </w:tcBorders>
            <w:hideMark/>
          </w:tcPr>
          <w:p w14:paraId="79CEA3AE"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076A30B7"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0FDBA28B"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77F75B9A" w14:textId="77777777" w:rsidR="00D67940" w:rsidRPr="00DD418E" w:rsidRDefault="00D67940" w:rsidP="00453BE5">
            <w:pPr>
              <w:jc w:val="center"/>
              <w:rPr>
                <w:sz w:val="18"/>
                <w:szCs w:val="18"/>
              </w:rPr>
            </w:pPr>
          </w:p>
        </w:tc>
      </w:tr>
      <w:tr w:rsidR="00D67940" w:rsidRPr="00DD418E" w14:paraId="0099E2B6" w14:textId="77777777" w:rsidTr="00453BE5">
        <w:tc>
          <w:tcPr>
            <w:tcW w:w="0" w:type="auto"/>
            <w:tcBorders>
              <w:right w:val="single" w:sz="4" w:space="0" w:color="auto"/>
            </w:tcBorders>
            <w:hideMark/>
          </w:tcPr>
          <w:p w14:paraId="02CB25C0" w14:textId="77777777" w:rsidR="00D67940" w:rsidRPr="00DD418E" w:rsidRDefault="00D67940">
            <w:pPr>
              <w:pStyle w:val="NormalWeb"/>
              <w:rPr>
                <w:sz w:val="18"/>
                <w:szCs w:val="18"/>
              </w:rPr>
            </w:pPr>
            <w:r w:rsidRPr="00DD418E">
              <w:rPr>
                <w:sz w:val="18"/>
                <w:szCs w:val="18"/>
              </w:rPr>
              <w:t>6B</w:t>
            </w:r>
          </w:p>
        </w:tc>
        <w:tc>
          <w:tcPr>
            <w:tcW w:w="0" w:type="auto"/>
            <w:tcBorders>
              <w:left w:val="single" w:sz="4" w:space="0" w:color="auto"/>
              <w:right w:val="single" w:sz="4" w:space="0" w:color="auto"/>
            </w:tcBorders>
            <w:hideMark/>
          </w:tcPr>
          <w:p w14:paraId="4673EC19"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68356182"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62EAB4AE"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61226C19"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17A516B9"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2A9B1B9D" w14:textId="77777777" w:rsidR="00D67940" w:rsidRPr="00DD418E" w:rsidRDefault="00D67940">
            <w:pPr>
              <w:pStyle w:val="NormalWeb"/>
              <w:rPr>
                <w:sz w:val="18"/>
                <w:szCs w:val="18"/>
              </w:rPr>
            </w:pPr>
            <w:r w:rsidRPr="00DD418E">
              <w:rPr>
                <w:sz w:val="18"/>
                <w:szCs w:val="18"/>
              </w:rPr>
              <w:t>7F</w:t>
            </w:r>
          </w:p>
        </w:tc>
        <w:tc>
          <w:tcPr>
            <w:tcW w:w="0" w:type="auto"/>
            <w:tcBorders>
              <w:left w:val="single" w:sz="4" w:space="0" w:color="auto"/>
              <w:right w:val="single" w:sz="4" w:space="0" w:color="auto"/>
            </w:tcBorders>
            <w:hideMark/>
          </w:tcPr>
          <w:p w14:paraId="1B7F120E"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74E47504"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7B6A1F69"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3143F89B"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65628BC8" w14:textId="77777777" w:rsidTr="00453BE5">
        <w:tc>
          <w:tcPr>
            <w:tcW w:w="0" w:type="auto"/>
            <w:tcBorders>
              <w:right w:val="single" w:sz="4" w:space="0" w:color="auto"/>
            </w:tcBorders>
            <w:hideMark/>
          </w:tcPr>
          <w:p w14:paraId="33656477" w14:textId="77777777" w:rsidR="00D67940" w:rsidRPr="00DD418E" w:rsidRDefault="00D67940">
            <w:pPr>
              <w:pStyle w:val="NormalWeb"/>
              <w:rPr>
                <w:sz w:val="18"/>
                <w:szCs w:val="18"/>
              </w:rPr>
            </w:pPr>
            <w:r w:rsidRPr="00DD418E">
              <w:rPr>
                <w:sz w:val="18"/>
                <w:szCs w:val="18"/>
              </w:rPr>
              <w:t>8</w:t>
            </w:r>
          </w:p>
        </w:tc>
        <w:tc>
          <w:tcPr>
            <w:tcW w:w="0" w:type="auto"/>
            <w:tcBorders>
              <w:left w:val="single" w:sz="4" w:space="0" w:color="auto"/>
              <w:right w:val="single" w:sz="4" w:space="0" w:color="auto"/>
            </w:tcBorders>
            <w:hideMark/>
          </w:tcPr>
          <w:p w14:paraId="53CBF7FB"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52F52E5A"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23000831"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5346FCF1"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693B2E75"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10995685" w14:textId="77777777" w:rsidR="00D67940" w:rsidRPr="00DD418E" w:rsidRDefault="00D67940">
            <w:pPr>
              <w:pStyle w:val="NormalWeb"/>
              <w:rPr>
                <w:sz w:val="18"/>
                <w:szCs w:val="18"/>
              </w:rPr>
            </w:pPr>
            <w:r w:rsidRPr="00DD418E">
              <w:rPr>
                <w:sz w:val="18"/>
                <w:szCs w:val="18"/>
              </w:rPr>
              <w:t>9N</w:t>
            </w:r>
          </w:p>
        </w:tc>
        <w:tc>
          <w:tcPr>
            <w:tcW w:w="0" w:type="auto"/>
            <w:tcBorders>
              <w:left w:val="single" w:sz="4" w:space="0" w:color="auto"/>
              <w:right w:val="single" w:sz="4" w:space="0" w:color="auto"/>
            </w:tcBorders>
            <w:hideMark/>
          </w:tcPr>
          <w:p w14:paraId="6598DE24"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348F0344"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6D7D08AA"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70C24E1A"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0272E32F" w14:textId="77777777" w:rsidTr="00453BE5">
        <w:tc>
          <w:tcPr>
            <w:tcW w:w="0" w:type="auto"/>
            <w:tcBorders>
              <w:right w:val="single" w:sz="4" w:space="0" w:color="auto"/>
            </w:tcBorders>
            <w:hideMark/>
          </w:tcPr>
          <w:p w14:paraId="1E7237D1" w14:textId="77777777" w:rsidR="00D67940" w:rsidRPr="00DD418E" w:rsidRDefault="00D67940">
            <w:pPr>
              <w:pStyle w:val="NormalWeb"/>
              <w:rPr>
                <w:sz w:val="18"/>
                <w:szCs w:val="18"/>
              </w:rPr>
            </w:pPr>
            <w:r w:rsidRPr="00DD418E">
              <w:rPr>
                <w:sz w:val="18"/>
                <w:szCs w:val="18"/>
              </w:rPr>
              <w:t>9V</w:t>
            </w:r>
          </w:p>
        </w:tc>
        <w:tc>
          <w:tcPr>
            <w:tcW w:w="0" w:type="auto"/>
            <w:tcBorders>
              <w:left w:val="single" w:sz="4" w:space="0" w:color="auto"/>
              <w:right w:val="single" w:sz="4" w:space="0" w:color="auto"/>
            </w:tcBorders>
            <w:hideMark/>
          </w:tcPr>
          <w:p w14:paraId="1ED40353"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46905C0C"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2B280A7B"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3A26ED85"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6C43B97D"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0C8229B7" w14:textId="77777777" w:rsidR="00D67940" w:rsidRPr="00DD418E" w:rsidRDefault="00D67940">
            <w:pPr>
              <w:pStyle w:val="NormalWeb"/>
              <w:rPr>
                <w:sz w:val="18"/>
                <w:szCs w:val="18"/>
              </w:rPr>
            </w:pPr>
            <w:r w:rsidRPr="00DD418E">
              <w:rPr>
                <w:sz w:val="18"/>
                <w:szCs w:val="18"/>
              </w:rPr>
              <w:t>10A</w:t>
            </w:r>
          </w:p>
        </w:tc>
        <w:tc>
          <w:tcPr>
            <w:tcW w:w="0" w:type="auto"/>
            <w:tcBorders>
              <w:left w:val="single" w:sz="4" w:space="0" w:color="auto"/>
              <w:right w:val="single" w:sz="4" w:space="0" w:color="auto"/>
            </w:tcBorders>
            <w:hideMark/>
          </w:tcPr>
          <w:p w14:paraId="78870854"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6F576DD9"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081E0BC1"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03B5B093"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16E60DE9" w14:textId="77777777" w:rsidTr="00453BE5">
        <w:tc>
          <w:tcPr>
            <w:tcW w:w="0" w:type="auto"/>
            <w:tcBorders>
              <w:right w:val="single" w:sz="4" w:space="0" w:color="auto"/>
            </w:tcBorders>
            <w:hideMark/>
          </w:tcPr>
          <w:p w14:paraId="7D2FD230" w14:textId="77777777" w:rsidR="00D67940" w:rsidRPr="00DD418E" w:rsidRDefault="00D67940">
            <w:pPr>
              <w:pStyle w:val="NormalWeb"/>
              <w:rPr>
                <w:sz w:val="18"/>
                <w:szCs w:val="18"/>
              </w:rPr>
            </w:pPr>
            <w:r w:rsidRPr="00DD418E">
              <w:rPr>
                <w:sz w:val="18"/>
                <w:szCs w:val="18"/>
              </w:rPr>
              <w:t>11A</w:t>
            </w:r>
          </w:p>
        </w:tc>
        <w:tc>
          <w:tcPr>
            <w:tcW w:w="0" w:type="auto"/>
            <w:tcBorders>
              <w:left w:val="single" w:sz="4" w:space="0" w:color="auto"/>
              <w:right w:val="single" w:sz="4" w:space="0" w:color="auto"/>
            </w:tcBorders>
            <w:hideMark/>
          </w:tcPr>
          <w:p w14:paraId="2E9F7D4A"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3796517B"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1CC0AE1B"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26E41428"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060F1FB7"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12B07326" w14:textId="77777777" w:rsidR="00D67940" w:rsidRPr="00DD418E" w:rsidRDefault="00D67940">
            <w:pPr>
              <w:pStyle w:val="NormalWeb"/>
              <w:rPr>
                <w:sz w:val="18"/>
                <w:szCs w:val="18"/>
              </w:rPr>
            </w:pPr>
            <w:r w:rsidRPr="00DD418E">
              <w:rPr>
                <w:sz w:val="18"/>
                <w:szCs w:val="18"/>
              </w:rPr>
              <w:t>12F</w:t>
            </w:r>
          </w:p>
        </w:tc>
        <w:tc>
          <w:tcPr>
            <w:tcW w:w="0" w:type="auto"/>
            <w:tcBorders>
              <w:left w:val="single" w:sz="4" w:space="0" w:color="auto"/>
              <w:right w:val="single" w:sz="4" w:space="0" w:color="auto"/>
            </w:tcBorders>
            <w:hideMark/>
          </w:tcPr>
          <w:p w14:paraId="163E2192"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689A8A52"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0BB9530B"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5FB38C02"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4B837E61" w14:textId="77777777" w:rsidTr="00453BE5">
        <w:tc>
          <w:tcPr>
            <w:tcW w:w="0" w:type="auto"/>
            <w:tcBorders>
              <w:right w:val="single" w:sz="4" w:space="0" w:color="auto"/>
            </w:tcBorders>
            <w:hideMark/>
          </w:tcPr>
          <w:p w14:paraId="0D40740B" w14:textId="77777777" w:rsidR="00D67940" w:rsidRPr="00DD418E" w:rsidRDefault="00D67940">
            <w:pPr>
              <w:pStyle w:val="NormalWeb"/>
              <w:rPr>
                <w:sz w:val="18"/>
                <w:szCs w:val="18"/>
              </w:rPr>
            </w:pPr>
            <w:r w:rsidRPr="00DD418E">
              <w:rPr>
                <w:sz w:val="18"/>
                <w:szCs w:val="18"/>
              </w:rPr>
              <w:t>14</w:t>
            </w:r>
          </w:p>
        </w:tc>
        <w:tc>
          <w:tcPr>
            <w:tcW w:w="0" w:type="auto"/>
            <w:tcBorders>
              <w:left w:val="single" w:sz="4" w:space="0" w:color="auto"/>
              <w:right w:val="single" w:sz="4" w:space="0" w:color="auto"/>
            </w:tcBorders>
            <w:hideMark/>
          </w:tcPr>
          <w:p w14:paraId="7CB08530"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1AF26F50"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61A500B0"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12185BB9"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64FE51E5"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0E943598" w14:textId="77777777" w:rsidR="00D67940" w:rsidRPr="00DD418E" w:rsidRDefault="00D67940">
            <w:pPr>
              <w:pStyle w:val="NormalWeb"/>
              <w:rPr>
                <w:sz w:val="18"/>
                <w:szCs w:val="18"/>
              </w:rPr>
            </w:pPr>
            <w:r w:rsidRPr="00DD418E">
              <w:rPr>
                <w:sz w:val="18"/>
                <w:szCs w:val="18"/>
              </w:rPr>
              <w:t>15B</w:t>
            </w:r>
          </w:p>
        </w:tc>
        <w:tc>
          <w:tcPr>
            <w:tcW w:w="0" w:type="auto"/>
            <w:tcBorders>
              <w:left w:val="single" w:sz="4" w:space="0" w:color="auto"/>
              <w:right w:val="single" w:sz="4" w:space="0" w:color="auto"/>
            </w:tcBorders>
            <w:hideMark/>
          </w:tcPr>
          <w:p w14:paraId="66D8C057"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2457A552"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516DFADA"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033D62A7"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54FA7B66" w14:textId="77777777" w:rsidTr="00453BE5">
        <w:tc>
          <w:tcPr>
            <w:tcW w:w="0" w:type="auto"/>
            <w:tcBorders>
              <w:right w:val="single" w:sz="4" w:space="0" w:color="auto"/>
            </w:tcBorders>
            <w:hideMark/>
          </w:tcPr>
          <w:p w14:paraId="0B98A500" w14:textId="77777777" w:rsidR="00D67940" w:rsidRPr="00DD418E" w:rsidRDefault="00D67940">
            <w:pPr>
              <w:pStyle w:val="NormalWeb"/>
              <w:rPr>
                <w:sz w:val="18"/>
                <w:szCs w:val="18"/>
              </w:rPr>
            </w:pPr>
            <w:r w:rsidRPr="00DD418E">
              <w:rPr>
                <w:sz w:val="18"/>
                <w:szCs w:val="18"/>
              </w:rPr>
              <w:t>17F</w:t>
            </w:r>
          </w:p>
        </w:tc>
        <w:tc>
          <w:tcPr>
            <w:tcW w:w="0" w:type="auto"/>
            <w:tcBorders>
              <w:left w:val="single" w:sz="4" w:space="0" w:color="auto"/>
              <w:right w:val="single" w:sz="4" w:space="0" w:color="auto"/>
            </w:tcBorders>
            <w:hideMark/>
          </w:tcPr>
          <w:p w14:paraId="79FE9D34"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37E1DA8A"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6E89A357"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314C3E30"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388CBB14"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285CC83B" w14:textId="77777777" w:rsidR="00D67940" w:rsidRPr="00DD418E" w:rsidRDefault="00D67940">
            <w:pPr>
              <w:pStyle w:val="NormalWeb"/>
              <w:rPr>
                <w:sz w:val="18"/>
                <w:szCs w:val="18"/>
              </w:rPr>
            </w:pPr>
            <w:r w:rsidRPr="00DD418E">
              <w:rPr>
                <w:sz w:val="18"/>
                <w:szCs w:val="18"/>
              </w:rPr>
              <w:t>18C</w:t>
            </w:r>
          </w:p>
        </w:tc>
        <w:tc>
          <w:tcPr>
            <w:tcW w:w="0" w:type="auto"/>
            <w:tcBorders>
              <w:left w:val="single" w:sz="4" w:space="0" w:color="auto"/>
              <w:right w:val="single" w:sz="4" w:space="0" w:color="auto"/>
            </w:tcBorders>
            <w:hideMark/>
          </w:tcPr>
          <w:p w14:paraId="0A7A408D"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0F0B0EC8"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3642D2EB"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3CA2470E"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4EEE9E85" w14:textId="77777777" w:rsidTr="00453BE5">
        <w:tc>
          <w:tcPr>
            <w:tcW w:w="0" w:type="auto"/>
            <w:tcBorders>
              <w:right w:val="single" w:sz="4" w:space="0" w:color="auto"/>
            </w:tcBorders>
            <w:hideMark/>
          </w:tcPr>
          <w:p w14:paraId="09F1C3B0" w14:textId="77777777" w:rsidR="00D67940" w:rsidRPr="00DD418E" w:rsidRDefault="00D67940">
            <w:pPr>
              <w:pStyle w:val="NormalWeb"/>
              <w:rPr>
                <w:sz w:val="18"/>
                <w:szCs w:val="18"/>
              </w:rPr>
            </w:pPr>
            <w:r w:rsidRPr="00DD418E">
              <w:rPr>
                <w:sz w:val="18"/>
                <w:szCs w:val="18"/>
              </w:rPr>
              <w:t>19A</w:t>
            </w:r>
          </w:p>
        </w:tc>
        <w:tc>
          <w:tcPr>
            <w:tcW w:w="0" w:type="auto"/>
            <w:tcBorders>
              <w:left w:val="single" w:sz="4" w:space="0" w:color="auto"/>
              <w:right w:val="single" w:sz="4" w:space="0" w:color="auto"/>
            </w:tcBorders>
            <w:hideMark/>
          </w:tcPr>
          <w:p w14:paraId="1AECED1D"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0E513187"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5BE5C02A"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1809E6F9"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427A9289"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334439C5" w14:textId="77777777" w:rsidR="00D67940" w:rsidRPr="00DD418E" w:rsidRDefault="00D67940">
            <w:pPr>
              <w:pStyle w:val="NormalWeb"/>
              <w:rPr>
                <w:sz w:val="18"/>
                <w:szCs w:val="18"/>
              </w:rPr>
            </w:pPr>
            <w:r w:rsidRPr="00DD418E">
              <w:rPr>
                <w:sz w:val="18"/>
                <w:szCs w:val="18"/>
              </w:rPr>
              <w:t>19F</w:t>
            </w:r>
          </w:p>
        </w:tc>
        <w:tc>
          <w:tcPr>
            <w:tcW w:w="0" w:type="auto"/>
            <w:tcBorders>
              <w:left w:val="single" w:sz="4" w:space="0" w:color="auto"/>
              <w:right w:val="single" w:sz="4" w:space="0" w:color="auto"/>
            </w:tcBorders>
            <w:hideMark/>
          </w:tcPr>
          <w:p w14:paraId="5B691228"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68EA6F55"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04BDF1D0"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05F27B8D"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7A234382" w14:textId="77777777" w:rsidTr="00453BE5">
        <w:tc>
          <w:tcPr>
            <w:tcW w:w="0" w:type="auto"/>
            <w:tcBorders>
              <w:right w:val="single" w:sz="4" w:space="0" w:color="auto"/>
            </w:tcBorders>
            <w:hideMark/>
          </w:tcPr>
          <w:p w14:paraId="73546217" w14:textId="77777777" w:rsidR="00D67940" w:rsidRPr="00DD418E" w:rsidRDefault="00D67940">
            <w:pPr>
              <w:pStyle w:val="NormalWeb"/>
              <w:rPr>
                <w:sz w:val="18"/>
                <w:szCs w:val="18"/>
              </w:rPr>
            </w:pPr>
            <w:r w:rsidRPr="00DD418E">
              <w:rPr>
                <w:sz w:val="18"/>
                <w:szCs w:val="18"/>
              </w:rPr>
              <w:t>20</w:t>
            </w:r>
          </w:p>
        </w:tc>
        <w:tc>
          <w:tcPr>
            <w:tcW w:w="0" w:type="auto"/>
            <w:tcBorders>
              <w:left w:val="single" w:sz="4" w:space="0" w:color="auto"/>
              <w:right w:val="single" w:sz="4" w:space="0" w:color="auto"/>
            </w:tcBorders>
            <w:hideMark/>
          </w:tcPr>
          <w:p w14:paraId="074401C6"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5704AE51"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69A04BC4"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45877F16"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3AFAC173"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35E1CE3C" w14:textId="77777777" w:rsidR="00D67940" w:rsidRPr="00DD418E" w:rsidRDefault="00D67940">
            <w:pPr>
              <w:pStyle w:val="NormalWeb"/>
              <w:rPr>
                <w:sz w:val="18"/>
                <w:szCs w:val="18"/>
              </w:rPr>
            </w:pPr>
            <w:r w:rsidRPr="00DD418E">
              <w:rPr>
                <w:sz w:val="18"/>
                <w:szCs w:val="18"/>
              </w:rPr>
              <w:t>22F</w:t>
            </w:r>
          </w:p>
        </w:tc>
        <w:tc>
          <w:tcPr>
            <w:tcW w:w="0" w:type="auto"/>
            <w:tcBorders>
              <w:left w:val="single" w:sz="4" w:space="0" w:color="auto"/>
              <w:right w:val="single" w:sz="4" w:space="0" w:color="auto"/>
            </w:tcBorders>
            <w:hideMark/>
          </w:tcPr>
          <w:p w14:paraId="32B19EF3"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632BB13C"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1E3B2649"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5E38900A"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69CD167C" w14:textId="77777777" w:rsidTr="00453BE5">
        <w:tc>
          <w:tcPr>
            <w:tcW w:w="0" w:type="auto"/>
            <w:tcBorders>
              <w:right w:val="single" w:sz="4" w:space="0" w:color="auto"/>
            </w:tcBorders>
            <w:hideMark/>
          </w:tcPr>
          <w:p w14:paraId="40DC2F3F" w14:textId="77777777" w:rsidR="00D67940" w:rsidRPr="00DD418E" w:rsidRDefault="00D67940">
            <w:pPr>
              <w:pStyle w:val="NormalWeb"/>
              <w:rPr>
                <w:sz w:val="18"/>
                <w:szCs w:val="18"/>
              </w:rPr>
            </w:pPr>
            <w:r w:rsidRPr="00DD418E">
              <w:rPr>
                <w:sz w:val="18"/>
                <w:szCs w:val="18"/>
              </w:rPr>
              <w:t>23F</w:t>
            </w:r>
          </w:p>
        </w:tc>
        <w:tc>
          <w:tcPr>
            <w:tcW w:w="0" w:type="auto"/>
            <w:tcBorders>
              <w:left w:val="single" w:sz="4" w:space="0" w:color="auto"/>
              <w:right w:val="single" w:sz="4" w:space="0" w:color="auto"/>
            </w:tcBorders>
            <w:hideMark/>
          </w:tcPr>
          <w:p w14:paraId="5A0D4EE4"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4B9853D9"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right w:val="single" w:sz="4" w:space="0" w:color="auto"/>
            </w:tcBorders>
            <w:hideMark/>
          </w:tcPr>
          <w:p w14:paraId="2DD58F90"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c>
          <w:tcPr>
            <w:tcW w:w="0" w:type="auto"/>
            <w:tcBorders>
              <w:left w:val="single" w:sz="4" w:space="0" w:color="auto"/>
            </w:tcBorders>
            <w:hideMark/>
          </w:tcPr>
          <w:p w14:paraId="74F15815"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r w:rsidR="00D67940" w:rsidRPr="00DD418E" w14:paraId="0F35B5D2" w14:textId="77777777" w:rsidTr="00453BE5">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7BE492CC" w14:textId="77777777" w:rsidR="00D67940" w:rsidRPr="00DD418E" w:rsidRDefault="00D67940">
            <w:pPr>
              <w:pStyle w:val="NormalWeb"/>
              <w:rPr>
                <w:sz w:val="18"/>
                <w:szCs w:val="18"/>
              </w:rPr>
            </w:pPr>
            <w:r w:rsidRPr="00DD418E">
              <w:rPr>
                <w:sz w:val="18"/>
                <w:szCs w:val="18"/>
              </w:rPr>
              <w:t>33F</w:t>
            </w:r>
          </w:p>
        </w:tc>
        <w:tc>
          <w:tcPr>
            <w:tcW w:w="0" w:type="auto"/>
            <w:tcBorders>
              <w:left w:val="single" w:sz="4" w:space="0" w:color="auto"/>
              <w:right w:val="single" w:sz="4" w:space="0" w:color="auto"/>
            </w:tcBorders>
            <w:hideMark/>
          </w:tcPr>
          <w:p w14:paraId="0AE090B4" w14:textId="77777777" w:rsidR="00D67940" w:rsidRPr="00DD418E" w:rsidRDefault="00D67940" w:rsidP="00453BE5">
            <w:pPr>
              <w:jc w:val="center"/>
              <w:rPr>
                <w:sz w:val="18"/>
                <w:szCs w:val="18"/>
              </w:rPr>
            </w:pPr>
          </w:p>
        </w:tc>
        <w:tc>
          <w:tcPr>
            <w:tcW w:w="0" w:type="auto"/>
            <w:tcBorders>
              <w:left w:val="single" w:sz="4" w:space="0" w:color="auto"/>
              <w:right w:val="single" w:sz="4" w:space="0" w:color="auto"/>
            </w:tcBorders>
            <w:hideMark/>
          </w:tcPr>
          <w:p w14:paraId="641BEEC7" w14:textId="77777777" w:rsidR="00D67940" w:rsidRPr="00DD418E" w:rsidRDefault="00D67940" w:rsidP="00453BE5">
            <w:pPr>
              <w:jc w:val="center"/>
              <w:rPr>
                <w:rFonts w:eastAsia="Times New Roman"/>
                <w:sz w:val="18"/>
                <w:szCs w:val="18"/>
              </w:rPr>
            </w:pPr>
          </w:p>
        </w:tc>
        <w:tc>
          <w:tcPr>
            <w:tcW w:w="0" w:type="auto"/>
            <w:tcBorders>
              <w:left w:val="single" w:sz="4" w:space="0" w:color="auto"/>
              <w:right w:val="single" w:sz="4" w:space="0" w:color="auto"/>
            </w:tcBorders>
            <w:hideMark/>
          </w:tcPr>
          <w:p w14:paraId="1EA43AA3" w14:textId="77777777" w:rsidR="00D67940" w:rsidRPr="00DD418E" w:rsidRDefault="00D67940" w:rsidP="00453BE5">
            <w:pPr>
              <w:jc w:val="center"/>
              <w:rPr>
                <w:rFonts w:eastAsia="Times New Roman"/>
                <w:sz w:val="18"/>
                <w:szCs w:val="18"/>
              </w:rPr>
            </w:pPr>
          </w:p>
        </w:tc>
        <w:tc>
          <w:tcPr>
            <w:tcW w:w="0" w:type="auto"/>
            <w:tcBorders>
              <w:left w:val="single" w:sz="4" w:space="0" w:color="auto"/>
            </w:tcBorders>
            <w:hideMark/>
          </w:tcPr>
          <w:p w14:paraId="1D6A39BC" w14:textId="77777777" w:rsidR="00D67940" w:rsidRPr="00DD418E" w:rsidRDefault="00D67940" w:rsidP="00453BE5">
            <w:pPr>
              <w:pStyle w:val="NormalWeb"/>
              <w:jc w:val="center"/>
              <w:rPr>
                <w:sz w:val="18"/>
                <w:szCs w:val="18"/>
              </w:rPr>
            </w:pPr>
            <w:r w:rsidRPr="00DD418E">
              <w:rPr>
                <w:rFonts w:ascii="Segoe UI Symbol" w:hAnsi="Segoe UI Symbol" w:cs="Segoe UI Symbol"/>
                <w:sz w:val="18"/>
                <w:szCs w:val="18"/>
              </w:rPr>
              <w:t>✓</w:t>
            </w:r>
          </w:p>
        </w:tc>
      </w:tr>
    </w:tbl>
    <w:p w14:paraId="1A8CE892" w14:textId="77777777" w:rsidR="00013FD9" w:rsidRDefault="00013FD9" w:rsidP="00571F67"/>
    <w:p w14:paraId="2AC2F41E" w14:textId="77777777" w:rsidR="00013FD9" w:rsidRDefault="00013FD9" w:rsidP="00013FD9">
      <w:r>
        <w:br w:type="page"/>
      </w:r>
    </w:p>
    <w:p w14:paraId="141BFCE4" w14:textId="77777777" w:rsidR="00D67940" w:rsidRDefault="00D67940" w:rsidP="00571F67">
      <w:r>
        <w:lastRenderedPageBreak/>
        <w:t>Follow-up of all notified cases of IPD is undertaken in all states and territories except New South Wales and Victoria who conduct targeted follow-up of notified cases aged under 5 years, and 50 years or over for enhanced data. Follow-up of notified cases of IPD in Queensland is undertaken in all areas except Metro South and Gold Coast Public Health Units who conduct targeted follow-up of notified cases for those aged under 5 years only. However, in these areas where targeted case follow-up is undertaken, some enhanced data may also be available outside these targeted age groups.</w:t>
      </w:r>
    </w:p>
    <w:p w14:paraId="10C17014" w14:textId="77777777" w:rsidR="00D67940" w:rsidRDefault="00D67940">
      <w:pPr>
        <w:pStyle w:val="Heading1"/>
        <w:rPr>
          <w:rFonts w:eastAsia="Times New Roman"/>
        </w:rPr>
      </w:pPr>
      <w:r>
        <w:rPr>
          <w:rFonts w:eastAsia="Times New Roman"/>
        </w:rPr>
        <w:t>Acknowledgements</w:t>
      </w:r>
    </w:p>
    <w:p w14:paraId="67F55A0C" w14:textId="77777777" w:rsidR="00D67940" w:rsidRDefault="00D67940" w:rsidP="00571F67">
      <w:r>
        <w:t xml:space="preserve">Report prepared with the assistance of Mr Mark </w:t>
      </w:r>
      <w:proofErr w:type="spellStart"/>
      <w:r>
        <w:t>Trungove</w:t>
      </w:r>
      <w:proofErr w:type="spellEnd"/>
      <w:r>
        <w:t xml:space="preserve"> and Ms Rachael </w:t>
      </w:r>
      <w:proofErr w:type="spellStart"/>
      <w:r>
        <w:t>Corvisy</w:t>
      </w:r>
      <w:proofErr w:type="spellEnd"/>
      <w:r>
        <w:t xml:space="preserve"> on behalf of the Enhanced Invasive Pneumococcal Disease Surveillance Working Group.</w:t>
      </w:r>
    </w:p>
    <w:p w14:paraId="4A8C73B2" w14:textId="77777777" w:rsidR="00D67940" w:rsidRDefault="00D67940" w:rsidP="00571F67">
      <w:r>
        <w:t xml:space="preserve">Enhanced Invasive Pneumococcal Disease Surveillance Working Group contributors to this report include (in alphabetical order): Frank Beard (NCIRS), Heather Cook (NT and secretariat), Lucinda Franklin (Vic.), Carolien Giele (WA), Robin Gilmour (NSW), Michelle </w:t>
      </w:r>
      <w:proofErr w:type="spellStart"/>
      <w:r>
        <w:t>Harlock</w:t>
      </w:r>
      <w:proofErr w:type="spellEnd"/>
      <w:r>
        <w:t xml:space="preserve"> (Tas.), Ben Howden (Microbiological Diagnostic Unit, University of Melbourne), Sanjay Jayasinghe (NCIRS), Vicki Krause (Chair), Shahin </w:t>
      </w:r>
      <w:proofErr w:type="spellStart"/>
      <w:r>
        <w:t>Oftadeh</w:t>
      </w:r>
      <w:proofErr w:type="spellEnd"/>
      <w:r>
        <w:t xml:space="preserve"> (Centre for Infectious Diseases and Microbiology Laboratory Services, NSW Health Pathology), Sue Reid (ACT), Vitali </w:t>
      </w:r>
      <w:proofErr w:type="spellStart"/>
      <w:r>
        <w:t>Sintchenko</w:t>
      </w:r>
      <w:proofErr w:type="spellEnd"/>
      <w:r>
        <w:t xml:space="preserve"> (Centre for Infectious Diseases and Microbiology</w:t>
      </w:r>
      <w:r w:rsidR="00B60F63">
        <w:t xml:space="preserve"> – </w:t>
      </w:r>
      <w:r>
        <w:t>Public Health, Westmead Hospital), Helen Smith (Queensland Health Forensic and Scientific Services), Janet Strachan (Vic.), Hannah Vogt (SA), Angela Wakefield (Qld).</w:t>
      </w:r>
    </w:p>
    <w:p w14:paraId="093F5EBE" w14:textId="77777777" w:rsidR="00D67940" w:rsidRPr="00F4452E" w:rsidRDefault="00D67940" w:rsidP="00F4452E">
      <w:pPr>
        <w:pStyle w:val="Heading1"/>
      </w:pPr>
      <w:r w:rsidRPr="00F4452E">
        <w:t>Corresponding author</w:t>
      </w:r>
    </w:p>
    <w:p w14:paraId="5F2241CA" w14:textId="77777777" w:rsidR="00D67940" w:rsidRDefault="00E867AC" w:rsidP="00571F67">
      <w:r>
        <w:t>Kate Pennington</w:t>
      </w:r>
      <w:r>
        <w:br/>
      </w:r>
      <w:r w:rsidR="00D67940">
        <w:t>Communicable Disease Epidemiology and Surveillance Sect</w:t>
      </w:r>
      <w:r>
        <w:t>ion Office of Health Protection</w:t>
      </w:r>
      <w:r>
        <w:br/>
      </w:r>
      <w:r w:rsidR="00D67940">
        <w:t>Australian G</w:t>
      </w:r>
      <w:r>
        <w:t>overnment Department of Health</w:t>
      </w:r>
      <w:r>
        <w:br/>
      </w:r>
      <w:r w:rsidR="00D67940">
        <w:t>GPO Box 9</w:t>
      </w:r>
      <w:r w:rsidR="00E0010E">
        <w:t>484, MDP 14, Canberra, ACT 2601</w:t>
      </w:r>
      <w:r>
        <w:br/>
      </w:r>
      <w:r w:rsidR="00E0010E">
        <w:t>Telephone: +61 2 6289 2725</w:t>
      </w:r>
      <w:r>
        <w:br/>
      </w:r>
      <w:r w:rsidR="00E0010E">
        <w:t>Facsimile: +61 2 6289 1070</w:t>
      </w:r>
      <w:r>
        <w:br/>
      </w:r>
      <w:r w:rsidR="00D67940">
        <w:t>Email: cdess@health.gov.au</w:t>
      </w:r>
    </w:p>
    <w:p w14:paraId="4042C703" w14:textId="77777777" w:rsidR="008B5348" w:rsidRDefault="008B5348">
      <w:pPr>
        <w:rPr>
          <w:rStyle w:val="A10"/>
        </w:rPr>
      </w:pPr>
    </w:p>
    <w:p w14:paraId="5CD995C1" w14:textId="77777777" w:rsidR="008B5348" w:rsidRDefault="008B5348">
      <w:pPr>
        <w:rPr>
          <w:rStyle w:val="A10"/>
        </w:rPr>
        <w:sectPr w:rsidR="008B5348" w:rsidSect="00A30C37">
          <w:footnotePr>
            <w:numFmt w:val="lowerLetter"/>
          </w:footnotePr>
          <w:pgSz w:w="11906" w:h="16838"/>
          <w:pgMar w:top="720" w:right="720" w:bottom="1134" w:left="720" w:header="709" w:footer="284" w:gutter="0"/>
          <w:cols w:space="708"/>
          <w:titlePg/>
          <w:docGrid w:linePitch="360"/>
        </w:sectPr>
      </w:pPr>
    </w:p>
    <w:p w14:paraId="2252FAE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46F8DE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6A40D5F" w14:textId="77777777" w:rsidR="000A5F42" w:rsidRPr="000606CC" w:rsidRDefault="000A5F42" w:rsidP="000A5F42">
      <w:pPr>
        <w:pStyle w:val="NoSpacing"/>
        <w:rPr>
          <w:rStyle w:val="URI"/>
          <w:rFonts w:cstheme="minorHAnsi"/>
          <w:sz w:val="20"/>
          <w:szCs w:val="18"/>
        </w:rPr>
      </w:pPr>
    </w:p>
    <w:p w14:paraId="7EA1B44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C8ED00E" w14:textId="77777777" w:rsidR="000A5F42" w:rsidRPr="000606CC" w:rsidRDefault="000A5F42" w:rsidP="000A5F42">
      <w:pPr>
        <w:pStyle w:val="NoSpacing"/>
        <w:rPr>
          <w:rStyle w:val="Strong"/>
          <w:rFonts w:cstheme="minorHAnsi"/>
          <w:sz w:val="20"/>
          <w:szCs w:val="18"/>
        </w:rPr>
      </w:pPr>
    </w:p>
    <w:p w14:paraId="2DD07A1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1E85F0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A9282D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1B2FA4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A3947A4" w14:textId="77777777" w:rsidR="000A5F42" w:rsidRPr="000606CC" w:rsidRDefault="000A5F42" w:rsidP="000A5F42">
      <w:pPr>
        <w:pStyle w:val="NoSpacing"/>
        <w:rPr>
          <w:rStyle w:val="Strong"/>
          <w:rFonts w:cstheme="minorHAnsi"/>
          <w:sz w:val="20"/>
          <w:szCs w:val="18"/>
        </w:rPr>
      </w:pPr>
    </w:p>
    <w:p w14:paraId="327E5F75" w14:textId="5A4E62A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520CF2A" w14:textId="77777777" w:rsidR="000A5F42" w:rsidRPr="000606CC" w:rsidRDefault="000A5F42" w:rsidP="000A5F42">
      <w:pPr>
        <w:pStyle w:val="NoSpacing"/>
        <w:rPr>
          <w:rStyle w:val="Strong"/>
          <w:rFonts w:cstheme="minorHAnsi"/>
          <w:sz w:val="20"/>
          <w:szCs w:val="18"/>
        </w:rPr>
      </w:pPr>
    </w:p>
    <w:p w14:paraId="46B858E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9382755" w14:textId="77777777" w:rsidR="000A5F42" w:rsidRPr="000606CC" w:rsidRDefault="000A5F42" w:rsidP="000A5F42">
      <w:pPr>
        <w:pStyle w:val="NoSpacing"/>
        <w:rPr>
          <w:rStyle w:val="Strong"/>
          <w:rFonts w:cstheme="minorHAnsi"/>
          <w:sz w:val="20"/>
          <w:szCs w:val="18"/>
        </w:rPr>
      </w:pPr>
    </w:p>
    <w:p w14:paraId="6A49BA4C" w14:textId="49DA62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97CEE52" w14:textId="77777777" w:rsidR="000A5F42" w:rsidRPr="000606CC" w:rsidRDefault="000A5F42" w:rsidP="000A5F42">
      <w:pPr>
        <w:pStyle w:val="NoSpacing"/>
        <w:rPr>
          <w:rStyle w:val="Strong"/>
          <w:rFonts w:cstheme="minorHAnsi"/>
          <w:sz w:val="20"/>
          <w:szCs w:val="18"/>
        </w:rPr>
      </w:pPr>
    </w:p>
    <w:p w14:paraId="38CF8B2B" w14:textId="2C83E52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D1AC020" w14:textId="46FA0C7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56493463" w14:textId="77777777" w:rsidR="000A5F42" w:rsidRPr="000606CC" w:rsidRDefault="000A5F42" w:rsidP="000A5F42">
      <w:pPr>
        <w:pStyle w:val="NoSpacing"/>
        <w:pBdr>
          <w:bottom w:val="single" w:sz="6" w:space="1" w:color="auto"/>
        </w:pBdr>
        <w:rPr>
          <w:rStyle w:val="Strong"/>
          <w:rFonts w:cstheme="minorHAnsi"/>
          <w:sz w:val="12"/>
          <w:szCs w:val="18"/>
        </w:rPr>
      </w:pPr>
    </w:p>
    <w:p w14:paraId="516B8C9C" w14:textId="77777777" w:rsidR="000A5F42" w:rsidRPr="000606CC" w:rsidRDefault="000A5F42" w:rsidP="000A5F42">
      <w:pPr>
        <w:pStyle w:val="NoSpacing"/>
        <w:rPr>
          <w:rFonts w:cstheme="minorHAnsi"/>
          <w:sz w:val="20"/>
          <w:szCs w:val="18"/>
        </w:rPr>
      </w:pPr>
    </w:p>
    <w:p w14:paraId="25FE23E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1B4FA1D" w14:textId="77777777" w:rsidR="000A5F42" w:rsidRPr="000606CC" w:rsidRDefault="000A5F42" w:rsidP="000A5F42">
      <w:pPr>
        <w:pStyle w:val="NoSpacing"/>
        <w:rPr>
          <w:rFonts w:cstheme="minorHAnsi"/>
          <w:sz w:val="20"/>
          <w:szCs w:val="18"/>
        </w:rPr>
      </w:pPr>
    </w:p>
    <w:p w14:paraId="36EBFB2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60F1875"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C29FBB2" w14:textId="4244374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1A9C889" w14:textId="77777777" w:rsidR="000A5F42" w:rsidRPr="000606CC" w:rsidRDefault="000A5F42" w:rsidP="000A5F42">
      <w:pPr>
        <w:pStyle w:val="NoSpacing"/>
        <w:rPr>
          <w:rFonts w:cstheme="minorHAnsi"/>
          <w:sz w:val="20"/>
          <w:szCs w:val="18"/>
        </w:rPr>
      </w:pPr>
    </w:p>
    <w:p w14:paraId="797F06A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9305C64" w14:textId="5792681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F5522B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020F39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B2E85B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2CC490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21A1DC2" w14:textId="77777777" w:rsidR="000A5F42" w:rsidRPr="000606CC" w:rsidRDefault="000A5F42" w:rsidP="000A5F42">
      <w:pPr>
        <w:pStyle w:val="NoSpacing"/>
        <w:rPr>
          <w:rStyle w:val="Strong"/>
          <w:rFonts w:cstheme="minorHAnsi"/>
          <w:sz w:val="20"/>
          <w:szCs w:val="18"/>
        </w:rPr>
      </w:pPr>
    </w:p>
    <w:p w14:paraId="2EF4664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103B017" w14:textId="77777777" w:rsidR="000A5F42" w:rsidRPr="000606CC" w:rsidRDefault="000A5F42" w:rsidP="000A5F42">
      <w:pPr>
        <w:pStyle w:val="NoSpacing"/>
        <w:rPr>
          <w:rStyle w:val="Strong"/>
          <w:rFonts w:cstheme="minorHAnsi"/>
          <w:sz w:val="20"/>
          <w:szCs w:val="18"/>
        </w:rPr>
      </w:pPr>
    </w:p>
    <w:p w14:paraId="35875273" w14:textId="0AAA6DC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372D56E" w14:textId="77777777" w:rsidR="000A5F42" w:rsidRPr="000606CC" w:rsidRDefault="000A5F42" w:rsidP="000A5F42">
      <w:pPr>
        <w:pStyle w:val="NoSpacing"/>
        <w:rPr>
          <w:rStyle w:val="URI"/>
          <w:rFonts w:cstheme="minorHAnsi"/>
          <w:sz w:val="20"/>
          <w:szCs w:val="18"/>
        </w:rPr>
      </w:pPr>
    </w:p>
    <w:p w14:paraId="077293AA" w14:textId="225FBB8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519784CC"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2531" w14:textId="77777777" w:rsidR="00B43886" w:rsidRDefault="00B43886" w:rsidP="00E54DBA">
      <w:r>
        <w:separator/>
      </w:r>
    </w:p>
    <w:p w14:paraId="4C6FC927" w14:textId="77777777" w:rsidR="00B43886" w:rsidRDefault="00B43886"/>
    <w:p w14:paraId="7784BCD9" w14:textId="77777777" w:rsidR="00B43886" w:rsidRDefault="00B43886" w:rsidP="008714B0"/>
  </w:endnote>
  <w:endnote w:type="continuationSeparator" w:id="0">
    <w:p w14:paraId="5616FAEA" w14:textId="77777777" w:rsidR="00B43886" w:rsidRDefault="00B43886" w:rsidP="00E54DBA">
      <w:r>
        <w:continuationSeparator/>
      </w:r>
    </w:p>
    <w:p w14:paraId="4AA4CE74" w14:textId="77777777" w:rsidR="00B43886" w:rsidRDefault="00B43886"/>
    <w:p w14:paraId="2F91241D" w14:textId="77777777" w:rsidR="00B43886" w:rsidRDefault="00B4388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70C8" w14:textId="77777777" w:rsidR="001003AF" w:rsidRPr="0042435E" w:rsidRDefault="001003A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F728E">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F728E">
      <w:rPr>
        <w:noProof/>
        <w:sz w:val="18"/>
      </w:rPr>
      <w:t>12</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96705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9F728E">
      <w:rPr>
        <w:sz w:val="18"/>
      </w:rPr>
      <w:t>https://doi.org/10.33321/cdi.2019.43.41</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9F728E">
      <w:rPr>
        <w:sz w:val="18"/>
      </w:rPr>
      <w:t>16/09/2019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AF56" w14:textId="77777777" w:rsidR="001003AF" w:rsidRPr="00BB5378" w:rsidRDefault="001003A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F728E">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F728E">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96705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9F728E">
      <w:rPr>
        <w:sz w:val="18"/>
      </w:rPr>
      <w:t>https://doi.org/10.33321/cdi.2019.43.41</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9F728E">
      <w:rPr>
        <w:sz w:val="18"/>
      </w:rPr>
      <w:t>16/09/2019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69D2" w14:textId="77777777" w:rsidR="00B43886" w:rsidRDefault="00B43886" w:rsidP="00E54DBA">
      <w:pPr>
        <w:pBdr>
          <w:bottom w:val="single" w:sz="6" w:space="1" w:color="auto"/>
        </w:pBdr>
      </w:pPr>
    </w:p>
  </w:footnote>
  <w:footnote w:type="continuationSeparator" w:id="0">
    <w:p w14:paraId="2580B43F" w14:textId="77777777" w:rsidR="00B43886" w:rsidRDefault="00B43886" w:rsidP="00E54DBA">
      <w:r>
        <w:continuationSeparator/>
      </w:r>
    </w:p>
    <w:p w14:paraId="558F93AD" w14:textId="77777777" w:rsidR="00B43886" w:rsidRDefault="00B43886"/>
    <w:p w14:paraId="002135EF" w14:textId="77777777" w:rsidR="00B43886" w:rsidRDefault="00B43886" w:rsidP="008714B0"/>
  </w:footnote>
  <w:footnote w:type="continuationNotice" w:id="1">
    <w:p w14:paraId="572DDC09" w14:textId="77777777" w:rsidR="00B43886" w:rsidRDefault="00B43886">
      <w:pPr>
        <w:spacing w:after="0" w:line="240" w:lineRule="auto"/>
      </w:pPr>
    </w:p>
  </w:footnote>
  <w:footnote w:id="2">
    <w:p w14:paraId="21A18F24" w14:textId="77777777" w:rsidR="001003AF" w:rsidRDefault="001003AF" w:rsidP="006012A0">
      <w:pPr>
        <w:pStyle w:val="CDIfootnotes"/>
      </w:pPr>
      <w:r>
        <w:rPr>
          <w:rStyle w:val="FootnoteReference"/>
        </w:rPr>
        <w:footnoteRef/>
      </w:r>
      <w:r>
        <w:t xml:space="preserve"> </w:t>
      </w:r>
      <w:r>
        <w:tab/>
        <w:t xml:space="preserve">Based on data extracted from the National Notifiable Diseases Surveillance System (NNDSS) on 2 November 2017. Due to the dynamic </w:t>
      </w:r>
      <w:r>
        <w:rPr>
          <w:color w:val="221E1F"/>
          <w:sz w:val="16"/>
          <w:szCs w:val="16"/>
        </w:rPr>
        <w:t>nature of the NNDSS, data on this extract is subject to retrospective revision and may vary from data reported in published NNDSS reports and reports of notification data by states and territories.</w:t>
      </w:r>
    </w:p>
  </w:footnote>
  <w:footnote w:id="3">
    <w:p w14:paraId="4DFD216F" w14:textId="77777777" w:rsidR="00B67C04" w:rsidRDefault="00B67C04">
      <w:pPr>
        <w:pStyle w:val="FootnoteText"/>
      </w:pPr>
      <w:r>
        <w:rPr>
          <w:rStyle w:val="FootnoteReference"/>
        </w:rPr>
        <w:footnoteRef/>
      </w:r>
      <w:r>
        <w:t xml:space="preserve"> </w:t>
      </w:r>
      <w:r w:rsidRPr="00B67C04">
        <w:t>Non-Indigenous Australians includes cases reported with an Indigenous status of non-Indigenous, not stated, blank or unknown.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137D" w14:textId="77777777" w:rsidR="001003AF" w:rsidRPr="00A153B6" w:rsidRDefault="00C665B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003AF">
          <w:t>Quarterly report</w:t>
        </w:r>
      </w:sdtContent>
    </w:sdt>
    <w:r w:rsidR="001003AF">
      <w:ptab w:relativeTo="margin" w:alignment="right" w:leader="none"/>
    </w:r>
    <w:r w:rsidR="001003A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5943" w14:textId="77777777" w:rsidR="001003AF" w:rsidRPr="000A5F42" w:rsidRDefault="001003AF" w:rsidP="000A5F42">
    <w:pPr>
      <w:pStyle w:val="Header"/>
      <w:jc w:val="center"/>
      <w:rPr>
        <w:b/>
      </w:rPr>
    </w:pPr>
    <w:r w:rsidRPr="00E810C5">
      <w:rPr>
        <w:rFonts w:cs="Myriad Pro"/>
        <w:noProof/>
        <w:color w:val="211D1E"/>
        <w:sz w:val="16"/>
      </w:rPr>
      <w:drawing>
        <wp:inline distT="0" distB="0" distL="0" distR="0" wp14:anchorId="76FEA234"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3196156">
    <w:abstractNumId w:val="1"/>
  </w:num>
  <w:num w:numId="2" w16cid:durableId="2028097695">
    <w:abstractNumId w:val="2"/>
  </w:num>
  <w:num w:numId="3" w16cid:durableId="1376541341">
    <w:abstractNumId w:val="3"/>
  </w:num>
  <w:num w:numId="4" w16cid:durableId="591595190">
    <w:abstractNumId w:val="0"/>
  </w:num>
  <w:num w:numId="5" w16cid:durableId="1927879347">
    <w:abstractNumId w:val="4"/>
  </w:num>
  <w:num w:numId="6" w16cid:durableId="1166167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40"/>
    <w:rsid w:val="00000B5B"/>
    <w:rsid w:val="00001611"/>
    <w:rsid w:val="000104A8"/>
    <w:rsid w:val="0001246E"/>
    <w:rsid w:val="000124B1"/>
    <w:rsid w:val="00013FD9"/>
    <w:rsid w:val="00016FE6"/>
    <w:rsid w:val="0002178D"/>
    <w:rsid w:val="00031064"/>
    <w:rsid w:val="00031692"/>
    <w:rsid w:val="00032531"/>
    <w:rsid w:val="000471BF"/>
    <w:rsid w:val="00047B68"/>
    <w:rsid w:val="00052600"/>
    <w:rsid w:val="0005643C"/>
    <w:rsid w:val="0006264A"/>
    <w:rsid w:val="00073D77"/>
    <w:rsid w:val="00081655"/>
    <w:rsid w:val="000864E0"/>
    <w:rsid w:val="000969B3"/>
    <w:rsid w:val="000A5D98"/>
    <w:rsid w:val="000A5F42"/>
    <w:rsid w:val="000D4B4D"/>
    <w:rsid w:val="000E50C3"/>
    <w:rsid w:val="001003AF"/>
    <w:rsid w:val="00113D58"/>
    <w:rsid w:val="001304E1"/>
    <w:rsid w:val="00130F56"/>
    <w:rsid w:val="001378A3"/>
    <w:rsid w:val="0015158C"/>
    <w:rsid w:val="00155582"/>
    <w:rsid w:val="00161590"/>
    <w:rsid w:val="00163E7B"/>
    <w:rsid w:val="00171CC0"/>
    <w:rsid w:val="00175494"/>
    <w:rsid w:val="00175629"/>
    <w:rsid w:val="001830EC"/>
    <w:rsid w:val="00183534"/>
    <w:rsid w:val="00185DAE"/>
    <w:rsid w:val="001A4A96"/>
    <w:rsid w:val="001A5D05"/>
    <w:rsid w:val="001A796C"/>
    <w:rsid w:val="001B2614"/>
    <w:rsid w:val="001B37B8"/>
    <w:rsid w:val="001B552F"/>
    <w:rsid w:val="001C0893"/>
    <w:rsid w:val="001C1303"/>
    <w:rsid w:val="001C70B2"/>
    <w:rsid w:val="001D37C7"/>
    <w:rsid w:val="001D6888"/>
    <w:rsid w:val="001D7D5C"/>
    <w:rsid w:val="001E563E"/>
    <w:rsid w:val="00205FD4"/>
    <w:rsid w:val="002276DC"/>
    <w:rsid w:val="00227E00"/>
    <w:rsid w:val="002307CB"/>
    <w:rsid w:val="00231046"/>
    <w:rsid w:val="00234F21"/>
    <w:rsid w:val="00242659"/>
    <w:rsid w:val="002428F7"/>
    <w:rsid w:val="0024315F"/>
    <w:rsid w:val="00244127"/>
    <w:rsid w:val="00252C9A"/>
    <w:rsid w:val="00252EED"/>
    <w:rsid w:val="00256309"/>
    <w:rsid w:val="00257484"/>
    <w:rsid w:val="00260636"/>
    <w:rsid w:val="0026274D"/>
    <w:rsid w:val="0026389F"/>
    <w:rsid w:val="00274524"/>
    <w:rsid w:val="00275C78"/>
    <w:rsid w:val="0027649F"/>
    <w:rsid w:val="00280594"/>
    <w:rsid w:val="00281EE3"/>
    <w:rsid w:val="00284E4A"/>
    <w:rsid w:val="002A3799"/>
    <w:rsid w:val="002A3BCC"/>
    <w:rsid w:val="002A4516"/>
    <w:rsid w:val="002A569F"/>
    <w:rsid w:val="002A7066"/>
    <w:rsid w:val="002B001E"/>
    <w:rsid w:val="002B09B7"/>
    <w:rsid w:val="002B75A9"/>
    <w:rsid w:val="002C21B0"/>
    <w:rsid w:val="002E2FB3"/>
    <w:rsid w:val="002E54BB"/>
    <w:rsid w:val="002E5D79"/>
    <w:rsid w:val="002F327B"/>
    <w:rsid w:val="002F5C0C"/>
    <w:rsid w:val="00301626"/>
    <w:rsid w:val="003059EC"/>
    <w:rsid w:val="00316CCD"/>
    <w:rsid w:val="003174EC"/>
    <w:rsid w:val="00324F7E"/>
    <w:rsid w:val="003311AF"/>
    <w:rsid w:val="003323BC"/>
    <w:rsid w:val="00337515"/>
    <w:rsid w:val="00346D42"/>
    <w:rsid w:val="00346E11"/>
    <w:rsid w:val="003529BE"/>
    <w:rsid w:val="003601C0"/>
    <w:rsid w:val="003635F5"/>
    <w:rsid w:val="00372A88"/>
    <w:rsid w:val="00381A0F"/>
    <w:rsid w:val="0039779D"/>
    <w:rsid w:val="003A1B3A"/>
    <w:rsid w:val="003A40F5"/>
    <w:rsid w:val="003B0D0D"/>
    <w:rsid w:val="003B5B8C"/>
    <w:rsid w:val="003D79B1"/>
    <w:rsid w:val="003E74EE"/>
    <w:rsid w:val="003F0552"/>
    <w:rsid w:val="003F3BC2"/>
    <w:rsid w:val="00401ED1"/>
    <w:rsid w:val="0040224C"/>
    <w:rsid w:val="00413EE1"/>
    <w:rsid w:val="004164BB"/>
    <w:rsid w:val="004201A9"/>
    <w:rsid w:val="00421ECE"/>
    <w:rsid w:val="00422FEB"/>
    <w:rsid w:val="0042435E"/>
    <w:rsid w:val="004315F5"/>
    <w:rsid w:val="00433456"/>
    <w:rsid w:val="00433DFA"/>
    <w:rsid w:val="00435D67"/>
    <w:rsid w:val="00453BE5"/>
    <w:rsid w:val="00464A58"/>
    <w:rsid w:val="00473D2D"/>
    <w:rsid w:val="00495840"/>
    <w:rsid w:val="004A2125"/>
    <w:rsid w:val="004A38F6"/>
    <w:rsid w:val="004B1AA0"/>
    <w:rsid w:val="004B4EB6"/>
    <w:rsid w:val="004C083C"/>
    <w:rsid w:val="004C67C6"/>
    <w:rsid w:val="004D29DE"/>
    <w:rsid w:val="004F10B3"/>
    <w:rsid w:val="004F3337"/>
    <w:rsid w:val="004F372B"/>
    <w:rsid w:val="004F4C83"/>
    <w:rsid w:val="004F59D4"/>
    <w:rsid w:val="00510EAC"/>
    <w:rsid w:val="00516320"/>
    <w:rsid w:val="00542A57"/>
    <w:rsid w:val="00564DE3"/>
    <w:rsid w:val="00566E52"/>
    <w:rsid w:val="00571F67"/>
    <w:rsid w:val="005732C0"/>
    <w:rsid w:val="0057336D"/>
    <w:rsid w:val="0057489A"/>
    <w:rsid w:val="00574ACF"/>
    <w:rsid w:val="0057726E"/>
    <w:rsid w:val="00581588"/>
    <w:rsid w:val="0058540B"/>
    <w:rsid w:val="00587C87"/>
    <w:rsid w:val="005905DE"/>
    <w:rsid w:val="00590B80"/>
    <w:rsid w:val="005A7B7B"/>
    <w:rsid w:val="005B3134"/>
    <w:rsid w:val="005B3AC1"/>
    <w:rsid w:val="005B4E61"/>
    <w:rsid w:val="005B595A"/>
    <w:rsid w:val="005B66C2"/>
    <w:rsid w:val="005C63B4"/>
    <w:rsid w:val="005D2465"/>
    <w:rsid w:val="005E4229"/>
    <w:rsid w:val="005E540E"/>
    <w:rsid w:val="005E55FB"/>
    <w:rsid w:val="005F16BB"/>
    <w:rsid w:val="005F5EF7"/>
    <w:rsid w:val="006012A0"/>
    <w:rsid w:val="00607115"/>
    <w:rsid w:val="00617038"/>
    <w:rsid w:val="00620768"/>
    <w:rsid w:val="0062594B"/>
    <w:rsid w:val="00631406"/>
    <w:rsid w:val="006324FF"/>
    <w:rsid w:val="006351D6"/>
    <w:rsid w:val="00636E0D"/>
    <w:rsid w:val="0064142F"/>
    <w:rsid w:val="00643CB4"/>
    <w:rsid w:val="00644D16"/>
    <w:rsid w:val="00656427"/>
    <w:rsid w:val="00660255"/>
    <w:rsid w:val="00664B74"/>
    <w:rsid w:val="00672C3A"/>
    <w:rsid w:val="00673DBC"/>
    <w:rsid w:val="006757BF"/>
    <w:rsid w:val="006858F7"/>
    <w:rsid w:val="006971F3"/>
    <w:rsid w:val="006A68C0"/>
    <w:rsid w:val="006B5DAF"/>
    <w:rsid w:val="006C4776"/>
    <w:rsid w:val="006C74A3"/>
    <w:rsid w:val="006D1381"/>
    <w:rsid w:val="006D31BC"/>
    <w:rsid w:val="006E7943"/>
    <w:rsid w:val="006E7E21"/>
    <w:rsid w:val="006F24EA"/>
    <w:rsid w:val="00704CA9"/>
    <w:rsid w:val="0071048D"/>
    <w:rsid w:val="00710F86"/>
    <w:rsid w:val="007111A8"/>
    <w:rsid w:val="00727C16"/>
    <w:rsid w:val="00730FDD"/>
    <w:rsid w:val="00731BC3"/>
    <w:rsid w:val="00741192"/>
    <w:rsid w:val="00743A33"/>
    <w:rsid w:val="00746080"/>
    <w:rsid w:val="0075144A"/>
    <w:rsid w:val="0075153D"/>
    <w:rsid w:val="0075217C"/>
    <w:rsid w:val="00783C4F"/>
    <w:rsid w:val="00785C5B"/>
    <w:rsid w:val="00786329"/>
    <w:rsid w:val="00791A96"/>
    <w:rsid w:val="00792C7D"/>
    <w:rsid w:val="00793E7A"/>
    <w:rsid w:val="00794A4D"/>
    <w:rsid w:val="007A5234"/>
    <w:rsid w:val="007B6E95"/>
    <w:rsid w:val="007B7854"/>
    <w:rsid w:val="007C132D"/>
    <w:rsid w:val="007C56A1"/>
    <w:rsid w:val="007C6454"/>
    <w:rsid w:val="007E01E0"/>
    <w:rsid w:val="007F0B93"/>
    <w:rsid w:val="007F1878"/>
    <w:rsid w:val="007F2ECA"/>
    <w:rsid w:val="007F3DC4"/>
    <w:rsid w:val="00811708"/>
    <w:rsid w:val="00816B90"/>
    <w:rsid w:val="00817799"/>
    <w:rsid w:val="00822F5F"/>
    <w:rsid w:val="00824FD3"/>
    <w:rsid w:val="00826589"/>
    <w:rsid w:val="00831E43"/>
    <w:rsid w:val="00834BCC"/>
    <w:rsid w:val="00850D54"/>
    <w:rsid w:val="00860D1D"/>
    <w:rsid w:val="008714B0"/>
    <w:rsid w:val="00876331"/>
    <w:rsid w:val="00880726"/>
    <w:rsid w:val="008859DD"/>
    <w:rsid w:val="008A3544"/>
    <w:rsid w:val="008B48B8"/>
    <w:rsid w:val="008B5348"/>
    <w:rsid w:val="008B58F8"/>
    <w:rsid w:val="008C0153"/>
    <w:rsid w:val="008C0712"/>
    <w:rsid w:val="008C4520"/>
    <w:rsid w:val="008C5F09"/>
    <w:rsid w:val="008C7827"/>
    <w:rsid w:val="008D23FE"/>
    <w:rsid w:val="008D470F"/>
    <w:rsid w:val="008E1730"/>
    <w:rsid w:val="008E1F8F"/>
    <w:rsid w:val="008E4768"/>
    <w:rsid w:val="008E761E"/>
    <w:rsid w:val="008F77B3"/>
    <w:rsid w:val="0090028F"/>
    <w:rsid w:val="009008F5"/>
    <w:rsid w:val="00904CC1"/>
    <w:rsid w:val="009066AF"/>
    <w:rsid w:val="00912050"/>
    <w:rsid w:val="00912E48"/>
    <w:rsid w:val="009145A9"/>
    <w:rsid w:val="0092746F"/>
    <w:rsid w:val="00935DC9"/>
    <w:rsid w:val="009446C0"/>
    <w:rsid w:val="00955EBD"/>
    <w:rsid w:val="0096082E"/>
    <w:rsid w:val="00961347"/>
    <w:rsid w:val="00966AA8"/>
    <w:rsid w:val="0096705B"/>
    <w:rsid w:val="00967410"/>
    <w:rsid w:val="00967D73"/>
    <w:rsid w:val="0098119A"/>
    <w:rsid w:val="009827C6"/>
    <w:rsid w:val="00983926"/>
    <w:rsid w:val="00984AAF"/>
    <w:rsid w:val="00991B09"/>
    <w:rsid w:val="00993CB2"/>
    <w:rsid w:val="009A5166"/>
    <w:rsid w:val="009A76F8"/>
    <w:rsid w:val="009B2B83"/>
    <w:rsid w:val="009C370E"/>
    <w:rsid w:val="009C49F8"/>
    <w:rsid w:val="009C5E7B"/>
    <w:rsid w:val="009D77CC"/>
    <w:rsid w:val="009E2423"/>
    <w:rsid w:val="009E55D7"/>
    <w:rsid w:val="009E6E6C"/>
    <w:rsid w:val="009F4150"/>
    <w:rsid w:val="009F5665"/>
    <w:rsid w:val="009F5DAD"/>
    <w:rsid w:val="009F728E"/>
    <w:rsid w:val="00A01BCA"/>
    <w:rsid w:val="00A10458"/>
    <w:rsid w:val="00A11B37"/>
    <w:rsid w:val="00A153B6"/>
    <w:rsid w:val="00A164D5"/>
    <w:rsid w:val="00A2097C"/>
    <w:rsid w:val="00A24819"/>
    <w:rsid w:val="00A273C3"/>
    <w:rsid w:val="00A30C37"/>
    <w:rsid w:val="00A36C65"/>
    <w:rsid w:val="00A41BBE"/>
    <w:rsid w:val="00A45761"/>
    <w:rsid w:val="00A45BDD"/>
    <w:rsid w:val="00A46A0A"/>
    <w:rsid w:val="00A553F8"/>
    <w:rsid w:val="00A6708F"/>
    <w:rsid w:val="00A71BF6"/>
    <w:rsid w:val="00A73223"/>
    <w:rsid w:val="00A86F9A"/>
    <w:rsid w:val="00AA35E6"/>
    <w:rsid w:val="00AA50B6"/>
    <w:rsid w:val="00AB3472"/>
    <w:rsid w:val="00AD0762"/>
    <w:rsid w:val="00AE4452"/>
    <w:rsid w:val="00AE7C38"/>
    <w:rsid w:val="00AF2086"/>
    <w:rsid w:val="00B01F99"/>
    <w:rsid w:val="00B02B37"/>
    <w:rsid w:val="00B05276"/>
    <w:rsid w:val="00B132DB"/>
    <w:rsid w:val="00B15762"/>
    <w:rsid w:val="00B26000"/>
    <w:rsid w:val="00B31427"/>
    <w:rsid w:val="00B33861"/>
    <w:rsid w:val="00B35B57"/>
    <w:rsid w:val="00B40DE2"/>
    <w:rsid w:val="00B43886"/>
    <w:rsid w:val="00B50210"/>
    <w:rsid w:val="00B53955"/>
    <w:rsid w:val="00B60F63"/>
    <w:rsid w:val="00B6408A"/>
    <w:rsid w:val="00B67C04"/>
    <w:rsid w:val="00B714B8"/>
    <w:rsid w:val="00B82C2C"/>
    <w:rsid w:val="00B8720B"/>
    <w:rsid w:val="00B876EF"/>
    <w:rsid w:val="00BA4697"/>
    <w:rsid w:val="00BB5378"/>
    <w:rsid w:val="00BC0BD3"/>
    <w:rsid w:val="00BC5C71"/>
    <w:rsid w:val="00BD0107"/>
    <w:rsid w:val="00BE0C33"/>
    <w:rsid w:val="00BE262C"/>
    <w:rsid w:val="00BE6C3D"/>
    <w:rsid w:val="00C06074"/>
    <w:rsid w:val="00C0637C"/>
    <w:rsid w:val="00C07606"/>
    <w:rsid w:val="00C12542"/>
    <w:rsid w:val="00C20E67"/>
    <w:rsid w:val="00C24725"/>
    <w:rsid w:val="00C24FEF"/>
    <w:rsid w:val="00C30BA9"/>
    <w:rsid w:val="00C3541E"/>
    <w:rsid w:val="00C36A8F"/>
    <w:rsid w:val="00C42FFA"/>
    <w:rsid w:val="00C507D8"/>
    <w:rsid w:val="00C62EAC"/>
    <w:rsid w:val="00C63F9F"/>
    <w:rsid w:val="00C665B5"/>
    <w:rsid w:val="00C7723C"/>
    <w:rsid w:val="00C838F5"/>
    <w:rsid w:val="00C864FB"/>
    <w:rsid w:val="00C86A66"/>
    <w:rsid w:val="00CA1AF4"/>
    <w:rsid w:val="00CA4AE9"/>
    <w:rsid w:val="00CA6068"/>
    <w:rsid w:val="00CB15E1"/>
    <w:rsid w:val="00CB3D46"/>
    <w:rsid w:val="00CC3509"/>
    <w:rsid w:val="00CD1A87"/>
    <w:rsid w:val="00CD1AAB"/>
    <w:rsid w:val="00CD35F3"/>
    <w:rsid w:val="00CD5C93"/>
    <w:rsid w:val="00CE342B"/>
    <w:rsid w:val="00CF320C"/>
    <w:rsid w:val="00CF3A4B"/>
    <w:rsid w:val="00CF4001"/>
    <w:rsid w:val="00D05837"/>
    <w:rsid w:val="00D12D8A"/>
    <w:rsid w:val="00D13E0C"/>
    <w:rsid w:val="00D158EE"/>
    <w:rsid w:val="00D25896"/>
    <w:rsid w:val="00D373A1"/>
    <w:rsid w:val="00D37C0F"/>
    <w:rsid w:val="00D45661"/>
    <w:rsid w:val="00D45943"/>
    <w:rsid w:val="00D47D22"/>
    <w:rsid w:val="00D508D4"/>
    <w:rsid w:val="00D51865"/>
    <w:rsid w:val="00D51D0C"/>
    <w:rsid w:val="00D60A80"/>
    <w:rsid w:val="00D6421C"/>
    <w:rsid w:val="00D6568D"/>
    <w:rsid w:val="00D67940"/>
    <w:rsid w:val="00D74140"/>
    <w:rsid w:val="00D837A7"/>
    <w:rsid w:val="00DA6E56"/>
    <w:rsid w:val="00DC6705"/>
    <w:rsid w:val="00DD2DE8"/>
    <w:rsid w:val="00DD418E"/>
    <w:rsid w:val="00DE38B4"/>
    <w:rsid w:val="00DE5D02"/>
    <w:rsid w:val="00DF3C38"/>
    <w:rsid w:val="00DF4B64"/>
    <w:rsid w:val="00E0010E"/>
    <w:rsid w:val="00E005A9"/>
    <w:rsid w:val="00E03582"/>
    <w:rsid w:val="00E1166E"/>
    <w:rsid w:val="00E245C5"/>
    <w:rsid w:val="00E24DC0"/>
    <w:rsid w:val="00E2519C"/>
    <w:rsid w:val="00E25F2A"/>
    <w:rsid w:val="00E27549"/>
    <w:rsid w:val="00E41455"/>
    <w:rsid w:val="00E42AD2"/>
    <w:rsid w:val="00E50856"/>
    <w:rsid w:val="00E538CC"/>
    <w:rsid w:val="00E54DBA"/>
    <w:rsid w:val="00E63D7C"/>
    <w:rsid w:val="00E640D5"/>
    <w:rsid w:val="00E67691"/>
    <w:rsid w:val="00E867AC"/>
    <w:rsid w:val="00E92237"/>
    <w:rsid w:val="00E951EF"/>
    <w:rsid w:val="00EA298A"/>
    <w:rsid w:val="00EA3D54"/>
    <w:rsid w:val="00EA4DE6"/>
    <w:rsid w:val="00EA56D9"/>
    <w:rsid w:val="00EA5CE3"/>
    <w:rsid w:val="00EB51C1"/>
    <w:rsid w:val="00EB5AE1"/>
    <w:rsid w:val="00EB5E0B"/>
    <w:rsid w:val="00EC2171"/>
    <w:rsid w:val="00EC7C8B"/>
    <w:rsid w:val="00ED442D"/>
    <w:rsid w:val="00ED70C2"/>
    <w:rsid w:val="00ED7FBD"/>
    <w:rsid w:val="00EE18FF"/>
    <w:rsid w:val="00EE489F"/>
    <w:rsid w:val="00F0647F"/>
    <w:rsid w:val="00F10CE3"/>
    <w:rsid w:val="00F14F3B"/>
    <w:rsid w:val="00F16362"/>
    <w:rsid w:val="00F207C7"/>
    <w:rsid w:val="00F36B6D"/>
    <w:rsid w:val="00F42EDB"/>
    <w:rsid w:val="00F43FA3"/>
    <w:rsid w:val="00F4452E"/>
    <w:rsid w:val="00F53265"/>
    <w:rsid w:val="00F55648"/>
    <w:rsid w:val="00F60946"/>
    <w:rsid w:val="00F70046"/>
    <w:rsid w:val="00F748C2"/>
    <w:rsid w:val="00F76C5C"/>
    <w:rsid w:val="00F81EF3"/>
    <w:rsid w:val="00F84496"/>
    <w:rsid w:val="00F85DCB"/>
    <w:rsid w:val="00F86F9C"/>
    <w:rsid w:val="00FA1CA1"/>
    <w:rsid w:val="00FC002E"/>
    <w:rsid w:val="00FC23FF"/>
    <w:rsid w:val="00FC4C23"/>
    <w:rsid w:val="00FC642E"/>
    <w:rsid w:val="00FE2AE4"/>
    <w:rsid w:val="00FE689F"/>
    <w:rsid w:val="00FE7809"/>
    <w:rsid w:val="00FF04A3"/>
    <w:rsid w:val="00FF408B"/>
    <w:rsid w:val="00FF6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3AE095"/>
  <w15:docId w15:val="{48714C66-D953-4305-8AEA-E961A444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4F37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72B"/>
    <w:rPr>
      <w:sz w:val="20"/>
      <w:szCs w:val="20"/>
    </w:rPr>
  </w:style>
  <w:style w:type="character" w:styleId="FootnoteReference">
    <w:name w:val="footnote reference"/>
    <w:basedOn w:val="DefaultParagraphFont"/>
    <w:uiPriority w:val="99"/>
    <w:semiHidden/>
    <w:unhideWhenUsed/>
    <w:rsid w:val="004F372B"/>
    <w:rPr>
      <w:vertAlign w:val="superscript"/>
    </w:rPr>
  </w:style>
  <w:style w:type="character" w:styleId="CommentReference">
    <w:name w:val="annotation reference"/>
    <w:basedOn w:val="DefaultParagraphFont"/>
    <w:uiPriority w:val="99"/>
    <w:semiHidden/>
    <w:unhideWhenUsed/>
    <w:rsid w:val="001003AF"/>
    <w:rPr>
      <w:sz w:val="16"/>
      <w:szCs w:val="16"/>
    </w:rPr>
  </w:style>
  <w:style w:type="paragraph" w:styleId="CommentText">
    <w:name w:val="annotation text"/>
    <w:basedOn w:val="Normal"/>
    <w:link w:val="CommentTextChar"/>
    <w:uiPriority w:val="99"/>
    <w:semiHidden/>
    <w:unhideWhenUsed/>
    <w:rsid w:val="001003AF"/>
    <w:pPr>
      <w:spacing w:line="240" w:lineRule="auto"/>
    </w:pPr>
    <w:rPr>
      <w:sz w:val="20"/>
      <w:szCs w:val="20"/>
    </w:rPr>
  </w:style>
  <w:style w:type="character" w:customStyle="1" w:styleId="CommentTextChar">
    <w:name w:val="Comment Text Char"/>
    <w:basedOn w:val="DefaultParagraphFont"/>
    <w:link w:val="CommentText"/>
    <w:uiPriority w:val="99"/>
    <w:semiHidden/>
    <w:rsid w:val="001003AF"/>
    <w:rPr>
      <w:sz w:val="20"/>
      <w:szCs w:val="20"/>
    </w:rPr>
  </w:style>
  <w:style w:type="paragraph" w:styleId="CommentSubject">
    <w:name w:val="annotation subject"/>
    <w:basedOn w:val="CommentText"/>
    <w:next w:val="CommentText"/>
    <w:link w:val="CommentSubjectChar"/>
    <w:uiPriority w:val="99"/>
    <w:semiHidden/>
    <w:unhideWhenUsed/>
    <w:rsid w:val="001003AF"/>
    <w:rPr>
      <w:b/>
      <w:bCs/>
    </w:rPr>
  </w:style>
  <w:style w:type="character" w:customStyle="1" w:styleId="CommentSubjectChar">
    <w:name w:val="Comment Subject Char"/>
    <w:basedOn w:val="CommentTextChar"/>
    <w:link w:val="CommentSubject"/>
    <w:uiPriority w:val="99"/>
    <w:semiHidden/>
    <w:rsid w:val="00100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alth.gov.au/cdna" TargetMode="Externa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F25255-5068-4C6E-9307-A4F95A30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2912</Words>
  <Characters>15638</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Communicable Diseases Intelligence 2019 - Invasive Pneumococcal Disease Surveillance, 1 July to 30 September 2017</vt:lpstr>
    </vt:vector>
  </TitlesOfParts>
  <Company>Australian Government, Department of Health</Company>
  <LinksUpToDate>false</LinksUpToDate>
  <CharactersWithSpaces>18513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Invasive Pneumococcal Disease Surveillance, 1 July to 30 September 2017</dc:title>
  <dc:subject>This quarterly report provides a summary of invasive pneumococcal disease notifications in Australia during the third quarter of 2017.</dc:subject>
  <dc:creator>Kate Pennington and the Enhanced Invasive Pneumococcal Disease Surveillance Working Group;for the Communicable Diseases Network Australia</dc:creator>
  <dc:description>© Commonwealth of Australia CC BY-NC-ND ISSN: 2209-6051 (Online)</dc:description>
  <cp:lastPrinted>2018-05-10T02:19:00Z</cp:lastPrinted>
  <dcterms:created xsi:type="dcterms:W3CDTF">2024-08-27T22:39:00Z</dcterms:created>
  <dcterms:modified xsi:type="dcterms:W3CDTF">2024-08-27T22:39:00Z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https://doi.org/10.33321/cdi.2019.43.41</vt:lpwstr>
  </property>
</Properties>
</file>