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CB32" w14:textId="77777777" w:rsidR="004F7513" w:rsidRDefault="004F7513" w:rsidP="004F7513">
      <w:pPr>
        <w:pStyle w:val="Title"/>
        <w:rPr>
          <w:rFonts w:eastAsia="Times New Roman"/>
          <w:sz w:val="48"/>
          <w:szCs w:val="48"/>
        </w:rPr>
      </w:pPr>
      <w:r>
        <w:rPr>
          <w:rFonts w:eastAsia="Times New Roman"/>
        </w:rPr>
        <w:t xml:space="preserve">Experimenting at Uni: </w:t>
      </w:r>
      <w:r w:rsidRPr="00FB4019">
        <w:rPr>
          <w:rStyle w:val="Emphasis"/>
          <w:rFonts w:eastAsia="Times New Roman"/>
          <w:b/>
        </w:rPr>
        <w:t>Salmonella</w:t>
      </w:r>
      <w:r>
        <w:rPr>
          <w:rFonts w:eastAsia="Times New Roman"/>
        </w:rPr>
        <w:t xml:space="preserve"> in laboratory students </w:t>
      </w:r>
    </w:p>
    <w:p w14:paraId="03DC0C11" w14:textId="77777777" w:rsidR="004F7513" w:rsidRDefault="004F7513" w:rsidP="004F7513">
      <w:r>
        <w:t xml:space="preserve">Timothy S. Sloan-Gardner </w:t>
      </w:r>
    </w:p>
    <w:p w14:paraId="2BC7A5EB" w14:textId="77777777" w:rsidR="004F7513" w:rsidRPr="004F7513" w:rsidRDefault="004F7513" w:rsidP="004F7513">
      <w:pPr>
        <w:pStyle w:val="Heading1"/>
      </w:pPr>
      <w:r w:rsidRPr="004F7513">
        <w:t xml:space="preserve">Case Report </w:t>
      </w:r>
    </w:p>
    <w:p w14:paraId="2534F5A0" w14:textId="77777777" w:rsidR="004F7513" w:rsidRDefault="004F7513" w:rsidP="004F7513">
      <w:r>
        <w:t>Laboratory-acquired infections are generally considered a potential hazard for those employed in microbiology and pathology laboratories.</w:t>
      </w:r>
      <w:r>
        <w:rPr>
          <w:vertAlign w:val="superscript"/>
        </w:rPr>
        <w:t>1–3</w:t>
      </w:r>
      <w:r>
        <w:t xml:space="preserve"> However, outbreaks associated with teaching laboratories overseas highlight the risks for students working with bacterial pathogens.</w:t>
      </w:r>
      <w:r>
        <w:rPr>
          <w:vertAlign w:val="superscript"/>
        </w:rPr>
        <w:t xml:space="preserve">4–6 </w:t>
      </w:r>
    </w:p>
    <w:p w14:paraId="7BBFB903" w14:textId="77777777" w:rsidR="004F7513" w:rsidRDefault="004F7513" w:rsidP="004F7513">
      <w:r>
        <w:t>This article describes the first two known cases of non-typhoidal salmonellosis acquired from a university teaching laboratory in Canberra, Australian Capital Territory (ACT), Australia. Ethics approval was not sort for this investigation as the data were collected for the purpose of public health surveillance.</w:t>
      </w:r>
      <w:r>
        <w:rPr>
          <w:vertAlign w:val="superscript"/>
        </w:rPr>
        <w:t xml:space="preserve">7 </w:t>
      </w:r>
    </w:p>
    <w:p w14:paraId="0529A9A5" w14:textId="77777777" w:rsidR="004F7513" w:rsidRDefault="004F7513" w:rsidP="004F7513">
      <w:r>
        <w:t>Keywords: salmonellosis, laboratory-acquired, case study, public health.</w:t>
      </w:r>
      <w:r>
        <w:rPr>
          <w:vertAlign w:val="superscript"/>
        </w:rPr>
        <w:t xml:space="preserve"> </w:t>
      </w:r>
    </w:p>
    <w:p w14:paraId="2A5DD4AB" w14:textId="77777777" w:rsidR="004F7513" w:rsidRPr="004F7513" w:rsidRDefault="004F7513" w:rsidP="004F7513">
      <w:pPr>
        <w:pStyle w:val="Heading2"/>
      </w:pPr>
      <w:r w:rsidRPr="004F7513">
        <w:t xml:space="preserve">Case 1 </w:t>
      </w:r>
    </w:p>
    <w:p w14:paraId="6CB460A9" w14:textId="77777777" w:rsidR="004F7513" w:rsidRDefault="004F7513" w:rsidP="004F7513">
      <w:r>
        <w:t xml:space="preserve">A 20-year-old female presented to the emergency department with a three-day history of vomiting, abdominal cramps and watery diarrhoea. She was admitted to hospital and treated with intravenous fluids and oral antibiotics. The patient’s symptoms improved and she was discharged after two days. </w:t>
      </w:r>
    </w:p>
    <w:p w14:paraId="5EED2A9B" w14:textId="77777777" w:rsidR="004F7513" w:rsidRDefault="004F7513" w:rsidP="004F7513">
      <w:r>
        <w:t xml:space="preserve">A faecal sample collected on the day of admission was examined for a range of pathogens by ACT Pathology at the Canberra Hospital, Garran, Australian Capital Territory. Standard bacterial cultures were set up to test for the presence of </w:t>
      </w:r>
      <w:r w:rsidRPr="00D422BF">
        <w:rPr>
          <w:rStyle w:val="Emphasis"/>
          <w:b w:val="0"/>
        </w:rPr>
        <w:t>Salmonella</w:t>
      </w:r>
      <w:r>
        <w:t xml:space="preserve">, </w:t>
      </w:r>
      <w:r w:rsidRPr="00D422BF">
        <w:rPr>
          <w:rStyle w:val="Emphasis"/>
          <w:b w:val="0"/>
        </w:rPr>
        <w:t>Campylobacter</w:t>
      </w:r>
      <w:r>
        <w:t xml:space="preserve"> and </w:t>
      </w:r>
      <w:r w:rsidRPr="00D422BF">
        <w:rPr>
          <w:rStyle w:val="Emphasis"/>
          <w:b w:val="0"/>
        </w:rPr>
        <w:t>Shigella</w:t>
      </w:r>
      <w:r>
        <w:t xml:space="preserve">; antigen tests were conducted for rotavirus and norovirus, and direct microscopy was performed for parasites. </w:t>
      </w:r>
    </w:p>
    <w:p w14:paraId="4B8855D9" w14:textId="77777777" w:rsidR="004F7513" w:rsidRDefault="004F7513" w:rsidP="004F7513">
      <w:r>
        <w:t xml:space="preserve">The stool sample was culture positive for </w:t>
      </w:r>
      <w:r w:rsidRPr="00D422BF">
        <w:rPr>
          <w:rStyle w:val="Emphasis"/>
          <w:b w:val="0"/>
        </w:rPr>
        <w:t>Salmonella</w:t>
      </w:r>
      <w:r>
        <w:t xml:space="preserve"> </w:t>
      </w:r>
      <w:r w:rsidRPr="00D422BF">
        <w:rPr>
          <w:rStyle w:val="Emphasis"/>
          <w:b w:val="0"/>
        </w:rPr>
        <w:t>enterica</w:t>
      </w:r>
      <w:r>
        <w:t xml:space="preserve">. The sample was sent for further typing to the Microbiological Diagnostic Unit Public Health Laboratory (MDU) in Melbourne, Victoria. The isolate was typed as serovar Typhimurium, with a multiple-locus variable-number tandem repeat analysis (MLVA) pattern of 04-16-07-00-517. This pattern had not been seen before in the ACT. </w:t>
      </w:r>
    </w:p>
    <w:p w14:paraId="485241FE" w14:textId="77777777" w:rsidR="004F7513" w:rsidRDefault="004F7513" w:rsidP="004F7513">
      <w:r>
        <w:t xml:space="preserve">The case reported consumption of chicken and eggs in the week before the onset of symptoms, as well as contact with animals (cat and turtle). None of the case’s friends or family members had been ill recently nor had the case travelled outside of Canberra. The case did participate in an undergraduate microbiological course at a university in Canberra in the two weeks prior to symptom onset. The case’s stool was still positive for </w:t>
      </w:r>
      <w:r w:rsidRPr="00D422BF">
        <w:rPr>
          <w:rStyle w:val="Emphasis"/>
          <w:b w:val="0"/>
        </w:rPr>
        <w:t>S</w:t>
      </w:r>
      <w:r>
        <w:t xml:space="preserve">. Typhimurium MLVA pattern 04-16-07-00-517 two months after initial symptom onset. </w:t>
      </w:r>
    </w:p>
    <w:p w14:paraId="16BA9726" w14:textId="77777777" w:rsidR="004F7513" w:rsidRPr="004F7513" w:rsidRDefault="004F7513" w:rsidP="004F7513">
      <w:pPr>
        <w:pStyle w:val="Heading2"/>
      </w:pPr>
      <w:r w:rsidRPr="004F7513">
        <w:t xml:space="preserve">Case 2 </w:t>
      </w:r>
    </w:p>
    <w:p w14:paraId="0F455989" w14:textId="77777777" w:rsidR="004F7513" w:rsidRDefault="004F7513" w:rsidP="004F7513">
      <w:r>
        <w:t xml:space="preserve">A 20-year-old male presented to the emergency department almost two months after the first case, with a five-day history of abdominal pain, bloody diarrhoea and nausea. The case was admitted to hospital and treated with intravenous fluids and oral antibiotics. The patient’s symptoms improved and he was discharged after five days. </w:t>
      </w:r>
    </w:p>
    <w:p w14:paraId="7288903E" w14:textId="77777777" w:rsidR="004F7513" w:rsidRDefault="004F7513" w:rsidP="004F7513">
      <w:r>
        <w:t xml:space="preserve">A stool sample collected on the day of admission for the second case was also positive for </w:t>
      </w:r>
      <w:r w:rsidRPr="00D422BF">
        <w:rPr>
          <w:rStyle w:val="Emphasis"/>
          <w:b w:val="0"/>
        </w:rPr>
        <w:t>S</w:t>
      </w:r>
      <w:r>
        <w:t xml:space="preserve">. Typhimurium MLVA pattern 04-16-07-00-517. </w:t>
      </w:r>
    </w:p>
    <w:p w14:paraId="7C12928E" w14:textId="77777777" w:rsidR="004F7513" w:rsidRDefault="004F7513" w:rsidP="004F7513">
      <w:r>
        <w:t xml:space="preserve">The second case reported consumption of chicken and eggs in the week before the onset of symptoms, though no contact with animals. None of the case’s friends or family members had been ill recently nor had the case travelled outside of Canberra. The second case was in a later cohort of the same undergraduate microbiological course as Case 1. </w:t>
      </w:r>
    </w:p>
    <w:p w14:paraId="6F8D517C" w14:textId="77777777" w:rsidR="004F7513" w:rsidRPr="004F7513" w:rsidRDefault="004F7513" w:rsidP="004F7513">
      <w:pPr>
        <w:pStyle w:val="Heading1"/>
      </w:pPr>
      <w:r w:rsidRPr="004F7513">
        <w:lastRenderedPageBreak/>
        <w:t xml:space="preserve">Investigation </w:t>
      </w:r>
    </w:p>
    <w:p w14:paraId="1B7C04A6" w14:textId="77777777" w:rsidR="004F7513" w:rsidRDefault="004F7513" w:rsidP="004F7513">
      <w:r>
        <w:t xml:space="preserve">Whilst both cases attended the same course, they were in separate classes which used the same teaching laboratory. Additionally the cases were not known to each other; consequently, person-to-person transmission between the cases was thought unlikely. </w:t>
      </w:r>
    </w:p>
    <w:p w14:paraId="7FCB1EDB" w14:textId="77777777" w:rsidR="004F7513" w:rsidRDefault="004F7513" w:rsidP="004F7513">
      <w:r>
        <w:t xml:space="preserve">In the course, students undertook routine bacterial culture and biochemical identification of </w:t>
      </w:r>
      <w:r w:rsidRPr="00D422BF">
        <w:rPr>
          <w:rStyle w:val="Emphasis"/>
          <w:b w:val="0"/>
        </w:rPr>
        <w:t>Salmonella</w:t>
      </w:r>
      <w:r>
        <w:t xml:space="preserve">, </w:t>
      </w:r>
      <w:r w:rsidRPr="00D422BF">
        <w:rPr>
          <w:rStyle w:val="Emphasis"/>
          <w:b w:val="0"/>
        </w:rPr>
        <w:t>Shigella</w:t>
      </w:r>
      <w:r>
        <w:t xml:space="preserve">, </w:t>
      </w:r>
      <w:r w:rsidRPr="00D422BF">
        <w:rPr>
          <w:rStyle w:val="Emphasis"/>
          <w:b w:val="0"/>
        </w:rPr>
        <w:t xml:space="preserve">Escherichia coli </w:t>
      </w:r>
      <w:r>
        <w:t xml:space="preserve">and </w:t>
      </w:r>
      <w:r w:rsidRPr="00D422BF">
        <w:rPr>
          <w:rStyle w:val="Emphasis"/>
          <w:b w:val="0"/>
        </w:rPr>
        <w:t xml:space="preserve">Staphylococcus aureus </w:t>
      </w:r>
      <w:r>
        <w:t xml:space="preserve">cultures. The seed stocks for these organisms had been in the university for a number of years and their exact type/subtype was unknown. </w:t>
      </w:r>
    </w:p>
    <w:p w14:paraId="2E6BAD7F" w14:textId="77777777" w:rsidR="004F7513" w:rsidRDefault="004F7513" w:rsidP="004F7513">
      <w:r>
        <w:t xml:space="preserve">The university provided a sample of the </w:t>
      </w:r>
      <w:r w:rsidRPr="00D422BF">
        <w:rPr>
          <w:rStyle w:val="Emphasis"/>
          <w:b w:val="0"/>
        </w:rPr>
        <w:t>Salmonella</w:t>
      </w:r>
      <w:r>
        <w:t xml:space="preserve"> used in the course for typing, which matched the two cases; </w:t>
      </w:r>
      <w:r w:rsidRPr="00D422BF">
        <w:rPr>
          <w:rStyle w:val="Emphasis"/>
          <w:b w:val="0"/>
        </w:rPr>
        <w:t>S</w:t>
      </w:r>
      <w:r>
        <w:t xml:space="preserve">. Typhimurium MLVA pattern 04-16-07-00-517. </w:t>
      </w:r>
    </w:p>
    <w:p w14:paraId="73EBB760" w14:textId="77777777" w:rsidR="004F7513" w:rsidRDefault="004F7513" w:rsidP="004F7513">
      <w:r>
        <w:t xml:space="preserve">Whilst the convenors had undertaken a risk assessment for the course, a review identified some deficiencies which were later addressed. These included: </w:t>
      </w:r>
    </w:p>
    <w:p w14:paraId="34E6E0B3" w14:textId="77777777" w:rsidR="004F7513" w:rsidRPr="004F7513" w:rsidRDefault="004F7513" w:rsidP="004F7513">
      <w:pPr>
        <w:pStyle w:val="ListParagraph"/>
        <w:numPr>
          <w:ilvl w:val="0"/>
          <w:numId w:val="10"/>
        </w:numPr>
        <w:rPr>
          <w:rFonts w:eastAsia="Times New Roman"/>
        </w:rPr>
      </w:pPr>
      <w:r w:rsidRPr="004F7513">
        <w:rPr>
          <w:rFonts w:eastAsia="Times New Roman"/>
        </w:rPr>
        <w:t xml:space="preserve">As part of the course, the students received laboratory safety information and a presentation. Whilst students were only required to wear gloves if they had unhealed cuts or abrasions on their hands and were instructed to practise appropriate microbial techniques, there was no direct observation of appropriate hand washing during or upon leaving the laboratory. </w:t>
      </w:r>
    </w:p>
    <w:p w14:paraId="18471290" w14:textId="77777777" w:rsidR="004F7513" w:rsidRPr="004F7513" w:rsidRDefault="004F7513" w:rsidP="004F7513">
      <w:pPr>
        <w:pStyle w:val="ListParagraph"/>
        <w:numPr>
          <w:ilvl w:val="0"/>
          <w:numId w:val="10"/>
        </w:numPr>
        <w:rPr>
          <w:rFonts w:eastAsia="Times New Roman"/>
        </w:rPr>
      </w:pPr>
      <w:r w:rsidRPr="004F7513">
        <w:rPr>
          <w:rFonts w:eastAsia="Times New Roman"/>
        </w:rPr>
        <w:t xml:space="preserve">Students were not restricted, merely discouraged, from bringing any personal equipment (e.g. mobile phones, books, pens) into the laboratory. </w:t>
      </w:r>
    </w:p>
    <w:p w14:paraId="799FE87D" w14:textId="77777777" w:rsidR="004F7513" w:rsidRPr="004F7513" w:rsidRDefault="004F7513" w:rsidP="004F7513">
      <w:pPr>
        <w:pStyle w:val="ListParagraph"/>
        <w:numPr>
          <w:ilvl w:val="0"/>
          <w:numId w:val="10"/>
        </w:numPr>
        <w:rPr>
          <w:rFonts w:eastAsia="Times New Roman"/>
        </w:rPr>
      </w:pPr>
      <w:r w:rsidRPr="004F7513">
        <w:rPr>
          <w:rFonts w:eastAsia="Times New Roman"/>
        </w:rPr>
        <w:t xml:space="preserve">There was a need for a new non-pathogenic strain of </w:t>
      </w:r>
      <w:r w:rsidRPr="00D422BF">
        <w:rPr>
          <w:rStyle w:val="Emphasis"/>
          <w:rFonts w:eastAsia="Times New Roman"/>
          <w:b w:val="0"/>
        </w:rPr>
        <w:t>Salmonella</w:t>
      </w:r>
      <w:r w:rsidRPr="004F7513">
        <w:rPr>
          <w:rFonts w:eastAsia="Times New Roman"/>
        </w:rPr>
        <w:t xml:space="preserve"> for use in future classes. </w:t>
      </w:r>
    </w:p>
    <w:p w14:paraId="06A6FCDF" w14:textId="77777777" w:rsidR="004F7513" w:rsidRDefault="004F7513">
      <w:pPr>
        <w:pStyle w:val="Heading1"/>
        <w:rPr>
          <w:rFonts w:eastAsia="Times New Roman"/>
        </w:rPr>
      </w:pPr>
      <w:r>
        <w:rPr>
          <w:rFonts w:eastAsia="Times New Roman"/>
        </w:rPr>
        <w:t xml:space="preserve">Discussion </w:t>
      </w:r>
    </w:p>
    <w:p w14:paraId="4F3FBB6C" w14:textId="77777777" w:rsidR="004F7513" w:rsidRDefault="004F7513" w:rsidP="004F7513">
      <w:r>
        <w:t xml:space="preserve">Whilst both cases had reported consumption of chicken and eggs prior to their illness, there was no link in location nor brands. </w:t>
      </w:r>
    </w:p>
    <w:p w14:paraId="5B05F1DA" w14:textId="77777777" w:rsidR="004F7513" w:rsidRDefault="004F7513" w:rsidP="004F7513">
      <w:r>
        <w:t xml:space="preserve">This case report highlights the need to take into account non-traditional exposures when investigating novel </w:t>
      </w:r>
      <w:r w:rsidRPr="00D422BF">
        <w:rPr>
          <w:rStyle w:val="Emphasis"/>
          <w:b w:val="0"/>
        </w:rPr>
        <w:t>Salmonella</w:t>
      </w:r>
      <w:r>
        <w:t xml:space="preserve"> Typhimurium subtypes. It also adds to the evidence of the risk of laboratory-acquired infections in teaching laboratories. Whilst the university had undertaken a risk assessment for the course and students were provided with safety instructions, the lack of restrictions on students bringing their personal belongings into the laboratory likely facilitated exposure to the pathogens being tested. Universities should review current risk assessments to mitigate the chances of laboratory-acquired infections occurring in teaching laboratories. </w:t>
      </w:r>
    </w:p>
    <w:p w14:paraId="0E1C2D50" w14:textId="77777777" w:rsidR="004F7513" w:rsidRDefault="004F7513">
      <w:pPr>
        <w:pStyle w:val="Heading1"/>
        <w:rPr>
          <w:rFonts w:eastAsia="Times New Roman"/>
        </w:rPr>
      </w:pPr>
      <w:r>
        <w:rPr>
          <w:rFonts w:eastAsia="Times New Roman"/>
        </w:rPr>
        <w:t xml:space="preserve">Acknowledgements </w:t>
      </w:r>
    </w:p>
    <w:p w14:paraId="6A0305DD" w14:textId="77777777" w:rsidR="004F7513" w:rsidRDefault="004F7513" w:rsidP="004F7513">
      <w:r>
        <w:t xml:space="preserve">The authors acknowledge the following persons and organisations for their assistance with the investigation: Deborah Denehy and staff at the ACT Government Analytical Laboratory; staff at ACT Pathology, The Canberra Hospital; Mary </w:t>
      </w:r>
      <w:proofErr w:type="spellStart"/>
      <w:r>
        <w:t>Valcanis</w:t>
      </w:r>
      <w:proofErr w:type="spellEnd"/>
      <w:r>
        <w:t xml:space="preserve"> and staff at the Microbiological Diagnostic Unit, Melbourne, Victoria; and staff at the unnamed university </w:t>
      </w:r>
    </w:p>
    <w:p w14:paraId="1104EB25" w14:textId="77777777" w:rsidR="004F7513" w:rsidRDefault="004F7513">
      <w:pPr>
        <w:pStyle w:val="Heading1"/>
        <w:rPr>
          <w:rFonts w:eastAsia="Times New Roman"/>
        </w:rPr>
      </w:pPr>
      <w:r>
        <w:rPr>
          <w:rFonts w:eastAsia="Times New Roman"/>
        </w:rPr>
        <w:t xml:space="preserve">Author Details </w:t>
      </w:r>
    </w:p>
    <w:p w14:paraId="04BDA796" w14:textId="77777777" w:rsidR="004F7513" w:rsidRDefault="004F7513" w:rsidP="004F7513">
      <w:r>
        <w:t>Timothy S. Sloan-Gardner</w:t>
      </w:r>
      <w:r>
        <w:rPr>
          <w:vertAlign w:val="superscript"/>
        </w:rPr>
        <w:t>1</w:t>
      </w:r>
      <w:r>
        <w:t xml:space="preserve"> </w:t>
      </w:r>
    </w:p>
    <w:p w14:paraId="7AD2E15B" w14:textId="77777777" w:rsidR="004F7513" w:rsidRPr="004F7513" w:rsidRDefault="004F7513" w:rsidP="004F7513">
      <w:pPr>
        <w:pStyle w:val="ListParagraph"/>
        <w:numPr>
          <w:ilvl w:val="0"/>
          <w:numId w:val="11"/>
        </w:numPr>
        <w:rPr>
          <w:rFonts w:eastAsia="Times New Roman"/>
        </w:rPr>
      </w:pPr>
      <w:r w:rsidRPr="004F7513">
        <w:rPr>
          <w:rFonts w:eastAsia="Times New Roman"/>
        </w:rPr>
        <w:lastRenderedPageBreak/>
        <w:t xml:space="preserve">OzFoodNet, Health Protection Service, ACT Health, Holder, Australian Capital Territory. </w:t>
      </w:r>
    </w:p>
    <w:p w14:paraId="071C6549" w14:textId="77777777" w:rsidR="004F7513" w:rsidRDefault="004F7513">
      <w:pPr>
        <w:pStyle w:val="Heading2"/>
        <w:rPr>
          <w:rFonts w:eastAsia="Times New Roman"/>
        </w:rPr>
      </w:pPr>
      <w:r>
        <w:rPr>
          <w:rFonts w:eastAsia="Times New Roman"/>
        </w:rPr>
        <w:t xml:space="preserve">Corresponding author </w:t>
      </w:r>
    </w:p>
    <w:p w14:paraId="6766537F" w14:textId="77777777" w:rsidR="00B4280E" w:rsidRDefault="004F7513" w:rsidP="00B4280E">
      <w:pPr>
        <w:spacing w:after="0" w:line="360" w:lineRule="auto"/>
      </w:pPr>
      <w:r>
        <w:t xml:space="preserve">Timothy S. Sloan-Gardner </w:t>
      </w:r>
    </w:p>
    <w:p w14:paraId="5B9E0EE5" w14:textId="77777777" w:rsidR="00B4280E" w:rsidRDefault="004F7513" w:rsidP="00B4280E">
      <w:pPr>
        <w:spacing w:after="0" w:line="360" w:lineRule="auto"/>
      </w:pPr>
      <w:r>
        <w:t xml:space="preserve">Health Protection Service, </w:t>
      </w:r>
    </w:p>
    <w:p w14:paraId="59AE4646" w14:textId="77777777" w:rsidR="00B4280E" w:rsidRDefault="004F7513" w:rsidP="00B4280E">
      <w:pPr>
        <w:spacing w:after="0" w:line="360" w:lineRule="auto"/>
      </w:pPr>
      <w:r>
        <w:t xml:space="preserve">Population Health, Protection and Regulation, </w:t>
      </w:r>
    </w:p>
    <w:p w14:paraId="0DCAD887" w14:textId="77777777" w:rsidR="00B4280E" w:rsidRDefault="004F7513" w:rsidP="00B4280E">
      <w:pPr>
        <w:spacing w:after="0" w:line="360" w:lineRule="auto"/>
      </w:pPr>
      <w:r>
        <w:t xml:space="preserve">25 Mulley Street, </w:t>
      </w:r>
    </w:p>
    <w:p w14:paraId="39E17881" w14:textId="77777777" w:rsidR="00B4280E" w:rsidRDefault="004F7513" w:rsidP="00B4280E">
      <w:pPr>
        <w:spacing w:after="0" w:line="360" w:lineRule="auto"/>
      </w:pPr>
      <w:r>
        <w:t xml:space="preserve">Holder, Canberra ACT 2611. </w:t>
      </w:r>
    </w:p>
    <w:p w14:paraId="19D8AEF4" w14:textId="77777777" w:rsidR="00B4280E" w:rsidRDefault="004F7513" w:rsidP="00B4280E">
      <w:pPr>
        <w:spacing w:after="0" w:line="360" w:lineRule="auto"/>
      </w:pPr>
      <w:r>
        <w:t xml:space="preserve">Telephone: +61 02 5124 9210. </w:t>
      </w:r>
    </w:p>
    <w:p w14:paraId="28BC820F" w14:textId="77777777" w:rsidR="004F7513" w:rsidRDefault="004F7513" w:rsidP="00B4280E">
      <w:pPr>
        <w:spacing w:after="0" w:line="360" w:lineRule="auto"/>
      </w:pPr>
      <w:r>
        <w:t xml:space="preserve">Email: Timothy.Sloan-Gardner@act.gov.au. </w:t>
      </w:r>
    </w:p>
    <w:p w14:paraId="62D654DC" w14:textId="77777777" w:rsidR="004F7513" w:rsidRDefault="004F7513">
      <w:pPr>
        <w:pStyle w:val="Heading1"/>
        <w:rPr>
          <w:rFonts w:eastAsia="Times New Roman"/>
        </w:rPr>
      </w:pPr>
      <w:r>
        <w:rPr>
          <w:rFonts w:eastAsia="Times New Roman"/>
        </w:rPr>
        <w:t xml:space="preserve">References </w:t>
      </w:r>
    </w:p>
    <w:p w14:paraId="53826CD7" w14:textId="77777777" w:rsidR="004F7513" w:rsidRDefault="004F7513" w:rsidP="004F7513">
      <w:pPr>
        <w:numPr>
          <w:ilvl w:val="0"/>
          <w:numId w:val="9"/>
        </w:numPr>
        <w:spacing w:before="100" w:beforeAutospacing="1" w:after="100" w:afterAutospacing="1" w:line="240" w:lineRule="auto"/>
        <w:rPr>
          <w:rFonts w:eastAsia="Times New Roman"/>
        </w:rPr>
      </w:pPr>
      <w:r>
        <w:rPr>
          <w:rFonts w:eastAsia="Times New Roman"/>
        </w:rPr>
        <w:t xml:space="preserve">Alexander DC, Fitzgerald SF, DePaulo R, </w:t>
      </w:r>
      <w:proofErr w:type="spellStart"/>
      <w:r>
        <w:rPr>
          <w:rFonts w:eastAsia="Times New Roman"/>
        </w:rPr>
        <w:t>Kitzul</w:t>
      </w:r>
      <w:proofErr w:type="spellEnd"/>
      <w:r>
        <w:rPr>
          <w:rFonts w:eastAsia="Times New Roman"/>
        </w:rPr>
        <w:t xml:space="preserve"> R, </w:t>
      </w:r>
      <w:proofErr w:type="spellStart"/>
      <w:r>
        <w:rPr>
          <w:rFonts w:eastAsia="Times New Roman"/>
        </w:rPr>
        <w:t>Daku</w:t>
      </w:r>
      <w:proofErr w:type="spellEnd"/>
      <w:r>
        <w:rPr>
          <w:rFonts w:eastAsia="Times New Roman"/>
        </w:rPr>
        <w:t xml:space="preserve"> D, </w:t>
      </w:r>
      <w:proofErr w:type="spellStart"/>
      <w:r>
        <w:rPr>
          <w:rFonts w:eastAsia="Times New Roman"/>
        </w:rPr>
        <w:t>Levett</w:t>
      </w:r>
      <w:proofErr w:type="spellEnd"/>
      <w:r>
        <w:rPr>
          <w:rFonts w:eastAsia="Times New Roman"/>
        </w:rPr>
        <w:t xml:space="preserve"> PN, et al. Laboratory-acquired infection with </w:t>
      </w:r>
      <w:r w:rsidRPr="00D422BF">
        <w:rPr>
          <w:rStyle w:val="Emphasis"/>
          <w:rFonts w:eastAsia="Times New Roman"/>
          <w:b w:val="0"/>
        </w:rPr>
        <w:t>Salmonella enterica</w:t>
      </w:r>
      <w:r>
        <w:rPr>
          <w:rFonts w:eastAsia="Times New Roman"/>
        </w:rPr>
        <w:t xml:space="preserve"> serovar Typhimurium exposed by whole-genome sequencing. </w:t>
      </w:r>
      <w:r w:rsidRPr="00D422BF">
        <w:rPr>
          <w:rStyle w:val="Emphasis"/>
          <w:rFonts w:eastAsia="Times New Roman"/>
          <w:b w:val="0"/>
        </w:rPr>
        <w:t>J Clin Microbiol</w:t>
      </w:r>
      <w:r>
        <w:rPr>
          <w:rFonts w:eastAsia="Times New Roman"/>
        </w:rPr>
        <w:t xml:space="preserve">. 2016;54(1):190–3. </w:t>
      </w:r>
    </w:p>
    <w:p w14:paraId="4D9643AE" w14:textId="77777777" w:rsidR="004F7513" w:rsidRDefault="004F7513" w:rsidP="004F7513">
      <w:pPr>
        <w:numPr>
          <w:ilvl w:val="0"/>
          <w:numId w:val="9"/>
        </w:numPr>
        <w:spacing w:before="100" w:beforeAutospacing="1" w:after="100" w:afterAutospacing="1" w:line="240" w:lineRule="auto"/>
        <w:rPr>
          <w:rFonts w:eastAsia="Times New Roman"/>
        </w:rPr>
      </w:pPr>
      <w:r>
        <w:rPr>
          <w:rFonts w:eastAsia="Times New Roman"/>
        </w:rPr>
        <w:t xml:space="preserve">Barker A, Duster M, Van Hoof S, Safdar N. Nontyphoidal </w:t>
      </w:r>
      <w:r w:rsidRPr="00D422BF">
        <w:rPr>
          <w:rStyle w:val="Emphasis"/>
          <w:rFonts w:eastAsia="Times New Roman"/>
          <w:b w:val="0"/>
        </w:rPr>
        <w:t>Salmonella</w:t>
      </w:r>
      <w:r>
        <w:rPr>
          <w:rFonts w:eastAsia="Times New Roman"/>
        </w:rPr>
        <w:t xml:space="preserve">: an occupational hazard for clinical laboratory workers. </w:t>
      </w:r>
      <w:r w:rsidRPr="00D422BF">
        <w:rPr>
          <w:rStyle w:val="Emphasis"/>
          <w:rFonts w:eastAsia="Times New Roman"/>
          <w:b w:val="0"/>
        </w:rPr>
        <w:t xml:space="preserve">Appl </w:t>
      </w:r>
      <w:proofErr w:type="spellStart"/>
      <w:r w:rsidRPr="00D422BF">
        <w:rPr>
          <w:rStyle w:val="Emphasis"/>
          <w:rFonts w:eastAsia="Times New Roman"/>
          <w:b w:val="0"/>
        </w:rPr>
        <w:t>Biosaf</w:t>
      </w:r>
      <w:proofErr w:type="spellEnd"/>
      <w:r>
        <w:rPr>
          <w:rFonts w:eastAsia="Times New Roman"/>
        </w:rPr>
        <w:t xml:space="preserve">. 2015;20(2):72–4. </w:t>
      </w:r>
    </w:p>
    <w:p w14:paraId="18AF404E" w14:textId="77777777" w:rsidR="004F7513" w:rsidRDefault="004F7513" w:rsidP="004F7513">
      <w:pPr>
        <w:numPr>
          <w:ilvl w:val="0"/>
          <w:numId w:val="9"/>
        </w:numPr>
        <w:spacing w:before="100" w:beforeAutospacing="1" w:after="100" w:afterAutospacing="1" w:line="240" w:lineRule="auto"/>
        <w:rPr>
          <w:rFonts w:eastAsia="Times New Roman"/>
        </w:rPr>
      </w:pPr>
      <w:r>
        <w:rPr>
          <w:rFonts w:eastAsia="Times New Roman"/>
        </w:rPr>
        <w:t xml:space="preserve">Weinstein RA, Singh K. Laboratory-Acquired Infections. </w:t>
      </w:r>
      <w:r w:rsidRPr="00D422BF">
        <w:rPr>
          <w:rStyle w:val="Emphasis"/>
          <w:rFonts w:eastAsia="Times New Roman"/>
          <w:b w:val="0"/>
        </w:rPr>
        <w:t>Clin Infect Dis</w:t>
      </w:r>
      <w:r>
        <w:rPr>
          <w:rFonts w:eastAsia="Times New Roman"/>
        </w:rPr>
        <w:t xml:space="preserve">. 2009;49(1):142–7. </w:t>
      </w:r>
    </w:p>
    <w:p w14:paraId="1642BEDD" w14:textId="77777777" w:rsidR="004F7513" w:rsidRDefault="004F7513" w:rsidP="004F7513">
      <w:pPr>
        <w:numPr>
          <w:ilvl w:val="0"/>
          <w:numId w:val="9"/>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and Control Prevention. Human </w:t>
      </w:r>
      <w:r w:rsidRPr="00D422BF">
        <w:rPr>
          <w:rStyle w:val="Emphasis"/>
          <w:rFonts w:eastAsia="Times New Roman"/>
          <w:b w:val="0"/>
        </w:rPr>
        <w:t xml:space="preserve">Salmonella </w:t>
      </w:r>
      <w:r>
        <w:rPr>
          <w:rFonts w:eastAsia="Times New Roman"/>
        </w:rPr>
        <w:t xml:space="preserve">Typhimurium infections linked to exposure to clinical and teaching microbiology laboratories 2017. [Internet.] [Updated 19/07/2017.] Available from: https://www.cdc.gov/salmonella/typhimurium-07-17/index.html . </w:t>
      </w:r>
    </w:p>
    <w:p w14:paraId="19A0E58D" w14:textId="77777777" w:rsidR="004F7513" w:rsidRDefault="004F7513" w:rsidP="004F7513">
      <w:pPr>
        <w:numPr>
          <w:ilvl w:val="0"/>
          <w:numId w:val="9"/>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and Control Prevention. Human </w:t>
      </w:r>
      <w:r w:rsidRPr="00D422BF">
        <w:rPr>
          <w:rStyle w:val="Emphasis"/>
          <w:rFonts w:eastAsia="Times New Roman"/>
          <w:b w:val="0"/>
        </w:rPr>
        <w:t xml:space="preserve">Salmonella </w:t>
      </w:r>
      <w:r>
        <w:rPr>
          <w:rFonts w:eastAsia="Times New Roman"/>
        </w:rPr>
        <w:t xml:space="preserve">Typhimurium infections linked to exposure to clinical and teaching microbiology laboratories (final update) 2014. [Internet.] [Updated 5/06/2014.] Available from: https://www.cdc.gov/salmonella/typhimurium-labs-06-14/index.html . </w:t>
      </w:r>
    </w:p>
    <w:p w14:paraId="4C930DB7" w14:textId="77777777" w:rsidR="004F7513" w:rsidRDefault="004F7513" w:rsidP="004F7513">
      <w:pPr>
        <w:numPr>
          <w:ilvl w:val="0"/>
          <w:numId w:val="9"/>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and Control Prevention. Human </w:t>
      </w:r>
      <w:r w:rsidRPr="00D422BF">
        <w:rPr>
          <w:rStyle w:val="Emphasis"/>
          <w:rFonts w:eastAsia="Times New Roman"/>
          <w:b w:val="0"/>
        </w:rPr>
        <w:t>Salmonella</w:t>
      </w:r>
      <w:r>
        <w:rPr>
          <w:rFonts w:eastAsia="Times New Roman"/>
        </w:rPr>
        <w:t xml:space="preserve"> Typhimurium infections associated with exposure to clinical and teaching microbiology laboratories (final update) 2011. [Internet.] [Updated 17/01/2012.] Available from: https://www.cdc.gov/salmonella/2011/lab-exposure-1-17-2012.html . </w:t>
      </w:r>
    </w:p>
    <w:p w14:paraId="408207DD" w14:textId="77777777" w:rsidR="004F7513" w:rsidRDefault="004F7513" w:rsidP="004F7513">
      <w:pPr>
        <w:numPr>
          <w:ilvl w:val="0"/>
          <w:numId w:val="9"/>
        </w:numPr>
        <w:spacing w:before="100" w:beforeAutospacing="1" w:after="100" w:afterAutospacing="1" w:line="240" w:lineRule="auto"/>
        <w:rPr>
          <w:rFonts w:eastAsia="Times New Roman"/>
        </w:rPr>
      </w:pPr>
      <w:r>
        <w:rPr>
          <w:rFonts w:eastAsia="Times New Roman"/>
        </w:rPr>
        <w:t xml:space="preserve">Australian Capital Territory. </w:t>
      </w:r>
      <w:r w:rsidRPr="00D422BF">
        <w:rPr>
          <w:rStyle w:val="Emphasis"/>
          <w:rFonts w:eastAsia="Times New Roman"/>
          <w:b w:val="0"/>
        </w:rPr>
        <w:t>Public Health Act 1997</w:t>
      </w:r>
      <w:r>
        <w:rPr>
          <w:rFonts w:eastAsia="Times New Roman"/>
        </w:rPr>
        <w:t>. Available from: http://www.legislation.act.gov.au/a/1997-69/.</w:t>
      </w:r>
    </w:p>
    <w:p w14:paraId="57746FB7" w14:textId="77777777" w:rsidR="008B5348" w:rsidRDefault="008B5348">
      <w:pPr>
        <w:rPr>
          <w:rStyle w:val="A10"/>
        </w:rPr>
      </w:pPr>
      <w:r>
        <w:rPr>
          <w:rStyle w:val="A10"/>
        </w:rPr>
        <w:br w:type="page"/>
      </w:r>
    </w:p>
    <w:p w14:paraId="28EEB5CB"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68C0FF51"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F0FA6B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67B5741" w14:textId="77777777" w:rsidR="000A5F42" w:rsidRPr="000606CC" w:rsidRDefault="000A5F42" w:rsidP="000A5F42">
      <w:pPr>
        <w:pStyle w:val="NoSpacing"/>
        <w:rPr>
          <w:rStyle w:val="URI"/>
          <w:rFonts w:cstheme="minorHAnsi"/>
          <w:sz w:val="20"/>
          <w:szCs w:val="18"/>
        </w:rPr>
      </w:pPr>
    </w:p>
    <w:p w14:paraId="64CF28D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7A5F6E5D" w14:textId="77777777" w:rsidR="000A5F42" w:rsidRPr="000606CC" w:rsidRDefault="000A5F42" w:rsidP="000A5F42">
      <w:pPr>
        <w:pStyle w:val="NoSpacing"/>
        <w:rPr>
          <w:rStyle w:val="Strong"/>
          <w:rFonts w:cstheme="minorHAnsi"/>
          <w:sz w:val="20"/>
          <w:szCs w:val="18"/>
        </w:rPr>
      </w:pPr>
    </w:p>
    <w:p w14:paraId="3A19DBF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0D17BDF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2E05C0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437D043"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7C3D7201" w14:textId="77777777" w:rsidR="000A5F42" w:rsidRPr="000606CC" w:rsidRDefault="000A5F42" w:rsidP="000A5F42">
      <w:pPr>
        <w:pStyle w:val="NoSpacing"/>
        <w:rPr>
          <w:rStyle w:val="Strong"/>
          <w:rFonts w:cstheme="minorHAnsi"/>
          <w:sz w:val="20"/>
          <w:szCs w:val="18"/>
        </w:rPr>
      </w:pPr>
    </w:p>
    <w:p w14:paraId="5C4B7E22" w14:textId="476A205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732BC3C" w14:textId="77777777" w:rsidR="000A5F42" w:rsidRPr="000606CC" w:rsidRDefault="000A5F42" w:rsidP="000A5F42">
      <w:pPr>
        <w:pStyle w:val="NoSpacing"/>
        <w:rPr>
          <w:rStyle w:val="Strong"/>
          <w:rFonts w:cstheme="minorHAnsi"/>
          <w:sz w:val="20"/>
          <w:szCs w:val="18"/>
        </w:rPr>
      </w:pPr>
    </w:p>
    <w:p w14:paraId="506C3A7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30CAE71" w14:textId="77777777" w:rsidR="000A5F42" w:rsidRPr="000606CC" w:rsidRDefault="000A5F42" w:rsidP="000A5F42">
      <w:pPr>
        <w:pStyle w:val="NoSpacing"/>
        <w:rPr>
          <w:rStyle w:val="Strong"/>
          <w:rFonts w:cstheme="minorHAnsi"/>
          <w:sz w:val="20"/>
          <w:szCs w:val="18"/>
        </w:rPr>
      </w:pPr>
    </w:p>
    <w:p w14:paraId="788D0781" w14:textId="0EC8716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565D3A0" w14:textId="77777777" w:rsidR="000A5F42" w:rsidRPr="000606CC" w:rsidRDefault="000A5F42" w:rsidP="000A5F42">
      <w:pPr>
        <w:pStyle w:val="NoSpacing"/>
        <w:rPr>
          <w:rStyle w:val="Strong"/>
          <w:rFonts w:cstheme="minorHAnsi"/>
          <w:sz w:val="20"/>
          <w:szCs w:val="18"/>
        </w:rPr>
      </w:pPr>
    </w:p>
    <w:p w14:paraId="3E749364" w14:textId="57A0D874"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9473D3F" w14:textId="4AC1E516"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5D054C2A" w14:textId="77777777" w:rsidR="000A5F42" w:rsidRPr="000606CC" w:rsidRDefault="000A5F42" w:rsidP="000A5F42">
      <w:pPr>
        <w:pStyle w:val="NoSpacing"/>
        <w:pBdr>
          <w:bottom w:val="single" w:sz="6" w:space="1" w:color="auto"/>
        </w:pBdr>
        <w:rPr>
          <w:rStyle w:val="Strong"/>
          <w:rFonts w:cstheme="minorHAnsi"/>
          <w:sz w:val="12"/>
          <w:szCs w:val="18"/>
        </w:rPr>
      </w:pPr>
    </w:p>
    <w:p w14:paraId="2F47BC87" w14:textId="77777777" w:rsidR="000A5F42" w:rsidRPr="000606CC" w:rsidRDefault="000A5F42" w:rsidP="000A5F42">
      <w:pPr>
        <w:pStyle w:val="NoSpacing"/>
        <w:rPr>
          <w:rFonts w:cstheme="minorHAnsi"/>
          <w:sz w:val="20"/>
          <w:szCs w:val="18"/>
        </w:rPr>
      </w:pPr>
    </w:p>
    <w:p w14:paraId="6E1855A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69A632C" w14:textId="77777777" w:rsidR="000A5F42" w:rsidRPr="000606CC" w:rsidRDefault="000A5F42" w:rsidP="000A5F42">
      <w:pPr>
        <w:pStyle w:val="NoSpacing"/>
        <w:rPr>
          <w:rFonts w:cstheme="minorHAnsi"/>
          <w:sz w:val="20"/>
          <w:szCs w:val="18"/>
        </w:rPr>
      </w:pPr>
    </w:p>
    <w:p w14:paraId="5BDB6CB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BE6B19A"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2C3823DC" w14:textId="02A6808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0C46A45" w14:textId="77777777" w:rsidR="000A5F42" w:rsidRPr="000606CC" w:rsidRDefault="000A5F42" w:rsidP="000A5F42">
      <w:pPr>
        <w:pStyle w:val="NoSpacing"/>
        <w:rPr>
          <w:rFonts w:cstheme="minorHAnsi"/>
          <w:sz w:val="20"/>
          <w:szCs w:val="18"/>
        </w:rPr>
      </w:pPr>
    </w:p>
    <w:p w14:paraId="0A2D872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FA68B7C" w14:textId="4116B57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341C86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0DB13FD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3EBE4D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BB6828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3BB422C" w14:textId="77777777" w:rsidR="000A5F42" w:rsidRPr="000606CC" w:rsidRDefault="000A5F42" w:rsidP="000A5F42">
      <w:pPr>
        <w:pStyle w:val="NoSpacing"/>
        <w:rPr>
          <w:rStyle w:val="Strong"/>
          <w:rFonts w:cstheme="minorHAnsi"/>
          <w:sz w:val="20"/>
          <w:szCs w:val="18"/>
        </w:rPr>
      </w:pPr>
    </w:p>
    <w:p w14:paraId="51E68200"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316290C" w14:textId="77777777" w:rsidR="000A5F42" w:rsidRPr="000606CC" w:rsidRDefault="000A5F42" w:rsidP="000A5F42">
      <w:pPr>
        <w:pStyle w:val="NoSpacing"/>
        <w:rPr>
          <w:rStyle w:val="Strong"/>
          <w:rFonts w:cstheme="minorHAnsi"/>
          <w:sz w:val="20"/>
          <w:szCs w:val="18"/>
        </w:rPr>
      </w:pPr>
    </w:p>
    <w:p w14:paraId="54316C2D" w14:textId="79F55A9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70FEABE" w14:textId="77777777" w:rsidR="000A5F42" w:rsidRPr="000606CC" w:rsidRDefault="000A5F42" w:rsidP="000A5F42">
      <w:pPr>
        <w:pStyle w:val="NoSpacing"/>
        <w:rPr>
          <w:rStyle w:val="URI"/>
          <w:rFonts w:cstheme="minorHAnsi"/>
          <w:sz w:val="20"/>
          <w:szCs w:val="18"/>
        </w:rPr>
      </w:pPr>
    </w:p>
    <w:p w14:paraId="08AD4030" w14:textId="58E08412"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798417A6"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97B5" w14:textId="77777777" w:rsidR="006B2CDB" w:rsidRDefault="006B2CDB" w:rsidP="00E54DBA">
      <w:r>
        <w:separator/>
      </w:r>
    </w:p>
    <w:p w14:paraId="51ACE886" w14:textId="77777777" w:rsidR="006B2CDB" w:rsidRDefault="006B2CDB"/>
    <w:p w14:paraId="71613A7D" w14:textId="77777777" w:rsidR="006B2CDB" w:rsidRDefault="006B2CDB" w:rsidP="008714B0"/>
  </w:endnote>
  <w:endnote w:type="continuationSeparator" w:id="0">
    <w:p w14:paraId="3B377895" w14:textId="77777777" w:rsidR="006B2CDB" w:rsidRDefault="006B2CDB" w:rsidP="00E54DBA">
      <w:r>
        <w:continuationSeparator/>
      </w:r>
    </w:p>
    <w:p w14:paraId="5A19AED0" w14:textId="77777777" w:rsidR="006B2CDB" w:rsidRDefault="006B2CDB"/>
    <w:p w14:paraId="265454BB" w14:textId="77777777" w:rsidR="006B2CDB" w:rsidRDefault="006B2CD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9982"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91F7B">
      <w:rPr>
        <w:noProof/>
        <w:sz w:val="18"/>
      </w:rPr>
      <w:t>4</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891F7B">
      <w:rPr>
        <w:noProof/>
        <w:sz w:val="18"/>
      </w:rPr>
      <w:t>4</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D422BF">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923858">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923858">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91F7B">
      <w:rPr>
        <w:sz w:val="18"/>
      </w:rPr>
      <w:t>https://doi.org/10.33321/cdi.2019.43.38</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891F7B">
      <w:rPr>
        <w:sz w:val="18"/>
      </w:rPr>
      <w:t>16/09/2019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3983"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91F7B">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891F7B">
      <w:rPr>
        <w:noProof/>
        <w:sz w:val="18"/>
      </w:rPr>
      <w:t>4</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D422BF">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923858">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923858">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91F7B">
      <w:rPr>
        <w:sz w:val="18"/>
      </w:rPr>
      <w:t>https://doi.org/10.33321/cdi.2019.43.38</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891F7B">
      <w:rPr>
        <w:sz w:val="18"/>
      </w:rPr>
      <w:t>16/09/2019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2D92" w14:textId="77777777" w:rsidR="006B2CDB" w:rsidRDefault="006B2CDB" w:rsidP="00E54DBA">
      <w:r>
        <w:separator/>
      </w:r>
    </w:p>
    <w:p w14:paraId="2BBD1408" w14:textId="77777777" w:rsidR="006B2CDB" w:rsidRDefault="006B2CDB"/>
    <w:p w14:paraId="0FB63028" w14:textId="77777777" w:rsidR="006B2CDB" w:rsidRDefault="006B2CDB" w:rsidP="008714B0"/>
  </w:footnote>
  <w:footnote w:type="continuationSeparator" w:id="0">
    <w:p w14:paraId="5D720766" w14:textId="77777777" w:rsidR="006B2CDB" w:rsidRDefault="006B2CDB" w:rsidP="00E54DBA">
      <w:r>
        <w:continuationSeparator/>
      </w:r>
    </w:p>
    <w:p w14:paraId="7A92BF20" w14:textId="77777777" w:rsidR="006B2CDB" w:rsidRDefault="006B2CDB"/>
    <w:p w14:paraId="6ABB1E1E" w14:textId="77777777" w:rsidR="006B2CDB" w:rsidRDefault="006B2CDB"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0ACB" w14:textId="77777777" w:rsidR="00257484" w:rsidRPr="00A153B6" w:rsidRDefault="002608B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C1F7E">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6FDE"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A817B79"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89C"/>
    <w:multiLevelType w:val="multilevel"/>
    <w:tmpl w:val="F9AAB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900F8A"/>
    <w:multiLevelType w:val="multilevel"/>
    <w:tmpl w:val="B61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916EA5"/>
    <w:multiLevelType w:val="hybridMultilevel"/>
    <w:tmpl w:val="03BC8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8D3890"/>
    <w:multiLevelType w:val="multilevel"/>
    <w:tmpl w:val="432C4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9A65F2"/>
    <w:multiLevelType w:val="hybridMultilevel"/>
    <w:tmpl w:val="5D96CD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4334186">
    <w:abstractNumId w:val="2"/>
  </w:num>
  <w:num w:numId="2" w16cid:durableId="1329140424">
    <w:abstractNumId w:val="4"/>
  </w:num>
  <w:num w:numId="3" w16cid:durableId="560749136">
    <w:abstractNumId w:val="5"/>
  </w:num>
  <w:num w:numId="4" w16cid:durableId="772238547">
    <w:abstractNumId w:val="1"/>
  </w:num>
  <w:num w:numId="5" w16cid:durableId="327052776">
    <w:abstractNumId w:val="9"/>
  </w:num>
  <w:num w:numId="6" w16cid:durableId="869948683">
    <w:abstractNumId w:val="10"/>
  </w:num>
  <w:num w:numId="7" w16cid:durableId="271330117">
    <w:abstractNumId w:val="3"/>
  </w:num>
  <w:num w:numId="8" w16cid:durableId="224416028">
    <w:abstractNumId w:val="7"/>
  </w:num>
  <w:num w:numId="9" w16cid:durableId="794524329">
    <w:abstractNumId w:val="0"/>
  </w:num>
  <w:num w:numId="10" w16cid:durableId="1072890944">
    <w:abstractNumId w:val="6"/>
  </w:num>
  <w:num w:numId="11" w16cid:durableId="1978408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858"/>
    <w:rsid w:val="00000B5B"/>
    <w:rsid w:val="00001611"/>
    <w:rsid w:val="000104A8"/>
    <w:rsid w:val="0001246E"/>
    <w:rsid w:val="000124B1"/>
    <w:rsid w:val="00016710"/>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378A3"/>
    <w:rsid w:val="00155582"/>
    <w:rsid w:val="00161590"/>
    <w:rsid w:val="00161899"/>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76DC"/>
    <w:rsid w:val="00227E00"/>
    <w:rsid w:val="002307CB"/>
    <w:rsid w:val="00231046"/>
    <w:rsid w:val="00234F21"/>
    <w:rsid w:val="00242659"/>
    <w:rsid w:val="002428F7"/>
    <w:rsid w:val="0024315F"/>
    <w:rsid w:val="00252C9A"/>
    <w:rsid w:val="00256309"/>
    <w:rsid w:val="00257484"/>
    <w:rsid w:val="00260636"/>
    <w:rsid w:val="002608BF"/>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1CEB"/>
    <w:rsid w:val="004C67C6"/>
    <w:rsid w:val="004D29DE"/>
    <w:rsid w:val="004D4337"/>
    <w:rsid w:val="004F7513"/>
    <w:rsid w:val="00510EAC"/>
    <w:rsid w:val="00542A57"/>
    <w:rsid w:val="005732C0"/>
    <w:rsid w:val="0057336D"/>
    <w:rsid w:val="0057489A"/>
    <w:rsid w:val="00574ACF"/>
    <w:rsid w:val="00581588"/>
    <w:rsid w:val="0058540B"/>
    <w:rsid w:val="00587C87"/>
    <w:rsid w:val="00590B80"/>
    <w:rsid w:val="005977DA"/>
    <w:rsid w:val="005B3134"/>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B2CDB"/>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2099"/>
    <w:rsid w:val="007A5234"/>
    <w:rsid w:val="007B7854"/>
    <w:rsid w:val="007C1F7E"/>
    <w:rsid w:val="007C56A1"/>
    <w:rsid w:val="007C6454"/>
    <w:rsid w:val="007E01E0"/>
    <w:rsid w:val="007F0B93"/>
    <w:rsid w:val="007F2ECA"/>
    <w:rsid w:val="00811708"/>
    <w:rsid w:val="00816B90"/>
    <w:rsid w:val="00817799"/>
    <w:rsid w:val="00822F5F"/>
    <w:rsid w:val="00824FD3"/>
    <w:rsid w:val="00826589"/>
    <w:rsid w:val="00834BCC"/>
    <w:rsid w:val="00850D54"/>
    <w:rsid w:val="008638C5"/>
    <w:rsid w:val="008714B0"/>
    <w:rsid w:val="00876331"/>
    <w:rsid w:val="00880726"/>
    <w:rsid w:val="00891F7B"/>
    <w:rsid w:val="008A3544"/>
    <w:rsid w:val="008B48B8"/>
    <w:rsid w:val="008B5348"/>
    <w:rsid w:val="008B58F8"/>
    <w:rsid w:val="008C0712"/>
    <w:rsid w:val="008C4520"/>
    <w:rsid w:val="008C5F09"/>
    <w:rsid w:val="008D470F"/>
    <w:rsid w:val="008E1F8F"/>
    <w:rsid w:val="008E4768"/>
    <w:rsid w:val="008E761E"/>
    <w:rsid w:val="008F77B3"/>
    <w:rsid w:val="009008F5"/>
    <w:rsid w:val="00901B21"/>
    <w:rsid w:val="00904CC1"/>
    <w:rsid w:val="009066AF"/>
    <w:rsid w:val="00912050"/>
    <w:rsid w:val="00912E48"/>
    <w:rsid w:val="0092385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A300D"/>
    <w:rsid w:val="00AA35E6"/>
    <w:rsid w:val="00AA50B6"/>
    <w:rsid w:val="00AB3472"/>
    <w:rsid w:val="00AD0762"/>
    <w:rsid w:val="00AE4452"/>
    <w:rsid w:val="00AE7C38"/>
    <w:rsid w:val="00B01F99"/>
    <w:rsid w:val="00B02B37"/>
    <w:rsid w:val="00B05276"/>
    <w:rsid w:val="00B132DB"/>
    <w:rsid w:val="00B31427"/>
    <w:rsid w:val="00B33861"/>
    <w:rsid w:val="00B40DE2"/>
    <w:rsid w:val="00B4280E"/>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0F57"/>
    <w:rsid w:val="00C42FFA"/>
    <w:rsid w:val="00C507D8"/>
    <w:rsid w:val="00C62EAC"/>
    <w:rsid w:val="00C63F9F"/>
    <w:rsid w:val="00C7723C"/>
    <w:rsid w:val="00C838F5"/>
    <w:rsid w:val="00C9288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22BF"/>
    <w:rsid w:val="00D45661"/>
    <w:rsid w:val="00D45943"/>
    <w:rsid w:val="00D47D22"/>
    <w:rsid w:val="00D51865"/>
    <w:rsid w:val="00D51D0C"/>
    <w:rsid w:val="00D74140"/>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B4019"/>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494D49"/>
  <w15:docId w15:val="{A25D22D5-F9FB-42F3-B0CE-7DBD41DA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411693-F0F7-495D-BA47-445A14E6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9525</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Experimenting at Uni: Salmonella in laboratory students</vt:lpstr>
    </vt:vector>
  </TitlesOfParts>
  <Company>Australian Government, Department of Health</Company>
  <LinksUpToDate>false</LinksUpToDate>
  <CharactersWithSpaces>10919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Experimenting at Uni: Salmonella in laboratory students</dc:title>
  <dc:subject>This article describes the first two known cases of non-typhoidal salmonellosis, acquired from a university teaching laboratory in Canberra, Australian Capital Territory (ACT), Australia.</dc:subject>
  <dc:creator>Timothy S. Sloan-Gardner</dc:creator>
  <cp:keywords>salmonellosis, laboratory-acquired, case study, public health</cp:keywords>
  <dc:description>© Commonwealth of Australia CC BY-NC-ND ISSN: 2209-6051 (Online)</dc:description>
  <cp:lastPrinted>2018-05-10T02:19:00Z</cp:lastPrinted>
  <dcterms:created xsi:type="dcterms:W3CDTF">2024-08-27T22:22:00Z</dcterms:created>
  <dcterms:modified xsi:type="dcterms:W3CDTF">2024-08-27T22:22:00Z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16/09/2019</vt:lpwstr>
  </property>
  <property fmtid="{D5CDD505-2E9C-101B-9397-08002B2CF9AE}" pid="5" name="DOI">
    <vt:lpwstr>https://doi.org/10.33321/cdi.2019.43.38</vt:lpwstr>
  </property>
</Properties>
</file>