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063E" w14:textId="77777777" w:rsidR="003853FC" w:rsidRDefault="003853FC" w:rsidP="00C3215A">
      <w:pPr>
        <w:pStyle w:val="Title"/>
        <w:rPr>
          <w:rFonts w:eastAsia="Times New Roman"/>
          <w:sz w:val="48"/>
          <w:szCs w:val="48"/>
        </w:rPr>
      </w:pPr>
      <w:r>
        <w:rPr>
          <w:rFonts w:eastAsia="Times New Roman"/>
        </w:rPr>
        <w:t>Mass prophylaxis in an outbreak of invasive group A</w:t>
      </w:r>
      <w:r w:rsidR="00672102">
        <w:rPr>
          <w:rFonts w:eastAsia="Times New Roman"/>
        </w:rPr>
        <w:t> </w:t>
      </w:r>
      <w:r>
        <w:rPr>
          <w:rFonts w:eastAsia="Times New Roman"/>
        </w:rPr>
        <w:t>streptococcal disease in a residential aged care facility</w:t>
      </w:r>
    </w:p>
    <w:p w14:paraId="566C3943" w14:textId="77777777" w:rsidR="003853FC" w:rsidRDefault="003853FC" w:rsidP="00C3215A">
      <w:r>
        <w:t xml:space="preserve">Bhakti R Vasant, Kari A J Jarvinen, Ning-Xia Fang, Helen V Smith and Amy V Jennison </w:t>
      </w:r>
    </w:p>
    <w:p w14:paraId="10DD96C9" w14:textId="77777777" w:rsidR="003853FC" w:rsidRPr="00C3215A" w:rsidRDefault="003853FC" w:rsidP="00C3215A">
      <w:pPr>
        <w:pStyle w:val="Heading1"/>
      </w:pPr>
      <w:r w:rsidRPr="00C3215A">
        <w:t>Abstract</w:t>
      </w:r>
    </w:p>
    <w:p w14:paraId="1FEE4F86" w14:textId="77777777" w:rsidR="003853FC" w:rsidRDefault="003853FC" w:rsidP="00C3215A">
      <w:r>
        <w:t xml:space="preserve">In September 2016, an invasive group A </w:t>
      </w:r>
      <w:r w:rsidRPr="00883745">
        <w:t>streptococcal</w:t>
      </w:r>
      <w:r>
        <w:t xml:space="preserve"> disease outbreak occurred among residents of a residential aged care facility. An expert advisory group recommended mass prophylaxis for residents and staff in addition to strict infection control practices to prevent further spread. Whole genome sequencing confirmed the cases were</w:t>
      </w:r>
      <w:r w:rsidR="00AC08BD">
        <w:t> </w:t>
      </w:r>
      <w:r>
        <w:t>related.</w:t>
      </w:r>
    </w:p>
    <w:p w14:paraId="146D8B7E" w14:textId="77777777" w:rsidR="003853FC" w:rsidRPr="00C3215A" w:rsidRDefault="003853FC" w:rsidP="00C3215A">
      <w:pPr>
        <w:pStyle w:val="Heading1"/>
      </w:pPr>
      <w:r w:rsidRPr="00C3215A">
        <w:t>Background and methods</w:t>
      </w:r>
    </w:p>
    <w:p w14:paraId="498D2303" w14:textId="77777777" w:rsidR="003853FC" w:rsidRDefault="003853FC" w:rsidP="00C3215A">
      <w:r>
        <w:t xml:space="preserve">Group A </w:t>
      </w:r>
      <w:r w:rsidRPr="00883745">
        <w:rPr>
          <w:rStyle w:val="Emphasis"/>
          <w:b w:val="0"/>
          <w:i w:val="0"/>
        </w:rPr>
        <w:t>streptococci</w:t>
      </w:r>
      <w:r>
        <w:t xml:space="preserve"> (GAS) can cause serious diseases including necrotising fasciitis and toxic shock syndrome. Invasive GAS (iGAS) outbreaks in residential aged care facilities (RACF) are associated with high case fatality (25%–60%).</w:t>
      </w:r>
      <w:r>
        <w:rPr>
          <w:vertAlign w:val="superscript"/>
        </w:rPr>
        <w:t>1,2</w:t>
      </w:r>
      <w:r>
        <w:t xml:space="preserve"> Prompt outbreaks control is therefore important. Targeted prophylaxis for GAS carriers or mass prophylaxis for staff and residents may have a role.</w:t>
      </w:r>
      <w:r>
        <w:rPr>
          <w:vertAlign w:val="superscript"/>
        </w:rPr>
        <w:t>3</w:t>
      </w:r>
      <w:r>
        <w:t xml:space="preserve"> Variations are noted in guideline recommendations for prophylaxis (Table</w:t>
      </w:r>
      <w:r w:rsidR="00827E14">
        <w:t> </w:t>
      </w:r>
      <w:r>
        <w:t>1).</w:t>
      </w:r>
    </w:p>
    <w:p w14:paraId="4684F372" w14:textId="77777777" w:rsidR="00883745" w:rsidRDefault="00883745" w:rsidP="00C3215A"/>
    <w:p w14:paraId="757C2F95" w14:textId="77777777" w:rsidR="003853FC" w:rsidRDefault="003853FC" w:rsidP="00C3215A">
      <w:pPr>
        <w:pStyle w:val="CDIFigures"/>
      </w:pPr>
      <w:r>
        <w:t xml:space="preserve">Table 1: Recommendations for targeted or mass prophylaxis to control iGAS outbreaks in RACFs 4,6–9 </w:t>
      </w:r>
    </w:p>
    <w:tbl>
      <w:tblPr>
        <w:tblStyle w:val="CDI-StandardTable"/>
        <w:tblW w:w="10603" w:type="dxa"/>
        <w:tblCellMar>
          <w:top w:w="113" w:type="dxa"/>
          <w:left w:w="113" w:type="dxa"/>
          <w:bottom w:w="113" w:type="dxa"/>
          <w:right w:w="113" w:type="dxa"/>
        </w:tblCellMar>
        <w:tblLook w:val="04A0" w:firstRow="1" w:lastRow="0" w:firstColumn="1" w:lastColumn="0" w:noHBand="0" w:noVBand="1"/>
        <w:tblDescription w:val="State and international guidelines may recommend targeted or mass prophylaxis to control iGAS outbreaks in RACFs."/>
      </w:tblPr>
      <w:tblGrid>
        <w:gridCol w:w="3515"/>
        <w:gridCol w:w="7088"/>
      </w:tblGrid>
      <w:tr w:rsidR="00672102" w:rsidRPr="00672102" w14:paraId="4A0B10B2" w14:textId="77777777" w:rsidTr="00966188">
        <w:trPr>
          <w:cnfStyle w:val="100000000000" w:firstRow="1" w:lastRow="0" w:firstColumn="0" w:lastColumn="0" w:oddVBand="0" w:evenVBand="0" w:oddHBand="0" w:evenHBand="0" w:firstRowFirstColumn="0" w:firstRowLastColumn="0" w:lastRowFirstColumn="0" w:lastRowLastColumn="0"/>
          <w:tblHeader/>
        </w:trPr>
        <w:tc>
          <w:tcPr>
            <w:tcW w:w="3515" w:type="dxa"/>
            <w:hideMark/>
          </w:tcPr>
          <w:p w14:paraId="383A58CC" w14:textId="77777777" w:rsidR="003853FC" w:rsidRPr="00672102" w:rsidRDefault="003853FC">
            <w:pPr>
              <w:rPr>
                <w:rFonts w:eastAsia="Times New Roman"/>
                <w:color w:val="FFFFFF" w:themeColor="background1"/>
              </w:rPr>
            </w:pPr>
            <w:r w:rsidRPr="00672102">
              <w:rPr>
                <w:rFonts w:eastAsia="Times New Roman"/>
                <w:color w:val="FFFFFF" w:themeColor="background1"/>
              </w:rPr>
              <w:t xml:space="preserve">Guideline </w:t>
            </w:r>
          </w:p>
        </w:tc>
        <w:tc>
          <w:tcPr>
            <w:tcW w:w="7088" w:type="dxa"/>
            <w:hideMark/>
          </w:tcPr>
          <w:p w14:paraId="316D52B7" w14:textId="77777777" w:rsidR="003853FC" w:rsidRPr="00672102" w:rsidRDefault="003853FC" w:rsidP="00966188">
            <w:pPr>
              <w:ind w:left="171"/>
              <w:rPr>
                <w:rFonts w:eastAsia="Times New Roman"/>
                <w:color w:val="FFFFFF" w:themeColor="background1"/>
              </w:rPr>
            </w:pPr>
            <w:r w:rsidRPr="00672102">
              <w:rPr>
                <w:rFonts w:eastAsia="Times New Roman"/>
                <w:color w:val="FFFFFF" w:themeColor="background1"/>
              </w:rPr>
              <w:t xml:space="preserve">Type of prophylaxis recommended (targeted or mass) </w:t>
            </w:r>
          </w:p>
        </w:tc>
      </w:tr>
      <w:tr w:rsidR="003853FC" w14:paraId="49382E37" w14:textId="77777777" w:rsidTr="00966188">
        <w:tc>
          <w:tcPr>
            <w:tcW w:w="3515" w:type="dxa"/>
            <w:hideMark/>
          </w:tcPr>
          <w:p w14:paraId="258C4AD1" w14:textId="77777777" w:rsidR="003853FC" w:rsidRDefault="003853FC">
            <w:pPr>
              <w:rPr>
                <w:rFonts w:eastAsia="Times New Roman"/>
              </w:rPr>
            </w:pPr>
            <w:r>
              <w:rPr>
                <w:rFonts w:eastAsia="Times New Roman"/>
              </w:rPr>
              <w:t xml:space="preserve">Queensland </w:t>
            </w:r>
          </w:p>
        </w:tc>
        <w:tc>
          <w:tcPr>
            <w:tcW w:w="7088" w:type="dxa"/>
            <w:hideMark/>
          </w:tcPr>
          <w:p w14:paraId="121EF8B7" w14:textId="77777777" w:rsidR="003853FC" w:rsidRDefault="003853FC" w:rsidP="00966188">
            <w:pPr>
              <w:ind w:left="171"/>
              <w:rPr>
                <w:rFonts w:eastAsia="Times New Roman"/>
              </w:rPr>
            </w:pPr>
            <w:r>
              <w:rPr>
                <w:rFonts w:eastAsia="Times New Roman"/>
              </w:rPr>
              <w:t>Mass</w:t>
            </w:r>
            <w:r>
              <w:rPr>
                <w:rFonts w:eastAsia="Times New Roman"/>
                <w:vertAlign w:val="superscript"/>
              </w:rPr>
              <w:t>*</w:t>
            </w:r>
          </w:p>
        </w:tc>
      </w:tr>
      <w:tr w:rsidR="003853FC" w14:paraId="1E2C0107" w14:textId="77777777" w:rsidTr="00966188">
        <w:trPr>
          <w:cnfStyle w:val="000000010000" w:firstRow="0" w:lastRow="0" w:firstColumn="0" w:lastColumn="0" w:oddVBand="0" w:evenVBand="0" w:oddHBand="0" w:evenHBand="1" w:firstRowFirstColumn="0" w:firstRowLastColumn="0" w:lastRowFirstColumn="0" w:lastRowLastColumn="0"/>
        </w:trPr>
        <w:tc>
          <w:tcPr>
            <w:tcW w:w="3515" w:type="dxa"/>
            <w:hideMark/>
          </w:tcPr>
          <w:p w14:paraId="0B51D47E" w14:textId="77777777" w:rsidR="003853FC" w:rsidRDefault="003853FC">
            <w:pPr>
              <w:rPr>
                <w:rFonts w:eastAsia="Times New Roman"/>
              </w:rPr>
            </w:pPr>
            <w:r>
              <w:rPr>
                <w:rFonts w:eastAsia="Times New Roman"/>
              </w:rPr>
              <w:t xml:space="preserve">Northern Territory </w:t>
            </w:r>
          </w:p>
        </w:tc>
        <w:tc>
          <w:tcPr>
            <w:tcW w:w="7088" w:type="dxa"/>
            <w:hideMark/>
          </w:tcPr>
          <w:p w14:paraId="5D519773" w14:textId="77777777" w:rsidR="003853FC" w:rsidRDefault="003853FC" w:rsidP="00966188">
            <w:pPr>
              <w:ind w:left="171"/>
              <w:rPr>
                <w:rFonts w:eastAsia="Times New Roman"/>
              </w:rPr>
            </w:pPr>
            <w:r>
              <w:rPr>
                <w:rFonts w:eastAsia="Times New Roman"/>
              </w:rPr>
              <w:t xml:space="preserve">Mass </w:t>
            </w:r>
          </w:p>
        </w:tc>
      </w:tr>
      <w:tr w:rsidR="003853FC" w14:paraId="4D86FB17" w14:textId="77777777" w:rsidTr="00966188">
        <w:tc>
          <w:tcPr>
            <w:tcW w:w="3515" w:type="dxa"/>
            <w:hideMark/>
          </w:tcPr>
          <w:p w14:paraId="193032C0" w14:textId="77777777" w:rsidR="003853FC" w:rsidRDefault="003853FC">
            <w:pPr>
              <w:rPr>
                <w:rFonts w:eastAsia="Times New Roman"/>
              </w:rPr>
            </w:pPr>
            <w:r>
              <w:rPr>
                <w:rFonts w:eastAsia="Times New Roman"/>
              </w:rPr>
              <w:t xml:space="preserve">Canada </w:t>
            </w:r>
          </w:p>
        </w:tc>
        <w:tc>
          <w:tcPr>
            <w:tcW w:w="7088" w:type="dxa"/>
            <w:hideMark/>
          </w:tcPr>
          <w:p w14:paraId="6917B4FB" w14:textId="77777777" w:rsidR="003853FC" w:rsidRDefault="003853FC" w:rsidP="00966188">
            <w:pPr>
              <w:ind w:left="171"/>
              <w:rPr>
                <w:rFonts w:eastAsia="Times New Roman"/>
              </w:rPr>
            </w:pPr>
            <w:r>
              <w:rPr>
                <w:rFonts w:eastAsia="Times New Roman"/>
              </w:rPr>
              <w:t xml:space="preserve">Targeted </w:t>
            </w:r>
          </w:p>
        </w:tc>
      </w:tr>
      <w:tr w:rsidR="003853FC" w14:paraId="06744981" w14:textId="77777777" w:rsidTr="00966188">
        <w:trPr>
          <w:cnfStyle w:val="000000010000" w:firstRow="0" w:lastRow="0" w:firstColumn="0" w:lastColumn="0" w:oddVBand="0" w:evenVBand="0" w:oddHBand="0" w:evenHBand="1" w:firstRowFirstColumn="0" w:firstRowLastColumn="0" w:lastRowFirstColumn="0" w:lastRowLastColumn="0"/>
        </w:trPr>
        <w:tc>
          <w:tcPr>
            <w:tcW w:w="3515" w:type="dxa"/>
            <w:hideMark/>
          </w:tcPr>
          <w:p w14:paraId="4E5B8F80" w14:textId="77777777" w:rsidR="003853FC" w:rsidRDefault="003853FC">
            <w:pPr>
              <w:rPr>
                <w:rFonts w:eastAsia="Times New Roman"/>
              </w:rPr>
            </w:pPr>
            <w:r>
              <w:rPr>
                <w:rFonts w:eastAsia="Times New Roman"/>
              </w:rPr>
              <w:t xml:space="preserve">UK </w:t>
            </w:r>
          </w:p>
        </w:tc>
        <w:tc>
          <w:tcPr>
            <w:tcW w:w="7088" w:type="dxa"/>
            <w:hideMark/>
          </w:tcPr>
          <w:p w14:paraId="299CFBCA" w14:textId="77777777" w:rsidR="003853FC" w:rsidRDefault="003853FC" w:rsidP="00966188">
            <w:pPr>
              <w:ind w:left="171"/>
              <w:rPr>
                <w:rFonts w:eastAsia="Times New Roman"/>
              </w:rPr>
            </w:pPr>
            <w:r>
              <w:rPr>
                <w:rFonts w:eastAsia="Times New Roman"/>
              </w:rPr>
              <w:t xml:space="preserve">Targeted or mass prophylaxis to be considered </w:t>
            </w:r>
          </w:p>
        </w:tc>
      </w:tr>
    </w:tbl>
    <w:p w14:paraId="36349A87" w14:textId="77777777" w:rsidR="00672102" w:rsidRDefault="003853FC" w:rsidP="00C3215A">
      <w:pPr>
        <w:pStyle w:val="CDIfootnotes"/>
        <w:rPr>
          <w:rFonts w:eastAsia="Times New Roman"/>
        </w:rPr>
      </w:pPr>
      <w:r>
        <w:rPr>
          <w:rFonts w:eastAsia="Times New Roman"/>
          <w:vertAlign w:val="superscript"/>
        </w:rPr>
        <w:t>*</w:t>
      </w:r>
      <w:r w:rsidR="00C3215A">
        <w:rPr>
          <w:rFonts w:eastAsia="Times New Roman"/>
        </w:rPr>
        <w:tab/>
      </w:r>
      <w:r>
        <w:rPr>
          <w:rFonts w:eastAsia="Times New Roman"/>
        </w:rPr>
        <w:t>Queensland iGAS guidelines were in developme</w:t>
      </w:r>
      <w:r w:rsidR="00672102">
        <w:rPr>
          <w:rFonts w:eastAsia="Times New Roman"/>
        </w:rPr>
        <w:t>nt at the time of the outbreak.</w:t>
      </w:r>
    </w:p>
    <w:p w14:paraId="1B18FD85" w14:textId="77777777" w:rsidR="00883745" w:rsidRDefault="00883745" w:rsidP="00C3215A"/>
    <w:p w14:paraId="28C28DF1" w14:textId="77777777" w:rsidR="003853FC" w:rsidRDefault="003853FC" w:rsidP="00C3215A">
      <w:r>
        <w:t>In Queensland, iGAS (GAS isolation from a sterile site) is a notifiable condition.</w:t>
      </w:r>
      <w:r>
        <w:rPr>
          <w:vertAlign w:val="superscript"/>
        </w:rPr>
        <w:t>4</w:t>
      </w:r>
      <w:r>
        <w:t xml:space="preserve"> Notifications of iGAS in a RACF in 2016 resulted in public health investigations of a suspected iGAS outbreak. Laboratory investigations were undertaken to confirm whether the RACF iGAS cases were related. </w:t>
      </w:r>
    </w:p>
    <w:p w14:paraId="4ACC19FC" w14:textId="77777777" w:rsidR="003853FC" w:rsidRDefault="003853FC" w:rsidP="00C3215A">
      <w:r>
        <w:t>Ethics approval was not required because outbreak identification, characterisation and control are covered under the Public Health Act 2005, Queensland.</w:t>
      </w:r>
      <w:r>
        <w:rPr>
          <w:vertAlign w:val="superscript"/>
        </w:rPr>
        <w:t>5</w:t>
      </w:r>
      <w:r>
        <w:t xml:space="preserve"> </w:t>
      </w:r>
    </w:p>
    <w:p w14:paraId="130DC4AC" w14:textId="77777777" w:rsidR="00CE274C" w:rsidRDefault="00CE274C">
      <w:pPr>
        <w:rPr>
          <w:rFonts w:asciiTheme="majorHAnsi" w:eastAsiaTheme="majorEastAsia" w:hAnsiTheme="majorHAnsi" w:cstheme="majorBidi"/>
          <w:b/>
          <w:bCs/>
          <w:sz w:val="32"/>
          <w:szCs w:val="28"/>
        </w:rPr>
      </w:pPr>
      <w:r>
        <w:lastRenderedPageBreak/>
        <w:br w:type="page"/>
      </w:r>
    </w:p>
    <w:p w14:paraId="123EB216" w14:textId="77777777" w:rsidR="003853FC" w:rsidRPr="00C3215A" w:rsidRDefault="003853FC" w:rsidP="00C3215A">
      <w:pPr>
        <w:pStyle w:val="Heading1"/>
      </w:pPr>
      <w:r w:rsidRPr="00C3215A">
        <w:lastRenderedPageBreak/>
        <w:t>Description of outbreak</w:t>
      </w:r>
    </w:p>
    <w:p w14:paraId="0A42A0EE" w14:textId="77777777" w:rsidR="003853FC" w:rsidRDefault="003853FC" w:rsidP="00C3215A">
      <w:r>
        <w:t>In September 2016, a large metropolitan Public Health Unit (PHU) in Queensland was notified of two iGAS cases in elderly residents in the same wing of a RACF (wing A). The first case was hospitalised for cellulitis and GAS bacteraemia. The PHU provided a fact sheet to the RACF following notification of the first case and requested notification of additional cases.</w:t>
      </w:r>
    </w:p>
    <w:p w14:paraId="39248102" w14:textId="77777777" w:rsidR="003853FC" w:rsidRDefault="003853FC" w:rsidP="00C3215A">
      <w:r>
        <w:t>The second wing A resident case of iGAS was notified two weeks later. As two epidemiologically linked iGAS cases were identified within three months, the criteria for a suspected iGAS outbreak were met.</w:t>
      </w:r>
      <w:r>
        <w:rPr>
          <w:vertAlign w:val="superscript"/>
        </w:rPr>
        <w:t>4</w:t>
      </w:r>
      <w:r>
        <w:t xml:space="preserve"> As Queensland’s guidelines for public health management of iGAS were in development during the outbreak, an expert advisory group (EAG) was convened to ascertain whether prophylaxis should be recommended for wing A residents and staff. Options included recommending no prophylaxis, recommending targeted prophylaxis or recommending mass prophylaxis to wing A residents and staff. The latter was recommended and carried out.</w:t>
      </w:r>
    </w:p>
    <w:p w14:paraId="48760C8F" w14:textId="77777777" w:rsidR="003853FC" w:rsidRDefault="003853FC" w:rsidP="00C3215A">
      <w:r>
        <w:t>In November 2016, the PHU was notified of a case of GAS bacteraemia in another resident from wing A. The likely nidus of infection was a chronic ulcer.</w:t>
      </w:r>
    </w:p>
    <w:p w14:paraId="73CC93D3" w14:textId="77777777" w:rsidR="003853FC" w:rsidRPr="00C3215A" w:rsidRDefault="003853FC" w:rsidP="00C3215A">
      <w:pPr>
        <w:pStyle w:val="Heading1"/>
      </w:pPr>
      <w:r w:rsidRPr="00C3215A">
        <w:t>Laboratory investigations</w:t>
      </w:r>
    </w:p>
    <w:p w14:paraId="0A50099B" w14:textId="48D2BBBC" w:rsidR="003853FC" w:rsidRDefault="003853FC" w:rsidP="00C3215A">
      <w:r>
        <w:t xml:space="preserve">GAS isolates from the three cases were submitted to the Queensland Forensic and Scientific Services (FSS, the Queensland Health Public Health Reference Laboratory) for Whole Genome Sequencing through their in-house NexteraXT library preparation and Illumina NextSeq500 sequencing workflow. Fastq sequences are located in ENA project PRJEB23078. The </w:t>
      </w:r>
      <w:r w:rsidRPr="00883745">
        <w:rPr>
          <w:rStyle w:val="Emphasis"/>
          <w:b w:val="0"/>
        </w:rPr>
        <w:t>emm</w:t>
      </w:r>
      <w:r>
        <w:t xml:space="preserve"> type, </w:t>
      </w:r>
      <w:r w:rsidRPr="00883745">
        <w:rPr>
          <w:rStyle w:val="Emphasis"/>
          <w:b w:val="0"/>
        </w:rPr>
        <w:t>spe</w:t>
      </w:r>
      <w:r>
        <w:t xml:space="preserve"> exotoxin gene detection, multi-locus sequence types (MLST) and </w:t>
      </w:r>
      <w:r w:rsidRPr="00883745">
        <w:rPr>
          <w:rStyle w:val="Emphasis"/>
          <w:b w:val="0"/>
        </w:rPr>
        <w:t>emm</w:t>
      </w:r>
      <w:r>
        <w:t xml:space="preserve"> locus arrangement were determined from de novo assembled sequences using Ridom SeqSphere+ with alleles from the CDC MLST scheme (</w:t>
      </w:r>
      <w:hyperlink r:id="rId9" w:tooltip="Streptococcus pyogenes MLST Databases" w:history="1">
        <w:r w:rsidRPr="00966188">
          <w:rPr>
            <w:rStyle w:val="Hyperlink"/>
          </w:rPr>
          <w:t>https://pubmlst.org/spyogenes/</w:t>
        </w:r>
      </w:hyperlink>
      <w:r>
        <w:t xml:space="preserve">) and CDC </w:t>
      </w:r>
      <w:r w:rsidRPr="00883745">
        <w:rPr>
          <w:rStyle w:val="Emphasis"/>
          <w:b w:val="0"/>
        </w:rPr>
        <w:t>emm</w:t>
      </w:r>
      <w:r>
        <w:t xml:space="preserve"> data base (</w:t>
      </w:r>
      <w:hyperlink r:id="rId10" w:tooltip="CDC emm data base " w:history="1">
        <w:r w:rsidRPr="00966188">
          <w:rPr>
            <w:rStyle w:val="Hyperlink"/>
          </w:rPr>
          <w:t>https://www2a.cdc.gov/ncidod/biotech/strepblast.asp</w:t>
        </w:r>
      </w:hyperlink>
      <w:r>
        <w:t xml:space="preserve">). Sequences were mapped to the reference genome </w:t>
      </w:r>
      <w:r w:rsidRPr="00966188">
        <w:rPr>
          <w:rStyle w:val="Emphasis"/>
          <w:b w:val="0"/>
        </w:rPr>
        <w:t>Streptococcus pyogenes</w:t>
      </w:r>
      <w:r>
        <w:t xml:space="preserve"> M1 strain (Genbank accession NC_002737) and core single nucleotide polymorphism (SNP)s identif</w:t>
      </w:r>
      <w:r w:rsidR="00966188">
        <w:t>ied using the Snippy pipeline (</w:t>
      </w:r>
      <w:hyperlink r:id="rId11" w:tooltip="Rapid haploid variant calling and core genome alignment " w:history="1">
        <w:r w:rsidRPr="00966188">
          <w:rPr>
            <w:rStyle w:val="Hyperlink"/>
          </w:rPr>
          <w:t>https://github.com/tseemann/snippy</w:t>
        </w:r>
      </w:hyperlink>
      <w:r>
        <w:t>). A Maximum Likelihood tree was generated from the SNP alignment, using the Fast Tree plugin in Geneious R7 software (figure 1).</w:t>
      </w:r>
    </w:p>
    <w:p w14:paraId="3B8D2DD7" w14:textId="77777777" w:rsidR="00966188" w:rsidRDefault="00966188" w:rsidP="00966188">
      <w:r>
        <w:t xml:space="preserve">Isolates from cases 1 and 2 showed limited genetic variation to each other (17 SNP differences) and were more genetically related to each other than other </w:t>
      </w:r>
      <w:r w:rsidRPr="00966188">
        <w:rPr>
          <w:rStyle w:val="Emphasis"/>
          <w:b w:val="0"/>
        </w:rPr>
        <w:t>emm</w:t>
      </w:r>
      <w:r>
        <w:t xml:space="preserve"> 12 isolates isolated from Queensland in the 12 months prior to these cases (n= 9, SNP distance &gt;251 SNPs) (Figure 1). The isolates from cases 2 and 3 showed even less genetic distance (6 SNP differences). This limited genetic variation and plausible epidemiological link between cases support the hypothesis that the three iGAS cases in wing A were related (Table 2).</w:t>
      </w:r>
    </w:p>
    <w:p w14:paraId="3224633A" w14:textId="77777777" w:rsidR="000C4A4F" w:rsidRDefault="000C4A4F">
      <w:pPr>
        <w:rPr>
          <w:b/>
        </w:rPr>
      </w:pPr>
      <w:r>
        <w:br w:type="page"/>
      </w:r>
    </w:p>
    <w:p w14:paraId="38FF84E8" w14:textId="77777777" w:rsidR="003853FC" w:rsidRDefault="003853FC" w:rsidP="00C3215A">
      <w:pPr>
        <w:pStyle w:val="CDIFigures"/>
      </w:pPr>
      <w:r>
        <w:lastRenderedPageBreak/>
        <w:t xml:space="preserve">Figure 1. Phylogenetic Maximum Likelihood Tree showing SNP differences between </w:t>
      </w:r>
      <w:r w:rsidRPr="00966188">
        <w:rPr>
          <w:i/>
        </w:rPr>
        <w:t>emm12</w:t>
      </w:r>
      <w:r>
        <w:t xml:space="preserve"> isolates isolated in a 12 month period up to and including the case cluster. </w:t>
      </w:r>
    </w:p>
    <w:p w14:paraId="3D9A9425" w14:textId="77777777" w:rsidR="003853FC" w:rsidRDefault="003853FC" w:rsidP="000C4A4F">
      <w:pPr>
        <w:pStyle w:val="NormalWeb"/>
        <w:jc w:val="center"/>
      </w:pPr>
      <w:r>
        <w:rPr>
          <w:noProof/>
        </w:rPr>
        <w:drawing>
          <wp:inline distT="0" distB="0" distL="0" distR="0" wp14:anchorId="3096A921" wp14:editId="102B3125">
            <wp:extent cx="4382135" cy="3924935"/>
            <wp:effectExtent l="0" t="0" r="0" b="0"/>
            <wp:docPr id="2" name="Picture 2" descr="There was limited genetic variation between isolates from cases 1 and 2. Isolates from cases 2 and 3 showed even less genetic d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 was limited genetic variation between isolates from cases 1 and 2. Isolates from cases 2 and 3 showed even less genetic distanc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2135" cy="3924935"/>
                    </a:xfrm>
                    <a:prstGeom prst="rect">
                      <a:avLst/>
                    </a:prstGeom>
                    <a:noFill/>
                    <a:ln>
                      <a:noFill/>
                    </a:ln>
                  </pic:spPr>
                </pic:pic>
              </a:graphicData>
            </a:graphic>
          </wp:inline>
        </w:drawing>
      </w:r>
    </w:p>
    <w:p w14:paraId="6E321D70" w14:textId="77777777" w:rsidR="00966188" w:rsidRDefault="00966188" w:rsidP="00C3215A">
      <w:pPr>
        <w:pStyle w:val="CDIFigures"/>
      </w:pPr>
    </w:p>
    <w:p w14:paraId="13A05544" w14:textId="77777777" w:rsidR="003853FC" w:rsidRDefault="003853FC" w:rsidP="00C3215A">
      <w:pPr>
        <w:pStyle w:val="CDIFigures"/>
      </w:pPr>
      <w:r>
        <w:t xml:space="preserve">Table 2: Group A streptococcal isolates from residents with iGAS in a residential aged care facility outbreak, 2016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he group A Streptococcal isolates from RACF residents with iGAS were related."/>
      </w:tblPr>
      <w:tblGrid>
        <w:gridCol w:w="993"/>
        <w:gridCol w:w="1583"/>
        <w:gridCol w:w="1770"/>
        <w:gridCol w:w="2051"/>
        <w:gridCol w:w="928"/>
        <w:gridCol w:w="636"/>
        <w:gridCol w:w="597"/>
        <w:gridCol w:w="688"/>
        <w:gridCol w:w="567"/>
        <w:gridCol w:w="653"/>
      </w:tblGrid>
      <w:tr w:rsidR="00F72C90" w:rsidRPr="00F72C90" w14:paraId="171DA6A7" w14:textId="77777777" w:rsidTr="007B54B5">
        <w:trPr>
          <w:cnfStyle w:val="100000000000" w:firstRow="1" w:lastRow="0" w:firstColumn="0" w:lastColumn="0" w:oddVBand="0" w:evenVBand="0" w:oddHBand="0" w:evenHBand="0" w:firstRowFirstColumn="0" w:firstRowLastColumn="0" w:lastRowFirstColumn="0" w:lastRowLastColumn="0"/>
          <w:tblHeader/>
        </w:trPr>
        <w:tc>
          <w:tcPr>
            <w:tcW w:w="993" w:type="dxa"/>
            <w:vMerge w:val="restart"/>
            <w:hideMark/>
          </w:tcPr>
          <w:p w14:paraId="08F3C3AF" w14:textId="77777777" w:rsidR="003853FC" w:rsidRPr="00F72C90" w:rsidRDefault="003853FC">
            <w:pPr>
              <w:rPr>
                <w:rFonts w:eastAsia="Times New Roman"/>
                <w:color w:val="FFFFFF" w:themeColor="background1"/>
              </w:rPr>
            </w:pPr>
            <w:r w:rsidRPr="00F72C90">
              <w:rPr>
                <w:rFonts w:eastAsia="Times New Roman"/>
                <w:color w:val="FFFFFF" w:themeColor="background1"/>
              </w:rPr>
              <w:t xml:space="preserve">Case </w:t>
            </w:r>
          </w:p>
        </w:tc>
        <w:tc>
          <w:tcPr>
            <w:tcW w:w="1583" w:type="dxa"/>
            <w:vMerge w:val="restart"/>
            <w:hideMark/>
          </w:tcPr>
          <w:p w14:paraId="0AA6C9F9" w14:textId="77777777" w:rsidR="003853FC" w:rsidRPr="00F72C90" w:rsidRDefault="003853FC" w:rsidP="00966188">
            <w:pPr>
              <w:jc w:val="center"/>
              <w:rPr>
                <w:rFonts w:eastAsia="Times New Roman"/>
                <w:color w:val="FFFFFF" w:themeColor="background1"/>
              </w:rPr>
            </w:pPr>
            <w:r w:rsidRPr="00F72C90">
              <w:rPr>
                <w:rFonts w:eastAsia="Times New Roman"/>
                <w:i/>
                <w:color w:val="FFFFFF" w:themeColor="background1"/>
              </w:rPr>
              <w:t>emm</w:t>
            </w:r>
            <w:r w:rsidRPr="00F72C90">
              <w:rPr>
                <w:rFonts w:eastAsia="Times New Roman"/>
                <w:color w:val="FFFFFF" w:themeColor="background1"/>
              </w:rPr>
              <w:t xml:space="preserve"> sequence type</w:t>
            </w:r>
          </w:p>
        </w:tc>
        <w:tc>
          <w:tcPr>
            <w:tcW w:w="0" w:type="auto"/>
            <w:vMerge w:val="restart"/>
            <w:hideMark/>
          </w:tcPr>
          <w:p w14:paraId="3B9F0E2E" w14:textId="77777777" w:rsidR="003853FC" w:rsidRPr="00F72C90" w:rsidRDefault="003853FC" w:rsidP="00966188">
            <w:pPr>
              <w:jc w:val="center"/>
              <w:rPr>
                <w:rFonts w:eastAsia="Times New Roman"/>
                <w:color w:val="FFFFFF" w:themeColor="background1"/>
              </w:rPr>
            </w:pPr>
            <w:r w:rsidRPr="00F72C90">
              <w:rPr>
                <w:rFonts w:eastAsia="Times New Roman"/>
                <w:i/>
                <w:color w:val="FFFFFF" w:themeColor="background1"/>
              </w:rPr>
              <w:t>spe</w:t>
            </w:r>
            <w:r w:rsidRPr="00F72C90">
              <w:rPr>
                <w:rFonts w:eastAsia="Times New Roman"/>
                <w:color w:val="FFFFFF" w:themeColor="background1"/>
              </w:rPr>
              <w:t xml:space="preserve"> genes detected</w:t>
            </w:r>
          </w:p>
        </w:tc>
        <w:tc>
          <w:tcPr>
            <w:tcW w:w="0" w:type="auto"/>
            <w:vMerge w:val="restart"/>
            <w:hideMark/>
          </w:tcPr>
          <w:p w14:paraId="5FEFC171" w14:textId="77777777" w:rsidR="003853FC" w:rsidRPr="00F72C90" w:rsidRDefault="003853FC" w:rsidP="00966188">
            <w:pPr>
              <w:jc w:val="center"/>
              <w:rPr>
                <w:rFonts w:eastAsia="Times New Roman"/>
                <w:color w:val="FFFFFF" w:themeColor="background1"/>
              </w:rPr>
            </w:pPr>
            <w:r w:rsidRPr="00F72C90">
              <w:rPr>
                <w:rFonts w:eastAsia="Times New Roman"/>
                <w:i/>
                <w:color w:val="FFFFFF" w:themeColor="background1"/>
              </w:rPr>
              <w:t>spe</w:t>
            </w:r>
            <w:r w:rsidRPr="00F72C90">
              <w:rPr>
                <w:rFonts w:eastAsia="Times New Roman"/>
                <w:color w:val="FFFFFF" w:themeColor="background1"/>
              </w:rPr>
              <w:t xml:space="preserve"> genes not detected</w:t>
            </w:r>
          </w:p>
        </w:tc>
        <w:tc>
          <w:tcPr>
            <w:tcW w:w="0" w:type="auto"/>
            <w:vMerge w:val="restart"/>
            <w:hideMark/>
          </w:tcPr>
          <w:p w14:paraId="0BDCF7E0" w14:textId="77777777" w:rsidR="003853FC" w:rsidRPr="00F72C90" w:rsidRDefault="003853FC" w:rsidP="00966188">
            <w:pPr>
              <w:jc w:val="center"/>
              <w:rPr>
                <w:rFonts w:eastAsia="Times New Roman"/>
                <w:color w:val="FFFFFF" w:themeColor="background1"/>
              </w:rPr>
            </w:pPr>
            <w:r w:rsidRPr="00F72C90">
              <w:rPr>
                <w:rFonts w:eastAsia="Times New Roman"/>
                <w:color w:val="FFFFFF" w:themeColor="background1"/>
              </w:rPr>
              <w:t>MLST ST</w:t>
            </w:r>
          </w:p>
        </w:tc>
        <w:tc>
          <w:tcPr>
            <w:tcW w:w="0" w:type="auto"/>
            <w:gridSpan w:val="5"/>
            <w:hideMark/>
          </w:tcPr>
          <w:p w14:paraId="371E0E76" w14:textId="77777777" w:rsidR="003853FC" w:rsidRPr="00F72C90" w:rsidRDefault="003853FC" w:rsidP="00966188">
            <w:pPr>
              <w:jc w:val="center"/>
              <w:rPr>
                <w:rFonts w:eastAsia="Times New Roman"/>
                <w:color w:val="FFFFFF" w:themeColor="background1"/>
              </w:rPr>
            </w:pPr>
            <w:r w:rsidRPr="00F72C90">
              <w:rPr>
                <w:rFonts w:eastAsia="Times New Roman"/>
                <w:i/>
                <w:color w:val="FFFFFF" w:themeColor="background1"/>
              </w:rPr>
              <w:t>emm</w:t>
            </w:r>
            <w:r w:rsidRPr="00F72C90">
              <w:rPr>
                <w:rFonts w:eastAsia="Times New Roman"/>
                <w:color w:val="FFFFFF" w:themeColor="background1"/>
              </w:rPr>
              <w:t xml:space="preserve"> locus</w:t>
            </w:r>
          </w:p>
        </w:tc>
      </w:tr>
      <w:tr w:rsidR="00F72C90" w:rsidRPr="00F72C90" w14:paraId="6FC7646B" w14:textId="77777777" w:rsidTr="007B54B5">
        <w:trPr>
          <w:cnfStyle w:val="100000000000" w:firstRow="1" w:lastRow="0" w:firstColumn="0" w:lastColumn="0" w:oddVBand="0" w:evenVBand="0" w:oddHBand="0" w:evenHBand="0" w:firstRowFirstColumn="0" w:firstRowLastColumn="0" w:lastRowFirstColumn="0" w:lastRowLastColumn="0"/>
          <w:tblHeader/>
        </w:trPr>
        <w:tc>
          <w:tcPr>
            <w:tcW w:w="993" w:type="dxa"/>
            <w:vMerge/>
            <w:hideMark/>
          </w:tcPr>
          <w:p w14:paraId="678F09B7" w14:textId="77777777" w:rsidR="003853FC" w:rsidRPr="00F72C90" w:rsidRDefault="003853FC">
            <w:pPr>
              <w:rPr>
                <w:rFonts w:eastAsia="Times New Roman"/>
                <w:color w:val="FFFFFF" w:themeColor="background1"/>
                <w:sz w:val="24"/>
                <w:szCs w:val="24"/>
              </w:rPr>
            </w:pPr>
          </w:p>
        </w:tc>
        <w:tc>
          <w:tcPr>
            <w:tcW w:w="1583" w:type="dxa"/>
            <w:vMerge/>
            <w:hideMark/>
          </w:tcPr>
          <w:p w14:paraId="7574A265" w14:textId="77777777" w:rsidR="003853FC" w:rsidRPr="00F72C90" w:rsidRDefault="003853FC" w:rsidP="00966188">
            <w:pPr>
              <w:jc w:val="center"/>
              <w:rPr>
                <w:rFonts w:eastAsia="Times New Roman"/>
                <w:color w:val="FFFFFF" w:themeColor="background1"/>
                <w:sz w:val="24"/>
                <w:szCs w:val="24"/>
              </w:rPr>
            </w:pPr>
          </w:p>
        </w:tc>
        <w:tc>
          <w:tcPr>
            <w:tcW w:w="0" w:type="auto"/>
            <w:vMerge/>
            <w:hideMark/>
          </w:tcPr>
          <w:p w14:paraId="1686F2A2" w14:textId="77777777" w:rsidR="003853FC" w:rsidRPr="00F72C90" w:rsidRDefault="003853FC" w:rsidP="00966188">
            <w:pPr>
              <w:jc w:val="center"/>
              <w:rPr>
                <w:rFonts w:eastAsia="Times New Roman"/>
                <w:color w:val="FFFFFF" w:themeColor="background1"/>
                <w:sz w:val="24"/>
                <w:szCs w:val="24"/>
              </w:rPr>
            </w:pPr>
          </w:p>
        </w:tc>
        <w:tc>
          <w:tcPr>
            <w:tcW w:w="0" w:type="auto"/>
            <w:vMerge/>
            <w:hideMark/>
          </w:tcPr>
          <w:p w14:paraId="5216E0BB" w14:textId="77777777" w:rsidR="003853FC" w:rsidRPr="00F72C90" w:rsidRDefault="003853FC" w:rsidP="00966188">
            <w:pPr>
              <w:jc w:val="center"/>
              <w:rPr>
                <w:rFonts w:eastAsia="Times New Roman"/>
                <w:color w:val="FFFFFF" w:themeColor="background1"/>
                <w:sz w:val="24"/>
                <w:szCs w:val="24"/>
              </w:rPr>
            </w:pPr>
          </w:p>
        </w:tc>
        <w:tc>
          <w:tcPr>
            <w:tcW w:w="0" w:type="auto"/>
            <w:vMerge/>
            <w:hideMark/>
          </w:tcPr>
          <w:p w14:paraId="52B84265" w14:textId="77777777" w:rsidR="003853FC" w:rsidRPr="00F72C90" w:rsidRDefault="003853FC" w:rsidP="00966188">
            <w:pPr>
              <w:jc w:val="center"/>
              <w:rPr>
                <w:rFonts w:eastAsia="Times New Roman"/>
                <w:color w:val="FFFFFF" w:themeColor="background1"/>
                <w:sz w:val="24"/>
                <w:szCs w:val="24"/>
              </w:rPr>
            </w:pPr>
          </w:p>
        </w:tc>
        <w:tc>
          <w:tcPr>
            <w:tcW w:w="0" w:type="auto"/>
            <w:hideMark/>
          </w:tcPr>
          <w:p w14:paraId="01D7FC14" w14:textId="77777777" w:rsidR="003853FC" w:rsidRPr="00F72C90" w:rsidRDefault="003853FC">
            <w:pPr>
              <w:rPr>
                <w:rFonts w:eastAsia="Times New Roman"/>
                <w:i/>
                <w:color w:val="FFFFFF" w:themeColor="background1"/>
              </w:rPr>
            </w:pPr>
            <w:r w:rsidRPr="00F72C90">
              <w:rPr>
                <w:rFonts w:eastAsia="Times New Roman"/>
                <w:i/>
                <w:color w:val="FFFFFF" w:themeColor="background1"/>
              </w:rPr>
              <w:t>mga</w:t>
            </w:r>
          </w:p>
        </w:tc>
        <w:tc>
          <w:tcPr>
            <w:tcW w:w="0" w:type="auto"/>
            <w:hideMark/>
          </w:tcPr>
          <w:p w14:paraId="55EE4782" w14:textId="77777777" w:rsidR="003853FC" w:rsidRPr="00F72C90" w:rsidRDefault="003853FC">
            <w:pPr>
              <w:rPr>
                <w:rFonts w:eastAsia="Times New Roman"/>
                <w:i/>
                <w:color w:val="FFFFFF" w:themeColor="background1"/>
              </w:rPr>
            </w:pPr>
            <w:r w:rsidRPr="00F72C90">
              <w:rPr>
                <w:rFonts w:eastAsia="Times New Roman"/>
                <w:i/>
                <w:color w:val="FFFFFF" w:themeColor="background1"/>
              </w:rPr>
              <w:t>mrp</w:t>
            </w:r>
          </w:p>
        </w:tc>
        <w:tc>
          <w:tcPr>
            <w:tcW w:w="0" w:type="auto"/>
            <w:hideMark/>
          </w:tcPr>
          <w:p w14:paraId="313A2191" w14:textId="77777777" w:rsidR="003853FC" w:rsidRPr="00F72C90" w:rsidRDefault="003853FC">
            <w:pPr>
              <w:rPr>
                <w:rFonts w:eastAsia="Times New Roman"/>
                <w:i/>
                <w:color w:val="FFFFFF" w:themeColor="background1"/>
              </w:rPr>
            </w:pPr>
            <w:r w:rsidRPr="00F72C90">
              <w:rPr>
                <w:rFonts w:eastAsia="Times New Roman"/>
                <w:i/>
                <w:color w:val="FFFFFF" w:themeColor="background1"/>
              </w:rPr>
              <w:t>emm</w:t>
            </w:r>
          </w:p>
        </w:tc>
        <w:tc>
          <w:tcPr>
            <w:tcW w:w="0" w:type="auto"/>
            <w:hideMark/>
          </w:tcPr>
          <w:p w14:paraId="1E269244" w14:textId="77777777" w:rsidR="003853FC" w:rsidRPr="00F72C90" w:rsidRDefault="003853FC">
            <w:pPr>
              <w:rPr>
                <w:rFonts w:eastAsia="Times New Roman"/>
                <w:i/>
                <w:color w:val="FFFFFF" w:themeColor="background1"/>
              </w:rPr>
            </w:pPr>
            <w:r w:rsidRPr="00F72C90">
              <w:rPr>
                <w:rFonts w:eastAsia="Times New Roman"/>
                <w:i/>
                <w:color w:val="FFFFFF" w:themeColor="background1"/>
              </w:rPr>
              <w:t>enn</w:t>
            </w:r>
          </w:p>
        </w:tc>
        <w:tc>
          <w:tcPr>
            <w:tcW w:w="0" w:type="auto"/>
            <w:hideMark/>
          </w:tcPr>
          <w:p w14:paraId="48C60555" w14:textId="77777777" w:rsidR="003853FC" w:rsidRPr="00F72C90" w:rsidRDefault="003853FC">
            <w:pPr>
              <w:rPr>
                <w:rFonts w:eastAsia="Times New Roman"/>
                <w:i/>
                <w:color w:val="FFFFFF" w:themeColor="background1"/>
              </w:rPr>
            </w:pPr>
            <w:r w:rsidRPr="00F72C90">
              <w:rPr>
                <w:rFonts w:eastAsia="Times New Roman"/>
                <w:i/>
                <w:color w:val="FFFFFF" w:themeColor="background1"/>
              </w:rPr>
              <w:t>scpA</w:t>
            </w:r>
          </w:p>
        </w:tc>
      </w:tr>
      <w:tr w:rsidR="00F72C90" w14:paraId="6DBF2327" w14:textId="77777777" w:rsidTr="007B54B5">
        <w:tc>
          <w:tcPr>
            <w:tcW w:w="993" w:type="dxa"/>
            <w:hideMark/>
          </w:tcPr>
          <w:p w14:paraId="4F645535" w14:textId="77777777" w:rsidR="003853FC" w:rsidRDefault="003853FC">
            <w:pPr>
              <w:rPr>
                <w:rFonts w:eastAsia="Times New Roman"/>
              </w:rPr>
            </w:pPr>
            <w:r>
              <w:rPr>
                <w:rFonts w:eastAsia="Times New Roman"/>
              </w:rPr>
              <w:t xml:space="preserve">Case 1 </w:t>
            </w:r>
          </w:p>
        </w:tc>
        <w:tc>
          <w:tcPr>
            <w:tcW w:w="1583" w:type="dxa"/>
            <w:hideMark/>
          </w:tcPr>
          <w:p w14:paraId="5725A14D" w14:textId="77777777" w:rsidR="003853FC" w:rsidRDefault="003853FC" w:rsidP="00966188">
            <w:pPr>
              <w:jc w:val="center"/>
              <w:rPr>
                <w:rFonts w:eastAsia="Times New Roman"/>
              </w:rPr>
            </w:pPr>
            <w:r>
              <w:rPr>
                <w:rFonts w:eastAsia="Times New Roman"/>
              </w:rPr>
              <w:t>12</w:t>
            </w:r>
          </w:p>
        </w:tc>
        <w:tc>
          <w:tcPr>
            <w:tcW w:w="0" w:type="auto"/>
            <w:hideMark/>
          </w:tcPr>
          <w:p w14:paraId="59A9F903" w14:textId="77777777" w:rsidR="003853FC" w:rsidRDefault="003853FC" w:rsidP="00966188">
            <w:pPr>
              <w:jc w:val="center"/>
              <w:rPr>
                <w:rFonts w:eastAsia="Times New Roman"/>
              </w:rPr>
            </w:pPr>
            <w:r>
              <w:rPr>
                <w:rFonts w:eastAsia="Times New Roman"/>
              </w:rPr>
              <w:t>B, C, Z, F, G, H</w:t>
            </w:r>
          </w:p>
        </w:tc>
        <w:tc>
          <w:tcPr>
            <w:tcW w:w="0" w:type="auto"/>
            <w:hideMark/>
          </w:tcPr>
          <w:p w14:paraId="68C2D376" w14:textId="77777777" w:rsidR="003853FC" w:rsidRDefault="003853FC" w:rsidP="00966188">
            <w:pPr>
              <w:jc w:val="center"/>
              <w:rPr>
                <w:rFonts w:eastAsia="Times New Roman"/>
              </w:rPr>
            </w:pPr>
            <w:r>
              <w:rPr>
                <w:rFonts w:eastAsia="Times New Roman"/>
              </w:rPr>
              <w:t>J, ssa</w:t>
            </w:r>
          </w:p>
        </w:tc>
        <w:tc>
          <w:tcPr>
            <w:tcW w:w="0" w:type="auto"/>
            <w:hideMark/>
          </w:tcPr>
          <w:p w14:paraId="15373AE0" w14:textId="77777777" w:rsidR="003853FC" w:rsidRDefault="003853FC" w:rsidP="00966188">
            <w:pPr>
              <w:jc w:val="center"/>
              <w:rPr>
                <w:rFonts w:eastAsia="Times New Roman"/>
              </w:rPr>
            </w:pPr>
            <w:r>
              <w:rPr>
                <w:rFonts w:eastAsia="Times New Roman"/>
              </w:rPr>
              <w:t>36</w:t>
            </w:r>
          </w:p>
        </w:tc>
        <w:tc>
          <w:tcPr>
            <w:tcW w:w="0" w:type="auto"/>
            <w:hideMark/>
          </w:tcPr>
          <w:p w14:paraId="02DA5129" w14:textId="77777777" w:rsidR="003853FC" w:rsidRDefault="003853FC" w:rsidP="00966188">
            <w:pPr>
              <w:jc w:val="center"/>
              <w:rPr>
                <w:rFonts w:eastAsia="Times New Roman"/>
              </w:rPr>
            </w:pPr>
            <w:r>
              <w:rPr>
                <w:rFonts w:eastAsia="Times New Roman"/>
              </w:rPr>
              <w:t>+</w:t>
            </w:r>
          </w:p>
        </w:tc>
        <w:tc>
          <w:tcPr>
            <w:tcW w:w="0" w:type="auto"/>
            <w:hideMark/>
          </w:tcPr>
          <w:p w14:paraId="0C6844B3" w14:textId="77777777" w:rsidR="003853FC" w:rsidRDefault="003853FC" w:rsidP="00966188">
            <w:pPr>
              <w:jc w:val="center"/>
              <w:rPr>
                <w:rFonts w:eastAsia="Times New Roman"/>
              </w:rPr>
            </w:pPr>
            <w:r>
              <w:rPr>
                <w:rFonts w:eastAsia="Times New Roman"/>
              </w:rPr>
              <w:t>-</w:t>
            </w:r>
          </w:p>
        </w:tc>
        <w:tc>
          <w:tcPr>
            <w:tcW w:w="0" w:type="auto"/>
            <w:hideMark/>
          </w:tcPr>
          <w:p w14:paraId="1720405A" w14:textId="77777777" w:rsidR="003853FC" w:rsidRDefault="003853FC" w:rsidP="00966188">
            <w:pPr>
              <w:jc w:val="center"/>
              <w:rPr>
                <w:rFonts w:eastAsia="Times New Roman"/>
              </w:rPr>
            </w:pPr>
            <w:r>
              <w:rPr>
                <w:rFonts w:eastAsia="Times New Roman"/>
              </w:rPr>
              <w:t>+</w:t>
            </w:r>
          </w:p>
        </w:tc>
        <w:tc>
          <w:tcPr>
            <w:tcW w:w="0" w:type="auto"/>
            <w:hideMark/>
          </w:tcPr>
          <w:p w14:paraId="4B518571" w14:textId="77777777" w:rsidR="003853FC" w:rsidRDefault="003853FC" w:rsidP="00966188">
            <w:pPr>
              <w:jc w:val="center"/>
              <w:rPr>
                <w:rFonts w:eastAsia="Times New Roman"/>
              </w:rPr>
            </w:pPr>
            <w:r>
              <w:rPr>
                <w:rFonts w:eastAsia="Times New Roman"/>
              </w:rPr>
              <w:t>-</w:t>
            </w:r>
          </w:p>
        </w:tc>
        <w:tc>
          <w:tcPr>
            <w:tcW w:w="0" w:type="auto"/>
            <w:hideMark/>
          </w:tcPr>
          <w:p w14:paraId="117918F5" w14:textId="77777777" w:rsidR="003853FC" w:rsidRDefault="003853FC" w:rsidP="00966188">
            <w:pPr>
              <w:jc w:val="center"/>
              <w:rPr>
                <w:rFonts w:eastAsia="Times New Roman"/>
              </w:rPr>
            </w:pPr>
            <w:r>
              <w:rPr>
                <w:rFonts w:eastAsia="Times New Roman"/>
              </w:rPr>
              <w:t>+</w:t>
            </w:r>
          </w:p>
        </w:tc>
      </w:tr>
      <w:tr w:rsidR="00F72C90" w14:paraId="034C889C" w14:textId="77777777" w:rsidTr="007B54B5">
        <w:trPr>
          <w:cnfStyle w:val="000000010000" w:firstRow="0" w:lastRow="0" w:firstColumn="0" w:lastColumn="0" w:oddVBand="0" w:evenVBand="0" w:oddHBand="0" w:evenHBand="1" w:firstRowFirstColumn="0" w:firstRowLastColumn="0" w:lastRowFirstColumn="0" w:lastRowLastColumn="0"/>
        </w:trPr>
        <w:tc>
          <w:tcPr>
            <w:tcW w:w="993" w:type="dxa"/>
            <w:hideMark/>
          </w:tcPr>
          <w:p w14:paraId="58B47931" w14:textId="77777777" w:rsidR="003853FC" w:rsidRDefault="003853FC">
            <w:pPr>
              <w:rPr>
                <w:rFonts w:eastAsia="Times New Roman"/>
              </w:rPr>
            </w:pPr>
            <w:r>
              <w:rPr>
                <w:rFonts w:eastAsia="Times New Roman"/>
              </w:rPr>
              <w:t xml:space="preserve">Case 2 </w:t>
            </w:r>
          </w:p>
        </w:tc>
        <w:tc>
          <w:tcPr>
            <w:tcW w:w="1583" w:type="dxa"/>
            <w:hideMark/>
          </w:tcPr>
          <w:p w14:paraId="1E9A278B" w14:textId="77777777" w:rsidR="003853FC" w:rsidRDefault="003853FC" w:rsidP="00966188">
            <w:pPr>
              <w:jc w:val="center"/>
              <w:rPr>
                <w:rFonts w:eastAsia="Times New Roman"/>
              </w:rPr>
            </w:pPr>
            <w:r>
              <w:rPr>
                <w:rFonts w:eastAsia="Times New Roman"/>
              </w:rPr>
              <w:t>12</w:t>
            </w:r>
          </w:p>
        </w:tc>
        <w:tc>
          <w:tcPr>
            <w:tcW w:w="0" w:type="auto"/>
            <w:hideMark/>
          </w:tcPr>
          <w:p w14:paraId="1AEBB1B3" w14:textId="77777777" w:rsidR="003853FC" w:rsidRDefault="003853FC" w:rsidP="00966188">
            <w:pPr>
              <w:jc w:val="center"/>
              <w:rPr>
                <w:rFonts w:eastAsia="Times New Roman"/>
              </w:rPr>
            </w:pPr>
            <w:r>
              <w:rPr>
                <w:rFonts w:eastAsia="Times New Roman"/>
              </w:rPr>
              <w:t>B,C, Z, F, G, H</w:t>
            </w:r>
          </w:p>
        </w:tc>
        <w:tc>
          <w:tcPr>
            <w:tcW w:w="0" w:type="auto"/>
            <w:hideMark/>
          </w:tcPr>
          <w:p w14:paraId="5F0CEE53" w14:textId="77777777" w:rsidR="003853FC" w:rsidRDefault="003853FC" w:rsidP="00966188">
            <w:pPr>
              <w:jc w:val="center"/>
              <w:rPr>
                <w:rFonts w:eastAsia="Times New Roman"/>
              </w:rPr>
            </w:pPr>
            <w:r>
              <w:rPr>
                <w:rFonts w:eastAsia="Times New Roman"/>
              </w:rPr>
              <w:t>J, ssa</w:t>
            </w:r>
          </w:p>
        </w:tc>
        <w:tc>
          <w:tcPr>
            <w:tcW w:w="0" w:type="auto"/>
            <w:hideMark/>
          </w:tcPr>
          <w:p w14:paraId="0E1FDF3D" w14:textId="77777777" w:rsidR="003853FC" w:rsidRDefault="003853FC" w:rsidP="00966188">
            <w:pPr>
              <w:jc w:val="center"/>
              <w:rPr>
                <w:rFonts w:eastAsia="Times New Roman"/>
              </w:rPr>
            </w:pPr>
            <w:r>
              <w:rPr>
                <w:rFonts w:eastAsia="Times New Roman"/>
              </w:rPr>
              <w:t>36</w:t>
            </w:r>
          </w:p>
        </w:tc>
        <w:tc>
          <w:tcPr>
            <w:tcW w:w="0" w:type="auto"/>
            <w:hideMark/>
          </w:tcPr>
          <w:p w14:paraId="77C3EF03" w14:textId="77777777" w:rsidR="003853FC" w:rsidRDefault="003853FC" w:rsidP="00966188">
            <w:pPr>
              <w:jc w:val="center"/>
              <w:rPr>
                <w:rFonts w:eastAsia="Times New Roman"/>
              </w:rPr>
            </w:pPr>
            <w:r>
              <w:rPr>
                <w:rFonts w:eastAsia="Times New Roman"/>
              </w:rPr>
              <w:t>+</w:t>
            </w:r>
          </w:p>
        </w:tc>
        <w:tc>
          <w:tcPr>
            <w:tcW w:w="0" w:type="auto"/>
            <w:hideMark/>
          </w:tcPr>
          <w:p w14:paraId="32B54DB6" w14:textId="77777777" w:rsidR="003853FC" w:rsidRDefault="003853FC" w:rsidP="00966188">
            <w:pPr>
              <w:jc w:val="center"/>
              <w:rPr>
                <w:rFonts w:eastAsia="Times New Roman"/>
              </w:rPr>
            </w:pPr>
            <w:r>
              <w:rPr>
                <w:rFonts w:eastAsia="Times New Roman"/>
              </w:rPr>
              <w:t>-</w:t>
            </w:r>
          </w:p>
        </w:tc>
        <w:tc>
          <w:tcPr>
            <w:tcW w:w="0" w:type="auto"/>
            <w:hideMark/>
          </w:tcPr>
          <w:p w14:paraId="70731043" w14:textId="77777777" w:rsidR="003853FC" w:rsidRDefault="003853FC" w:rsidP="00966188">
            <w:pPr>
              <w:jc w:val="center"/>
              <w:rPr>
                <w:rFonts w:eastAsia="Times New Roman"/>
              </w:rPr>
            </w:pPr>
            <w:r>
              <w:rPr>
                <w:rFonts w:eastAsia="Times New Roman"/>
              </w:rPr>
              <w:t>+</w:t>
            </w:r>
          </w:p>
        </w:tc>
        <w:tc>
          <w:tcPr>
            <w:tcW w:w="0" w:type="auto"/>
            <w:hideMark/>
          </w:tcPr>
          <w:p w14:paraId="0943CFAE" w14:textId="77777777" w:rsidR="003853FC" w:rsidRDefault="003853FC" w:rsidP="00966188">
            <w:pPr>
              <w:jc w:val="center"/>
              <w:rPr>
                <w:rFonts w:eastAsia="Times New Roman"/>
              </w:rPr>
            </w:pPr>
            <w:r>
              <w:rPr>
                <w:rFonts w:eastAsia="Times New Roman"/>
              </w:rPr>
              <w:t>-</w:t>
            </w:r>
          </w:p>
        </w:tc>
        <w:tc>
          <w:tcPr>
            <w:tcW w:w="0" w:type="auto"/>
            <w:hideMark/>
          </w:tcPr>
          <w:p w14:paraId="09830B13" w14:textId="77777777" w:rsidR="003853FC" w:rsidRDefault="003853FC" w:rsidP="00966188">
            <w:pPr>
              <w:jc w:val="center"/>
              <w:rPr>
                <w:rFonts w:eastAsia="Times New Roman"/>
              </w:rPr>
            </w:pPr>
            <w:r>
              <w:rPr>
                <w:rFonts w:eastAsia="Times New Roman"/>
              </w:rPr>
              <w:t>+</w:t>
            </w:r>
          </w:p>
        </w:tc>
      </w:tr>
      <w:tr w:rsidR="00F72C90" w14:paraId="3A00AE91" w14:textId="77777777" w:rsidTr="007B54B5">
        <w:tc>
          <w:tcPr>
            <w:tcW w:w="993" w:type="dxa"/>
            <w:hideMark/>
          </w:tcPr>
          <w:p w14:paraId="2A217EB2" w14:textId="77777777" w:rsidR="003853FC" w:rsidRDefault="003853FC">
            <w:pPr>
              <w:rPr>
                <w:rFonts w:eastAsia="Times New Roman"/>
              </w:rPr>
            </w:pPr>
            <w:r>
              <w:rPr>
                <w:rFonts w:eastAsia="Times New Roman"/>
              </w:rPr>
              <w:t xml:space="preserve">Case 3 </w:t>
            </w:r>
          </w:p>
        </w:tc>
        <w:tc>
          <w:tcPr>
            <w:tcW w:w="1583" w:type="dxa"/>
            <w:hideMark/>
          </w:tcPr>
          <w:p w14:paraId="62064B14" w14:textId="77777777" w:rsidR="003853FC" w:rsidRDefault="003853FC" w:rsidP="00966188">
            <w:pPr>
              <w:jc w:val="center"/>
              <w:rPr>
                <w:rFonts w:eastAsia="Times New Roman"/>
              </w:rPr>
            </w:pPr>
            <w:r>
              <w:rPr>
                <w:rFonts w:eastAsia="Times New Roman"/>
              </w:rPr>
              <w:t>12</w:t>
            </w:r>
          </w:p>
        </w:tc>
        <w:tc>
          <w:tcPr>
            <w:tcW w:w="0" w:type="auto"/>
            <w:hideMark/>
          </w:tcPr>
          <w:p w14:paraId="267B3BFF" w14:textId="77777777" w:rsidR="003853FC" w:rsidRDefault="003853FC" w:rsidP="00966188">
            <w:pPr>
              <w:jc w:val="center"/>
              <w:rPr>
                <w:rFonts w:eastAsia="Times New Roman"/>
              </w:rPr>
            </w:pPr>
            <w:r>
              <w:rPr>
                <w:rFonts w:eastAsia="Times New Roman"/>
              </w:rPr>
              <w:t>B,C, Z, F, G, H</w:t>
            </w:r>
          </w:p>
        </w:tc>
        <w:tc>
          <w:tcPr>
            <w:tcW w:w="0" w:type="auto"/>
            <w:hideMark/>
          </w:tcPr>
          <w:p w14:paraId="60B97788" w14:textId="77777777" w:rsidR="003853FC" w:rsidRDefault="003853FC" w:rsidP="00966188">
            <w:pPr>
              <w:jc w:val="center"/>
              <w:rPr>
                <w:rFonts w:eastAsia="Times New Roman"/>
              </w:rPr>
            </w:pPr>
            <w:r>
              <w:rPr>
                <w:rFonts w:eastAsia="Times New Roman"/>
              </w:rPr>
              <w:t>J, ssa</w:t>
            </w:r>
          </w:p>
        </w:tc>
        <w:tc>
          <w:tcPr>
            <w:tcW w:w="0" w:type="auto"/>
            <w:hideMark/>
          </w:tcPr>
          <w:p w14:paraId="462B8AB3" w14:textId="77777777" w:rsidR="003853FC" w:rsidRDefault="003853FC" w:rsidP="00966188">
            <w:pPr>
              <w:jc w:val="center"/>
              <w:rPr>
                <w:rFonts w:eastAsia="Times New Roman"/>
              </w:rPr>
            </w:pPr>
            <w:r>
              <w:rPr>
                <w:rFonts w:eastAsia="Times New Roman"/>
              </w:rPr>
              <w:t>36</w:t>
            </w:r>
          </w:p>
        </w:tc>
        <w:tc>
          <w:tcPr>
            <w:tcW w:w="0" w:type="auto"/>
            <w:hideMark/>
          </w:tcPr>
          <w:p w14:paraId="0F74DD42" w14:textId="77777777" w:rsidR="003853FC" w:rsidRDefault="003853FC" w:rsidP="00966188">
            <w:pPr>
              <w:jc w:val="center"/>
              <w:rPr>
                <w:rFonts w:eastAsia="Times New Roman"/>
              </w:rPr>
            </w:pPr>
            <w:r>
              <w:rPr>
                <w:rFonts w:eastAsia="Times New Roman"/>
              </w:rPr>
              <w:t>+</w:t>
            </w:r>
          </w:p>
        </w:tc>
        <w:tc>
          <w:tcPr>
            <w:tcW w:w="0" w:type="auto"/>
            <w:hideMark/>
          </w:tcPr>
          <w:p w14:paraId="1158D37E" w14:textId="77777777" w:rsidR="003853FC" w:rsidRDefault="003853FC" w:rsidP="00966188">
            <w:pPr>
              <w:jc w:val="center"/>
              <w:rPr>
                <w:rFonts w:eastAsia="Times New Roman"/>
              </w:rPr>
            </w:pPr>
            <w:r>
              <w:rPr>
                <w:rFonts w:eastAsia="Times New Roman"/>
              </w:rPr>
              <w:t>-</w:t>
            </w:r>
          </w:p>
        </w:tc>
        <w:tc>
          <w:tcPr>
            <w:tcW w:w="0" w:type="auto"/>
            <w:hideMark/>
          </w:tcPr>
          <w:p w14:paraId="17B64A30" w14:textId="77777777" w:rsidR="003853FC" w:rsidRDefault="003853FC" w:rsidP="00966188">
            <w:pPr>
              <w:jc w:val="center"/>
              <w:rPr>
                <w:rFonts w:eastAsia="Times New Roman"/>
              </w:rPr>
            </w:pPr>
            <w:r>
              <w:rPr>
                <w:rFonts w:eastAsia="Times New Roman"/>
              </w:rPr>
              <w:t>+</w:t>
            </w:r>
          </w:p>
        </w:tc>
        <w:tc>
          <w:tcPr>
            <w:tcW w:w="0" w:type="auto"/>
            <w:hideMark/>
          </w:tcPr>
          <w:p w14:paraId="4748DCDE" w14:textId="77777777" w:rsidR="003853FC" w:rsidRDefault="003853FC" w:rsidP="00966188">
            <w:pPr>
              <w:jc w:val="center"/>
              <w:rPr>
                <w:rFonts w:eastAsia="Times New Roman"/>
              </w:rPr>
            </w:pPr>
            <w:r>
              <w:rPr>
                <w:rFonts w:eastAsia="Times New Roman"/>
              </w:rPr>
              <w:t>-</w:t>
            </w:r>
          </w:p>
        </w:tc>
        <w:tc>
          <w:tcPr>
            <w:tcW w:w="0" w:type="auto"/>
            <w:hideMark/>
          </w:tcPr>
          <w:p w14:paraId="514E0AC9" w14:textId="77777777" w:rsidR="003853FC" w:rsidRDefault="003853FC" w:rsidP="00966188">
            <w:pPr>
              <w:jc w:val="center"/>
              <w:rPr>
                <w:rFonts w:eastAsia="Times New Roman"/>
              </w:rPr>
            </w:pPr>
            <w:r>
              <w:rPr>
                <w:rFonts w:eastAsia="Times New Roman"/>
              </w:rPr>
              <w:t>+</w:t>
            </w:r>
          </w:p>
        </w:tc>
      </w:tr>
    </w:tbl>
    <w:p w14:paraId="4735B995" w14:textId="77777777" w:rsidR="003853FC" w:rsidRPr="00C3215A" w:rsidRDefault="003853FC" w:rsidP="00C3215A">
      <w:pPr>
        <w:pStyle w:val="Heading1"/>
      </w:pPr>
      <w:r w:rsidRPr="00C3215A">
        <w:t>Public Health Response</w:t>
      </w:r>
    </w:p>
    <w:p w14:paraId="731D58DA" w14:textId="77777777" w:rsidR="003853FC" w:rsidRDefault="003853FC" w:rsidP="00C3215A">
      <w:r>
        <w:t>The EAG recommended mass prophylaxis for residents and staff of wing A after case 2 to ensure that individuals with asymptomatic carriage were treated and to reduce the risk of GAS transmission to non-carriers. Staff who opted not to receive antibiotics were recommended to undergo screening for nasopharyngeal GAS carriage. Carriers were recommended to be excluded from work until completing 48 hours of a suitable antibiotic (phenoxymethylpenicillin, cephalexin or azithromycin). All wing A staff opted to receive antibiotics.</w:t>
      </w:r>
    </w:p>
    <w:p w14:paraId="47E68739" w14:textId="77777777" w:rsidR="003853FC" w:rsidRDefault="003853FC" w:rsidP="00C3215A">
      <w:r>
        <w:lastRenderedPageBreak/>
        <w:t>Facility management, staff and visiting medical practitioners were advised that staff cohorting and strict infection control practices (including hand hygiene and environmental cleaning) were required to prevent further spread of</w:t>
      </w:r>
      <w:r w:rsidR="00F72C90">
        <w:t> </w:t>
      </w:r>
      <w:r>
        <w:t>iGAS.</w:t>
      </w:r>
    </w:p>
    <w:p w14:paraId="71DE826D" w14:textId="77777777" w:rsidR="003853FC" w:rsidRDefault="003853FC" w:rsidP="00C3215A">
      <w:r>
        <w:t>All wing A residents and staff, including case 3, commenced chemoprophylaxis by early October 2016. When case 3 was notified more than one month after outbreak identification, the PHU recommended increased vigilance for additional cases and reinforced the importance of infection control practices. No further iGAS cases were notified from the RACF.</w:t>
      </w:r>
    </w:p>
    <w:p w14:paraId="003E7EF2" w14:textId="77777777" w:rsidR="003853FC" w:rsidRPr="00C3215A" w:rsidRDefault="003853FC" w:rsidP="00C3215A">
      <w:pPr>
        <w:pStyle w:val="Heading1"/>
      </w:pPr>
      <w:r w:rsidRPr="00C3215A">
        <w:t>Discussion</w:t>
      </w:r>
    </w:p>
    <w:p w14:paraId="7898BA64" w14:textId="77777777" w:rsidR="003853FC" w:rsidRDefault="003853FC" w:rsidP="00C3215A">
      <w:r>
        <w:t>Due to the severity of iGAS infection, preventing transmission is important in institutional settings such as RACFs.</w:t>
      </w:r>
      <w:r>
        <w:rPr>
          <w:vertAlign w:val="superscript"/>
        </w:rPr>
        <w:t>10,11</w:t>
      </w:r>
      <w:r>
        <w:t xml:space="preserve"> Prevention and control strategies include: (1) early identification of iGAS infection through surveillance and communication to the RACF, (2) infection prevention and control strategies (particularly hand hygiene and wound management) and (3) targeted </w:t>
      </w:r>
      <w:r w:rsidR="00966188">
        <w:t>or mass antibiotic prophylaxis.</w:t>
      </w:r>
      <w:r>
        <w:rPr>
          <w:vertAlign w:val="superscript"/>
        </w:rPr>
        <w:t>11</w:t>
      </w:r>
      <w:r>
        <w:t xml:space="preserve"> </w:t>
      </w:r>
    </w:p>
    <w:p w14:paraId="16337C2D" w14:textId="77777777" w:rsidR="003853FC" w:rsidRDefault="003853FC" w:rsidP="00C3215A">
      <w:r>
        <w:t>A review by Cummins and colleagues reported no clear advantage to either targeted or mass antibiotic prophylaxis in controlling iGAS outbreaks in RACFs.</w:t>
      </w:r>
      <w:r>
        <w:rPr>
          <w:vertAlign w:val="superscript"/>
        </w:rPr>
        <w:t>3</w:t>
      </w:r>
      <w:r>
        <w:t xml:space="preserve"> Smith and colleagues reported using mass prophylaxis to control a rapidly evolving RACF outbreak with a high case fatality rate after targeted prophylaxis was unsuccessful. In this outbreak, strain persistence was associated with poor infection control practices. </w:t>
      </w:r>
      <w:r>
        <w:rPr>
          <w:vertAlign w:val="superscript"/>
        </w:rPr>
        <w:t>12</w:t>
      </w:r>
      <w:r>
        <w:t xml:space="preserve"> Marsden and colleagues also reported that infection control deficiencies may lead to poor outbreak control, despite the implementation of antibiotic</w:t>
      </w:r>
      <w:r w:rsidR="00CE274C">
        <w:t> </w:t>
      </w:r>
      <w:r>
        <w:t>prophylaxis.</w:t>
      </w:r>
      <w:r>
        <w:rPr>
          <w:vertAlign w:val="superscript"/>
        </w:rPr>
        <w:t>11</w:t>
      </w:r>
      <w:r>
        <w:t xml:space="preserve"> </w:t>
      </w:r>
    </w:p>
    <w:p w14:paraId="502F9726" w14:textId="77777777" w:rsidR="003853FC" w:rsidRDefault="003853FC" w:rsidP="00C3215A">
      <w:r>
        <w:t>To ensure judicious antibiotic use, facility and outbreak characteristics should be considered before recommending targeted or mass prophylaxis. In this outbreak, iGAS cases were confined to one wing and all residents and staff received antibiotic prophylaxis. Facility staff were also advised about the importance of infection control. Although additional prophylaxis was not recommended following the third iGAS case, the importance of infection control was highlighted. Further iGAS cases were not detected.</w:t>
      </w:r>
    </w:p>
    <w:p w14:paraId="4CC66D9D" w14:textId="77777777" w:rsidR="003853FC" w:rsidRDefault="003853FC" w:rsidP="00C3215A">
      <w:r>
        <w:t>Controlling iGAS outbreaks in RACFs requires a multi-faceted approach involving staff awareness, early identification of cases, scrupulous infection control practices and situation-specific consideration of antibiotic prophylaxis.</w:t>
      </w:r>
    </w:p>
    <w:p w14:paraId="7367ED95" w14:textId="77777777" w:rsidR="003853FC" w:rsidRDefault="003853FC">
      <w:pPr>
        <w:pStyle w:val="Heading1"/>
        <w:rPr>
          <w:rFonts w:eastAsia="Times New Roman"/>
        </w:rPr>
      </w:pPr>
      <w:r>
        <w:rPr>
          <w:rFonts w:eastAsia="Times New Roman"/>
        </w:rPr>
        <w:t>Author details</w:t>
      </w:r>
    </w:p>
    <w:p w14:paraId="75126D41" w14:textId="77777777" w:rsidR="003853FC" w:rsidRDefault="003853FC" w:rsidP="00C3215A">
      <w:pPr>
        <w:pStyle w:val="NoSpacing"/>
      </w:pPr>
      <w:r>
        <w:t xml:space="preserve">Dr Bhakti R. Vasant, Public Health Physician </w:t>
      </w:r>
      <w:r>
        <w:rPr>
          <w:vertAlign w:val="superscript"/>
        </w:rPr>
        <w:t>1</w:t>
      </w:r>
      <w:r>
        <w:t xml:space="preserve"> </w:t>
      </w:r>
    </w:p>
    <w:p w14:paraId="5EF647D4" w14:textId="77777777" w:rsidR="003853FC" w:rsidRDefault="003853FC" w:rsidP="00C3215A">
      <w:pPr>
        <w:pStyle w:val="NoSpacing"/>
      </w:pPr>
      <w:r>
        <w:t xml:space="preserve">Dr Kari A.J. Jarvinen, Public Health Physician </w:t>
      </w:r>
      <w:r>
        <w:rPr>
          <w:vertAlign w:val="superscript"/>
        </w:rPr>
        <w:t>1</w:t>
      </w:r>
      <w:r>
        <w:t xml:space="preserve"> </w:t>
      </w:r>
    </w:p>
    <w:p w14:paraId="292E7B8A" w14:textId="77777777" w:rsidR="003853FC" w:rsidRDefault="003853FC" w:rsidP="00C3215A">
      <w:pPr>
        <w:pStyle w:val="NoSpacing"/>
      </w:pPr>
      <w:r>
        <w:t xml:space="preserve">Dr Ning-Xia Fang, Senior Scientist </w:t>
      </w:r>
      <w:r>
        <w:rPr>
          <w:vertAlign w:val="superscript"/>
        </w:rPr>
        <w:t>2</w:t>
      </w:r>
      <w:r>
        <w:t xml:space="preserve"> </w:t>
      </w:r>
    </w:p>
    <w:p w14:paraId="774629B5" w14:textId="77777777" w:rsidR="003853FC" w:rsidRDefault="003853FC" w:rsidP="00C3215A">
      <w:pPr>
        <w:pStyle w:val="NoSpacing"/>
      </w:pPr>
      <w:r>
        <w:t xml:space="preserve">Helen V. Smith, Supervising Scientist </w:t>
      </w:r>
      <w:r>
        <w:rPr>
          <w:vertAlign w:val="superscript"/>
        </w:rPr>
        <w:t>2</w:t>
      </w:r>
      <w:r>
        <w:t xml:space="preserve"> </w:t>
      </w:r>
    </w:p>
    <w:p w14:paraId="59BAF705" w14:textId="77777777" w:rsidR="003853FC" w:rsidRDefault="003853FC" w:rsidP="00C3215A">
      <w:pPr>
        <w:pStyle w:val="NoSpacing"/>
      </w:pPr>
      <w:r>
        <w:t xml:space="preserve">Dr Amy V. Jennison, Supervising Scientist </w:t>
      </w:r>
      <w:r>
        <w:rPr>
          <w:vertAlign w:val="superscript"/>
        </w:rPr>
        <w:t>2</w:t>
      </w:r>
      <w:r>
        <w:t xml:space="preserve"> </w:t>
      </w:r>
    </w:p>
    <w:p w14:paraId="74A354CD" w14:textId="77777777" w:rsidR="003853FC" w:rsidRPr="00C3215A" w:rsidRDefault="003853FC" w:rsidP="00C3215A">
      <w:pPr>
        <w:pStyle w:val="ListParagraph"/>
        <w:numPr>
          <w:ilvl w:val="0"/>
          <w:numId w:val="9"/>
        </w:numPr>
        <w:spacing w:before="100" w:beforeAutospacing="1" w:after="100" w:afterAutospacing="1" w:line="240" w:lineRule="auto"/>
        <w:rPr>
          <w:rFonts w:eastAsia="Times New Roman"/>
        </w:rPr>
      </w:pPr>
      <w:r w:rsidRPr="00C3215A">
        <w:rPr>
          <w:rFonts w:eastAsia="Times New Roman"/>
        </w:rPr>
        <w:t>Metro South Public Health Unit, Queensland Health</w:t>
      </w:r>
    </w:p>
    <w:p w14:paraId="38F94272" w14:textId="77777777" w:rsidR="003853FC" w:rsidRPr="00C3215A" w:rsidRDefault="003853FC" w:rsidP="00C3215A">
      <w:pPr>
        <w:pStyle w:val="ListParagraph"/>
        <w:numPr>
          <w:ilvl w:val="0"/>
          <w:numId w:val="9"/>
        </w:numPr>
        <w:spacing w:before="100" w:beforeAutospacing="1" w:after="100" w:afterAutospacing="1" w:line="240" w:lineRule="auto"/>
        <w:rPr>
          <w:rFonts w:eastAsia="Times New Roman"/>
        </w:rPr>
      </w:pPr>
      <w:r w:rsidRPr="00C3215A">
        <w:rPr>
          <w:rFonts w:eastAsia="Times New Roman"/>
        </w:rPr>
        <w:t>Forensic and Scientific Services, Queensland Health</w:t>
      </w:r>
    </w:p>
    <w:p w14:paraId="4D76E090" w14:textId="77777777" w:rsidR="003853FC" w:rsidRPr="00C3215A" w:rsidRDefault="003853FC" w:rsidP="00C3215A">
      <w:pPr>
        <w:pStyle w:val="Heading2"/>
      </w:pPr>
      <w:r w:rsidRPr="00C3215A">
        <w:t>Corresponding Author</w:t>
      </w:r>
    </w:p>
    <w:p w14:paraId="6491C349" w14:textId="77777777" w:rsidR="003853FC" w:rsidRDefault="003467FC" w:rsidP="00C3215A">
      <w:r>
        <w:t>Dr Bhakti R Vasant</w:t>
      </w:r>
      <w:r>
        <w:br/>
      </w:r>
      <w:r w:rsidR="003853FC">
        <w:t xml:space="preserve">Metro South Public Health Unit </w:t>
      </w:r>
      <w:r>
        <w:t>PO Box 333 Archerfield Qld 4108</w:t>
      </w:r>
      <w:r>
        <w:br/>
      </w:r>
      <w:r>
        <w:lastRenderedPageBreak/>
        <w:t>Ph: (07) 3176 4000</w:t>
      </w:r>
      <w:r>
        <w:br/>
      </w:r>
      <w:r w:rsidR="003853FC">
        <w:t xml:space="preserve">Email: Bhakti.Vasant@health.qld.gov.au </w:t>
      </w:r>
    </w:p>
    <w:p w14:paraId="46FDB298" w14:textId="77777777" w:rsidR="003853FC" w:rsidRPr="00C3215A" w:rsidRDefault="003853FC" w:rsidP="00C3215A">
      <w:pPr>
        <w:pStyle w:val="Heading1"/>
      </w:pPr>
      <w:r w:rsidRPr="00C3215A">
        <w:t>Acknowledgements</w:t>
      </w:r>
    </w:p>
    <w:p w14:paraId="0DB93A5A" w14:textId="77777777" w:rsidR="003853FC" w:rsidRDefault="003853FC" w:rsidP="00C3215A">
      <w:r>
        <w:t xml:space="preserve">We thank Candice Colbran, Alison Kenny, Alicia Eyres, Rachel Perry and Deborah Judd for their assistance with the Public Health management of the iGAS outbreak; David Looke for infectious diseases advice; Public Health Physicians of Queensland for their contribution to the Expert Advisory Group; Vicki Hicks for the laboratory work; and Christine Guglielmino for her contribution to establishing the Group A </w:t>
      </w:r>
      <w:r w:rsidRPr="00966188">
        <w:rPr>
          <w:rStyle w:val="Emphasis"/>
          <w:b w:val="0"/>
        </w:rPr>
        <w:t>Streptococcus</w:t>
      </w:r>
      <w:r>
        <w:t xml:space="preserve"> bioinformatics analysis.</w:t>
      </w:r>
    </w:p>
    <w:p w14:paraId="16004CF7" w14:textId="77777777" w:rsidR="003853FC" w:rsidRPr="00C3215A" w:rsidRDefault="003853FC" w:rsidP="00C3215A">
      <w:pPr>
        <w:pStyle w:val="Heading1"/>
      </w:pPr>
      <w:r w:rsidRPr="00C3215A">
        <w:t>References</w:t>
      </w:r>
    </w:p>
    <w:p w14:paraId="24955109"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Thigpen MC, Thomas DM, Gloss D, Park SY, Khan AJ, Fogelman VL, et al. Nursing home outbreak of invasive group A streptococcal infections caused by 2 distinct strains. </w:t>
      </w:r>
      <w:r w:rsidRPr="00E81FFD">
        <w:rPr>
          <w:rStyle w:val="Emphasis"/>
          <w:rFonts w:eastAsia="Times New Roman"/>
          <w:b w:val="0"/>
        </w:rPr>
        <w:t>Infect Control Hosp Epidemiol</w:t>
      </w:r>
      <w:r w:rsidRPr="00C3215A">
        <w:rPr>
          <w:rFonts w:eastAsia="Times New Roman"/>
        </w:rPr>
        <w:t xml:space="preserve"> 2007;28:68–74</w:t>
      </w:r>
    </w:p>
    <w:p w14:paraId="0F528DAE"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Auerbach SB, Schwartz B, Williams D, Fiorelli MG, Adimora AA, Breiman RF, et al. Outbreak of invasive group A streptococcal infections in a nursing home. </w:t>
      </w:r>
      <w:r w:rsidRPr="00E81FFD">
        <w:rPr>
          <w:rStyle w:val="Emphasis"/>
          <w:rFonts w:eastAsia="Times New Roman"/>
          <w:b w:val="0"/>
        </w:rPr>
        <w:t>Arch Intern Med</w:t>
      </w:r>
      <w:r w:rsidRPr="00C3215A">
        <w:rPr>
          <w:rFonts w:eastAsia="Times New Roman"/>
        </w:rPr>
        <w:t xml:space="preserve"> 1992;152:1017–22</w:t>
      </w:r>
    </w:p>
    <w:p w14:paraId="6D1203A8"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Cummins A, Millership S, Lamagni T, Foster K. Control measures for invasive group A streptococci (iGAS) outbreaks in care homes. </w:t>
      </w:r>
      <w:r w:rsidRPr="00E81FFD">
        <w:rPr>
          <w:rStyle w:val="Emphasis"/>
          <w:rFonts w:eastAsia="Times New Roman"/>
          <w:b w:val="0"/>
        </w:rPr>
        <w:t>J Infect</w:t>
      </w:r>
      <w:r w:rsidRPr="00C3215A">
        <w:rPr>
          <w:rFonts w:eastAsia="Times New Roman"/>
        </w:rPr>
        <w:t xml:space="preserve"> 2012;64:156–61</w:t>
      </w:r>
    </w:p>
    <w:p w14:paraId="67232DC1" w14:textId="1DCEAC44"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Queensland Health. Invasive Group A Streptococcal Disease [internet]. Queensland Health 2017 [cited June 2017]. Available from URL: </w:t>
      </w:r>
      <w:hyperlink r:id="rId13" w:tooltip="Invasive Group A Streptococcal Disease" w:history="1">
        <w:r w:rsidRPr="00E81FFD">
          <w:rPr>
            <w:rStyle w:val="Hyperlink"/>
            <w:rFonts w:eastAsia="Times New Roman"/>
          </w:rPr>
          <w:t>https://www.health.qld.gov.au/cdcg/index/igas</w:t>
        </w:r>
      </w:hyperlink>
      <w:r w:rsidRPr="00C3215A">
        <w:rPr>
          <w:rFonts w:eastAsia="Times New Roman"/>
        </w:rPr>
        <w:t xml:space="preserve"> </w:t>
      </w:r>
    </w:p>
    <w:p w14:paraId="4B9F2A57"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The State of Queensland. Public Health Act 2005 [internet]. The State of Queensland 2005 [current as at 1 September 2017, cited 31 October 2017]. Available from: </w:t>
      </w:r>
      <w:r w:rsidRPr="00E81FFD">
        <w:rPr>
          <w:rFonts w:eastAsia="Times New Roman"/>
          <w:u w:val="single"/>
        </w:rPr>
        <w:t>https://www.legislation.qld.gov.au/LEGISLTN/CURRENT/P/PubHealA05.pdf</w:t>
      </w:r>
      <w:r w:rsidRPr="00C3215A">
        <w:rPr>
          <w:rFonts w:eastAsia="Times New Roman"/>
        </w:rPr>
        <w:t xml:space="preserve"> </w:t>
      </w:r>
    </w:p>
    <w:p w14:paraId="342834A8"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Northern Territory Government Department of Health. Public health management of invasive group A streptococcal infection [internet].Northern Territory Government 2015 [cited June 2017]. Available from URL: </w:t>
      </w:r>
      <w:r w:rsidRPr="00E81FFD">
        <w:rPr>
          <w:rFonts w:eastAsia="Times New Roman"/>
          <w:u w:val="single"/>
        </w:rPr>
        <w:t>http://digitallibrary.health.nt.gov.au/prodjspui/bitstream/10137/1187/1/iGAS%20guidelines%20Nov%202015.pdf</w:t>
      </w:r>
      <w:r w:rsidRPr="00C3215A">
        <w:rPr>
          <w:rFonts w:eastAsia="Times New Roman"/>
        </w:rPr>
        <w:t xml:space="preserve"> </w:t>
      </w:r>
    </w:p>
    <w:p w14:paraId="0578DDD6"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Public Health Ontario. Recommendations on public health management of invasive group A streptococcal (iGAS) disease [internet]. Public Health Ontario 2014 [cited June 2017]. Available from URL: </w:t>
      </w:r>
      <w:r w:rsidRPr="00E81FFD">
        <w:rPr>
          <w:rFonts w:eastAsia="Times New Roman"/>
          <w:u w:val="single"/>
        </w:rPr>
        <w:t>https://www.publichealthontario.ca/en/eRepository/iGAS_Recommendations_on_Public_Health_Management.pdf</w:t>
      </w:r>
      <w:r w:rsidRPr="00C3215A">
        <w:rPr>
          <w:rFonts w:eastAsia="Times New Roman"/>
        </w:rPr>
        <w:t xml:space="preserve"> </w:t>
      </w:r>
    </w:p>
    <w:p w14:paraId="08E31531" w14:textId="7B88AE26"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Public Health Agency of Canada. Archived – 6.0 Management of Invasive GAS Disease [internet]. Public Health Agency of Canada 2006 [cited June 2017]. Available from URL: </w:t>
      </w:r>
      <w:hyperlink r:id="rId14" w:tooltip="Management of Invasive GAS Disease " w:history="1">
        <w:r w:rsidRPr="00E81FFD">
          <w:rPr>
            <w:rStyle w:val="Hyperlink"/>
            <w:rFonts w:eastAsia="Times New Roman"/>
          </w:rPr>
          <w:t>http://www.phac-aspc.gc.ca/publicat/ccdr-rmtc/06vol32/32s2/6-manage-eng.php#6.3</w:t>
        </w:r>
      </w:hyperlink>
      <w:r w:rsidRPr="00C3215A">
        <w:rPr>
          <w:rFonts w:eastAsia="Times New Roman"/>
        </w:rPr>
        <w:t xml:space="preserve"> </w:t>
      </w:r>
    </w:p>
    <w:p w14:paraId="0AB09FFE"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Health Protection Agency. Interim UK guidelines for management of close community contacts of invasive Group A stretpcoccal disease (iGAS) [internet]. Health Protection Agency 2008 [cited June 2017]. Available from URL: </w:t>
      </w:r>
      <w:r w:rsidRPr="00E81FFD">
        <w:rPr>
          <w:rFonts w:eastAsia="Times New Roman"/>
          <w:u w:val="single"/>
        </w:rPr>
        <w:t>https://www.gov.uk/government/uploads/system/uploads/attachment_data/file/327473/iGAS190308_flow_chart.pdf</w:t>
      </w:r>
      <w:r w:rsidRPr="00C3215A">
        <w:rPr>
          <w:rFonts w:eastAsia="Times New Roman"/>
        </w:rPr>
        <w:t xml:space="preserve"> </w:t>
      </w:r>
    </w:p>
    <w:p w14:paraId="34F686AD"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The Prevention of Invasive Group A streptococcal Infections Workshop Participants. Prevention of invasive group A Streptococcal disease among household contacts of case patients and among postpartum and postsurgical patients: recommendations from the Centers for Disease Control and Prevention. </w:t>
      </w:r>
      <w:r w:rsidRPr="00E81FFD">
        <w:rPr>
          <w:rStyle w:val="Emphasis"/>
          <w:rFonts w:eastAsia="Times New Roman"/>
          <w:b w:val="0"/>
        </w:rPr>
        <w:t>Clin Infect Dis</w:t>
      </w:r>
      <w:r w:rsidRPr="00C3215A">
        <w:rPr>
          <w:rFonts w:eastAsia="Times New Roman"/>
        </w:rPr>
        <w:t xml:space="preserve"> 2002;35:950–9</w:t>
      </w:r>
    </w:p>
    <w:p w14:paraId="7099658C"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Marsden J, Dettinger L, Fraser G, Waller K, Moll M, Weltman M, et al. Invasive group A </w:t>
      </w:r>
      <w:r w:rsidRPr="00E81FFD">
        <w:rPr>
          <w:rStyle w:val="Emphasis"/>
          <w:rFonts w:eastAsia="Times New Roman"/>
          <w:b w:val="0"/>
        </w:rPr>
        <w:t>Streptococcus</w:t>
      </w:r>
      <w:r w:rsidRPr="00C3215A">
        <w:rPr>
          <w:rFonts w:eastAsia="Times New Roman"/>
        </w:rPr>
        <w:t xml:space="preserve"> in a skilled nursing facility – Pennsylvania 2009–2010. </w:t>
      </w:r>
      <w:r w:rsidRPr="00E81FFD">
        <w:rPr>
          <w:rStyle w:val="Emphasis"/>
          <w:rFonts w:eastAsia="Times New Roman"/>
          <w:b w:val="0"/>
        </w:rPr>
        <w:t>Morb Mortal Wkly</w:t>
      </w:r>
      <w:r w:rsidRPr="00E81FFD">
        <w:rPr>
          <w:rFonts w:eastAsia="Times New Roman"/>
          <w:b/>
        </w:rPr>
        <w:t xml:space="preserve"> </w:t>
      </w:r>
      <w:r w:rsidRPr="00E81FFD">
        <w:rPr>
          <w:rFonts w:eastAsia="Times New Roman"/>
          <w:i/>
        </w:rPr>
        <w:t>Rep</w:t>
      </w:r>
      <w:r w:rsidRPr="00C3215A">
        <w:rPr>
          <w:rFonts w:eastAsia="Times New Roman"/>
        </w:rPr>
        <w:t xml:space="preserve"> 2011;60(42):1445–9</w:t>
      </w:r>
    </w:p>
    <w:p w14:paraId="47D9AFBC" w14:textId="77777777" w:rsidR="003853FC" w:rsidRPr="00C3215A" w:rsidRDefault="003853FC" w:rsidP="00C3215A">
      <w:pPr>
        <w:pStyle w:val="ListParagraph"/>
        <w:numPr>
          <w:ilvl w:val="0"/>
          <w:numId w:val="10"/>
        </w:numPr>
        <w:spacing w:before="100" w:beforeAutospacing="1" w:after="100" w:afterAutospacing="1" w:line="240" w:lineRule="auto"/>
        <w:rPr>
          <w:rFonts w:eastAsia="Times New Roman"/>
        </w:rPr>
      </w:pPr>
      <w:r w:rsidRPr="00C3215A">
        <w:rPr>
          <w:rFonts w:eastAsia="Times New Roman"/>
        </w:rPr>
        <w:t xml:space="preserve">Smith A, Li A, Tolomeo O, Tyrrell GJ, Jamieson F, Fisman D. Mass antibiotic treatment for group A </w:t>
      </w:r>
      <w:r w:rsidRPr="00E81FFD">
        <w:rPr>
          <w:rStyle w:val="Emphasis"/>
          <w:rFonts w:eastAsia="Times New Roman"/>
          <w:b w:val="0"/>
        </w:rPr>
        <w:t>Streptococcus</w:t>
      </w:r>
      <w:r w:rsidRPr="00C3215A">
        <w:rPr>
          <w:rFonts w:eastAsia="Times New Roman"/>
        </w:rPr>
        <w:t xml:space="preserve"> outbreaks in two long-term care facilities. </w:t>
      </w:r>
      <w:r w:rsidRPr="00E81FFD">
        <w:rPr>
          <w:rStyle w:val="Emphasis"/>
          <w:rFonts w:eastAsia="Times New Roman"/>
          <w:b w:val="0"/>
        </w:rPr>
        <w:t>Emerg Infect Dis</w:t>
      </w:r>
      <w:r w:rsidRPr="00C3215A">
        <w:rPr>
          <w:rFonts w:eastAsia="Times New Roman"/>
        </w:rPr>
        <w:t xml:space="preserve"> 2003; 9(10):1260–65</w:t>
      </w:r>
    </w:p>
    <w:p w14:paraId="05378D27" w14:textId="77777777" w:rsidR="008B5348" w:rsidRDefault="008B5348">
      <w:pPr>
        <w:rPr>
          <w:rStyle w:val="A10"/>
        </w:rPr>
        <w:sectPr w:rsidR="008B5348" w:rsidSect="00656427">
          <w:headerReference w:type="default" r:id="rId15"/>
          <w:footerReference w:type="default" r:id="rId16"/>
          <w:footerReference w:type="first" r:id="rId17"/>
          <w:pgSz w:w="11906" w:h="16838"/>
          <w:pgMar w:top="720" w:right="720" w:bottom="1134" w:left="720" w:header="709" w:footer="284" w:gutter="0"/>
          <w:pgNumType w:start="1"/>
          <w:cols w:space="708"/>
          <w:titlePg/>
          <w:docGrid w:linePitch="360"/>
        </w:sectPr>
      </w:pPr>
    </w:p>
    <w:p w14:paraId="3F2EBA1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EA571D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C0D70D8" w14:textId="77777777" w:rsidR="000A5F42" w:rsidRPr="000606CC" w:rsidRDefault="000A5F42" w:rsidP="000A5F42">
      <w:pPr>
        <w:pStyle w:val="NoSpacing"/>
        <w:rPr>
          <w:rStyle w:val="URI"/>
          <w:rFonts w:cstheme="minorHAnsi"/>
          <w:sz w:val="20"/>
          <w:szCs w:val="18"/>
        </w:rPr>
      </w:pPr>
    </w:p>
    <w:p w14:paraId="1AAECE3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F2A9D60" w14:textId="77777777" w:rsidR="000A5F42" w:rsidRPr="000606CC" w:rsidRDefault="000A5F42" w:rsidP="000A5F42">
      <w:pPr>
        <w:pStyle w:val="NoSpacing"/>
        <w:rPr>
          <w:rStyle w:val="Strong"/>
          <w:rFonts w:cstheme="minorHAnsi"/>
          <w:sz w:val="20"/>
          <w:szCs w:val="18"/>
        </w:rPr>
      </w:pPr>
    </w:p>
    <w:p w14:paraId="60E453F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275769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F52FBC8" w14:textId="77777777" w:rsidR="000A5F42" w:rsidRPr="000606CC" w:rsidRDefault="0027321F" w:rsidP="000A5F42">
      <w:pPr>
        <w:pStyle w:val="NoSpacing"/>
        <w:rPr>
          <w:rFonts w:cstheme="minorHAnsi"/>
          <w:sz w:val="20"/>
          <w:szCs w:val="18"/>
        </w:rPr>
      </w:pPr>
      <w:r>
        <w:rPr>
          <w:rStyle w:val="Strong"/>
          <w:rFonts w:cstheme="minorHAnsi"/>
          <w:sz w:val="20"/>
          <w:szCs w:val="18"/>
        </w:rPr>
        <w:t xml:space="preserve">Design and Production: </w:t>
      </w:r>
      <w:r w:rsidR="000A5F42" w:rsidRPr="000606CC">
        <w:rPr>
          <w:rFonts w:cstheme="minorHAnsi"/>
          <w:sz w:val="20"/>
          <w:szCs w:val="18"/>
        </w:rPr>
        <w:t>Kasra Yousefi</w:t>
      </w:r>
    </w:p>
    <w:p w14:paraId="0D9216B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87DB236" w14:textId="77777777" w:rsidR="000A5F42" w:rsidRPr="000606CC" w:rsidRDefault="000A5F42" w:rsidP="000A5F42">
      <w:pPr>
        <w:pStyle w:val="NoSpacing"/>
        <w:rPr>
          <w:rStyle w:val="Strong"/>
          <w:rFonts w:cstheme="minorHAnsi"/>
          <w:sz w:val="20"/>
          <w:szCs w:val="18"/>
        </w:rPr>
      </w:pPr>
    </w:p>
    <w:p w14:paraId="492A8BA5" w14:textId="12DF64C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03C2478" w14:textId="77777777" w:rsidR="000A5F42" w:rsidRPr="000606CC" w:rsidRDefault="000A5F42" w:rsidP="000A5F42">
      <w:pPr>
        <w:pStyle w:val="NoSpacing"/>
        <w:rPr>
          <w:rStyle w:val="Strong"/>
          <w:rFonts w:cstheme="minorHAnsi"/>
          <w:sz w:val="20"/>
          <w:szCs w:val="18"/>
        </w:rPr>
      </w:pPr>
    </w:p>
    <w:p w14:paraId="1E4FB5C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2FE921A" w14:textId="77777777" w:rsidR="000A5F42" w:rsidRPr="000606CC" w:rsidRDefault="000A5F42" w:rsidP="000A5F42">
      <w:pPr>
        <w:pStyle w:val="NoSpacing"/>
        <w:rPr>
          <w:rStyle w:val="Strong"/>
          <w:rFonts w:cstheme="minorHAnsi"/>
          <w:sz w:val="20"/>
          <w:szCs w:val="18"/>
        </w:rPr>
      </w:pPr>
    </w:p>
    <w:p w14:paraId="2B37D7BF" w14:textId="3E727E7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85C8E3C" w14:textId="77777777" w:rsidR="000A5F42" w:rsidRPr="000606CC" w:rsidRDefault="000A5F42" w:rsidP="000A5F42">
      <w:pPr>
        <w:pStyle w:val="NoSpacing"/>
        <w:rPr>
          <w:rStyle w:val="Strong"/>
          <w:rFonts w:cstheme="minorHAnsi"/>
          <w:sz w:val="20"/>
          <w:szCs w:val="18"/>
        </w:rPr>
      </w:pPr>
    </w:p>
    <w:p w14:paraId="31C95117" w14:textId="25051468"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338A92A" w14:textId="6785E82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7FBE6082" w14:textId="77777777" w:rsidR="000A5F42" w:rsidRPr="000606CC" w:rsidRDefault="000A5F42" w:rsidP="000A5F42">
      <w:pPr>
        <w:pStyle w:val="NoSpacing"/>
        <w:pBdr>
          <w:bottom w:val="single" w:sz="6" w:space="1" w:color="auto"/>
        </w:pBdr>
        <w:rPr>
          <w:rStyle w:val="Strong"/>
          <w:rFonts w:cstheme="minorHAnsi"/>
          <w:sz w:val="12"/>
          <w:szCs w:val="18"/>
        </w:rPr>
      </w:pPr>
    </w:p>
    <w:p w14:paraId="45895A88" w14:textId="77777777" w:rsidR="000A5F42" w:rsidRPr="000606CC" w:rsidRDefault="000A5F42" w:rsidP="000A5F42">
      <w:pPr>
        <w:pStyle w:val="NoSpacing"/>
        <w:rPr>
          <w:rFonts w:cstheme="minorHAnsi"/>
          <w:sz w:val="20"/>
          <w:szCs w:val="18"/>
        </w:rPr>
      </w:pPr>
    </w:p>
    <w:p w14:paraId="4162DE4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08F5756D" w14:textId="77777777" w:rsidR="000A5F42" w:rsidRPr="000606CC" w:rsidRDefault="000A5F42" w:rsidP="000A5F42">
      <w:pPr>
        <w:pStyle w:val="NoSpacing"/>
        <w:rPr>
          <w:rFonts w:cstheme="minorHAnsi"/>
          <w:sz w:val="20"/>
          <w:szCs w:val="18"/>
        </w:rPr>
      </w:pPr>
    </w:p>
    <w:p w14:paraId="4BA69C3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51C36D47"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1441655" w14:textId="7FEDD1DC"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C19970B" w14:textId="77777777" w:rsidR="000A5F42" w:rsidRPr="000606CC" w:rsidRDefault="000A5F42" w:rsidP="000A5F42">
      <w:pPr>
        <w:pStyle w:val="NoSpacing"/>
        <w:rPr>
          <w:rFonts w:cstheme="minorHAnsi"/>
          <w:sz w:val="20"/>
          <w:szCs w:val="18"/>
        </w:rPr>
      </w:pPr>
    </w:p>
    <w:p w14:paraId="3CC4448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5084FBF4" w14:textId="1DA0BD6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8C2997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C86D55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BB3DD7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E43531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7D6F8FD" w14:textId="77777777" w:rsidR="000A5F42" w:rsidRPr="000606CC" w:rsidRDefault="000A5F42" w:rsidP="000A5F42">
      <w:pPr>
        <w:pStyle w:val="NoSpacing"/>
        <w:rPr>
          <w:rStyle w:val="Strong"/>
          <w:rFonts w:cstheme="minorHAnsi"/>
          <w:sz w:val="20"/>
          <w:szCs w:val="18"/>
        </w:rPr>
      </w:pPr>
    </w:p>
    <w:p w14:paraId="2D1AC9C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7BB4575" w14:textId="77777777" w:rsidR="000A5F42" w:rsidRPr="000606CC" w:rsidRDefault="000A5F42" w:rsidP="000A5F42">
      <w:pPr>
        <w:pStyle w:val="NoSpacing"/>
        <w:rPr>
          <w:rStyle w:val="Strong"/>
          <w:rFonts w:cstheme="minorHAnsi"/>
          <w:sz w:val="20"/>
          <w:szCs w:val="18"/>
        </w:rPr>
      </w:pPr>
    </w:p>
    <w:p w14:paraId="666490DD" w14:textId="48343FE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B1655C3" w14:textId="77777777" w:rsidR="000A5F42" w:rsidRPr="000606CC" w:rsidRDefault="000A5F42" w:rsidP="000A5F42">
      <w:pPr>
        <w:pStyle w:val="NoSpacing"/>
        <w:rPr>
          <w:rStyle w:val="URI"/>
          <w:rFonts w:cstheme="minorHAnsi"/>
          <w:sz w:val="20"/>
          <w:szCs w:val="18"/>
        </w:rPr>
      </w:pPr>
    </w:p>
    <w:p w14:paraId="62E4EDC2" w14:textId="4B210FD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0382161B" w14:textId="77777777" w:rsidR="001B37B8" w:rsidRPr="00E92237" w:rsidRDefault="001B37B8" w:rsidP="001B37B8">
      <w:pPr>
        <w:rPr>
          <w:rFonts w:cs="Myriad Pro"/>
          <w:color w:val="211D1E"/>
          <w:sz w:val="20"/>
          <w:szCs w:val="20"/>
        </w:rPr>
      </w:pPr>
    </w:p>
    <w:sectPr w:rsidR="001B37B8" w:rsidRPr="00E92237" w:rsidSect="002B75A9">
      <w:headerReference w:type="default" r:id="rId26"/>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3DE0" w14:textId="77777777" w:rsidR="00D76F6A" w:rsidRDefault="00D76F6A" w:rsidP="00E54DBA">
      <w:r>
        <w:separator/>
      </w:r>
    </w:p>
    <w:p w14:paraId="2B387D10" w14:textId="77777777" w:rsidR="00D76F6A" w:rsidRDefault="00D76F6A"/>
    <w:p w14:paraId="31229B9D" w14:textId="77777777" w:rsidR="00D76F6A" w:rsidRDefault="00D76F6A" w:rsidP="008714B0"/>
  </w:endnote>
  <w:endnote w:type="continuationSeparator" w:id="0">
    <w:p w14:paraId="244B4A06" w14:textId="77777777" w:rsidR="00D76F6A" w:rsidRDefault="00D76F6A" w:rsidP="00E54DBA">
      <w:r>
        <w:continuationSeparator/>
      </w:r>
    </w:p>
    <w:p w14:paraId="77637B94" w14:textId="77777777" w:rsidR="00D76F6A" w:rsidRDefault="00D76F6A"/>
    <w:p w14:paraId="3E88CDD5" w14:textId="77777777" w:rsidR="00D76F6A" w:rsidRDefault="00D76F6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0000000000000000000"/>
    <w:charset w:val="00"/>
    <w:family w:val="roman"/>
    <w:notTrueType/>
    <w:pitch w:val="variable"/>
    <w:sig w:usb0="6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2860"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62770">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062770">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B66A0">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B66A0">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E1DFC">
      <w:rPr>
        <w:sz w:val="18"/>
      </w:rPr>
      <w:t>https://doi.org/10.33321/cdi.2019.43.18</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E1DFC">
      <w:rPr>
        <w:sz w:val="18"/>
      </w:rPr>
      <w:t>15/05/2019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479F"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62770">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062770">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B66A0">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B66A0">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E1DFC">
      <w:rPr>
        <w:sz w:val="18"/>
      </w:rPr>
      <w:t>https://doi.org/10.33321/cdi.2019.43.18</w:t>
    </w:r>
    <w:r w:rsidR="00047B68">
      <w:rPr>
        <w:sz w:val="18"/>
      </w:rPr>
      <w:fldChar w:fldCharType="end"/>
    </w:r>
    <w:r w:rsidR="00C24725">
      <w:rPr>
        <w:sz w:val="18"/>
      </w:rPr>
      <w:t xml:space="preserve"> </w:t>
    </w:r>
    <w:r w:rsidRPr="00155582">
      <w:rPr>
        <w:sz w:val="18"/>
      </w:rPr>
      <w:t xml:space="preserve">Epub </w:t>
    </w:r>
    <w:r w:rsidR="00C3215A">
      <w:rPr>
        <w:sz w:val="18"/>
      </w:rPr>
      <w:fldChar w:fldCharType="begin"/>
    </w:r>
    <w:r w:rsidR="00C3215A">
      <w:rPr>
        <w:sz w:val="18"/>
      </w:rPr>
      <w:instrText xml:space="preserve"> DOCPROPERTY  ePubDate  \* MERGEFORMAT </w:instrText>
    </w:r>
    <w:r w:rsidR="00C3215A">
      <w:rPr>
        <w:sz w:val="18"/>
      </w:rPr>
      <w:fldChar w:fldCharType="separate"/>
    </w:r>
    <w:r w:rsidR="00C3215A">
      <w:rPr>
        <w:sz w:val="18"/>
      </w:rPr>
      <w:t>15/05/2019</w:t>
    </w:r>
    <w:r w:rsidR="00C3215A">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B226" w14:textId="77777777" w:rsidR="00D76F6A" w:rsidRDefault="00D76F6A" w:rsidP="00E54DBA">
      <w:r>
        <w:separator/>
      </w:r>
    </w:p>
    <w:p w14:paraId="06A54C47" w14:textId="77777777" w:rsidR="00D76F6A" w:rsidRDefault="00D76F6A"/>
    <w:p w14:paraId="0E6BE5A3" w14:textId="77777777" w:rsidR="00D76F6A" w:rsidRDefault="00D76F6A" w:rsidP="008714B0"/>
  </w:footnote>
  <w:footnote w:type="continuationSeparator" w:id="0">
    <w:p w14:paraId="4E9C36F3" w14:textId="77777777" w:rsidR="00D76F6A" w:rsidRDefault="00D76F6A" w:rsidP="00E54DBA">
      <w:r>
        <w:continuationSeparator/>
      </w:r>
    </w:p>
    <w:p w14:paraId="59F4DF0B" w14:textId="77777777" w:rsidR="00D76F6A" w:rsidRDefault="00D76F6A"/>
    <w:p w14:paraId="221D8FE0" w14:textId="77777777" w:rsidR="00D76F6A" w:rsidRDefault="00D76F6A"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6B6B" w14:textId="77777777" w:rsidR="00257484" w:rsidRPr="00A153B6" w:rsidRDefault="0000000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Content>
        <w:r w:rsidR="0074787C">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0984"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9AD547B"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2BA6"/>
    <w:multiLevelType w:val="multilevel"/>
    <w:tmpl w:val="847E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77508E"/>
    <w:multiLevelType w:val="hybridMultilevel"/>
    <w:tmpl w:val="15C0E07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4265C4D"/>
    <w:multiLevelType w:val="multilevel"/>
    <w:tmpl w:val="7822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C5964"/>
    <w:multiLevelType w:val="hybridMultilevel"/>
    <w:tmpl w:val="2EB642D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5449591">
    <w:abstractNumId w:val="2"/>
  </w:num>
  <w:num w:numId="2" w16cid:durableId="1402026041">
    <w:abstractNumId w:val="3"/>
  </w:num>
  <w:num w:numId="3" w16cid:durableId="2109736409">
    <w:abstractNumId w:val="4"/>
  </w:num>
  <w:num w:numId="4" w16cid:durableId="1690985964">
    <w:abstractNumId w:val="1"/>
  </w:num>
  <w:num w:numId="5" w16cid:durableId="711416484">
    <w:abstractNumId w:val="8"/>
  </w:num>
  <w:num w:numId="6" w16cid:durableId="447941980">
    <w:abstractNumId w:val="9"/>
  </w:num>
  <w:num w:numId="7" w16cid:durableId="2033333806">
    <w:abstractNumId w:val="0"/>
  </w:num>
  <w:num w:numId="8" w16cid:durableId="1855459908">
    <w:abstractNumId w:val="6"/>
  </w:num>
  <w:num w:numId="9" w16cid:durableId="2077825231">
    <w:abstractNumId w:val="7"/>
  </w:num>
  <w:num w:numId="10" w16cid:durableId="169904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A0"/>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62770"/>
    <w:rsid w:val="00073D77"/>
    <w:rsid w:val="00081655"/>
    <w:rsid w:val="000864E0"/>
    <w:rsid w:val="000969B3"/>
    <w:rsid w:val="000A5F42"/>
    <w:rsid w:val="000C4A4F"/>
    <w:rsid w:val="000D4B4D"/>
    <w:rsid w:val="000E1DFC"/>
    <w:rsid w:val="000E7868"/>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B72BB"/>
    <w:rsid w:val="001C0893"/>
    <w:rsid w:val="001C1303"/>
    <w:rsid w:val="001C70B2"/>
    <w:rsid w:val="001D37C7"/>
    <w:rsid w:val="001D6888"/>
    <w:rsid w:val="002276DC"/>
    <w:rsid w:val="00227E00"/>
    <w:rsid w:val="002307CB"/>
    <w:rsid w:val="00231046"/>
    <w:rsid w:val="00242659"/>
    <w:rsid w:val="002428F7"/>
    <w:rsid w:val="0024315F"/>
    <w:rsid w:val="00252C9A"/>
    <w:rsid w:val="00256309"/>
    <w:rsid w:val="00257484"/>
    <w:rsid w:val="00260636"/>
    <w:rsid w:val="0027321F"/>
    <w:rsid w:val="00275C78"/>
    <w:rsid w:val="00280594"/>
    <w:rsid w:val="00281EE3"/>
    <w:rsid w:val="00284E4A"/>
    <w:rsid w:val="002944C5"/>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2D62"/>
    <w:rsid w:val="00324F7E"/>
    <w:rsid w:val="003323BC"/>
    <w:rsid w:val="003467FC"/>
    <w:rsid w:val="00346D42"/>
    <w:rsid w:val="00346E11"/>
    <w:rsid w:val="003601C0"/>
    <w:rsid w:val="003635F5"/>
    <w:rsid w:val="00372A88"/>
    <w:rsid w:val="00381A0F"/>
    <w:rsid w:val="003853FC"/>
    <w:rsid w:val="003A1B3A"/>
    <w:rsid w:val="003A40F5"/>
    <w:rsid w:val="003B5B8C"/>
    <w:rsid w:val="003D79B1"/>
    <w:rsid w:val="003E74EE"/>
    <w:rsid w:val="003F0552"/>
    <w:rsid w:val="003F3BC2"/>
    <w:rsid w:val="00401ED1"/>
    <w:rsid w:val="0040224C"/>
    <w:rsid w:val="00413EE1"/>
    <w:rsid w:val="004164BB"/>
    <w:rsid w:val="00421ECE"/>
    <w:rsid w:val="0042435E"/>
    <w:rsid w:val="004315F5"/>
    <w:rsid w:val="00433456"/>
    <w:rsid w:val="00433DFA"/>
    <w:rsid w:val="00435D67"/>
    <w:rsid w:val="00464A58"/>
    <w:rsid w:val="00473D2D"/>
    <w:rsid w:val="004A2125"/>
    <w:rsid w:val="004A38F6"/>
    <w:rsid w:val="004B4EB6"/>
    <w:rsid w:val="004B66A0"/>
    <w:rsid w:val="004C67C6"/>
    <w:rsid w:val="004D29DE"/>
    <w:rsid w:val="004E3F55"/>
    <w:rsid w:val="00510EAC"/>
    <w:rsid w:val="00542A57"/>
    <w:rsid w:val="005732C0"/>
    <w:rsid w:val="0057336D"/>
    <w:rsid w:val="0057489A"/>
    <w:rsid w:val="00574ACF"/>
    <w:rsid w:val="00581588"/>
    <w:rsid w:val="0058540B"/>
    <w:rsid w:val="00587C87"/>
    <w:rsid w:val="00590B80"/>
    <w:rsid w:val="005A6A61"/>
    <w:rsid w:val="005B3134"/>
    <w:rsid w:val="005B4E61"/>
    <w:rsid w:val="005B595A"/>
    <w:rsid w:val="005B66C2"/>
    <w:rsid w:val="005D2465"/>
    <w:rsid w:val="005D5B76"/>
    <w:rsid w:val="005E4229"/>
    <w:rsid w:val="005E540E"/>
    <w:rsid w:val="005E55FB"/>
    <w:rsid w:val="005F16BB"/>
    <w:rsid w:val="00602594"/>
    <w:rsid w:val="00607115"/>
    <w:rsid w:val="00620768"/>
    <w:rsid w:val="0062594B"/>
    <w:rsid w:val="00631406"/>
    <w:rsid w:val="006324FF"/>
    <w:rsid w:val="006351D6"/>
    <w:rsid w:val="00636E0D"/>
    <w:rsid w:val="0064142F"/>
    <w:rsid w:val="00643CB4"/>
    <w:rsid w:val="00656427"/>
    <w:rsid w:val="00660255"/>
    <w:rsid w:val="00672102"/>
    <w:rsid w:val="0067211E"/>
    <w:rsid w:val="006971F3"/>
    <w:rsid w:val="006B6C2A"/>
    <w:rsid w:val="006C74A3"/>
    <w:rsid w:val="006D1381"/>
    <w:rsid w:val="006D31BC"/>
    <w:rsid w:val="006E7943"/>
    <w:rsid w:val="006F24EA"/>
    <w:rsid w:val="00704CA9"/>
    <w:rsid w:val="0071048D"/>
    <w:rsid w:val="00710F86"/>
    <w:rsid w:val="007111A8"/>
    <w:rsid w:val="00731BC3"/>
    <w:rsid w:val="00741192"/>
    <w:rsid w:val="00743A33"/>
    <w:rsid w:val="00746080"/>
    <w:rsid w:val="0074787C"/>
    <w:rsid w:val="0075144A"/>
    <w:rsid w:val="00786329"/>
    <w:rsid w:val="00792C7D"/>
    <w:rsid w:val="00794A4D"/>
    <w:rsid w:val="007A5234"/>
    <w:rsid w:val="007B267B"/>
    <w:rsid w:val="007B54B5"/>
    <w:rsid w:val="007B7854"/>
    <w:rsid w:val="007C56A1"/>
    <w:rsid w:val="007C6454"/>
    <w:rsid w:val="007E01E0"/>
    <w:rsid w:val="007F0B93"/>
    <w:rsid w:val="007F2ECA"/>
    <w:rsid w:val="00811708"/>
    <w:rsid w:val="00816B90"/>
    <w:rsid w:val="00817799"/>
    <w:rsid w:val="00822F5F"/>
    <w:rsid w:val="00824FD3"/>
    <w:rsid w:val="00826589"/>
    <w:rsid w:val="00827E14"/>
    <w:rsid w:val="00834BCC"/>
    <w:rsid w:val="00850D54"/>
    <w:rsid w:val="0085509D"/>
    <w:rsid w:val="008714B0"/>
    <w:rsid w:val="00876331"/>
    <w:rsid w:val="00880726"/>
    <w:rsid w:val="00883745"/>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6188"/>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6C65"/>
    <w:rsid w:val="00A41BBE"/>
    <w:rsid w:val="00A45BDD"/>
    <w:rsid w:val="00A46A0A"/>
    <w:rsid w:val="00A553F8"/>
    <w:rsid w:val="00A6708F"/>
    <w:rsid w:val="00A71BF6"/>
    <w:rsid w:val="00A86F9A"/>
    <w:rsid w:val="00AA35E6"/>
    <w:rsid w:val="00AA50B6"/>
    <w:rsid w:val="00AB3472"/>
    <w:rsid w:val="00AC08BD"/>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7409A"/>
    <w:rsid w:val="00B82C2C"/>
    <w:rsid w:val="00B8720B"/>
    <w:rsid w:val="00B876EF"/>
    <w:rsid w:val="00B9202E"/>
    <w:rsid w:val="00BA4697"/>
    <w:rsid w:val="00BB5378"/>
    <w:rsid w:val="00BC0BD3"/>
    <w:rsid w:val="00BD0107"/>
    <w:rsid w:val="00BE0C33"/>
    <w:rsid w:val="00BE262C"/>
    <w:rsid w:val="00BE6C3D"/>
    <w:rsid w:val="00C07606"/>
    <w:rsid w:val="00C12542"/>
    <w:rsid w:val="00C24725"/>
    <w:rsid w:val="00C30BA9"/>
    <w:rsid w:val="00C3215A"/>
    <w:rsid w:val="00C3541E"/>
    <w:rsid w:val="00C36A8F"/>
    <w:rsid w:val="00C42FFA"/>
    <w:rsid w:val="00C507D8"/>
    <w:rsid w:val="00C62EAC"/>
    <w:rsid w:val="00C63F9F"/>
    <w:rsid w:val="00C7723C"/>
    <w:rsid w:val="00C838F5"/>
    <w:rsid w:val="00CA1AF4"/>
    <w:rsid w:val="00CA6068"/>
    <w:rsid w:val="00CB15E1"/>
    <w:rsid w:val="00CB3D46"/>
    <w:rsid w:val="00CD1A87"/>
    <w:rsid w:val="00CD35F3"/>
    <w:rsid w:val="00CD5C93"/>
    <w:rsid w:val="00CE274C"/>
    <w:rsid w:val="00CE342B"/>
    <w:rsid w:val="00CF320C"/>
    <w:rsid w:val="00CF3A4B"/>
    <w:rsid w:val="00CF4001"/>
    <w:rsid w:val="00D05837"/>
    <w:rsid w:val="00D12D8A"/>
    <w:rsid w:val="00D13E0C"/>
    <w:rsid w:val="00D25896"/>
    <w:rsid w:val="00D373A1"/>
    <w:rsid w:val="00D37C0F"/>
    <w:rsid w:val="00D453BE"/>
    <w:rsid w:val="00D45661"/>
    <w:rsid w:val="00D45943"/>
    <w:rsid w:val="00D47D22"/>
    <w:rsid w:val="00D51865"/>
    <w:rsid w:val="00D51D0C"/>
    <w:rsid w:val="00D74140"/>
    <w:rsid w:val="00D76F6A"/>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81FFD"/>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2C90"/>
    <w:rsid w:val="00F748C2"/>
    <w:rsid w:val="00F74B41"/>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6E113"/>
  <w15:docId w15:val="{A148F03E-67B5-4AAA-B7D8-10E9C05C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883745"/>
    <w:rPr>
      <w:sz w:val="16"/>
      <w:szCs w:val="16"/>
    </w:rPr>
  </w:style>
  <w:style w:type="paragraph" w:styleId="CommentText">
    <w:name w:val="annotation text"/>
    <w:basedOn w:val="Normal"/>
    <w:link w:val="CommentTextChar"/>
    <w:uiPriority w:val="99"/>
    <w:semiHidden/>
    <w:unhideWhenUsed/>
    <w:rsid w:val="00883745"/>
    <w:pPr>
      <w:spacing w:line="240" w:lineRule="auto"/>
    </w:pPr>
    <w:rPr>
      <w:sz w:val="20"/>
      <w:szCs w:val="20"/>
    </w:rPr>
  </w:style>
  <w:style w:type="character" w:customStyle="1" w:styleId="CommentTextChar">
    <w:name w:val="Comment Text Char"/>
    <w:basedOn w:val="DefaultParagraphFont"/>
    <w:link w:val="CommentText"/>
    <w:uiPriority w:val="99"/>
    <w:semiHidden/>
    <w:rsid w:val="00883745"/>
    <w:rPr>
      <w:sz w:val="20"/>
      <w:szCs w:val="20"/>
    </w:rPr>
  </w:style>
  <w:style w:type="paragraph" w:styleId="CommentSubject">
    <w:name w:val="annotation subject"/>
    <w:basedOn w:val="CommentText"/>
    <w:next w:val="CommentText"/>
    <w:link w:val="CommentSubjectChar"/>
    <w:uiPriority w:val="99"/>
    <w:semiHidden/>
    <w:unhideWhenUsed/>
    <w:rsid w:val="00883745"/>
    <w:rPr>
      <w:b/>
      <w:bCs/>
    </w:rPr>
  </w:style>
  <w:style w:type="character" w:customStyle="1" w:styleId="CommentSubjectChar">
    <w:name w:val="Comment Subject Char"/>
    <w:basedOn w:val="CommentTextChar"/>
    <w:link w:val="CommentSubject"/>
    <w:uiPriority w:val="99"/>
    <w:semiHidden/>
    <w:rsid w:val="00883745"/>
    <w:rPr>
      <w:b/>
      <w:bCs/>
      <w:sz w:val="20"/>
      <w:szCs w:val="20"/>
    </w:rPr>
  </w:style>
  <w:style w:type="character" w:styleId="FollowedHyperlink">
    <w:name w:val="FollowedHyperlink"/>
    <w:basedOn w:val="DefaultParagraphFont"/>
    <w:uiPriority w:val="99"/>
    <w:semiHidden/>
    <w:unhideWhenUsed/>
    <w:rsid w:val="002944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qld.gov.au/cdcg/index/igas" TargetMode="External"/><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thub.com/tseemann/snippy" TargetMode="Externa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hyperlink" Target="https://www2a.cdc.gov/ncidod/biotech/strepblast.asp" TargetMode="Externa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s://pubmlst.org/spyogenes/" TargetMode="External"/><Relationship Id="rId14" Type="http://schemas.openxmlformats.org/officeDocument/2006/relationships/hyperlink" Target="http://www.phac-aspc.gc.ca/publicat/ccdr-rmtc/06vol32/32s2/6-manage-eng.php%236.3" TargetMode="External"/><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5101A0-6144-4507-83A0-3CC227C5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Mass prophylaxis in an outbreak of invasive group A streptococcal disease in a residential aged care facility</vt:lpstr>
    </vt:vector>
  </TitlesOfParts>
  <Company>Australian Government, Department of Health</Company>
  <LinksUpToDate>false</LinksUpToDate>
  <CharactersWithSpaces>15645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prophylaxis in an outbreak of invasive group A streptococcal disease in a residential aged care facility</dc:title>
  <dc:subject>In September 2016, an invasive group A Streptococcal disease outbreak occurred among residents of a residential aged care facility. An expert advisory group recommended mass prophylaxis for residents and staff in addition to strict infection control practices to prevent further spread.</dc:subject>
  <dc:creator>Bhakti R Vasant, Kari A J Jarvinen, Ning-Xia Fang, Helen V Smith and</dc:creator>
  <dc:description>© Commonwealth of Australia CC BY-NC-ND ISSN: 2209-6051 (Online)</dc:description>
  <cp:lastModifiedBy>PETRIE, Simon</cp:lastModifiedBy>
  <cp:revision>2</cp:revision>
  <cp:lastPrinted>2018-05-10T02:19:00Z</cp:lastPrinted>
  <dcterms:created xsi:type="dcterms:W3CDTF">2025-08-06T05:17:00Z</dcterms:created>
  <dcterms:modified xsi:type="dcterms:W3CDTF">2025-08-06T05:17:00Z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15/05/2019</vt:lpwstr>
  </property>
  <property fmtid="{D5CDD505-2E9C-101B-9397-08002B2CF9AE}" pid="5" name="DOI">
    <vt:lpwstr>https://doi.org/10.33321/cdi.2019.43.18</vt:lpwstr>
  </property>
</Properties>
</file>