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09D2" w14:textId="77777777" w:rsidR="000321CB" w:rsidRDefault="000321CB" w:rsidP="003620F1">
      <w:pPr>
        <w:pStyle w:val="Title"/>
        <w:rPr>
          <w:rFonts w:eastAsia="Times New Roman"/>
          <w:sz w:val="48"/>
          <w:szCs w:val="48"/>
        </w:rPr>
      </w:pPr>
      <w:r>
        <w:rPr>
          <w:rFonts w:eastAsia="Times New Roman"/>
        </w:rPr>
        <w:t xml:space="preserve">Improving the accuracy of ACIR data and increasing vaccination rates </w:t>
      </w:r>
    </w:p>
    <w:p w14:paraId="3F70A3F1" w14:textId="77777777" w:rsidR="000321CB" w:rsidRDefault="000321CB" w:rsidP="003620F1">
      <w:r>
        <w:t xml:space="preserve">Thaïs A Miles, Linda V Granger and Colleen L Gately </w:t>
      </w:r>
    </w:p>
    <w:p w14:paraId="5F4E288B" w14:textId="77777777" w:rsidR="000321CB" w:rsidRPr="003620F1" w:rsidRDefault="000321CB" w:rsidP="003620F1">
      <w:pPr>
        <w:pStyle w:val="Heading1"/>
      </w:pPr>
      <w:r w:rsidRPr="003620F1">
        <w:t xml:space="preserve">Abstract </w:t>
      </w:r>
    </w:p>
    <w:p w14:paraId="54764E16" w14:textId="77777777" w:rsidR="000321CB" w:rsidRDefault="000321CB" w:rsidP="003620F1">
      <w:r>
        <w:t xml:space="preserve">Immunisation at the earliest appropriate age and high levels of vaccine coverage at milestone ages are important in preventing the spread of vaccine-preventable diseases. At the Central Coast Public Health Unit, the authors sought to determine if follow-up of children said by the Australian Childhood Immunisation Register (ACIR) to be overdue for vaccination improved both of these factors. </w:t>
      </w:r>
    </w:p>
    <w:p w14:paraId="599E89EB" w14:textId="77777777" w:rsidR="000321CB" w:rsidRDefault="000321CB" w:rsidP="003620F1">
      <w:r>
        <w:t xml:space="preserve">In a quality improvement activity, monthly ACIR lists of overdue Central Coast children aged 9 to 10 months of age were examined. The study alternated three months of intervention with three months of no intervention. The intervention was designed to find evidence of vaccination, first from the last known provider, and then if this was unsuccessful, from the parent. If no information was available, a letter was sent to the parents. If the child was indeed vaccinated, the register was updated. If the child was missing any vaccinations, the parent(s) were encouraged to complete the schedule. </w:t>
      </w:r>
    </w:p>
    <w:p w14:paraId="321DD3BD" w14:textId="77777777" w:rsidR="000321CB" w:rsidRDefault="000321CB" w:rsidP="003620F1">
      <w:r>
        <w:t xml:space="preserve">On reviewing routinely-published quarterly ACIR data at three-monthly intervals for 24 months after the intervention (or non-intervention), timeliness of vaccination improved in the intervention cohort. Central Coast fully vaccinated rates diverged from NSW rates during the study. In addition, the ACIR quarters that contained two out of three months of intervention rather than one out of three months of intervention had the highest rates of fully vaccinated children. The authors concluded that the intervention improved both timeliness of vaccination and the proportion of fully vaccinated children. </w:t>
      </w:r>
    </w:p>
    <w:p w14:paraId="3D50CB8F" w14:textId="77777777" w:rsidR="000321CB" w:rsidRDefault="000321CB" w:rsidP="003620F1">
      <w:r>
        <w:t xml:space="preserve">Keywords: ACIR data accuracy, immunisation rates, timeliness </w:t>
      </w:r>
    </w:p>
    <w:p w14:paraId="5F9DF4E1" w14:textId="77777777" w:rsidR="000321CB" w:rsidRPr="003620F1" w:rsidRDefault="000321CB" w:rsidP="003620F1">
      <w:pPr>
        <w:pStyle w:val="Heading1"/>
      </w:pPr>
      <w:r w:rsidRPr="003620F1">
        <w:t xml:space="preserve">Introduction </w:t>
      </w:r>
    </w:p>
    <w:p w14:paraId="49C843F7" w14:textId="77777777" w:rsidR="000321CB" w:rsidRDefault="000321CB" w:rsidP="003620F1">
      <w:r>
        <w:t>Two factors are particularly important in preventing the spread of vaccine-preventable diseases. These are immunisation at the earliest appropriate age (timeliness) and high levels of vaccine coverage at milestone ages.</w:t>
      </w:r>
      <w:r>
        <w:rPr>
          <w:vertAlign w:val="superscript"/>
        </w:rPr>
        <w:t>1</w:t>
      </w:r>
      <w:r>
        <w:t xml:space="preserve"> In Australia, scheduled childhood immunisations have been recorded on the Australian Childh</w:t>
      </w:r>
      <w:r w:rsidR="004D7EFE">
        <w:t>ood Immunisation Register (ACIR)</w:t>
      </w:r>
      <w:r w:rsidR="004D7EFE">
        <w:rPr>
          <w:rStyle w:val="FootnoteReference"/>
        </w:rPr>
        <w:footnoteReference w:id="2"/>
      </w:r>
      <w:r>
        <w:t xml:space="preserve"> since 1996 and immunisation rates are published quarterly. ACIR rates are considered estimates because follow-up has shown many said to be overdue were actually up-to-date.</w:t>
      </w:r>
      <w:r>
        <w:rPr>
          <w:vertAlign w:val="superscript"/>
        </w:rPr>
        <w:t xml:space="preserve">1–3 </w:t>
      </w:r>
    </w:p>
    <w:p w14:paraId="22E4279C" w14:textId="77777777" w:rsidR="000321CB" w:rsidRDefault="000321CB" w:rsidP="003620F1">
      <w:r>
        <w:t xml:space="preserve">One of the roles of the Central Coast Public Health Unit (CCPHU) is to improve immunisation rates in children in the Central Coast area. To do this, and to understand what factors contributed to the proportions of unvaccinated children, staff in the Immunisation Section of the CCPHU follow up children recorded by ACIR as overdue. Some of the follow-up has been opportunistic, but two larger intervention studies were conducted, one in 2005 and another in the three years 2008 to 2010 (unpublished data). </w:t>
      </w:r>
    </w:p>
    <w:p w14:paraId="25D04D16" w14:textId="77777777" w:rsidR="000321CB" w:rsidRDefault="000321CB" w:rsidP="003620F1">
      <w:r>
        <w:t xml:space="preserve">In both projects the investigators reported frequent findings of children incorrectly recorded as not completely vaccinated, and ACIR was subsequently updated. They also reported that many parents thanked them for the </w:t>
      </w:r>
      <w:r>
        <w:lastRenderedPageBreak/>
        <w:t xml:space="preserve">reminder and promised to organise prompt vaccination, which proved to be carried out on subsequently checking ACIR. While these data were never quantified, the sheer number of anecdotal reports and the suspicion that the intervention might have been in part responsible for the apparently increased Central Coast immunisation rates following the interventions prompted the authors to plan a quality improvement activity so a formal analysis of the intervention could be carried out. </w:t>
      </w:r>
    </w:p>
    <w:p w14:paraId="432A0E6C" w14:textId="77777777" w:rsidR="000321CB" w:rsidRDefault="000321CB" w:rsidP="00034191">
      <w:r>
        <w:t xml:space="preserve">The project was approved retrospectively as a quality improvement activity by the Central Coast Local Health District Executive Director Clinical Governance. </w:t>
      </w:r>
    </w:p>
    <w:p w14:paraId="3F781F60" w14:textId="77777777" w:rsidR="002A4847" w:rsidRDefault="002A4847">
      <w:pPr>
        <w:rPr>
          <w:b/>
        </w:rPr>
      </w:pPr>
      <w:r>
        <w:br w:type="page"/>
      </w:r>
    </w:p>
    <w:p w14:paraId="7E586D0E" w14:textId="77777777" w:rsidR="000321CB" w:rsidRDefault="000321CB" w:rsidP="003620F1">
      <w:pPr>
        <w:pStyle w:val="CDIFigures"/>
      </w:pPr>
      <w:r>
        <w:lastRenderedPageBreak/>
        <w:t>Figure 1. Process of identifying children for follow-up</w:t>
      </w:r>
    </w:p>
    <w:p w14:paraId="215CA15B" w14:textId="77777777" w:rsidR="000321CB" w:rsidRDefault="000321CB" w:rsidP="002A4847">
      <w:pPr>
        <w:pStyle w:val="NormalWeb"/>
        <w:jc w:val="center"/>
      </w:pPr>
      <w:r>
        <w:rPr>
          <w:noProof/>
        </w:rPr>
        <w:drawing>
          <wp:inline distT="0" distB="0" distL="0" distR="0" wp14:anchorId="2E4B6C72" wp14:editId="67F6EF9F">
            <wp:extent cx="5884794" cy="6933062"/>
            <wp:effectExtent l="0" t="0" r="1905" b="1270"/>
            <wp:docPr id="2" name="Picture 2" descr="This flow chart illustrates the process of the intervention.  It shows the division of the study population into two arms, one where a vaccine provider is identified and one where a vaccine provider is not identified.  If the vaccine provider was not identified, we sent letters to the parents.  If the vaccine provider was identified, we telephoned them.  This cohort was then divided into two arms.  If the vaccines were given, we (or the provider) updated the immunisation register.  If the vaccines were not given, we asked the provider for the parent’s phone number and telephoned them.  If we were unable to contact the parent, we sent them a l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low chart illustrates the process of the intervention.  It shows the division of the study population into two arms, one where a vaccine provider is identified and one where a vaccine provider is not identified.  If the vaccine provider was not identified, we sent letters to the parents.  If the vaccine provider was identified, we telephoned them.  This cohort was then divided into two arms.  If the vaccines were given, we (or the provider) updated the immunisation register.  If the vaccines were not given, we asked the provider for the parent’s phone number and telephoned them.  If we were unable to contact the parent, we sent them a letter.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22" b="3367"/>
                    <a:stretch/>
                  </pic:blipFill>
                  <pic:spPr bwMode="auto">
                    <a:xfrm>
                      <a:off x="0" y="0"/>
                      <a:ext cx="5885688" cy="6934116"/>
                    </a:xfrm>
                    <a:prstGeom prst="rect">
                      <a:avLst/>
                    </a:prstGeom>
                    <a:ln>
                      <a:noFill/>
                    </a:ln>
                    <a:extLst>
                      <a:ext uri="{53640926-AAD7-44D8-BBD7-CCE9431645EC}">
                        <a14:shadowObscured xmlns:a14="http://schemas.microsoft.com/office/drawing/2010/main"/>
                      </a:ext>
                    </a:extLst>
                  </pic:spPr>
                </pic:pic>
              </a:graphicData>
            </a:graphic>
          </wp:inline>
        </w:drawing>
      </w:r>
    </w:p>
    <w:p w14:paraId="79A6EFDB" w14:textId="77777777" w:rsidR="000321CB" w:rsidRPr="003620F1" w:rsidRDefault="000321CB" w:rsidP="003620F1">
      <w:pPr>
        <w:pStyle w:val="Heading1"/>
      </w:pPr>
      <w:r w:rsidRPr="003620F1">
        <w:t xml:space="preserve">Methods </w:t>
      </w:r>
    </w:p>
    <w:p w14:paraId="144C8F8F" w14:textId="77777777" w:rsidR="000321CB" w:rsidRDefault="000321CB" w:rsidP="00547FE1">
      <w:r>
        <w:t xml:space="preserve">ACIR (now AIR) makes routine reports available to public health units. Every month during this study the authors downloaded the list of all Central Coast children deemed by ACIR to be overdue for some or all of their scheduled vaccines on the first of the month. </w:t>
      </w:r>
    </w:p>
    <w:p w14:paraId="582C231C" w14:textId="77777777" w:rsidR="000321CB" w:rsidRDefault="000321CB" w:rsidP="00547FE1">
      <w:r>
        <w:t>The quality improvement activity alternated three months of intervention with three months of no intervention for children 9–10 months of age said to be at least 60 days overdue for some or all of the three Infanrix-</w:t>
      </w:r>
      <w:proofErr w:type="spellStart"/>
      <w:r>
        <w:t>hexa</w:t>
      </w:r>
      <w:proofErr w:type="spellEnd"/>
      <w:r>
        <w:t xml:space="preserve"> and Prevenar vaccines scheduled at 2, 4 and 6 months. This age group and the overdue time period of 60 days were </w:t>
      </w:r>
      <w:r>
        <w:lastRenderedPageBreak/>
        <w:t xml:space="preserve">chosen as the most appropriate to facilitate these children to become up to date before their next scheduled vaccines at 12 months. Aboriginal children in the intervention cohorts were not contacted, since they were (and still are) followed up by the Aboriginal Immunisation Officer in a separate program. </w:t>
      </w:r>
    </w:p>
    <w:p w14:paraId="304BD1EC" w14:textId="77777777" w:rsidR="000321CB" w:rsidRDefault="000321CB" w:rsidP="00547FE1">
      <w:r>
        <w:t>The intervention was designed to find evidence of vaccination, first from the last known provider, and then if this was unsuccessful, from the parent (Figure 1). If no information could be obtained, a letter was sent to the parent asking them to phone, mail or email evidence of vaccination.</w:t>
      </w:r>
    </w:p>
    <w:p w14:paraId="67C12206" w14:textId="77777777" w:rsidR="000321CB" w:rsidRDefault="000321CB" w:rsidP="00547FE1">
      <w:r>
        <w:t xml:space="preserve">From July 2011 to June 2013 the authors established monthly cohorts of overdue children and examined each child’s ACIR record at three-month intervals for a total of 24 months and recorded whether there was any change. This comparison was used to assess any change in timeliness of vaccination. </w:t>
      </w:r>
    </w:p>
    <w:p w14:paraId="77433178" w14:textId="77777777" w:rsidR="000321CB" w:rsidRDefault="000321CB" w:rsidP="00547FE1">
      <w:r>
        <w:t xml:space="preserve">The data were defined as follows: </w:t>
      </w:r>
    </w:p>
    <w:p w14:paraId="67CDBB02" w14:textId="77777777" w:rsidR="000321CB" w:rsidRPr="00547FE1" w:rsidRDefault="000321CB" w:rsidP="00547FE1">
      <w:pPr>
        <w:pStyle w:val="ListParagraph"/>
        <w:numPr>
          <w:ilvl w:val="0"/>
          <w:numId w:val="10"/>
        </w:numPr>
        <w:rPr>
          <w:rFonts w:eastAsia="Times New Roman"/>
        </w:rPr>
      </w:pPr>
      <w:r w:rsidRPr="00547FE1">
        <w:rPr>
          <w:rFonts w:eastAsia="Times New Roman"/>
        </w:rPr>
        <w:t>Up to date = up to date for the three Infanrix-</w:t>
      </w:r>
      <w:proofErr w:type="spellStart"/>
      <w:r w:rsidRPr="00547FE1">
        <w:rPr>
          <w:rFonts w:eastAsia="Times New Roman"/>
        </w:rPr>
        <w:t>hexa</w:t>
      </w:r>
      <w:proofErr w:type="spellEnd"/>
      <w:r w:rsidRPr="00547FE1">
        <w:rPr>
          <w:rFonts w:eastAsia="Times New Roman"/>
        </w:rPr>
        <w:t xml:space="preserve"> and Prevenar vaccines scheduled at 6 weeks, 4 and 6 months only (including using the third dose assumption</w:t>
      </w:r>
      <w:r w:rsidR="005030E0">
        <w:rPr>
          <w:rStyle w:val="FootnoteReference"/>
          <w:rFonts w:eastAsia="Times New Roman"/>
        </w:rPr>
        <w:footnoteReference w:id="3"/>
      </w:r>
      <w:r w:rsidR="005030E0">
        <w:rPr>
          <w:rFonts w:eastAsia="Times New Roman"/>
        </w:rPr>
        <w:t>)</w:t>
      </w:r>
      <w:r w:rsidRPr="00547FE1">
        <w:rPr>
          <w:rFonts w:eastAsia="Times New Roman"/>
        </w:rPr>
        <w:t xml:space="preserve">; whether they were up to date for their scheduled 12 months vaccines was not included in the definition, </w:t>
      </w:r>
    </w:p>
    <w:p w14:paraId="5A8C23A7" w14:textId="77777777" w:rsidR="000321CB" w:rsidRPr="00547FE1" w:rsidRDefault="000321CB" w:rsidP="00547FE1">
      <w:pPr>
        <w:pStyle w:val="ListParagraph"/>
        <w:numPr>
          <w:ilvl w:val="0"/>
          <w:numId w:val="10"/>
        </w:numPr>
        <w:rPr>
          <w:rFonts w:eastAsia="Times New Roman"/>
        </w:rPr>
      </w:pPr>
      <w:r w:rsidRPr="00547FE1">
        <w:rPr>
          <w:rFonts w:eastAsia="Times New Roman"/>
        </w:rPr>
        <w:t>Record corrected = the missing vaccination(s) occurred before the ACIR download on 1</w:t>
      </w:r>
      <w:r w:rsidRPr="00547FE1">
        <w:rPr>
          <w:rFonts w:eastAsia="Times New Roman"/>
          <w:vertAlign w:val="superscript"/>
        </w:rPr>
        <w:t>st</w:t>
      </w:r>
      <w:r w:rsidRPr="00547FE1">
        <w:rPr>
          <w:rFonts w:eastAsia="Times New Roman"/>
        </w:rPr>
        <w:t xml:space="preserve"> of the month, </w:t>
      </w:r>
    </w:p>
    <w:p w14:paraId="4D409509" w14:textId="77777777" w:rsidR="000321CB" w:rsidRPr="00547FE1" w:rsidRDefault="000321CB" w:rsidP="00547FE1">
      <w:pPr>
        <w:pStyle w:val="ListParagraph"/>
        <w:numPr>
          <w:ilvl w:val="0"/>
          <w:numId w:val="10"/>
        </w:numPr>
        <w:rPr>
          <w:rFonts w:eastAsia="Times New Roman"/>
        </w:rPr>
      </w:pPr>
      <w:r w:rsidRPr="00547FE1">
        <w:rPr>
          <w:rFonts w:eastAsia="Times New Roman"/>
        </w:rPr>
        <w:t>Vaccinated = the missing vaccination(s) occurred after ACIR download on 1</w:t>
      </w:r>
      <w:r w:rsidRPr="00547FE1">
        <w:rPr>
          <w:rFonts w:eastAsia="Times New Roman"/>
          <w:vertAlign w:val="superscript"/>
        </w:rPr>
        <w:t>st</w:t>
      </w:r>
      <w:r w:rsidRPr="00547FE1">
        <w:rPr>
          <w:rFonts w:eastAsia="Times New Roman"/>
        </w:rPr>
        <w:t xml:space="preserve"> of the month, and </w:t>
      </w:r>
    </w:p>
    <w:p w14:paraId="41A24C2B" w14:textId="77777777" w:rsidR="000321CB" w:rsidRPr="00547FE1" w:rsidRDefault="000321CB" w:rsidP="00547FE1">
      <w:pPr>
        <w:pStyle w:val="ListParagraph"/>
        <w:numPr>
          <w:ilvl w:val="0"/>
          <w:numId w:val="10"/>
        </w:numPr>
        <w:rPr>
          <w:rFonts w:eastAsia="Times New Roman"/>
        </w:rPr>
      </w:pPr>
      <w:r w:rsidRPr="00547FE1">
        <w:rPr>
          <w:rFonts w:eastAsia="Times New Roman"/>
        </w:rPr>
        <w:t xml:space="preserve">Record corrected and vaccinated = some missing vaccinations occurred before the ACIR download and some after the download. </w:t>
      </w:r>
    </w:p>
    <w:p w14:paraId="0A50D58E" w14:textId="77777777" w:rsidR="000321CB" w:rsidRDefault="000321CB" w:rsidP="00547FE1">
      <w:r>
        <w:t xml:space="preserve">Central Coast vaccination rates were also compared with NSW rates for children aged 12 to less than 15 months of age, this being the ACIR cohort directly affected by the intervention. The intervention / non-intervention three-month cohorts did not align directly with ACIR routinely published data, since the ACIR data for a three month cohort were calculated on a single day (the last day of the quarter) whereas the study cohorts were defined as all children who turned 9 months of age during a calendar month (Figure 2). This comparison was used to assess the effectiveness of the intervention. </w:t>
      </w:r>
    </w:p>
    <w:p w14:paraId="5A1D6A72" w14:textId="77777777" w:rsidR="005030E0" w:rsidRDefault="005030E0">
      <w:pPr>
        <w:rPr>
          <w:b/>
        </w:rPr>
      </w:pPr>
      <w:r>
        <w:br w:type="page"/>
      </w:r>
    </w:p>
    <w:p w14:paraId="35898AA8" w14:textId="77777777" w:rsidR="000321CB" w:rsidRDefault="000321CB" w:rsidP="00547FE1">
      <w:pPr>
        <w:pStyle w:val="CDIFigures"/>
      </w:pPr>
      <w:r>
        <w:lastRenderedPageBreak/>
        <w:t>Figure 2. ACIR and scheduling of intervention study</w:t>
      </w:r>
    </w:p>
    <w:p w14:paraId="78991071" w14:textId="77777777" w:rsidR="0009666D" w:rsidRDefault="005030E0" w:rsidP="00EE4D65">
      <w:pPr>
        <w:pStyle w:val="NormalWeb"/>
      </w:pPr>
      <w:r>
        <w:rPr>
          <w:noProof/>
        </w:rPr>
        <w:drawing>
          <wp:inline distT="0" distB="0" distL="0" distR="0" wp14:anchorId="1E8C1347" wp14:editId="373C917C">
            <wp:extent cx="6297181" cy="5035306"/>
            <wp:effectExtent l="0" t="0" r="8890" b="0"/>
            <wp:docPr id="4" name="Picture 4" descr="This Excel graph shows the relationship between our monthly cohorts and the quarterly ACIR reporting cohorts.  For example, a child born in September 2010 progressed to a non-intervention month during July 2011.  The relevant ACIR reporting quarter for this birth cohort was for children aged 12 to less than 15 months on 30 September 2011.  Thus, in a stepwise fashion, a child born in October 2010 was assessed in the non-intervention month of August 2011, however these children were included in the ACIR reporting quarter on 31 December 2011.  A child born in November 2010 and assessed in the non-intervention month of September 2011 was also in the ACIR reporting quarter on 31 December 2011.  Then three months of intervention followed, for children born in December 2010, January 2011 and February 2011, we assessed these in October, November and December 2011.  However the relevant ACIR reporting quarters were 31 December 2011 for the December 2010 birth cohort and 31 March for the January 2011 and February 2011 birth cohorts.  This process is repeated for 24 monthly cohorts, alternating 3 months of non-intervention with three months of interven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7181" cy="5035306"/>
                    </a:xfrm>
                    <a:prstGeom prst="rect">
                      <a:avLst/>
                    </a:prstGeom>
                  </pic:spPr>
                </pic:pic>
              </a:graphicData>
            </a:graphic>
          </wp:inline>
        </w:drawing>
      </w:r>
    </w:p>
    <w:p w14:paraId="2318AED9" w14:textId="77777777" w:rsidR="008F68F1" w:rsidRPr="002138CF" w:rsidRDefault="008F68F1" w:rsidP="008F68F1">
      <w:pPr>
        <w:pStyle w:val="Heading1"/>
      </w:pPr>
      <w:r w:rsidRPr="002138CF">
        <w:t xml:space="preserve">Results </w:t>
      </w:r>
    </w:p>
    <w:p w14:paraId="04F86E9D" w14:textId="77777777" w:rsidR="007606E7" w:rsidRDefault="008F68F1" w:rsidP="008F68F1">
      <w:pPr>
        <w:pStyle w:val="NormalWeb"/>
        <w:sectPr w:rsidR="007606E7" w:rsidSect="007606E7">
          <w:headerReference w:type="default" r:id="rId11"/>
          <w:footerReference w:type="default" r:id="rId12"/>
          <w:footerReference w:type="first" r:id="rId13"/>
          <w:footnotePr>
            <w:numFmt w:val="lowerRoman"/>
          </w:footnotePr>
          <w:pgSz w:w="11906" w:h="16838"/>
          <w:pgMar w:top="720" w:right="720" w:bottom="720" w:left="720" w:header="709" w:footer="284" w:gutter="0"/>
          <w:cols w:space="708"/>
          <w:titlePg/>
          <w:docGrid w:linePitch="360"/>
        </w:sectPr>
      </w:pPr>
      <w:r>
        <w:t>The total numbers of children overdue in non-intervention and intervention groups can be seen in Table 1.</w:t>
      </w:r>
    </w:p>
    <w:p w14:paraId="49B81DDA" w14:textId="77777777" w:rsidR="000321CB" w:rsidRDefault="000321CB" w:rsidP="00521D4D">
      <w:pPr>
        <w:pStyle w:val="CDIFigures"/>
      </w:pPr>
      <w:r>
        <w:lastRenderedPageBreak/>
        <w:t>Table 1. Numbers and proportions of children not fully vaccinated and vaccinated by the end of the study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Of the 398 children in the non-intervention cohorts, 299 (75.1%) were fully vaccinated at the end of the study.  Of the 381 children in the intervention cohorts, 321 (84.3%) were fully vaccinated at the end of the study."/>
      </w:tblPr>
      <w:tblGrid>
        <w:gridCol w:w="2015"/>
        <w:gridCol w:w="2521"/>
        <w:gridCol w:w="1276"/>
        <w:gridCol w:w="1276"/>
        <w:gridCol w:w="1417"/>
        <w:gridCol w:w="1843"/>
        <w:gridCol w:w="1985"/>
        <w:gridCol w:w="1417"/>
        <w:gridCol w:w="1550"/>
      </w:tblGrid>
      <w:tr w:rsidR="00CD0907" w:rsidRPr="008930A3" w14:paraId="4117B6C8" w14:textId="77777777" w:rsidTr="00BF256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75E2377" w14:textId="77777777" w:rsidR="000321CB" w:rsidRPr="008930A3" w:rsidRDefault="000321CB" w:rsidP="0063500F">
            <w:pPr>
              <w:pStyle w:val="NormalWeb"/>
              <w:rPr>
                <w:color w:val="FFFFFF" w:themeColor="background1"/>
                <w:sz w:val="18"/>
                <w:szCs w:val="18"/>
              </w:rPr>
            </w:pPr>
            <w:r w:rsidRPr="008930A3">
              <w:rPr>
                <w:color w:val="FFFFFF" w:themeColor="background1"/>
                <w:sz w:val="18"/>
                <w:szCs w:val="18"/>
              </w:rPr>
              <w:t>Study months</w:t>
            </w:r>
            <w:r w:rsidR="0063500F">
              <w:rPr>
                <w:color w:val="FFFFFF" w:themeColor="background1"/>
                <w:sz w:val="18"/>
                <w:szCs w:val="18"/>
              </w:rPr>
              <w:t xml:space="preserve"> </w:t>
            </w:r>
            <w:r w:rsidRPr="008930A3">
              <w:rPr>
                <w:color w:val="FFFFFF" w:themeColor="background1"/>
                <w:sz w:val="18"/>
                <w:szCs w:val="18"/>
              </w:rPr>
              <w:t>(NI or I)</w:t>
            </w:r>
          </w:p>
        </w:tc>
        <w:tc>
          <w:tcPr>
            <w:tcW w:w="2521" w:type="dxa"/>
            <w:hideMark/>
          </w:tcPr>
          <w:p w14:paraId="31835BF5"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Birth months</w:t>
            </w:r>
          </w:p>
        </w:tc>
        <w:tc>
          <w:tcPr>
            <w:tcW w:w="1276" w:type="dxa"/>
            <w:hideMark/>
          </w:tcPr>
          <w:p w14:paraId="176B83AC"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Total Overdue</w:t>
            </w:r>
          </w:p>
        </w:tc>
        <w:tc>
          <w:tcPr>
            <w:tcW w:w="1276" w:type="dxa"/>
            <w:hideMark/>
          </w:tcPr>
          <w:p w14:paraId="12A723C5"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Unable to view</w:t>
            </w:r>
          </w:p>
        </w:tc>
        <w:tc>
          <w:tcPr>
            <w:tcW w:w="1417" w:type="dxa"/>
            <w:hideMark/>
          </w:tcPr>
          <w:p w14:paraId="3113FE94"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Total for analysis</w:t>
            </w:r>
          </w:p>
        </w:tc>
        <w:tc>
          <w:tcPr>
            <w:tcW w:w="1843" w:type="dxa"/>
            <w:hideMark/>
          </w:tcPr>
          <w:p w14:paraId="671A4E94"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Not fully vaccinated</w:t>
            </w:r>
          </w:p>
        </w:tc>
        <w:tc>
          <w:tcPr>
            <w:tcW w:w="1985" w:type="dxa"/>
            <w:hideMark/>
          </w:tcPr>
          <w:p w14:paraId="7745634C"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Not fully vaccinated %</w:t>
            </w:r>
          </w:p>
        </w:tc>
        <w:tc>
          <w:tcPr>
            <w:tcW w:w="1417" w:type="dxa"/>
            <w:hideMark/>
          </w:tcPr>
          <w:p w14:paraId="3BFF4B27"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Fully vaccinated</w:t>
            </w:r>
          </w:p>
        </w:tc>
        <w:tc>
          <w:tcPr>
            <w:tcW w:w="1550" w:type="dxa"/>
            <w:hideMark/>
          </w:tcPr>
          <w:p w14:paraId="4BF2EA6A" w14:textId="77777777" w:rsidR="000321CB" w:rsidRPr="008930A3" w:rsidRDefault="000321CB" w:rsidP="00D11AA0">
            <w:pPr>
              <w:pStyle w:val="NormalWeb"/>
              <w:jc w:val="center"/>
              <w:rPr>
                <w:color w:val="FFFFFF" w:themeColor="background1"/>
                <w:sz w:val="18"/>
                <w:szCs w:val="18"/>
              </w:rPr>
            </w:pPr>
            <w:r w:rsidRPr="008930A3">
              <w:rPr>
                <w:color w:val="FFFFFF" w:themeColor="background1"/>
                <w:sz w:val="18"/>
                <w:szCs w:val="18"/>
              </w:rPr>
              <w:t>Fully vaccinated %</w:t>
            </w:r>
          </w:p>
        </w:tc>
      </w:tr>
      <w:tr w:rsidR="00BF256F" w:rsidRPr="008930A3" w14:paraId="45A4BAB8" w14:textId="77777777" w:rsidTr="00BF256F">
        <w:tc>
          <w:tcPr>
            <w:tcW w:w="0" w:type="auto"/>
            <w:hideMark/>
          </w:tcPr>
          <w:p w14:paraId="45CBDB11" w14:textId="77777777" w:rsidR="000321CB" w:rsidRPr="008930A3" w:rsidRDefault="000321CB" w:rsidP="00007EB0">
            <w:pPr>
              <w:pStyle w:val="NormalWeb"/>
              <w:rPr>
                <w:sz w:val="18"/>
                <w:szCs w:val="18"/>
              </w:rPr>
            </w:pPr>
            <w:r w:rsidRPr="008930A3">
              <w:rPr>
                <w:sz w:val="18"/>
                <w:szCs w:val="18"/>
              </w:rPr>
              <w:t>Jul 2011 to</w:t>
            </w:r>
            <w:r w:rsidR="00007EB0" w:rsidRPr="008930A3">
              <w:rPr>
                <w:sz w:val="18"/>
                <w:szCs w:val="18"/>
              </w:rPr>
              <w:t xml:space="preserve"> </w:t>
            </w:r>
            <w:r w:rsidRPr="008930A3">
              <w:rPr>
                <w:sz w:val="18"/>
                <w:szCs w:val="18"/>
              </w:rPr>
              <w:t>Sep 2011 (NI)</w:t>
            </w:r>
          </w:p>
        </w:tc>
        <w:tc>
          <w:tcPr>
            <w:tcW w:w="2521" w:type="dxa"/>
            <w:hideMark/>
          </w:tcPr>
          <w:p w14:paraId="389FEECC" w14:textId="77777777" w:rsidR="000321CB" w:rsidRPr="008930A3" w:rsidRDefault="000321CB" w:rsidP="00B04F00">
            <w:pPr>
              <w:pStyle w:val="NormalWeb"/>
              <w:jc w:val="center"/>
              <w:rPr>
                <w:sz w:val="18"/>
                <w:szCs w:val="18"/>
              </w:rPr>
            </w:pPr>
            <w:r w:rsidRPr="008930A3">
              <w:rPr>
                <w:sz w:val="18"/>
                <w:szCs w:val="18"/>
              </w:rPr>
              <w:t>Sep 2010 to</w:t>
            </w:r>
            <w:r w:rsidR="00B04F00">
              <w:rPr>
                <w:sz w:val="18"/>
                <w:szCs w:val="18"/>
              </w:rPr>
              <w:t xml:space="preserve"> </w:t>
            </w:r>
            <w:r w:rsidRPr="008930A3">
              <w:rPr>
                <w:sz w:val="18"/>
                <w:szCs w:val="18"/>
              </w:rPr>
              <w:t>Nov 2010</w:t>
            </w:r>
          </w:p>
        </w:tc>
        <w:tc>
          <w:tcPr>
            <w:tcW w:w="1276" w:type="dxa"/>
            <w:hideMark/>
          </w:tcPr>
          <w:p w14:paraId="6A98D6DB" w14:textId="77777777" w:rsidR="000321CB" w:rsidRPr="008930A3" w:rsidRDefault="000321CB" w:rsidP="00D11AA0">
            <w:pPr>
              <w:pStyle w:val="NormalWeb"/>
              <w:jc w:val="center"/>
              <w:rPr>
                <w:sz w:val="18"/>
                <w:szCs w:val="18"/>
              </w:rPr>
            </w:pPr>
            <w:r w:rsidRPr="008930A3">
              <w:rPr>
                <w:sz w:val="18"/>
                <w:szCs w:val="18"/>
              </w:rPr>
              <w:t>108</w:t>
            </w:r>
          </w:p>
        </w:tc>
        <w:tc>
          <w:tcPr>
            <w:tcW w:w="1276" w:type="dxa"/>
            <w:hideMark/>
          </w:tcPr>
          <w:p w14:paraId="04778C18" w14:textId="77777777" w:rsidR="000321CB" w:rsidRPr="008930A3" w:rsidRDefault="000321CB" w:rsidP="00D11AA0">
            <w:pPr>
              <w:pStyle w:val="NormalWeb"/>
              <w:jc w:val="center"/>
              <w:rPr>
                <w:sz w:val="18"/>
                <w:szCs w:val="18"/>
              </w:rPr>
            </w:pPr>
            <w:r w:rsidRPr="008930A3">
              <w:rPr>
                <w:sz w:val="18"/>
                <w:szCs w:val="18"/>
              </w:rPr>
              <w:t>15</w:t>
            </w:r>
          </w:p>
        </w:tc>
        <w:tc>
          <w:tcPr>
            <w:tcW w:w="1417" w:type="dxa"/>
            <w:hideMark/>
          </w:tcPr>
          <w:p w14:paraId="794623D8" w14:textId="77777777" w:rsidR="000321CB" w:rsidRPr="008930A3" w:rsidRDefault="000321CB" w:rsidP="00D11AA0">
            <w:pPr>
              <w:pStyle w:val="NormalWeb"/>
              <w:jc w:val="center"/>
              <w:rPr>
                <w:sz w:val="18"/>
                <w:szCs w:val="18"/>
              </w:rPr>
            </w:pPr>
            <w:r w:rsidRPr="008930A3">
              <w:rPr>
                <w:sz w:val="18"/>
                <w:szCs w:val="18"/>
              </w:rPr>
              <w:t>93</w:t>
            </w:r>
          </w:p>
        </w:tc>
        <w:tc>
          <w:tcPr>
            <w:tcW w:w="1843" w:type="dxa"/>
            <w:hideMark/>
          </w:tcPr>
          <w:p w14:paraId="12DA1F57" w14:textId="77777777" w:rsidR="000321CB" w:rsidRPr="008930A3" w:rsidRDefault="000321CB" w:rsidP="00D11AA0">
            <w:pPr>
              <w:pStyle w:val="NormalWeb"/>
              <w:jc w:val="center"/>
              <w:rPr>
                <w:sz w:val="18"/>
                <w:szCs w:val="18"/>
              </w:rPr>
            </w:pPr>
            <w:r w:rsidRPr="008930A3">
              <w:rPr>
                <w:sz w:val="18"/>
                <w:szCs w:val="18"/>
              </w:rPr>
              <w:t>26</w:t>
            </w:r>
          </w:p>
        </w:tc>
        <w:tc>
          <w:tcPr>
            <w:tcW w:w="1985" w:type="dxa"/>
            <w:hideMark/>
          </w:tcPr>
          <w:p w14:paraId="54F10879" w14:textId="77777777" w:rsidR="000321CB" w:rsidRPr="008930A3" w:rsidRDefault="000321CB" w:rsidP="00D11AA0">
            <w:pPr>
              <w:pStyle w:val="NormalWeb"/>
              <w:jc w:val="center"/>
              <w:rPr>
                <w:sz w:val="18"/>
                <w:szCs w:val="18"/>
              </w:rPr>
            </w:pPr>
            <w:r w:rsidRPr="008930A3">
              <w:rPr>
                <w:sz w:val="18"/>
                <w:szCs w:val="18"/>
              </w:rPr>
              <w:t>28.0</w:t>
            </w:r>
          </w:p>
        </w:tc>
        <w:tc>
          <w:tcPr>
            <w:tcW w:w="1417" w:type="dxa"/>
            <w:hideMark/>
          </w:tcPr>
          <w:p w14:paraId="3DDEE8D1" w14:textId="77777777" w:rsidR="000321CB" w:rsidRPr="008930A3" w:rsidRDefault="000321CB" w:rsidP="00D11AA0">
            <w:pPr>
              <w:pStyle w:val="NormalWeb"/>
              <w:jc w:val="center"/>
              <w:rPr>
                <w:sz w:val="18"/>
                <w:szCs w:val="18"/>
              </w:rPr>
            </w:pPr>
            <w:r w:rsidRPr="008930A3">
              <w:rPr>
                <w:sz w:val="18"/>
                <w:szCs w:val="18"/>
              </w:rPr>
              <w:t>67</w:t>
            </w:r>
          </w:p>
        </w:tc>
        <w:tc>
          <w:tcPr>
            <w:tcW w:w="1550" w:type="dxa"/>
            <w:hideMark/>
          </w:tcPr>
          <w:p w14:paraId="2B96721E" w14:textId="77777777" w:rsidR="000321CB" w:rsidRPr="008930A3" w:rsidRDefault="000321CB" w:rsidP="00D11AA0">
            <w:pPr>
              <w:pStyle w:val="NormalWeb"/>
              <w:jc w:val="center"/>
              <w:rPr>
                <w:sz w:val="18"/>
                <w:szCs w:val="18"/>
              </w:rPr>
            </w:pPr>
            <w:r w:rsidRPr="008930A3">
              <w:rPr>
                <w:sz w:val="18"/>
                <w:szCs w:val="18"/>
              </w:rPr>
              <w:t>72.0</w:t>
            </w:r>
          </w:p>
        </w:tc>
      </w:tr>
      <w:tr w:rsidR="00CD0907" w:rsidRPr="008930A3" w14:paraId="34BF8546" w14:textId="77777777" w:rsidTr="00BF256F">
        <w:trPr>
          <w:cnfStyle w:val="000000010000" w:firstRow="0" w:lastRow="0" w:firstColumn="0" w:lastColumn="0" w:oddVBand="0" w:evenVBand="0" w:oddHBand="0" w:evenHBand="1" w:firstRowFirstColumn="0" w:firstRowLastColumn="0" w:lastRowFirstColumn="0" w:lastRowLastColumn="0"/>
        </w:trPr>
        <w:tc>
          <w:tcPr>
            <w:tcW w:w="0" w:type="auto"/>
            <w:hideMark/>
          </w:tcPr>
          <w:p w14:paraId="5B9C0C2B" w14:textId="77777777" w:rsidR="000321CB" w:rsidRPr="008930A3" w:rsidRDefault="000321CB" w:rsidP="00007EB0">
            <w:pPr>
              <w:pStyle w:val="NormalWeb"/>
              <w:rPr>
                <w:sz w:val="18"/>
                <w:szCs w:val="18"/>
              </w:rPr>
            </w:pPr>
            <w:r w:rsidRPr="008930A3">
              <w:rPr>
                <w:sz w:val="18"/>
                <w:szCs w:val="18"/>
              </w:rPr>
              <w:t>Oct 11 to</w:t>
            </w:r>
            <w:r w:rsidR="00007EB0" w:rsidRPr="008930A3">
              <w:rPr>
                <w:sz w:val="18"/>
                <w:szCs w:val="18"/>
              </w:rPr>
              <w:t xml:space="preserve"> </w:t>
            </w:r>
            <w:r w:rsidRPr="008930A3">
              <w:rPr>
                <w:sz w:val="18"/>
                <w:szCs w:val="18"/>
              </w:rPr>
              <w:t>Dec 2011 (I)</w:t>
            </w:r>
          </w:p>
        </w:tc>
        <w:tc>
          <w:tcPr>
            <w:tcW w:w="2521" w:type="dxa"/>
            <w:hideMark/>
          </w:tcPr>
          <w:p w14:paraId="0C8BB9F9" w14:textId="77777777" w:rsidR="000321CB" w:rsidRPr="008930A3" w:rsidRDefault="000321CB" w:rsidP="00B04F00">
            <w:pPr>
              <w:pStyle w:val="NormalWeb"/>
              <w:jc w:val="center"/>
              <w:rPr>
                <w:sz w:val="18"/>
                <w:szCs w:val="18"/>
              </w:rPr>
            </w:pPr>
            <w:r w:rsidRPr="008930A3">
              <w:rPr>
                <w:sz w:val="18"/>
                <w:szCs w:val="18"/>
              </w:rPr>
              <w:t>Dec 2010 to</w:t>
            </w:r>
            <w:r w:rsidR="00B04F00">
              <w:rPr>
                <w:sz w:val="18"/>
                <w:szCs w:val="18"/>
              </w:rPr>
              <w:t xml:space="preserve"> </w:t>
            </w:r>
            <w:r w:rsidRPr="008930A3">
              <w:rPr>
                <w:sz w:val="18"/>
                <w:szCs w:val="18"/>
              </w:rPr>
              <w:t>Feb 2011</w:t>
            </w:r>
          </w:p>
        </w:tc>
        <w:tc>
          <w:tcPr>
            <w:tcW w:w="1276" w:type="dxa"/>
            <w:hideMark/>
          </w:tcPr>
          <w:p w14:paraId="676A2B98" w14:textId="77777777" w:rsidR="000321CB" w:rsidRPr="008930A3" w:rsidRDefault="000321CB" w:rsidP="00D11AA0">
            <w:pPr>
              <w:pStyle w:val="NormalWeb"/>
              <w:jc w:val="center"/>
              <w:rPr>
                <w:sz w:val="18"/>
                <w:szCs w:val="18"/>
              </w:rPr>
            </w:pPr>
            <w:r w:rsidRPr="008930A3">
              <w:rPr>
                <w:sz w:val="18"/>
                <w:szCs w:val="18"/>
              </w:rPr>
              <w:t>91</w:t>
            </w:r>
          </w:p>
        </w:tc>
        <w:tc>
          <w:tcPr>
            <w:tcW w:w="1276" w:type="dxa"/>
            <w:hideMark/>
          </w:tcPr>
          <w:p w14:paraId="6F175183" w14:textId="77777777" w:rsidR="000321CB" w:rsidRPr="008930A3" w:rsidRDefault="000321CB" w:rsidP="00D11AA0">
            <w:pPr>
              <w:pStyle w:val="NormalWeb"/>
              <w:jc w:val="center"/>
              <w:rPr>
                <w:sz w:val="18"/>
                <w:szCs w:val="18"/>
              </w:rPr>
            </w:pPr>
            <w:r w:rsidRPr="008930A3">
              <w:rPr>
                <w:sz w:val="18"/>
                <w:szCs w:val="18"/>
              </w:rPr>
              <w:t>10</w:t>
            </w:r>
          </w:p>
        </w:tc>
        <w:tc>
          <w:tcPr>
            <w:tcW w:w="1417" w:type="dxa"/>
            <w:hideMark/>
          </w:tcPr>
          <w:p w14:paraId="6C9F12FC" w14:textId="77777777" w:rsidR="000321CB" w:rsidRPr="008930A3" w:rsidRDefault="000321CB" w:rsidP="00D11AA0">
            <w:pPr>
              <w:pStyle w:val="NormalWeb"/>
              <w:jc w:val="center"/>
              <w:rPr>
                <w:sz w:val="18"/>
                <w:szCs w:val="18"/>
              </w:rPr>
            </w:pPr>
            <w:r w:rsidRPr="008930A3">
              <w:rPr>
                <w:sz w:val="18"/>
                <w:szCs w:val="18"/>
              </w:rPr>
              <w:t>81</w:t>
            </w:r>
          </w:p>
        </w:tc>
        <w:tc>
          <w:tcPr>
            <w:tcW w:w="1843" w:type="dxa"/>
            <w:hideMark/>
          </w:tcPr>
          <w:p w14:paraId="2DA84C41" w14:textId="77777777" w:rsidR="000321CB" w:rsidRPr="008930A3" w:rsidRDefault="000321CB" w:rsidP="00D11AA0">
            <w:pPr>
              <w:pStyle w:val="NormalWeb"/>
              <w:jc w:val="center"/>
              <w:rPr>
                <w:sz w:val="18"/>
                <w:szCs w:val="18"/>
              </w:rPr>
            </w:pPr>
            <w:r w:rsidRPr="008930A3">
              <w:rPr>
                <w:sz w:val="18"/>
                <w:szCs w:val="18"/>
              </w:rPr>
              <w:t>15</w:t>
            </w:r>
          </w:p>
        </w:tc>
        <w:tc>
          <w:tcPr>
            <w:tcW w:w="1985" w:type="dxa"/>
            <w:hideMark/>
          </w:tcPr>
          <w:p w14:paraId="2C821316" w14:textId="77777777" w:rsidR="000321CB" w:rsidRPr="008930A3" w:rsidRDefault="000321CB" w:rsidP="00D11AA0">
            <w:pPr>
              <w:pStyle w:val="NormalWeb"/>
              <w:jc w:val="center"/>
              <w:rPr>
                <w:sz w:val="18"/>
                <w:szCs w:val="18"/>
              </w:rPr>
            </w:pPr>
            <w:r w:rsidRPr="008930A3">
              <w:rPr>
                <w:sz w:val="18"/>
                <w:szCs w:val="18"/>
              </w:rPr>
              <w:t>18.5</w:t>
            </w:r>
          </w:p>
        </w:tc>
        <w:tc>
          <w:tcPr>
            <w:tcW w:w="1417" w:type="dxa"/>
            <w:hideMark/>
          </w:tcPr>
          <w:p w14:paraId="1522F2AF" w14:textId="77777777" w:rsidR="000321CB" w:rsidRPr="008930A3" w:rsidRDefault="000321CB" w:rsidP="00D11AA0">
            <w:pPr>
              <w:pStyle w:val="NormalWeb"/>
              <w:jc w:val="center"/>
              <w:rPr>
                <w:sz w:val="18"/>
                <w:szCs w:val="18"/>
              </w:rPr>
            </w:pPr>
            <w:r w:rsidRPr="008930A3">
              <w:rPr>
                <w:sz w:val="18"/>
                <w:szCs w:val="18"/>
              </w:rPr>
              <w:t>66</w:t>
            </w:r>
          </w:p>
        </w:tc>
        <w:tc>
          <w:tcPr>
            <w:tcW w:w="1550" w:type="dxa"/>
            <w:hideMark/>
          </w:tcPr>
          <w:p w14:paraId="78C4E62F" w14:textId="77777777" w:rsidR="000321CB" w:rsidRPr="008930A3" w:rsidRDefault="000321CB" w:rsidP="00D11AA0">
            <w:pPr>
              <w:pStyle w:val="NormalWeb"/>
              <w:jc w:val="center"/>
              <w:rPr>
                <w:sz w:val="18"/>
                <w:szCs w:val="18"/>
              </w:rPr>
            </w:pPr>
            <w:r w:rsidRPr="008930A3">
              <w:rPr>
                <w:sz w:val="18"/>
                <w:szCs w:val="18"/>
              </w:rPr>
              <w:t>81.5</w:t>
            </w:r>
          </w:p>
        </w:tc>
      </w:tr>
      <w:tr w:rsidR="00BF256F" w:rsidRPr="008930A3" w14:paraId="39667979" w14:textId="77777777" w:rsidTr="00BF256F">
        <w:tc>
          <w:tcPr>
            <w:tcW w:w="0" w:type="auto"/>
            <w:hideMark/>
          </w:tcPr>
          <w:p w14:paraId="32688CFF" w14:textId="77777777" w:rsidR="000321CB" w:rsidRPr="008930A3" w:rsidRDefault="000321CB" w:rsidP="00007EB0">
            <w:pPr>
              <w:pStyle w:val="NormalWeb"/>
              <w:rPr>
                <w:sz w:val="18"/>
                <w:szCs w:val="18"/>
              </w:rPr>
            </w:pPr>
            <w:r w:rsidRPr="008930A3">
              <w:rPr>
                <w:sz w:val="18"/>
                <w:szCs w:val="18"/>
              </w:rPr>
              <w:t>Jan 2012 to</w:t>
            </w:r>
            <w:r w:rsidR="00007EB0" w:rsidRPr="008930A3">
              <w:rPr>
                <w:sz w:val="18"/>
                <w:szCs w:val="18"/>
              </w:rPr>
              <w:t xml:space="preserve"> </w:t>
            </w:r>
            <w:r w:rsidRPr="008930A3">
              <w:rPr>
                <w:sz w:val="18"/>
                <w:szCs w:val="18"/>
              </w:rPr>
              <w:t>Mar 2012 (NI)</w:t>
            </w:r>
          </w:p>
        </w:tc>
        <w:tc>
          <w:tcPr>
            <w:tcW w:w="2521" w:type="dxa"/>
            <w:hideMark/>
          </w:tcPr>
          <w:p w14:paraId="6FF5DFCF" w14:textId="77777777" w:rsidR="000321CB" w:rsidRPr="008930A3" w:rsidRDefault="000321CB" w:rsidP="00B04F00">
            <w:pPr>
              <w:pStyle w:val="NormalWeb"/>
              <w:jc w:val="center"/>
              <w:rPr>
                <w:sz w:val="18"/>
                <w:szCs w:val="18"/>
              </w:rPr>
            </w:pPr>
            <w:r w:rsidRPr="008930A3">
              <w:rPr>
                <w:sz w:val="18"/>
                <w:szCs w:val="18"/>
              </w:rPr>
              <w:t>Mar 2011 to</w:t>
            </w:r>
            <w:r w:rsidR="00B04F00">
              <w:rPr>
                <w:sz w:val="18"/>
                <w:szCs w:val="18"/>
              </w:rPr>
              <w:t xml:space="preserve"> </w:t>
            </w:r>
            <w:r w:rsidRPr="008930A3">
              <w:rPr>
                <w:sz w:val="18"/>
                <w:szCs w:val="18"/>
              </w:rPr>
              <w:t>May 2011</w:t>
            </w:r>
          </w:p>
        </w:tc>
        <w:tc>
          <w:tcPr>
            <w:tcW w:w="1276" w:type="dxa"/>
            <w:hideMark/>
          </w:tcPr>
          <w:p w14:paraId="46980BD9" w14:textId="77777777" w:rsidR="000321CB" w:rsidRPr="008930A3" w:rsidRDefault="000321CB" w:rsidP="00D11AA0">
            <w:pPr>
              <w:pStyle w:val="NormalWeb"/>
              <w:jc w:val="center"/>
              <w:rPr>
                <w:sz w:val="18"/>
                <w:szCs w:val="18"/>
              </w:rPr>
            </w:pPr>
            <w:r w:rsidRPr="008930A3">
              <w:rPr>
                <w:sz w:val="18"/>
                <w:szCs w:val="18"/>
              </w:rPr>
              <w:t>125</w:t>
            </w:r>
          </w:p>
        </w:tc>
        <w:tc>
          <w:tcPr>
            <w:tcW w:w="1276" w:type="dxa"/>
            <w:hideMark/>
          </w:tcPr>
          <w:p w14:paraId="520B6337" w14:textId="77777777" w:rsidR="000321CB" w:rsidRPr="008930A3" w:rsidRDefault="000321CB" w:rsidP="00D11AA0">
            <w:pPr>
              <w:pStyle w:val="NormalWeb"/>
              <w:jc w:val="center"/>
              <w:rPr>
                <w:sz w:val="18"/>
                <w:szCs w:val="18"/>
              </w:rPr>
            </w:pPr>
            <w:r w:rsidRPr="008930A3">
              <w:rPr>
                <w:sz w:val="18"/>
                <w:szCs w:val="18"/>
              </w:rPr>
              <w:t>8</w:t>
            </w:r>
          </w:p>
        </w:tc>
        <w:tc>
          <w:tcPr>
            <w:tcW w:w="1417" w:type="dxa"/>
            <w:hideMark/>
          </w:tcPr>
          <w:p w14:paraId="19EA1797" w14:textId="77777777" w:rsidR="000321CB" w:rsidRPr="008930A3" w:rsidRDefault="000321CB" w:rsidP="00D11AA0">
            <w:pPr>
              <w:pStyle w:val="NormalWeb"/>
              <w:jc w:val="center"/>
              <w:rPr>
                <w:sz w:val="18"/>
                <w:szCs w:val="18"/>
              </w:rPr>
            </w:pPr>
            <w:r w:rsidRPr="008930A3">
              <w:rPr>
                <w:sz w:val="18"/>
                <w:szCs w:val="18"/>
              </w:rPr>
              <w:t>117</w:t>
            </w:r>
          </w:p>
        </w:tc>
        <w:tc>
          <w:tcPr>
            <w:tcW w:w="1843" w:type="dxa"/>
            <w:hideMark/>
          </w:tcPr>
          <w:p w14:paraId="4497B0D4" w14:textId="77777777" w:rsidR="000321CB" w:rsidRPr="008930A3" w:rsidRDefault="000321CB" w:rsidP="00D11AA0">
            <w:pPr>
              <w:pStyle w:val="NormalWeb"/>
              <w:jc w:val="center"/>
              <w:rPr>
                <w:sz w:val="18"/>
                <w:szCs w:val="18"/>
              </w:rPr>
            </w:pPr>
            <w:r w:rsidRPr="008930A3">
              <w:rPr>
                <w:sz w:val="18"/>
                <w:szCs w:val="18"/>
              </w:rPr>
              <w:t>32</w:t>
            </w:r>
          </w:p>
        </w:tc>
        <w:tc>
          <w:tcPr>
            <w:tcW w:w="1985" w:type="dxa"/>
            <w:hideMark/>
          </w:tcPr>
          <w:p w14:paraId="0A679EF8" w14:textId="77777777" w:rsidR="000321CB" w:rsidRPr="008930A3" w:rsidRDefault="000321CB" w:rsidP="00D11AA0">
            <w:pPr>
              <w:pStyle w:val="NormalWeb"/>
              <w:jc w:val="center"/>
              <w:rPr>
                <w:sz w:val="18"/>
                <w:szCs w:val="18"/>
              </w:rPr>
            </w:pPr>
            <w:r w:rsidRPr="008930A3">
              <w:rPr>
                <w:sz w:val="18"/>
                <w:szCs w:val="18"/>
              </w:rPr>
              <w:t>27.4</w:t>
            </w:r>
          </w:p>
        </w:tc>
        <w:tc>
          <w:tcPr>
            <w:tcW w:w="1417" w:type="dxa"/>
            <w:hideMark/>
          </w:tcPr>
          <w:p w14:paraId="444A3D6D" w14:textId="77777777" w:rsidR="000321CB" w:rsidRPr="008930A3" w:rsidRDefault="000321CB" w:rsidP="00D11AA0">
            <w:pPr>
              <w:pStyle w:val="NormalWeb"/>
              <w:jc w:val="center"/>
              <w:rPr>
                <w:sz w:val="18"/>
                <w:szCs w:val="18"/>
              </w:rPr>
            </w:pPr>
            <w:r w:rsidRPr="008930A3">
              <w:rPr>
                <w:sz w:val="18"/>
                <w:szCs w:val="18"/>
              </w:rPr>
              <w:t>85</w:t>
            </w:r>
          </w:p>
        </w:tc>
        <w:tc>
          <w:tcPr>
            <w:tcW w:w="1550" w:type="dxa"/>
            <w:hideMark/>
          </w:tcPr>
          <w:p w14:paraId="6F235450" w14:textId="77777777" w:rsidR="000321CB" w:rsidRPr="008930A3" w:rsidRDefault="000321CB" w:rsidP="00D11AA0">
            <w:pPr>
              <w:pStyle w:val="NormalWeb"/>
              <w:jc w:val="center"/>
              <w:rPr>
                <w:sz w:val="18"/>
                <w:szCs w:val="18"/>
              </w:rPr>
            </w:pPr>
            <w:r w:rsidRPr="008930A3">
              <w:rPr>
                <w:sz w:val="18"/>
                <w:szCs w:val="18"/>
              </w:rPr>
              <w:t>72.6</w:t>
            </w:r>
          </w:p>
        </w:tc>
      </w:tr>
      <w:tr w:rsidR="00CD0907" w:rsidRPr="008930A3" w14:paraId="47C17F90" w14:textId="77777777" w:rsidTr="00BF256F">
        <w:trPr>
          <w:cnfStyle w:val="000000010000" w:firstRow="0" w:lastRow="0" w:firstColumn="0" w:lastColumn="0" w:oddVBand="0" w:evenVBand="0" w:oddHBand="0" w:evenHBand="1" w:firstRowFirstColumn="0" w:firstRowLastColumn="0" w:lastRowFirstColumn="0" w:lastRowLastColumn="0"/>
        </w:trPr>
        <w:tc>
          <w:tcPr>
            <w:tcW w:w="0" w:type="auto"/>
            <w:hideMark/>
          </w:tcPr>
          <w:p w14:paraId="2B4EECE7" w14:textId="77777777" w:rsidR="000321CB" w:rsidRPr="008930A3" w:rsidRDefault="000321CB" w:rsidP="00007EB0">
            <w:pPr>
              <w:pStyle w:val="NormalWeb"/>
              <w:rPr>
                <w:sz w:val="18"/>
                <w:szCs w:val="18"/>
              </w:rPr>
            </w:pPr>
            <w:r w:rsidRPr="008930A3">
              <w:rPr>
                <w:sz w:val="18"/>
                <w:szCs w:val="18"/>
              </w:rPr>
              <w:t>Apr 2012 to</w:t>
            </w:r>
            <w:r w:rsidR="00007EB0" w:rsidRPr="008930A3">
              <w:rPr>
                <w:sz w:val="18"/>
                <w:szCs w:val="18"/>
              </w:rPr>
              <w:t xml:space="preserve"> </w:t>
            </w:r>
            <w:r w:rsidRPr="008930A3">
              <w:rPr>
                <w:sz w:val="18"/>
                <w:szCs w:val="18"/>
              </w:rPr>
              <w:t>Jun 2012 (I)</w:t>
            </w:r>
          </w:p>
        </w:tc>
        <w:tc>
          <w:tcPr>
            <w:tcW w:w="2521" w:type="dxa"/>
            <w:hideMark/>
          </w:tcPr>
          <w:p w14:paraId="0DE31A82" w14:textId="77777777" w:rsidR="000321CB" w:rsidRPr="008930A3" w:rsidRDefault="000321CB" w:rsidP="00B04F00">
            <w:pPr>
              <w:pStyle w:val="NormalWeb"/>
              <w:jc w:val="center"/>
              <w:rPr>
                <w:sz w:val="18"/>
                <w:szCs w:val="18"/>
              </w:rPr>
            </w:pPr>
            <w:r w:rsidRPr="008930A3">
              <w:rPr>
                <w:sz w:val="18"/>
                <w:szCs w:val="18"/>
              </w:rPr>
              <w:t>Jun 2011 to</w:t>
            </w:r>
            <w:r w:rsidR="00B04F00">
              <w:rPr>
                <w:sz w:val="18"/>
                <w:szCs w:val="18"/>
              </w:rPr>
              <w:t xml:space="preserve"> </w:t>
            </w:r>
            <w:r w:rsidRPr="008930A3">
              <w:rPr>
                <w:sz w:val="18"/>
                <w:szCs w:val="18"/>
              </w:rPr>
              <w:t>Aug 2011</w:t>
            </w:r>
          </w:p>
        </w:tc>
        <w:tc>
          <w:tcPr>
            <w:tcW w:w="1276" w:type="dxa"/>
            <w:hideMark/>
          </w:tcPr>
          <w:p w14:paraId="5C7CB6BB" w14:textId="77777777" w:rsidR="000321CB" w:rsidRPr="008930A3" w:rsidRDefault="000321CB" w:rsidP="00D11AA0">
            <w:pPr>
              <w:pStyle w:val="NormalWeb"/>
              <w:jc w:val="center"/>
              <w:rPr>
                <w:sz w:val="18"/>
                <w:szCs w:val="18"/>
              </w:rPr>
            </w:pPr>
            <w:r w:rsidRPr="008930A3">
              <w:rPr>
                <w:sz w:val="18"/>
                <w:szCs w:val="18"/>
              </w:rPr>
              <w:t>108</w:t>
            </w:r>
          </w:p>
        </w:tc>
        <w:tc>
          <w:tcPr>
            <w:tcW w:w="1276" w:type="dxa"/>
            <w:hideMark/>
          </w:tcPr>
          <w:p w14:paraId="377B050B" w14:textId="77777777" w:rsidR="000321CB" w:rsidRPr="008930A3" w:rsidRDefault="000321CB" w:rsidP="00D11AA0">
            <w:pPr>
              <w:pStyle w:val="NormalWeb"/>
              <w:jc w:val="center"/>
              <w:rPr>
                <w:sz w:val="18"/>
                <w:szCs w:val="18"/>
              </w:rPr>
            </w:pPr>
            <w:r w:rsidRPr="008930A3">
              <w:rPr>
                <w:sz w:val="18"/>
                <w:szCs w:val="18"/>
              </w:rPr>
              <w:t>11</w:t>
            </w:r>
          </w:p>
        </w:tc>
        <w:tc>
          <w:tcPr>
            <w:tcW w:w="1417" w:type="dxa"/>
            <w:hideMark/>
          </w:tcPr>
          <w:p w14:paraId="057D3A10" w14:textId="77777777" w:rsidR="000321CB" w:rsidRPr="008930A3" w:rsidRDefault="000321CB" w:rsidP="00D11AA0">
            <w:pPr>
              <w:pStyle w:val="NormalWeb"/>
              <w:jc w:val="center"/>
              <w:rPr>
                <w:sz w:val="18"/>
                <w:szCs w:val="18"/>
              </w:rPr>
            </w:pPr>
            <w:r w:rsidRPr="008930A3">
              <w:rPr>
                <w:sz w:val="18"/>
                <w:szCs w:val="18"/>
              </w:rPr>
              <w:t>97</w:t>
            </w:r>
          </w:p>
        </w:tc>
        <w:tc>
          <w:tcPr>
            <w:tcW w:w="1843" w:type="dxa"/>
            <w:hideMark/>
          </w:tcPr>
          <w:p w14:paraId="30291ABB" w14:textId="77777777" w:rsidR="000321CB" w:rsidRPr="008930A3" w:rsidRDefault="000321CB" w:rsidP="00D11AA0">
            <w:pPr>
              <w:pStyle w:val="NormalWeb"/>
              <w:jc w:val="center"/>
              <w:rPr>
                <w:sz w:val="18"/>
                <w:szCs w:val="18"/>
              </w:rPr>
            </w:pPr>
            <w:r w:rsidRPr="008930A3">
              <w:rPr>
                <w:sz w:val="18"/>
                <w:szCs w:val="18"/>
              </w:rPr>
              <w:t>18</w:t>
            </w:r>
          </w:p>
        </w:tc>
        <w:tc>
          <w:tcPr>
            <w:tcW w:w="1985" w:type="dxa"/>
            <w:hideMark/>
          </w:tcPr>
          <w:p w14:paraId="33F34423" w14:textId="77777777" w:rsidR="000321CB" w:rsidRPr="008930A3" w:rsidRDefault="000321CB" w:rsidP="00D11AA0">
            <w:pPr>
              <w:pStyle w:val="NormalWeb"/>
              <w:jc w:val="center"/>
              <w:rPr>
                <w:sz w:val="18"/>
                <w:szCs w:val="18"/>
              </w:rPr>
            </w:pPr>
            <w:r w:rsidRPr="008930A3">
              <w:rPr>
                <w:sz w:val="18"/>
                <w:szCs w:val="18"/>
              </w:rPr>
              <w:t>18.6</w:t>
            </w:r>
          </w:p>
        </w:tc>
        <w:tc>
          <w:tcPr>
            <w:tcW w:w="1417" w:type="dxa"/>
            <w:hideMark/>
          </w:tcPr>
          <w:p w14:paraId="1689C224" w14:textId="77777777" w:rsidR="000321CB" w:rsidRPr="008930A3" w:rsidRDefault="000321CB" w:rsidP="00D11AA0">
            <w:pPr>
              <w:pStyle w:val="NormalWeb"/>
              <w:jc w:val="center"/>
              <w:rPr>
                <w:sz w:val="18"/>
                <w:szCs w:val="18"/>
              </w:rPr>
            </w:pPr>
            <w:r w:rsidRPr="008930A3">
              <w:rPr>
                <w:sz w:val="18"/>
                <w:szCs w:val="18"/>
              </w:rPr>
              <w:t>79</w:t>
            </w:r>
          </w:p>
        </w:tc>
        <w:tc>
          <w:tcPr>
            <w:tcW w:w="1550" w:type="dxa"/>
            <w:hideMark/>
          </w:tcPr>
          <w:p w14:paraId="3DE9A73C" w14:textId="77777777" w:rsidR="000321CB" w:rsidRPr="008930A3" w:rsidRDefault="000321CB" w:rsidP="00D11AA0">
            <w:pPr>
              <w:pStyle w:val="NormalWeb"/>
              <w:jc w:val="center"/>
              <w:rPr>
                <w:sz w:val="18"/>
                <w:szCs w:val="18"/>
              </w:rPr>
            </w:pPr>
            <w:r w:rsidRPr="008930A3">
              <w:rPr>
                <w:sz w:val="18"/>
                <w:szCs w:val="18"/>
              </w:rPr>
              <w:t>81.4</w:t>
            </w:r>
          </w:p>
        </w:tc>
      </w:tr>
      <w:tr w:rsidR="00BF256F" w:rsidRPr="008930A3" w14:paraId="40C4E8E7" w14:textId="77777777" w:rsidTr="00BF256F">
        <w:tc>
          <w:tcPr>
            <w:tcW w:w="0" w:type="auto"/>
            <w:hideMark/>
          </w:tcPr>
          <w:p w14:paraId="65479E30" w14:textId="77777777" w:rsidR="000321CB" w:rsidRPr="008930A3" w:rsidRDefault="000321CB" w:rsidP="00007EB0">
            <w:pPr>
              <w:pStyle w:val="NormalWeb"/>
              <w:rPr>
                <w:sz w:val="18"/>
                <w:szCs w:val="18"/>
              </w:rPr>
            </w:pPr>
            <w:r w:rsidRPr="008930A3">
              <w:rPr>
                <w:sz w:val="18"/>
                <w:szCs w:val="18"/>
              </w:rPr>
              <w:t>Jul 2012 to</w:t>
            </w:r>
            <w:r w:rsidR="00007EB0" w:rsidRPr="008930A3">
              <w:rPr>
                <w:sz w:val="18"/>
                <w:szCs w:val="18"/>
              </w:rPr>
              <w:t xml:space="preserve"> </w:t>
            </w:r>
            <w:r w:rsidRPr="008930A3">
              <w:rPr>
                <w:sz w:val="18"/>
                <w:szCs w:val="18"/>
              </w:rPr>
              <w:t>Sep 2012 (NI)</w:t>
            </w:r>
          </w:p>
        </w:tc>
        <w:tc>
          <w:tcPr>
            <w:tcW w:w="2521" w:type="dxa"/>
            <w:hideMark/>
          </w:tcPr>
          <w:p w14:paraId="078C8057" w14:textId="77777777" w:rsidR="000321CB" w:rsidRPr="008930A3" w:rsidRDefault="000321CB" w:rsidP="00B04F00">
            <w:pPr>
              <w:pStyle w:val="NormalWeb"/>
              <w:jc w:val="center"/>
              <w:rPr>
                <w:sz w:val="18"/>
                <w:szCs w:val="18"/>
              </w:rPr>
            </w:pPr>
            <w:r w:rsidRPr="008930A3">
              <w:rPr>
                <w:sz w:val="18"/>
                <w:szCs w:val="18"/>
              </w:rPr>
              <w:t>Sep 2011 to</w:t>
            </w:r>
            <w:r w:rsidR="00B04F00">
              <w:rPr>
                <w:sz w:val="18"/>
                <w:szCs w:val="18"/>
              </w:rPr>
              <w:t xml:space="preserve"> </w:t>
            </w:r>
            <w:r w:rsidRPr="008930A3">
              <w:rPr>
                <w:sz w:val="18"/>
                <w:szCs w:val="18"/>
              </w:rPr>
              <w:t>Nov 2011</w:t>
            </w:r>
          </w:p>
        </w:tc>
        <w:tc>
          <w:tcPr>
            <w:tcW w:w="1276" w:type="dxa"/>
            <w:hideMark/>
          </w:tcPr>
          <w:p w14:paraId="34244879" w14:textId="77777777" w:rsidR="000321CB" w:rsidRPr="008930A3" w:rsidRDefault="000321CB" w:rsidP="00D11AA0">
            <w:pPr>
              <w:pStyle w:val="NormalWeb"/>
              <w:jc w:val="center"/>
              <w:rPr>
                <w:sz w:val="18"/>
                <w:szCs w:val="18"/>
              </w:rPr>
            </w:pPr>
            <w:r w:rsidRPr="008930A3">
              <w:rPr>
                <w:sz w:val="18"/>
                <w:szCs w:val="18"/>
              </w:rPr>
              <w:t>115</w:t>
            </w:r>
          </w:p>
        </w:tc>
        <w:tc>
          <w:tcPr>
            <w:tcW w:w="1276" w:type="dxa"/>
            <w:hideMark/>
          </w:tcPr>
          <w:p w14:paraId="6EFD0CA4" w14:textId="77777777" w:rsidR="000321CB" w:rsidRPr="008930A3" w:rsidRDefault="000321CB" w:rsidP="00D11AA0">
            <w:pPr>
              <w:pStyle w:val="NormalWeb"/>
              <w:jc w:val="center"/>
              <w:rPr>
                <w:sz w:val="18"/>
                <w:szCs w:val="18"/>
              </w:rPr>
            </w:pPr>
            <w:r w:rsidRPr="008930A3">
              <w:rPr>
                <w:sz w:val="18"/>
                <w:szCs w:val="18"/>
              </w:rPr>
              <w:t>17</w:t>
            </w:r>
          </w:p>
        </w:tc>
        <w:tc>
          <w:tcPr>
            <w:tcW w:w="1417" w:type="dxa"/>
            <w:hideMark/>
          </w:tcPr>
          <w:p w14:paraId="7CDAE2BD" w14:textId="77777777" w:rsidR="000321CB" w:rsidRPr="008930A3" w:rsidRDefault="000321CB" w:rsidP="00D11AA0">
            <w:pPr>
              <w:pStyle w:val="NormalWeb"/>
              <w:jc w:val="center"/>
              <w:rPr>
                <w:sz w:val="18"/>
                <w:szCs w:val="18"/>
              </w:rPr>
            </w:pPr>
            <w:r w:rsidRPr="008930A3">
              <w:rPr>
                <w:sz w:val="18"/>
                <w:szCs w:val="18"/>
              </w:rPr>
              <w:t>98</w:t>
            </w:r>
          </w:p>
        </w:tc>
        <w:tc>
          <w:tcPr>
            <w:tcW w:w="1843" w:type="dxa"/>
            <w:hideMark/>
          </w:tcPr>
          <w:p w14:paraId="743973E7" w14:textId="77777777" w:rsidR="000321CB" w:rsidRPr="008930A3" w:rsidRDefault="000321CB" w:rsidP="00D11AA0">
            <w:pPr>
              <w:pStyle w:val="NormalWeb"/>
              <w:jc w:val="center"/>
              <w:rPr>
                <w:sz w:val="18"/>
                <w:szCs w:val="18"/>
              </w:rPr>
            </w:pPr>
            <w:r w:rsidRPr="008930A3">
              <w:rPr>
                <w:sz w:val="18"/>
                <w:szCs w:val="18"/>
              </w:rPr>
              <w:t>23</w:t>
            </w:r>
          </w:p>
        </w:tc>
        <w:tc>
          <w:tcPr>
            <w:tcW w:w="1985" w:type="dxa"/>
            <w:hideMark/>
          </w:tcPr>
          <w:p w14:paraId="5B205FE0" w14:textId="77777777" w:rsidR="000321CB" w:rsidRPr="008930A3" w:rsidRDefault="000321CB" w:rsidP="00D11AA0">
            <w:pPr>
              <w:pStyle w:val="NormalWeb"/>
              <w:jc w:val="center"/>
              <w:rPr>
                <w:sz w:val="18"/>
                <w:szCs w:val="18"/>
              </w:rPr>
            </w:pPr>
            <w:r w:rsidRPr="008930A3">
              <w:rPr>
                <w:sz w:val="18"/>
                <w:szCs w:val="18"/>
              </w:rPr>
              <w:t>23.5</w:t>
            </w:r>
          </w:p>
        </w:tc>
        <w:tc>
          <w:tcPr>
            <w:tcW w:w="1417" w:type="dxa"/>
            <w:hideMark/>
          </w:tcPr>
          <w:p w14:paraId="040AF111" w14:textId="77777777" w:rsidR="000321CB" w:rsidRPr="008930A3" w:rsidRDefault="000321CB" w:rsidP="00D11AA0">
            <w:pPr>
              <w:pStyle w:val="NormalWeb"/>
              <w:jc w:val="center"/>
              <w:rPr>
                <w:sz w:val="18"/>
                <w:szCs w:val="18"/>
              </w:rPr>
            </w:pPr>
            <w:r w:rsidRPr="008930A3">
              <w:rPr>
                <w:sz w:val="18"/>
                <w:szCs w:val="18"/>
              </w:rPr>
              <w:t>75</w:t>
            </w:r>
          </w:p>
        </w:tc>
        <w:tc>
          <w:tcPr>
            <w:tcW w:w="1550" w:type="dxa"/>
            <w:hideMark/>
          </w:tcPr>
          <w:p w14:paraId="32CEC0BD" w14:textId="77777777" w:rsidR="000321CB" w:rsidRPr="008930A3" w:rsidRDefault="000321CB" w:rsidP="00D11AA0">
            <w:pPr>
              <w:pStyle w:val="NormalWeb"/>
              <w:jc w:val="center"/>
              <w:rPr>
                <w:sz w:val="18"/>
                <w:szCs w:val="18"/>
              </w:rPr>
            </w:pPr>
            <w:r w:rsidRPr="008930A3">
              <w:rPr>
                <w:sz w:val="18"/>
                <w:szCs w:val="18"/>
              </w:rPr>
              <w:t>76.5</w:t>
            </w:r>
          </w:p>
        </w:tc>
      </w:tr>
      <w:tr w:rsidR="00CD0907" w:rsidRPr="008930A3" w14:paraId="6C451B30" w14:textId="77777777" w:rsidTr="00BF256F">
        <w:trPr>
          <w:cnfStyle w:val="000000010000" w:firstRow="0" w:lastRow="0" w:firstColumn="0" w:lastColumn="0" w:oddVBand="0" w:evenVBand="0" w:oddHBand="0" w:evenHBand="1" w:firstRowFirstColumn="0" w:firstRowLastColumn="0" w:lastRowFirstColumn="0" w:lastRowLastColumn="0"/>
        </w:trPr>
        <w:tc>
          <w:tcPr>
            <w:tcW w:w="0" w:type="auto"/>
            <w:hideMark/>
          </w:tcPr>
          <w:p w14:paraId="5D27C261" w14:textId="77777777" w:rsidR="000321CB" w:rsidRPr="008930A3" w:rsidRDefault="000321CB" w:rsidP="00007EB0">
            <w:pPr>
              <w:pStyle w:val="NormalWeb"/>
              <w:rPr>
                <w:sz w:val="18"/>
                <w:szCs w:val="18"/>
              </w:rPr>
            </w:pPr>
            <w:r w:rsidRPr="008930A3">
              <w:rPr>
                <w:sz w:val="18"/>
                <w:szCs w:val="18"/>
              </w:rPr>
              <w:t>Oct 2012 to</w:t>
            </w:r>
            <w:r w:rsidR="00007EB0" w:rsidRPr="008930A3">
              <w:rPr>
                <w:sz w:val="18"/>
                <w:szCs w:val="18"/>
              </w:rPr>
              <w:t xml:space="preserve"> </w:t>
            </w:r>
            <w:r w:rsidRPr="008930A3">
              <w:rPr>
                <w:sz w:val="18"/>
                <w:szCs w:val="18"/>
              </w:rPr>
              <w:t>Dec 2012 (I)</w:t>
            </w:r>
          </w:p>
        </w:tc>
        <w:tc>
          <w:tcPr>
            <w:tcW w:w="2521" w:type="dxa"/>
            <w:hideMark/>
          </w:tcPr>
          <w:p w14:paraId="5958E29F" w14:textId="77777777" w:rsidR="000321CB" w:rsidRPr="008930A3" w:rsidRDefault="000321CB" w:rsidP="00B04F00">
            <w:pPr>
              <w:pStyle w:val="NormalWeb"/>
              <w:jc w:val="center"/>
              <w:rPr>
                <w:sz w:val="18"/>
                <w:szCs w:val="18"/>
              </w:rPr>
            </w:pPr>
            <w:r w:rsidRPr="008930A3">
              <w:rPr>
                <w:sz w:val="18"/>
                <w:szCs w:val="18"/>
              </w:rPr>
              <w:t>Dec 2011 to</w:t>
            </w:r>
            <w:r w:rsidR="00B04F00">
              <w:rPr>
                <w:sz w:val="18"/>
                <w:szCs w:val="18"/>
              </w:rPr>
              <w:t xml:space="preserve"> </w:t>
            </w:r>
            <w:r w:rsidRPr="008930A3">
              <w:rPr>
                <w:sz w:val="18"/>
                <w:szCs w:val="18"/>
              </w:rPr>
              <w:t>Feb 2012</w:t>
            </w:r>
          </w:p>
        </w:tc>
        <w:tc>
          <w:tcPr>
            <w:tcW w:w="1276" w:type="dxa"/>
            <w:hideMark/>
          </w:tcPr>
          <w:p w14:paraId="41FAD05E" w14:textId="77777777" w:rsidR="000321CB" w:rsidRPr="008930A3" w:rsidRDefault="000321CB" w:rsidP="00D11AA0">
            <w:pPr>
              <w:pStyle w:val="NormalWeb"/>
              <w:jc w:val="center"/>
              <w:rPr>
                <w:sz w:val="18"/>
                <w:szCs w:val="18"/>
              </w:rPr>
            </w:pPr>
            <w:r w:rsidRPr="008930A3">
              <w:rPr>
                <w:sz w:val="18"/>
                <w:szCs w:val="18"/>
              </w:rPr>
              <w:t>100</w:t>
            </w:r>
          </w:p>
        </w:tc>
        <w:tc>
          <w:tcPr>
            <w:tcW w:w="1276" w:type="dxa"/>
            <w:hideMark/>
          </w:tcPr>
          <w:p w14:paraId="4E18817C" w14:textId="77777777" w:rsidR="000321CB" w:rsidRPr="008930A3" w:rsidRDefault="000321CB" w:rsidP="00D11AA0">
            <w:pPr>
              <w:pStyle w:val="NormalWeb"/>
              <w:jc w:val="center"/>
              <w:rPr>
                <w:sz w:val="18"/>
                <w:szCs w:val="18"/>
              </w:rPr>
            </w:pPr>
            <w:r w:rsidRPr="008930A3">
              <w:rPr>
                <w:sz w:val="18"/>
                <w:szCs w:val="18"/>
              </w:rPr>
              <w:t>15</w:t>
            </w:r>
          </w:p>
        </w:tc>
        <w:tc>
          <w:tcPr>
            <w:tcW w:w="1417" w:type="dxa"/>
            <w:hideMark/>
          </w:tcPr>
          <w:p w14:paraId="1D2C5BFF" w14:textId="77777777" w:rsidR="000321CB" w:rsidRPr="008930A3" w:rsidRDefault="000321CB" w:rsidP="00D11AA0">
            <w:pPr>
              <w:pStyle w:val="NormalWeb"/>
              <w:jc w:val="center"/>
              <w:rPr>
                <w:sz w:val="18"/>
                <w:szCs w:val="18"/>
              </w:rPr>
            </w:pPr>
            <w:r w:rsidRPr="008930A3">
              <w:rPr>
                <w:sz w:val="18"/>
                <w:szCs w:val="18"/>
              </w:rPr>
              <w:t>85</w:t>
            </w:r>
          </w:p>
        </w:tc>
        <w:tc>
          <w:tcPr>
            <w:tcW w:w="1843" w:type="dxa"/>
            <w:hideMark/>
          </w:tcPr>
          <w:p w14:paraId="49D21955" w14:textId="77777777" w:rsidR="000321CB" w:rsidRPr="008930A3" w:rsidRDefault="000321CB" w:rsidP="00D11AA0">
            <w:pPr>
              <w:pStyle w:val="NormalWeb"/>
              <w:jc w:val="center"/>
              <w:rPr>
                <w:sz w:val="18"/>
                <w:szCs w:val="18"/>
              </w:rPr>
            </w:pPr>
            <w:r w:rsidRPr="008930A3">
              <w:rPr>
                <w:sz w:val="18"/>
                <w:szCs w:val="18"/>
              </w:rPr>
              <w:t>11</w:t>
            </w:r>
          </w:p>
        </w:tc>
        <w:tc>
          <w:tcPr>
            <w:tcW w:w="1985" w:type="dxa"/>
            <w:hideMark/>
          </w:tcPr>
          <w:p w14:paraId="1C22A799" w14:textId="77777777" w:rsidR="000321CB" w:rsidRPr="008930A3" w:rsidRDefault="000321CB" w:rsidP="00D11AA0">
            <w:pPr>
              <w:pStyle w:val="NormalWeb"/>
              <w:jc w:val="center"/>
              <w:rPr>
                <w:sz w:val="18"/>
                <w:szCs w:val="18"/>
              </w:rPr>
            </w:pPr>
            <w:r w:rsidRPr="008930A3">
              <w:rPr>
                <w:sz w:val="18"/>
                <w:szCs w:val="18"/>
              </w:rPr>
              <w:t>12.9</w:t>
            </w:r>
          </w:p>
        </w:tc>
        <w:tc>
          <w:tcPr>
            <w:tcW w:w="1417" w:type="dxa"/>
            <w:hideMark/>
          </w:tcPr>
          <w:p w14:paraId="78846AA0" w14:textId="77777777" w:rsidR="000321CB" w:rsidRPr="008930A3" w:rsidRDefault="000321CB" w:rsidP="00D11AA0">
            <w:pPr>
              <w:pStyle w:val="NormalWeb"/>
              <w:jc w:val="center"/>
              <w:rPr>
                <w:sz w:val="18"/>
                <w:szCs w:val="18"/>
              </w:rPr>
            </w:pPr>
            <w:r w:rsidRPr="008930A3">
              <w:rPr>
                <w:sz w:val="18"/>
                <w:szCs w:val="18"/>
              </w:rPr>
              <w:t>74</w:t>
            </w:r>
          </w:p>
        </w:tc>
        <w:tc>
          <w:tcPr>
            <w:tcW w:w="1550" w:type="dxa"/>
            <w:hideMark/>
          </w:tcPr>
          <w:p w14:paraId="0AFB785C" w14:textId="77777777" w:rsidR="000321CB" w:rsidRPr="008930A3" w:rsidRDefault="000321CB" w:rsidP="00D11AA0">
            <w:pPr>
              <w:pStyle w:val="NormalWeb"/>
              <w:jc w:val="center"/>
              <w:rPr>
                <w:sz w:val="18"/>
                <w:szCs w:val="18"/>
              </w:rPr>
            </w:pPr>
            <w:r w:rsidRPr="008930A3">
              <w:rPr>
                <w:sz w:val="18"/>
                <w:szCs w:val="18"/>
              </w:rPr>
              <w:t>87.1</w:t>
            </w:r>
          </w:p>
        </w:tc>
      </w:tr>
      <w:tr w:rsidR="00BF256F" w:rsidRPr="008930A3" w14:paraId="0E0220B8" w14:textId="77777777" w:rsidTr="00BF256F">
        <w:tc>
          <w:tcPr>
            <w:tcW w:w="0" w:type="auto"/>
            <w:hideMark/>
          </w:tcPr>
          <w:p w14:paraId="3231025D" w14:textId="77777777" w:rsidR="000321CB" w:rsidRPr="008930A3" w:rsidRDefault="000321CB" w:rsidP="00007EB0">
            <w:pPr>
              <w:pStyle w:val="NormalWeb"/>
              <w:rPr>
                <w:sz w:val="18"/>
                <w:szCs w:val="18"/>
              </w:rPr>
            </w:pPr>
            <w:r w:rsidRPr="008930A3">
              <w:rPr>
                <w:sz w:val="18"/>
                <w:szCs w:val="18"/>
              </w:rPr>
              <w:t>Jan 2013 to</w:t>
            </w:r>
            <w:r w:rsidR="00007EB0" w:rsidRPr="008930A3">
              <w:rPr>
                <w:sz w:val="18"/>
                <w:szCs w:val="18"/>
              </w:rPr>
              <w:t xml:space="preserve"> </w:t>
            </w:r>
            <w:r w:rsidRPr="008930A3">
              <w:rPr>
                <w:sz w:val="18"/>
                <w:szCs w:val="18"/>
              </w:rPr>
              <w:t>Mar 2013 (NI)</w:t>
            </w:r>
          </w:p>
        </w:tc>
        <w:tc>
          <w:tcPr>
            <w:tcW w:w="2521" w:type="dxa"/>
            <w:hideMark/>
          </w:tcPr>
          <w:p w14:paraId="1D34826E" w14:textId="77777777" w:rsidR="000321CB" w:rsidRPr="008930A3" w:rsidRDefault="000321CB" w:rsidP="00D11AA0">
            <w:pPr>
              <w:pStyle w:val="NormalWeb"/>
              <w:jc w:val="center"/>
              <w:rPr>
                <w:sz w:val="18"/>
                <w:szCs w:val="18"/>
              </w:rPr>
            </w:pPr>
            <w:r w:rsidRPr="008930A3">
              <w:rPr>
                <w:sz w:val="18"/>
                <w:szCs w:val="18"/>
              </w:rPr>
              <w:t>Mar 2012 to May 2012</w:t>
            </w:r>
          </w:p>
        </w:tc>
        <w:tc>
          <w:tcPr>
            <w:tcW w:w="1276" w:type="dxa"/>
            <w:hideMark/>
          </w:tcPr>
          <w:p w14:paraId="027C64DF" w14:textId="77777777" w:rsidR="000321CB" w:rsidRPr="008930A3" w:rsidRDefault="000321CB" w:rsidP="00D11AA0">
            <w:pPr>
              <w:pStyle w:val="NormalWeb"/>
              <w:jc w:val="center"/>
              <w:rPr>
                <w:sz w:val="18"/>
                <w:szCs w:val="18"/>
              </w:rPr>
            </w:pPr>
            <w:r w:rsidRPr="008930A3">
              <w:rPr>
                <w:sz w:val="18"/>
                <w:szCs w:val="18"/>
              </w:rPr>
              <w:t>110</w:t>
            </w:r>
          </w:p>
        </w:tc>
        <w:tc>
          <w:tcPr>
            <w:tcW w:w="1276" w:type="dxa"/>
            <w:hideMark/>
          </w:tcPr>
          <w:p w14:paraId="7936673F" w14:textId="77777777" w:rsidR="000321CB" w:rsidRPr="008930A3" w:rsidRDefault="000321CB" w:rsidP="00D11AA0">
            <w:pPr>
              <w:pStyle w:val="NormalWeb"/>
              <w:jc w:val="center"/>
              <w:rPr>
                <w:sz w:val="18"/>
                <w:szCs w:val="18"/>
              </w:rPr>
            </w:pPr>
            <w:r w:rsidRPr="008930A3">
              <w:rPr>
                <w:sz w:val="18"/>
                <w:szCs w:val="18"/>
              </w:rPr>
              <w:t>20</w:t>
            </w:r>
          </w:p>
        </w:tc>
        <w:tc>
          <w:tcPr>
            <w:tcW w:w="1417" w:type="dxa"/>
            <w:hideMark/>
          </w:tcPr>
          <w:p w14:paraId="3723CA7C" w14:textId="77777777" w:rsidR="000321CB" w:rsidRPr="008930A3" w:rsidRDefault="000321CB" w:rsidP="00D11AA0">
            <w:pPr>
              <w:pStyle w:val="NormalWeb"/>
              <w:jc w:val="center"/>
              <w:rPr>
                <w:sz w:val="18"/>
                <w:szCs w:val="18"/>
              </w:rPr>
            </w:pPr>
            <w:r w:rsidRPr="008930A3">
              <w:rPr>
                <w:sz w:val="18"/>
                <w:szCs w:val="18"/>
              </w:rPr>
              <w:t>90</w:t>
            </w:r>
          </w:p>
        </w:tc>
        <w:tc>
          <w:tcPr>
            <w:tcW w:w="1843" w:type="dxa"/>
            <w:hideMark/>
          </w:tcPr>
          <w:p w14:paraId="731BC57E" w14:textId="77777777" w:rsidR="000321CB" w:rsidRPr="008930A3" w:rsidRDefault="000321CB" w:rsidP="00D11AA0">
            <w:pPr>
              <w:pStyle w:val="NormalWeb"/>
              <w:jc w:val="center"/>
              <w:rPr>
                <w:sz w:val="18"/>
                <w:szCs w:val="18"/>
              </w:rPr>
            </w:pPr>
            <w:r w:rsidRPr="008930A3">
              <w:rPr>
                <w:sz w:val="18"/>
                <w:szCs w:val="18"/>
              </w:rPr>
              <w:t>18</w:t>
            </w:r>
          </w:p>
        </w:tc>
        <w:tc>
          <w:tcPr>
            <w:tcW w:w="1985" w:type="dxa"/>
            <w:hideMark/>
          </w:tcPr>
          <w:p w14:paraId="0B7479CC" w14:textId="77777777" w:rsidR="000321CB" w:rsidRPr="008930A3" w:rsidRDefault="000321CB" w:rsidP="00D11AA0">
            <w:pPr>
              <w:pStyle w:val="NormalWeb"/>
              <w:jc w:val="center"/>
              <w:rPr>
                <w:sz w:val="18"/>
                <w:szCs w:val="18"/>
              </w:rPr>
            </w:pPr>
            <w:r w:rsidRPr="008930A3">
              <w:rPr>
                <w:sz w:val="18"/>
                <w:szCs w:val="18"/>
              </w:rPr>
              <w:t>20.0</w:t>
            </w:r>
          </w:p>
        </w:tc>
        <w:tc>
          <w:tcPr>
            <w:tcW w:w="1417" w:type="dxa"/>
            <w:hideMark/>
          </w:tcPr>
          <w:p w14:paraId="0E7146E0" w14:textId="77777777" w:rsidR="000321CB" w:rsidRPr="008930A3" w:rsidRDefault="000321CB" w:rsidP="00D11AA0">
            <w:pPr>
              <w:pStyle w:val="NormalWeb"/>
              <w:jc w:val="center"/>
              <w:rPr>
                <w:sz w:val="18"/>
                <w:szCs w:val="18"/>
              </w:rPr>
            </w:pPr>
            <w:r w:rsidRPr="008930A3">
              <w:rPr>
                <w:sz w:val="18"/>
                <w:szCs w:val="18"/>
              </w:rPr>
              <w:t>72</w:t>
            </w:r>
          </w:p>
        </w:tc>
        <w:tc>
          <w:tcPr>
            <w:tcW w:w="1550" w:type="dxa"/>
            <w:hideMark/>
          </w:tcPr>
          <w:p w14:paraId="2AB8C8F5" w14:textId="77777777" w:rsidR="000321CB" w:rsidRPr="008930A3" w:rsidRDefault="000321CB" w:rsidP="00D11AA0">
            <w:pPr>
              <w:pStyle w:val="NormalWeb"/>
              <w:jc w:val="center"/>
              <w:rPr>
                <w:sz w:val="18"/>
                <w:szCs w:val="18"/>
              </w:rPr>
            </w:pPr>
            <w:r w:rsidRPr="008930A3">
              <w:rPr>
                <w:sz w:val="18"/>
                <w:szCs w:val="18"/>
              </w:rPr>
              <w:t>80.0</w:t>
            </w:r>
          </w:p>
        </w:tc>
      </w:tr>
      <w:tr w:rsidR="00CD0907" w:rsidRPr="008930A3" w14:paraId="195488C4" w14:textId="77777777" w:rsidTr="00BF256F">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auto"/>
            </w:tcBorders>
            <w:hideMark/>
          </w:tcPr>
          <w:p w14:paraId="02ADF1CA" w14:textId="77777777" w:rsidR="000321CB" w:rsidRPr="008930A3" w:rsidRDefault="000321CB" w:rsidP="00007EB0">
            <w:pPr>
              <w:pStyle w:val="NormalWeb"/>
              <w:rPr>
                <w:sz w:val="18"/>
                <w:szCs w:val="18"/>
              </w:rPr>
            </w:pPr>
            <w:r w:rsidRPr="008930A3">
              <w:rPr>
                <w:sz w:val="18"/>
                <w:szCs w:val="18"/>
              </w:rPr>
              <w:t>Apr 2013 to</w:t>
            </w:r>
            <w:r w:rsidR="00007EB0" w:rsidRPr="008930A3">
              <w:rPr>
                <w:sz w:val="18"/>
                <w:szCs w:val="18"/>
              </w:rPr>
              <w:t xml:space="preserve"> </w:t>
            </w:r>
            <w:r w:rsidRPr="008930A3">
              <w:rPr>
                <w:sz w:val="18"/>
                <w:szCs w:val="18"/>
              </w:rPr>
              <w:t>Jun 2013 (I)</w:t>
            </w:r>
          </w:p>
        </w:tc>
        <w:tc>
          <w:tcPr>
            <w:tcW w:w="2521" w:type="dxa"/>
            <w:tcBorders>
              <w:bottom w:val="single" w:sz="4" w:space="0" w:color="auto"/>
            </w:tcBorders>
            <w:hideMark/>
          </w:tcPr>
          <w:p w14:paraId="662175AC" w14:textId="77777777" w:rsidR="000321CB" w:rsidRPr="008930A3" w:rsidRDefault="000321CB" w:rsidP="00B04F00">
            <w:pPr>
              <w:pStyle w:val="NormalWeb"/>
              <w:jc w:val="center"/>
              <w:rPr>
                <w:sz w:val="18"/>
                <w:szCs w:val="18"/>
              </w:rPr>
            </w:pPr>
            <w:r w:rsidRPr="008930A3">
              <w:rPr>
                <w:sz w:val="18"/>
                <w:szCs w:val="18"/>
              </w:rPr>
              <w:t>Jun 2012 to</w:t>
            </w:r>
            <w:r w:rsidR="00B04F00">
              <w:rPr>
                <w:sz w:val="18"/>
                <w:szCs w:val="18"/>
              </w:rPr>
              <w:t xml:space="preserve"> </w:t>
            </w:r>
            <w:r w:rsidRPr="008930A3">
              <w:rPr>
                <w:sz w:val="18"/>
                <w:szCs w:val="18"/>
              </w:rPr>
              <w:t>Aug 2012</w:t>
            </w:r>
          </w:p>
        </w:tc>
        <w:tc>
          <w:tcPr>
            <w:tcW w:w="1276" w:type="dxa"/>
            <w:tcBorders>
              <w:bottom w:val="single" w:sz="4" w:space="0" w:color="auto"/>
            </w:tcBorders>
            <w:hideMark/>
          </w:tcPr>
          <w:p w14:paraId="2CAC3688" w14:textId="77777777" w:rsidR="000321CB" w:rsidRPr="008930A3" w:rsidRDefault="000321CB" w:rsidP="00D11AA0">
            <w:pPr>
              <w:pStyle w:val="NormalWeb"/>
              <w:jc w:val="center"/>
              <w:rPr>
                <w:sz w:val="18"/>
                <w:szCs w:val="18"/>
              </w:rPr>
            </w:pPr>
            <w:r w:rsidRPr="008930A3">
              <w:rPr>
                <w:sz w:val="18"/>
                <w:szCs w:val="18"/>
              </w:rPr>
              <w:t>134</w:t>
            </w:r>
          </w:p>
        </w:tc>
        <w:tc>
          <w:tcPr>
            <w:tcW w:w="1276" w:type="dxa"/>
            <w:tcBorders>
              <w:bottom w:val="single" w:sz="4" w:space="0" w:color="auto"/>
            </w:tcBorders>
            <w:hideMark/>
          </w:tcPr>
          <w:p w14:paraId="65B4D13A" w14:textId="77777777" w:rsidR="000321CB" w:rsidRPr="008930A3" w:rsidRDefault="000321CB" w:rsidP="00D11AA0">
            <w:pPr>
              <w:pStyle w:val="NormalWeb"/>
              <w:jc w:val="center"/>
              <w:rPr>
                <w:sz w:val="18"/>
                <w:szCs w:val="18"/>
              </w:rPr>
            </w:pPr>
            <w:r w:rsidRPr="008930A3">
              <w:rPr>
                <w:sz w:val="18"/>
                <w:szCs w:val="18"/>
              </w:rPr>
              <w:t>16</w:t>
            </w:r>
          </w:p>
        </w:tc>
        <w:tc>
          <w:tcPr>
            <w:tcW w:w="1417" w:type="dxa"/>
            <w:tcBorders>
              <w:bottom w:val="single" w:sz="4" w:space="0" w:color="auto"/>
            </w:tcBorders>
            <w:hideMark/>
          </w:tcPr>
          <w:p w14:paraId="64CB8565" w14:textId="77777777" w:rsidR="000321CB" w:rsidRPr="008930A3" w:rsidRDefault="000321CB" w:rsidP="00D11AA0">
            <w:pPr>
              <w:pStyle w:val="NormalWeb"/>
              <w:jc w:val="center"/>
              <w:rPr>
                <w:sz w:val="18"/>
                <w:szCs w:val="18"/>
              </w:rPr>
            </w:pPr>
            <w:r w:rsidRPr="008930A3">
              <w:rPr>
                <w:sz w:val="18"/>
                <w:szCs w:val="18"/>
              </w:rPr>
              <w:t>118</w:t>
            </w:r>
          </w:p>
        </w:tc>
        <w:tc>
          <w:tcPr>
            <w:tcW w:w="1843" w:type="dxa"/>
            <w:tcBorders>
              <w:bottom w:val="single" w:sz="4" w:space="0" w:color="auto"/>
            </w:tcBorders>
            <w:hideMark/>
          </w:tcPr>
          <w:p w14:paraId="6EC96009" w14:textId="77777777" w:rsidR="000321CB" w:rsidRPr="008930A3" w:rsidRDefault="000321CB" w:rsidP="00D11AA0">
            <w:pPr>
              <w:pStyle w:val="NormalWeb"/>
              <w:jc w:val="center"/>
              <w:rPr>
                <w:sz w:val="18"/>
                <w:szCs w:val="18"/>
              </w:rPr>
            </w:pPr>
            <w:r w:rsidRPr="008930A3">
              <w:rPr>
                <w:sz w:val="18"/>
                <w:szCs w:val="18"/>
              </w:rPr>
              <w:t>16</w:t>
            </w:r>
          </w:p>
        </w:tc>
        <w:tc>
          <w:tcPr>
            <w:tcW w:w="1985" w:type="dxa"/>
            <w:tcBorders>
              <w:bottom w:val="single" w:sz="4" w:space="0" w:color="auto"/>
            </w:tcBorders>
            <w:hideMark/>
          </w:tcPr>
          <w:p w14:paraId="3E762C23" w14:textId="77777777" w:rsidR="000321CB" w:rsidRPr="008930A3" w:rsidRDefault="000321CB" w:rsidP="00D11AA0">
            <w:pPr>
              <w:pStyle w:val="NormalWeb"/>
              <w:jc w:val="center"/>
              <w:rPr>
                <w:sz w:val="18"/>
                <w:szCs w:val="18"/>
              </w:rPr>
            </w:pPr>
            <w:r w:rsidRPr="008930A3">
              <w:rPr>
                <w:sz w:val="18"/>
                <w:szCs w:val="18"/>
              </w:rPr>
              <w:t>13.6</w:t>
            </w:r>
          </w:p>
        </w:tc>
        <w:tc>
          <w:tcPr>
            <w:tcW w:w="1417" w:type="dxa"/>
            <w:tcBorders>
              <w:bottom w:val="single" w:sz="4" w:space="0" w:color="auto"/>
            </w:tcBorders>
            <w:hideMark/>
          </w:tcPr>
          <w:p w14:paraId="5687FFB9" w14:textId="77777777" w:rsidR="000321CB" w:rsidRPr="008930A3" w:rsidRDefault="000321CB" w:rsidP="00D11AA0">
            <w:pPr>
              <w:pStyle w:val="NormalWeb"/>
              <w:jc w:val="center"/>
              <w:rPr>
                <w:sz w:val="18"/>
                <w:szCs w:val="18"/>
              </w:rPr>
            </w:pPr>
            <w:r w:rsidRPr="008930A3">
              <w:rPr>
                <w:sz w:val="18"/>
                <w:szCs w:val="18"/>
              </w:rPr>
              <w:t>102</w:t>
            </w:r>
          </w:p>
        </w:tc>
        <w:tc>
          <w:tcPr>
            <w:tcW w:w="1550" w:type="dxa"/>
            <w:tcBorders>
              <w:bottom w:val="single" w:sz="4" w:space="0" w:color="auto"/>
            </w:tcBorders>
            <w:hideMark/>
          </w:tcPr>
          <w:p w14:paraId="3A6A4136" w14:textId="77777777" w:rsidR="000321CB" w:rsidRPr="008930A3" w:rsidRDefault="000321CB" w:rsidP="00D11AA0">
            <w:pPr>
              <w:pStyle w:val="NormalWeb"/>
              <w:jc w:val="center"/>
              <w:rPr>
                <w:sz w:val="18"/>
                <w:szCs w:val="18"/>
              </w:rPr>
            </w:pPr>
            <w:r w:rsidRPr="008930A3">
              <w:rPr>
                <w:sz w:val="18"/>
                <w:szCs w:val="18"/>
              </w:rPr>
              <w:t>86.4</w:t>
            </w:r>
          </w:p>
        </w:tc>
      </w:tr>
      <w:tr w:rsidR="005E0EFB" w:rsidRPr="00AE27D9" w14:paraId="1C10AB90" w14:textId="77777777" w:rsidTr="00BF256F">
        <w:tc>
          <w:tcPr>
            <w:tcW w:w="0" w:type="auto"/>
            <w:tcBorders>
              <w:top w:val="single" w:sz="4" w:space="0" w:color="auto"/>
              <w:bottom w:val="single" w:sz="4" w:space="0" w:color="auto"/>
            </w:tcBorders>
            <w:shd w:val="clear" w:color="auto" w:fill="F2F2F2" w:themeFill="background1" w:themeFillShade="F2"/>
            <w:hideMark/>
          </w:tcPr>
          <w:p w14:paraId="5B0F7A01" w14:textId="77777777" w:rsidR="000321CB" w:rsidRPr="00AE27D9" w:rsidRDefault="000321CB">
            <w:pPr>
              <w:pStyle w:val="NormalWeb"/>
              <w:rPr>
                <w:b/>
                <w:sz w:val="18"/>
                <w:szCs w:val="18"/>
              </w:rPr>
            </w:pPr>
            <w:r w:rsidRPr="00AE27D9">
              <w:rPr>
                <w:b/>
                <w:sz w:val="18"/>
                <w:szCs w:val="18"/>
              </w:rPr>
              <w:t>Total non-intervention</w:t>
            </w:r>
          </w:p>
        </w:tc>
        <w:tc>
          <w:tcPr>
            <w:tcW w:w="2521" w:type="dxa"/>
            <w:tcBorders>
              <w:top w:val="single" w:sz="4" w:space="0" w:color="auto"/>
              <w:bottom w:val="single" w:sz="4" w:space="0" w:color="auto"/>
            </w:tcBorders>
            <w:shd w:val="clear" w:color="auto" w:fill="F2F2F2" w:themeFill="background1" w:themeFillShade="F2"/>
            <w:hideMark/>
          </w:tcPr>
          <w:p w14:paraId="7BC8580B" w14:textId="77777777" w:rsidR="000321CB" w:rsidRPr="00AE27D9" w:rsidRDefault="000321CB" w:rsidP="00D11AA0">
            <w:pPr>
              <w:jc w:val="center"/>
              <w:rPr>
                <w:b/>
                <w:sz w:val="18"/>
                <w:szCs w:val="18"/>
              </w:rPr>
            </w:pPr>
          </w:p>
        </w:tc>
        <w:tc>
          <w:tcPr>
            <w:tcW w:w="1276" w:type="dxa"/>
            <w:tcBorders>
              <w:top w:val="single" w:sz="4" w:space="0" w:color="auto"/>
              <w:bottom w:val="single" w:sz="4" w:space="0" w:color="auto"/>
            </w:tcBorders>
            <w:shd w:val="clear" w:color="auto" w:fill="F2F2F2" w:themeFill="background1" w:themeFillShade="F2"/>
            <w:hideMark/>
          </w:tcPr>
          <w:p w14:paraId="4FE69C79" w14:textId="77777777" w:rsidR="000321CB" w:rsidRPr="00AE27D9" w:rsidRDefault="000321CB" w:rsidP="00D11AA0">
            <w:pPr>
              <w:pStyle w:val="NormalWeb"/>
              <w:jc w:val="center"/>
              <w:rPr>
                <w:b/>
                <w:sz w:val="18"/>
                <w:szCs w:val="18"/>
              </w:rPr>
            </w:pPr>
            <w:r w:rsidRPr="00AE27D9">
              <w:rPr>
                <w:b/>
                <w:sz w:val="18"/>
                <w:szCs w:val="18"/>
              </w:rPr>
              <w:t>458</w:t>
            </w:r>
          </w:p>
        </w:tc>
        <w:tc>
          <w:tcPr>
            <w:tcW w:w="1276" w:type="dxa"/>
            <w:tcBorders>
              <w:top w:val="single" w:sz="4" w:space="0" w:color="auto"/>
              <w:bottom w:val="single" w:sz="4" w:space="0" w:color="auto"/>
            </w:tcBorders>
            <w:shd w:val="clear" w:color="auto" w:fill="F2F2F2" w:themeFill="background1" w:themeFillShade="F2"/>
            <w:hideMark/>
          </w:tcPr>
          <w:p w14:paraId="5D0DBF2C" w14:textId="77777777" w:rsidR="000321CB" w:rsidRPr="00AE27D9" w:rsidRDefault="000321CB" w:rsidP="00D11AA0">
            <w:pPr>
              <w:pStyle w:val="NormalWeb"/>
              <w:jc w:val="center"/>
              <w:rPr>
                <w:b/>
                <w:sz w:val="18"/>
                <w:szCs w:val="18"/>
              </w:rPr>
            </w:pPr>
            <w:r w:rsidRPr="00AE27D9">
              <w:rPr>
                <w:b/>
                <w:sz w:val="18"/>
                <w:szCs w:val="18"/>
              </w:rPr>
              <w:t>60</w:t>
            </w:r>
          </w:p>
        </w:tc>
        <w:tc>
          <w:tcPr>
            <w:tcW w:w="1417" w:type="dxa"/>
            <w:tcBorders>
              <w:top w:val="single" w:sz="4" w:space="0" w:color="auto"/>
              <w:bottom w:val="single" w:sz="4" w:space="0" w:color="auto"/>
            </w:tcBorders>
            <w:shd w:val="clear" w:color="auto" w:fill="F2F2F2" w:themeFill="background1" w:themeFillShade="F2"/>
            <w:hideMark/>
          </w:tcPr>
          <w:p w14:paraId="736BE66E" w14:textId="77777777" w:rsidR="000321CB" w:rsidRPr="00AE27D9" w:rsidRDefault="000321CB" w:rsidP="00D11AA0">
            <w:pPr>
              <w:pStyle w:val="NormalWeb"/>
              <w:jc w:val="center"/>
              <w:rPr>
                <w:b/>
                <w:sz w:val="18"/>
                <w:szCs w:val="18"/>
              </w:rPr>
            </w:pPr>
            <w:r w:rsidRPr="00AE27D9">
              <w:rPr>
                <w:b/>
                <w:sz w:val="18"/>
                <w:szCs w:val="18"/>
              </w:rPr>
              <w:t>398</w:t>
            </w:r>
          </w:p>
        </w:tc>
        <w:tc>
          <w:tcPr>
            <w:tcW w:w="1843" w:type="dxa"/>
            <w:tcBorders>
              <w:top w:val="single" w:sz="4" w:space="0" w:color="auto"/>
              <w:bottom w:val="single" w:sz="4" w:space="0" w:color="auto"/>
            </w:tcBorders>
            <w:shd w:val="clear" w:color="auto" w:fill="F2F2F2" w:themeFill="background1" w:themeFillShade="F2"/>
            <w:hideMark/>
          </w:tcPr>
          <w:p w14:paraId="0D73F5F0" w14:textId="77777777" w:rsidR="000321CB" w:rsidRPr="00AE27D9" w:rsidRDefault="000321CB" w:rsidP="00D11AA0">
            <w:pPr>
              <w:pStyle w:val="NormalWeb"/>
              <w:jc w:val="center"/>
              <w:rPr>
                <w:b/>
                <w:sz w:val="18"/>
                <w:szCs w:val="18"/>
              </w:rPr>
            </w:pPr>
            <w:r w:rsidRPr="00AE27D9">
              <w:rPr>
                <w:b/>
                <w:sz w:val="18"/>
                <w:szCs w:val="18"/>
              </w:rPr>
              <w:t>99</w:t>
            </w:r>
          </w:p>
        </w:tc>
        <w:tc>
          <w:tcPr>
            <w:tcW w:w="1985" w:type="dxa"/>
            <w:tcBorders>
              <w:top w:val="single" w:sz="4" w:space="0" w:color="auto"/>
              <w:bottom w:val="single" w:sz="4" w:space="0" w:color="auto"/>
            </w:tcBorders>
            <w:shd w:val="clear" w:color="auto" w:fill="F2F2F2" w:themeFill="background1" w:themeFillShade="F2"/>
            <w:hideMark/>
          </w:tcPr>
          <w:p w14:paraId="34AEA1EC" w14:textId="77777777" w:rsidR="000321CB" w:rsidRPr="00AE27D9" w:rsidRDefault="000321CB" w:rsidP="00D11AA0">
            <w:pPr>
              <w:pStyle w:val="NormalWeb"/>
              <w:jc w:val="center"/>
              <w:rPr>
                <w:b/>
                <w:sz w:val="18"/>
                <w:szCs w:val="18"/>
              </w:rPr>
            </w:pPr>
            <w:r w:rsidRPr="00AE27D9">
              <w:rPr>
                <w:b/>
                <w:sz w:val="18"/>
                <w:szCs w:val="18"/>
              </w:rPr>
              <w:t>24.9</w:t>
            </w:r>
          </w:p>
        </w:tc>
        <w:tc>
          <w:tcPr>
            <w:tcW w:w="1417" w:type="dxa"/>
            <w:tcBorders>
              <w:top w:val="single" w:sz="4" w:space="0" w:color="auto"/>
              <w:bottom w:val="single" w:sz="4" w:space="0" w:color="auto"/>
            </w:tcBorders>
            <w:shd w:val="clear" w:color="auto" w:fill="F2F2F2" w:themeFill="background1" w:themeFillShade="F2"/>
            <w:hideMark/>
          </w:tcPr>
          <w:p w14:paraId="2A86BB3E" w14:textId="77777777" w:rsidR="000321CB" w:rsidRPr="00AE27D9" w:rsidRDefault="000321CB" w:rsidP="00D11AA0">
            <w:pPr>
              <w:pStyle w:val="NormalWeb"/>
              <w:jc w:val="center"/>
              <w:rPr>
                <w:b/>
                <w:sz w:val="18"/>
                <w:szCs w:val="18"/>
              </w:rPr>
            </w:pPr>
            <w:r w:rsidRPr="00AE27D9">
              <w:rPr>
                <w:b/>
                <w:sz w:val="18"/>
                <w:szCs w:val="18"/>
              </w:rPr>
              <w:t>299</w:t>
            </w:r>
          </w:p>
        </w:tc>
        <w:tc>
          <w:tcPr>
            <w:tcW w:w="1550" w:type="dxa"/>
            <w:tcBorders>
              <w:top w:val="single" w:sz="4" w:space="0" w:color="auto"/>
              <w:bottom w:val="single" w:sz="4" w:space="0" w:color="auto"/>
            </w:tcBorders>
            <w:shd w:val="clear" w:color="auto" w:fill="F2F2F2" w:themeFill="background1" w:themeFillShade="F2"/>
            <w:hideMark/>
          </w:tcPr>
          <w:p w14:paraId="0DCA1191" w14:textId="77777777" w:rsidR="000321CB" w:rsidRPr="00AE27D9" w:rsidRDefault="000321CB" w:rsidP="00D11AA0">
            <w:pPr>
              <w:pStyle w:val="NormalWeb"/>
              <w:jc w:val="center"/>
              <w:rPr>
                <w:b/>
                <w:sz w:val="18"/>
                <w:szCs w:val="18"/>
              </w:rPr>
            </w:pPr>
            <w:r w:rsidRPr="00AE27D9">
              <w:rPr>
                <w:b/>
                <w:sz w:val="18"/>
                <w:szCs w:val="18"/>
              </w:rPr>
              <w:t>75.1</w:t>
            </w:r>
          </w:p>
        </w:tc>
      </w:tr>
      <w:tr w:rsidR="00CD0907" w:rsidRPr="00AE27D9" w14:paraId="26E2D755" w14:textId="77777777" w:rsidTr="00BF256F">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tcBorders>
            <w:shd w:val="clear" w:color="auto" w:fill="FDE9D9" w:themeFill="accent6" w:themeFillTint="33"/>
            <w:hideMark/>
          </w:tcPr>
          <w:p w14:paraId="46927C84" w14:textId="77777777" w:rsidR="000321CB" w:rsidRPr="00AE27D9" w:rsidRDefault="000321CB">
            <w:pPr>
              <w:pStyle w:val="NormalWeb"/>
              <w:rPr>
                <w:b/>
                <w:sz w:val="18"/>
                <w:szCs w:val="18"/>
              </w:rPr>
            </w:pPr>
            <w:r w:rsidRPr="00AE27D9">
              <w:rPr>
                <w:b/>
                <w:sz w:val="18"/>
                <w:szCs w:val="18"/>
              </w:rPr>
              <w:t>Total intervention</w:t>
            </w:r>
          </w:p>
        </w:tc>
        <w:tc>
          <w:tcPr>
            <w:tcW w:w="2521" w:type="dxa"/>
            <w:tcBorders>
              <w:top w:val="single" w:sz="4" w:space="0" w:color="auto"/>
              <w:bottom w:val="single" w:sz="4" w:space="0" w:color="auto"/>
            </w:tcBorders>
            <w:shd w:val="clear" w:color="auto" w:fill="FDE9D9" w:themeFill="accent6" w:themeFillTint="33"/>
            <w:hideMark/>
          </w:tcPr>
          <w:p w14:paraId="7CBFBF8C" w14:textId="77777777" w:rsidR="000321CB" w:rsidRPr="00AE27D9" w:rsidRDefault="000321CB" w:rsidP="00D11AA0">
            <w:pPr>
              <w:jc w:val="center"/>
              <w:rPr>
                <w:b/>
                <w:sz w:val="18"/>
                <w:szCs w:val="18"/>
              </w:rPr>
            </w:pPr>
          </w:p>
        </w:tc>
        <w:tc>
          <w:tcPr>
            <w:tcW w:w="1276" w:type="dxa"/>
            <w:tcBorders>
              <w:top w:val="single" w:sz="4" w:space="0" w:color="auto"/>
              <w:bottom w:val="single" w:sz="4" w:space="0" w:color="auto"/>
            </w:tcBorders>
            <w:shd w:val="clear" w:color="auto" w:fill="FDE9D9" w:themeFill="accent6" w:themeFillTint="33"/>
            <w:hideMark/>
          </w:tcPr>
          <w:p w14:paraId="632457C4" w14:textId="77777777" w:rsidR="000321CB" w:rsidRPr="00AE27D9" w:rsidRDefault="000321CB" w:rsidP="00D11AA0">
            <w:pPr>
              <w:pStyle w:val="NormalWeb"/>
              <w:jc w:val="center"/>
              <w:rPr>
                <w:b/>
                <w:sz w:val="18"/>
                <w:szCs w:val="18"/>
              </w:rPr>
            </w:pPr>
            <w:r w:rsidRPr="00AE27D9">
              <w:rPr>
                <w:b/>
                <w:sz w:val="18"/>
                <w:szCs w:val="18"/>
              </w:rPr>
              <w:t>433</w:t>
            </w:r>
          </w:p>
        </w:tc>
        <w:tc>
          <w:tcPr>
            <w:tcW w:w="1276" w:type="dxa"/>
            <w:tcBorders>
              <w:top w:val="single" w:sz="4" w:space="0" w:color="auto"/>
              <w:bottom w:val="single" w:sz="4" w:space="0" w:color="auto"/>
            </w:tcBorders>
            <w:shd w:val="clear" w:color="auto" w:fill="FDE9D9" w:themeFill="accent6" w:themeFillTint="33"/>
            <w:hideMark/>
          </w:tcPr>
          <w:p w14:paraId="0447E86D" w14:textId="77777777" w:rsidR="000321CB" w:rsidRPr="00AE27D9" w:rsidRDefault="000321CB" w:rsidP="00D11AA0">
            <w:pPr>
              <w:pStyle w:val="NormalWeb"/>
              <w:jc w:val="center"/>
              <w:rPr>
                <w:b/>
                <w:sz w:val="18"/>
                <w:szCs w:val="18"/>
              </w:rPr>
            </w:pPr>
            <w:r w:rsidRPr="00AE27D9">
              <w:rPr>
                <w:b/>
                <w:sz w:val="18"/>
                <w:szCs w:val="18"/>
              </w:rPr>
              <w:t>52</w:t>
            </w:r>
          </w:p>
        </w:tc>
        <w:tc>
          <w:tcPr>
            <w:tcW w:w="1417" w:type="dxa"/>
            <w:tcBorders>
              <w:top w:val="single" w:sz="4" w:space="0" w:color="auto"/>
              <w:bottom w:val="single" w:sz="4" w:space="0" w:color="auto"/>
            </w:tcBorders>
            <w:shd w:val="clear" w:color="auto" w:fill="FDE9D9" w:themeFill="accent6" w:themeFillTint="33"/>
            <w:hideMark/>
          </w:tcPr>
          <w:p w14:paraId="55AC587E" w14:textId="77777777" w:rsidR="000321CB" w:rsidRPr="00AE27D9" w:rsidRDefault="000321CB" w:rsidP="00D11AA0">
            <w:pPr>
              <w:pStyle w:val="NormalWeb"/>
              <w:jc w:val="center"/>
              <w:rPr>
                <w:b/>
                <w:sz w:val="18"/>
                <w:szCs w:val="18"/>
              </w:rPr>
            </w:pPr>
            <w:r w:rsidRPr="00AE27D9">
              <w:rPr>
                <w:b/>
                <w:sz w:val="18"/>
                <w:szCs w:val="18"/>
              </w:rPr>
              <w:t>381</w:t>
            </w:r>
          </w:p>
        </w:tc>
        <w:tc>
          <w:tcPr>
            <w:tcW w:w="1843" w:type="dxa"/>
            <w:tcBorders>
              <w:top w:val="single" w:sz="4" w:space="0" w:color="auto"/>
              <w:bottom w:val="single" w:sz="4" w:space="0" w:color="auto"/>
            </w:tcBorders>
            <w:shd w:val="clear" w:color="auto" w:fill="FDE9D9" w:themeFill="accent6" w:themeFillTint="33"/>
            <w:hideMark/>
          </w:tcPr>
          <w:p w14:paraId="4FCBAAC5" w14:textId="77777777" w:rsidR="000321CB" w:rsidRPr="00AE27D9" w:rsidRDefault="000321CB" w:rsidP="00D11AA0">
            <w:pPr>
              <w:pStyle w:val="NormalWeb"/>
              <w:jc w:val="center"/>
              <w:rPr>
                <w:b/>
                <w:sz w:val="18"/>
                <w:szCs w:val="18"/>
              </w:rPr>
            </w:pPr>
            <w:r w:rsidRPr="00AE27D9">
              <w:rPr>
                <w:b/>
                <w:sz w:val="18"/>
                <w:szCs w:val="18"/>
              </w:rPr>
              <w:t>60</w:t>
            </w:r>
          </w:p>
        </w:tc>
        <w:tc>
          <w:tcPr>
            <w:tcW w:w="1985" w:type="dxa"/>
            <w:tcBorders>
              <w:top w:val="single" w:sz="4" w:space="0" w:color="auto"/>
              <w:bottom w:val="single" w:sz="4" w:space="0" w:color="auto"/>
            </w:tcBorders>
            <w:shd w:val="clear" w:color="auto" w:fill="FDE9D9" w:themeFill="accent6" w:themeFillTint="33"/>
            <w:hideMark/>
          </w:tcPr>
          <w:p w14:paraId="53632EF7" w14:textId="77777777" w:rsidR="000321CB" w:rsidRPr="00AE27D9" w:rsidRDefault="000321CB" w:rsidP="00D11AA0">
            <w:pPr>
              <w:pStyle w:val="NormalWeb"/>
              <w:jc w:val="center"/>
              <w:rPr>
                <w:b/>
                <w:sz w:val="18"/>
                <w:szCs w:val="18"/>
              </w:rPr>
            </w:pPr>
            <w:r w:rsidRPr="00AE27D9">
              <w:rPr>
                <w:b/>
                <w:sz w:val="18"/>
                <w:szCs w:val="18"/>
              </w:rPr>
              <w:t>15.7</w:t>
            </w:r>
          </w:p>
        </w:tc>
        <w:tc>
          <w:tcPr>
            <w:tcW w:w="1417" w:type="dxa"/>
            <w:tcBorders>
              <w:top w:val="single" w:sz="4" w:space="0" w:color="auto"/>
              <w:bottom w:val="single" w:sz="4" w:space="0" w:color="auto"/>
            </w:tcBorders>
            <w:shd w:val="clear" w:color="auto" w:fill="FDE9D9" w:themeFill="accent6" w:themeFillTint="33"/>
            <w:hideMark/>
          </w:tcPr>
          <w:p w14:paraId="1F0DAD0C" w14:textId="77777777" w:rsidR="000321CB" w:rsidRPr="00AE27D9" w:rsidRDefault="000321CB" w:rsidP="00D11AA0">
            <w:pPr>
              <w:pStyle w:val="NormalWeb"/>
              <w:jc w:val="center"/>
              <w:rPr>
                <w:b/>
                <w:sz w:val="18"/>
                <w:szCs w:val="18"/>
              </w:rPr>
            </w:pPr>
            <w:r w:rsidRPr="00AE27D9">
              <w:rPr>
                <w:b/>
                <w:sz w:val="18"/>
                <w:szCs w:val="18"/>
              </w:rPr>
              <w:t>321</w:t>
            </w:r>
          </w:p>
        </w:tc>
        <w:tc>
          <w:tcPr>
            <w:tcW w:w="1550" w:type="dxa"/>
            <w:tcBorders>
              <w:top w:val="single" w:sz="4" w:space="0" w:color="auto"/>
              <w:bottom w:val="single" w:sz="4" w:space="0" w:color="auto"/>
            </w:tcBorders>
            <w:shd w:val="clear" w:color="auto" w:fill="FDE9D9" w:themeFill="accent6" w:themeFillTint="33"/>
            <w:hideMark/>
          </w:tcPr>
          <w:p w14:paraId="6AB46DBD" w14:textId="77777777" w:rsidR="000321CB" w:rsidRPr="00AE27D9" w:rsidRDefault="000321CB" w:rsidP="00D11AA0">
            <w:pPr>
              <w:pStyle w:val="NormalWeb"/>
              <w:jc w:val="center"/>
              <w:rPr>
                <w:b/>
                <w:sz w:val="18"/>
                <w:szCs w:val="18"/>
              </w:rPr>
            </w:pPr>
            <w:r w:rsidRPr="00AE27D9">
              <w:rPr>
                <w:b/>
                <w:sz w:val="18"/>
                <w:szCs w:val="18"/>
              </w:rPr>
              <w:t>84.3</w:t>
            </w:r>
          </w:p>
        </w:tc>
      </w:tr>
    </w:tbl>
    <w:p w14:paraId="676BB264" w14:textId="77777777" w:rsidR="000321CB" w:rsidRPr="00A252B7" w:rsidRDefault="000321CB" w:rsidP="00A252B7">
      <w:pPr>
        <w:pStyle w:val="CDIfootnotes"/>
      </w:pPr>
      <w:r w:rsidRPr="00A252B7">
        <w:t>NI = No intervention</w:t>
      </w:r>
    </w:p>
    <w:p w14:paraId="29A7905A" w14:textId="77777777" w:rsidR="00400B38" w:rsidRPr="00A252B7" w:rsidRDefault="000321CB" w:rsidP="00A252B7">
      <w:pPr>
        <w:pStyle w:val="CDIfootnotes"/>
        <w:sectPr w:rsidR="00400B38" w:rsidRPr="00A252B7" w:rsidSect="00521D4D">
          <w:footnotePr>
            <w:numFmt w:val="lowerRoman"/>
          </w:footnotePr>
          <w:pgSz w:w="16838" w:h="11906" w:orient="landscape"/>
          <w:pgMar w:top="720" w:right="720" w:bottom="720" w:left="720" w:header="709" w:footer="284" w:gutter="0"/>
          <w:cols w:space="708"/>
          <w:titlePg/>
          <w:docGrid w:linePitch="360"/>
        </w:sectPr>
      </w:pPr>
      <w:r w:rsidRPr="00A252B7">
        <w:t>I = Intervention</w:t>
      </w:r>
    </w:p>
    <w:p w14:paraId="1C59A75C" w14:textId="77777777" w:rsidR="000321CB" w:rsidRDefault="000321CB" w:rsidP="00400B38">
      <w:pPr>
        <w:pStyle w:val="CDIfootnotes"/>
      </w:pPr>
    </w:p>
    <w:p w14:paraId="36764605" w14:textId="77777777" w:rsidR="000321CB" w:rsidRDefault="000321CB" w:rsidP="0065646A">
      <w:r>
        <w:t xml:space="preserve">The large number of records which could not be viewed on the ACIR (112/841, 12.6%) is likely to be due to a number of factors, including the child being under the care of the Department of Family and Community Services, or to being registered as a “conscientious objector” on ACIR. </w:t>
      </w:r>
    </w:p>
    <w:p w14:paraId="7269003C" w14:textId="77777777" w:rsidR="000321CB" w:rsidRPr="0065646A" w:rsidRDefault="000321CB" w:rsidP="0065646A">
      <w:pPr>
        <w:pStyle w:val="Heading2"/>
      </w:pPr>
      <w:r w:rsidRPr="0065646A">
        <w:t xml:space="preserve">Timeliness </w:t>
      </w:r>
    </w:p>
    <w:p w14:paraId="413AF682" w14:textId="77777777" w:rsidR="000321CB" w:rsidRDefault="000321CB" w:rsidP="0065646A">
      <w:r>
        <w:t>The proportions of children remaining not fully vaccinated dropped faster in the intervention cohorts and stayed lower when compared with the non-intervention cohorts (Table 2, Figure 3) thus improving the timeliness of fully vaccinated status on ACIR. It is tempting to regard this as improved timeliness of vaccination, but a significant part of this decrease could also be due to record correction, that is the children had been vaccinated on time but not recorded as vaccinated on ACIR.</w:t>
      </w:r>
    </w:p>
    <w:p w14:paraId="0E0FA4AF" w14:textId="77777777" w:rsidR="000321CB" w:rsidRDefault="000321CB" w:rsidP="0065646A">
      <w:pPr>
        <w:pStyle w:val="CDIFigures"/>
      </w:pPr>
      <w:r>
        <w:t>Table 2. Numbers and proportions of children remaining not fully vaccinated</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table and the line graph show that the proportion of children remaining not fully vaccinated dropped faster in the intervention cohorts compared with the non-intervention cohorts when measured at 3 monthly intervals over 24 months.  Both cohorts commenced at 100%, and, as seen in Table 1, the intervention cohorts finished at the 24 month mark at 15.7% still not fully vaccinated compared with the non-intervention cohorts at 24.9%.  However the not fully vaccinated proportion also dropped faster in the intervention cohorts at all points of the graph when compared with the non-intervention cohorts.  At three months, the proportion remaining not fully vaccinated for the intervention cohorts dropped to 33.3% compared with the non-intervention cohorts at 60.3%.  Both intervention and non-intervention cohorts showed a steady decline thereafter."/>
      </w:tblPr>
      <w:tblGrid>
        <w:gridCol w:w="2694"/>
        <w:gridCol w:w="1482"/>
        <w:gridCol w:w="2088"/>
        <w:gridCol w:w="2088"/>
        <w:gridCol w:w="2088"/>
      </w:tblGrid>
      <w:tr w:rsidR="000321CB" w:rsidRPr="007D6DF8" w14:paraId="6BCA34B6" w14:textId="77777777" w:rsidTr="008D7831">
        <w:trPr>
          <w:cnfStyle w:val="100000000000" w:firstRow="1" w:lastRow="0" w:firstColumn="0" w:lastColumn="0" w:oddVBand="0" w:evenVBand="0" w:oddHBand="0" w:evenHBand="0" w:firstRowFirstColumn="0" w:firstRowLastColumn="0" w:lastRowFirstColumn="0" w:lastRowLastColumn="0"/>
          <w:tblHeader/>
        </w:trPr>
        <w:tc>
          <w:tcPr>
            <w:tcW w:w="2694" w:type="dxa"/>
            <w:hideMark/>
          </w:tcPr>
          <w:p w14:paraId="092D7DAF" w14:textId="77777777" w:rsidR="000321CB" w:rsidRPr="00DD088F" w:rsidRDefault="000321CB">
            <w:pPr>
              <w:pStyle w:val="NormalWeb"/>
              <w:rPr>
                <w:color w:val="FFFFFF" w:themeColor="background1"/>
                <w:sz w:val="18"/>
                <w:szCs w:val="18"/>
              </w:rPr>
            </w:pPr>
            <w:r w:rsidRPr="00DD088F">
              <w:rPr>
                <w:color w:val="FFFFFF" w:themeColor="background1"/>
                <w:sz w:val="18"/>
                <w:szCs w:val="18"/>
              </w:rPr>
              <w:t>Time since intervention</w:t>
            </w:r>
            <w:r w:rsidR="000B3B79">
              <w:rPr>
                <w:color w:val="FFFFFF" w:themeColor="background1"/>
                <w:sz w:val="18"/>
                <w:szCs w:val="18"/>
              </w:rPr>
              <w:t xml:space="preserve"> </w:t>
            </w:r>
            <w:r w:rsidRPr="00DD088F">
              <w:rPr>
                <w:color w:val="FFFFFF" w:themeColor="background1"/>
                <w:sz w:val="18"/>
                <w:szCs w:val="18"/>
              </w:rPr>
              <w:t>in months</w:t>
            </w:r>
          </w:p>
        </w:tc>
        <w:tc>
          <w:tcPr>
            <w:tcW w:w="1482" w:type="dxa"/>
            <w:hideMark/>
          </w:tcPr>
          <w:p w14:paraId="313B4737"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Non-intervention</w:t>
            </w:r>
          </w:p>
        </w:tc>
        <w:tc>
          <w:tcPr>
            <w:tcW w:w="2088" w:type="dxa"/>
            <w:hideMark/>
          </w:tcPr>
          <w:p w14:paraId="4A27DC00"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Non-intervention</w:t>
            </w:r>
          </w:p>
          <w:p w14:paraId="762FCFBA"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w:t>
            </w:r>
          </w:p>
        </w:tc>
        <w:tc>
          <w:tcPr>
            <w:tcW w:w="2088" w:type="dxa"/>
            <w:hideMark/>
          </w:tcPr>
          <w:p w14:paraId="234109B5"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Intervention</w:t>
            </w:r>
          </w:p>
        </w:tc>
        <w:tc>
          <w:tcPr>
            <w:tcW w:w="2088" w:type="dxa"/>
            <w:hideMark/>
          </w:tcPr>
          <w:p w14:paraId="111E3767"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Intervention</w:t>
            </w:r>
          </w:p>
          <w:p w14:paraId="4F402B4E" w14:textId="77777777" w:rsidR="000321CB" w:rsidRPr="00DD088F" w:rsidRDefault="000321CB" w:rsidP="00DF1D8A">
            <w:pPr>
              <w:pStyle w:val="NormalWeb"/>
              <w:jc w:val="center"/>
              <w:rPr>
                <w:color w:val="FFFFFF" w:themeColor="background1"/>
                <w:sz w:val="18"/>
                <w:szCs w:val="18"/>
              </w:rPr>
            </w:pPr>
            <w:r w:rsidRPr="00DD088F">
              <w:rPr>
                <w:color w:val="FFFFFF" w:themeColor="background1"/>
                <w:sz w:val="18"/>
                <w:szCs w:val="18"/>
              </w:rPr>
              <w:t>%</w:t>
            </w:r>
          </w:p>
        </w:tc>
      </w:tr>
      <w:tr w:rsidR="000321CB" w:rsidRPr="007D6DF8" w14:paraId="3EE2356D" w14:textId="77777777" w:rsidTr="008D7831">
        <w:tc>
          <w:tcPr>
            <w:tcW w:w="2694" w:type="dxa"/>
            <w:hideMark/>
          </w:tcPr>
          <w:p w14:paraId="4755211A" w14:textId="77777777" w:rsidR="000321CB" w:rsidRPr="007D6DF8" w:rsidRDefault="000321CB">
            <w:pPr>
              <w:pStyle w:val="NormalWeb"/>
              <w:rPr>
                <w:sz w:val="18"/>
                <w:szCs w:val="18"/>
              </w:rPr>
            </w:pPr>
            <w:r w:rsidRPr="007D6DF8">
              <w:rPr>
                <w:sz w:val="18"/>
                <w:szCs w:val="18"/>
              </w:rPr>
              <w:t>0</w:t>
            </w:r>
          </w:p>
        </w:tc>
        <w:tc>
          <w:tcPr>
            <w:tcW w:w="1482" w:type="dxa"/>
            <w:hideMark/>
          </w:tcPr>
          <w:p w14:paraId="27E3CD5F" w14:textId="77777777" w:rsidR="000321CB" w:rsidRPr="007D6DF8" w:rsidRDefault="000321CB" w:rsidP="00DF1D8A">
            <w:pPr>
              <w:pStyle w:val="NormalWeb"/>
              <w:jc w:val="center"/>
              <w:rPr>
                <w:sz w:val="18"/>
                <w:szCs w:val="18"/>
              </w:rPr>
            </w:pPr>
            <w:r w:rsidRPr="007D6DF8">
              <w:rPr>
                <w:sz w:val="18"/>
                <w:szCs w:val="18"/>
              </w:rPr>
              <w:t>398</w:t>
            </w:r>
          </w:p>
        </w:tc>
        <w:tc>
          <w:tcPr>
            <w:tcW w:w="2088" w:type="dxa"/>
            <w:hideMark/>
          </w:tcPr>
          <w:p w14:paraId="694A70B4" w14:textId="77777777" w:rsidR="000321CB" w:rsidRPr="007D6DF8" w:rsidRDefault="000321CB" w:rsidP="00DF1D8A">
            <w:pPr>
              <w:pStyle w:val="NormalWeb"/>
              <w:jc w:val="center"/>
              <w:rPr>
                <w:sz w:val="18"/>
                <w:szCs w:val="18"/>
              </w:rPr>
            </w:pPr>
            <w:r w:rsidRPr="007D6DF8">
              <w:rPr>
                <w:sz w:val="18"/>
                <w:szCs w:val="18"/>
              </w:rPr>
              <w:t>100.0</w:t>
            </w:r>
          </w:p>
        </w:tc>
        <w:tc>
          <w:tcPr>
            <w:tcW w:w="2088" w:type="dxa"/>
            <w:hideMark/>
          </w:tcPr>
          <w:p w14:paraId="67D29642" w14:textId="77777777" w:rsidR="000321CB" w:rsidRPr="007D6DF8" w:rsidRDefault="000321CB" w:rsidP="00DF1D8A">
            <w:pPr>
              <w:pStyle w:val="NormalWeb"/>
              <w:jc w:val="center"/>
              <w:rPr>
                <w:sz w:val="18"/>
                <w:szCs w:val="18"/>
              </w:rPr>
            </w:pPr>
            <w:r w:rsidRPr="007D6DF8">
              <w:rPr>
                <w:sz w:val="18"/>
                <w:szCs w:val="18"/>
              </w:rPr>
              <w:t>381</w:t>
            </w:r>
          </w:p>
        </w:tc>
        <w:tc>
          <w:tcPr>
            <w:tcW w:w="2088" w:type="dxa"/>
            <w:hideMark/>
          </w:tcPr>
          <w:p w14:paraId="14DB5F42" w14:textId="77777777" w:rsidR="000321CB" w:rsidRPr="007D6DF8" w:rsidRDefault="000321CB" w:rsidP="00DF1D8A">
            <w:pPr>
              <w:pStyle w:val="NormalWeb"/>
              <w:jc w:val="center"/>
              <w:rPr>
                <w:sz w:val="18"/>
                <w:szCs w:val="18"/>
              </w:rPr>
            </w:pPr>
            <w:r w:rsidRPr="007D6DF8">
              <w:rPr>
                <w:sz w:val="18"/>
                <w:szCs w:val="18"/>
              </w:rPr>
              <w:t>100.0</w:t>
            </w:r>
          </w:p>
        </w:tc>
      </w:tr>
      <w:tr w:rsidR="000321CB" w:rsidRPr="007D6DF8" w14:paraId="48D8152E" w14:textId="77777777" w:rsidTr="008D7831">
        <w:trPr>
          <w:cnfStyle w:val="000000010000" w:firstRow="0" w:lastRow="0" w:firstColumn="0" w:lastColumn="0" w:oddVBand="0" w:evenVBand="0" w:oddHBand="0" w:evenHBand="1" w:firstRowFirstColumn="0" w:firstRowLastColumn="0" w:lastRowFirstColumn="0" w:lastRowLastColumn="0"/>
        </w:trPr>
        <w:tc>
          <w:tcPr>
            <w:tcW w:w="2694" w:type="dxa"/>
            <w:hideMark/>
          </w:tcPr>
          <w:p w14:paraId="07287742" w14:textId="77777777" w:rsidR="000321CB" w:rsidRPr="007D6DF8" w:rsidRDefault="000321CB">
            <w:pPr>
              <w:pStyle w:val="NormalWeb"/>
              <w:rPr>
                <w:sz w:val="18"/>
                <w:szCs w:val="18"/>
              </w:rPr>
            </w:pPr>
            <w:r w:rsidRPr="007D6DF8">
              <w:rPr>
                <w:sz w:val="18"/>
                <w:szCs w:val="18"/>
              </w:rPr>
              <w:t>3</w:t>
            </w:r>
          </w:p>
        </w:tc>
        <w:tc>
          <w:tcPr>
            <w:tcW w:w="1482" w:type="dxa"/>
            <w:hideMark/>
          </w:tcPr>
          <w:p w14:paraId="3673DE97" w14:textId="77777777" w:rsidR="000321CB" w:rsidRPr="007D6DF8" w:rsidRDefault="000321CB" w:rsidP="00DF1D8A">
            <w:pPr>
              <w:pStyle w:val="NormalWeb"/>
              <w:jc w:val="center"/>
              <w:rPr>
                <w:sz w:val="18"/>
                <w:szCs w:val="18"/>
              </w:rPr>
            </w:pPr>
            <w:r w:rsidRPr="007D6DF8">
              <w:rPr>
                <w:sz w:val="18"/>
                <w:szCs w:val="18"/>
              </w:rPr>
              <w:t>240</w:t>
            </w:r>
          </w:p>
        </w:tc>
        <w:tc>
          <w:tcPr>
            <w:tcW w:w="2088" w:type="dxa"/>
            <w:hideMark/>
          </w:tcPr>
          <w:p w14:paraId="162F28DD" w14:textId="77777777" w:rsidR="000321CB" w:rsidRPr="007D6DF8" w:rsidRDefault="000321CB" w:rsidP="00DF1D8A">
            <w:pPr>
              <w:pStyle w:val="NormalWeb"/>
              <w:jc w:val="center"/>
              <w:rPr>
                <w:sz w:val="18"/>
                <w:szCs w:val="18"/>
              </w:rPr>
            </w:pPr>
            <w:r w:rsidRPr="007D6DF8">
              <w:rPr>
                <w:sz w:val="18"/>
                <w:szCs w:val="18"/>
              </w:rPr>
              <w:t>60.3</w:t>
            </w:r>
          </w:p>
        </w:tc>
        <w:tc>
          <w:tcPr>
            <w:tcW w:w="2088" w:type="dxa"/>
            <w:hideMark/>
          </w:tcPr>
          <w:p w14:paraId="2A3F703E" w14:textId="77777777" w:rsidR="000321CB" w:rsidRPr="007D6DF8" w:rsidRDefault="000321CB" w:rsidP="00DF1D8A">
            <w:pPr>
              <w:pStyle w:val="NormalWeb"/>
              <w:jc w:val="center"/>
              <w:rPr>
                <w:sz w:val="18"/>
                <w:szCs w:val="18"/>
              </w:rPr>
            </w:pPr>
            <w:r w:rsidRPr="007D6DF8">
              <w:rPr>
                <w:sz w:val="18"/>
                <w:szCs w:val="18"/>
              </w:rPr>
              <w:t>127</w:t>
            </w:r>
          </w:p>
        </w:tc>
        <w:tc>
          <w:tcPr>
            <w:tcW w:w="2088" w:type="dxa"/>
            <w:hideMark/>
          </w:tcPr>
          <w:p w14:paraId="5EC1B8B6" w14:textId="77777777" w:rsidR="000321CB" w:rsidRPr="007D6DF8" w:rsidRDefault="000321CB" w:rsidP="00DF1D8A">
            <w:pPr>
              <w:pStyle w:val="NormalWeb"/>
              <w:jc w:val="center"/>
              <w:rPr>
                <w:sz w:val="18"/>
                <w:szCs w:val="18"/>
              </w:rPr>
            </w:pPr>
            <w:r w:rsidRPr="007D6DF8">
              <w:rPr>
                <w:sz w:val="18"/>
                <w:szCs w:val="18"/>
              </w:rPr>
              <w:t>33.3</w:t>
            </w:r>
          </w:p>
        </w:tc>
      </w:tr>
      <w:tr w:rsidR="000321CB" w:rsidRPr="007D6DF8" w14:paraId="52470B69" w14:textId="77777777" w:rsidTr="008D7831">
        <w:tc>
          <w:tcPr>
            <w:tcW w:w="2694" w:type="dxa"/>
            <w:hideMark/>
          </w:tcPr>
          <w:p w14:paraId="24B1513E" w14:textId="77777777" w:rsidR="000321CB" w:rsidRPr="007D6DF8" w:rsidRDefault="000321CB">
            <w:pPr>
              <w:pStyle w:val="NormalWeb"/>
              <w:rPr>
                <w:sz w:val="18"/>
                <w:szCs w:val="18"/>
              </w:rPr>
            </w:pPr>
            <w:r w:rsidRPr="007D6DF8">
              <w:rPr>
                <w:sz w:val="18"/>
                <w:szCs w:val="18"/>
              </w:rPr>
              <w:t>6</w:t>
            </w:r>
          </w:p>
        </w:tc>
        <w:tc>
          <w:tcPr>
            <w:tcW w:w="1482" w:type="dxa"/>
            <w:hideMark/>
          </w:tcPr>
          <w:p w14:paraId="41866E99" w14:textId="77777777" w:rsidR="000321CB" w:rsidRPr="007D6DF8" w:rsidRDefault="000321CB" w:rsidP="00DF1D8A">
            <w:pPr>
              <w:pStyle w:val="NormalWeb"/>
              <w:jc w:val="center"/>
              <w:rPr>
                <w:sz w:val="18"/>
                <w:szCs w:val="18"/>
              </w:rPr>
            </w:pPr>
            <w:r w:rsidRPr="007D6DF8">
              <w:rPr>
                <w:sz w:val="18"/>
                <w:szCs w:val="18"/>
              </w:rPr>
              <w:t>176</w:t>
            </w:r>
          </w:p>
        </w:tc>
        <w:tc>
          <w:tcPr>
            <w:tcW w:w="2088" w:type="dxa"/>
            <w:hideMark/>
          </w:tcPr>
          <w:p w14:paraId="5D4DAA76" w14:textId="77777777" w:rsidR="000321CB" w:rsidRPr="007D6DF8" w:rsidRDefault="000321CB" w:rsidP="00DF1D8A">
            <w:pPr>
              <w:pStyle w:val="NormalWeb"/>
              <w:jc w:val="center"/>
              <w:rPr>
                <w:sz w:val="18"/>
                <w:szCs w:val="18"/>
              </w:rPr>
            </w:pPr>
            <w:r w:rsidRPr="007D6DF8">
              <w:rPr>
                <w:sz w:val="18"/>
                <w:szCs w:val="18"/>
              </w:rPr>
              <w:t>44.2</w:t>
            </w:r>
          </w:p>
        </w:tc>
        <w:tc>
          <w:tcPr>
            <w:tcW w:w="2088" w:type="dxa"/>
            <w:hideMark/>
          </w:tcPr>
          <w:p w14:paraId="07916AA1" w14:textId="77777777" w:rsidR="000321CB" w:rsidRPr="007D6DF8" w:rsidRDefault="000321CB" w:rsidP="00DF1D8A">
            <w:pPr>
              <w:pStyle w:val="NormalWeb"/>
              <w:jc w:val="center"/>
              <w:rPr>
                <w:sz w:val="18"/>
                <w:szCs w:val="18"/>
              </w:rPr>
            </w:pPr>
            <w:r w:rsidRPr="007D6DF8">
              <w:rPr>
                <w:sz w:val="18"/>
                <w:szCs w:val="18"/>
              </w:rPr>
              <w:t>103</w:t>
            </w:r>
          </w:p>
        </w:tc>
        <w:tc>
          <w:tcPr>
            <w:tcW w:w="2088" w:type="dxa"/>
            <w:hideMark/>
          </w:tcPr>
          <w:p w14:paraId="70B45C55" w14:textId="77777777" w:rsidR="000321CB" w:rsidRPr="007D6DF8" w:rsidRDefault="000321CB" w:rsidP="00DF1D8A">
            <w:pPr>
              <w:pStyle w:val="NormalWeb"/>
              <w:jc w:val="center"/>
              <w:rPr>
                <w:sz w:val="18"/>
                <w:szCs w:val="18"/>
              </w:rPr>
            </w:pPr>
            <w:r w:rsidRPr="007D6DF8">
              <w:rPr>
                <w:sz w:val="18"/>
                <w:szCs w:val="18"/>
              </w:rPr>
              <w:t>27.0</w:t>
            </w:r>
          </w:p>
        </w:tc>
      </w:tr>
      <w:tr w:rsidR="000321CB" w:rsidRPr="007D6DF8" w14:paraId="6CA38AED" w14:textId="77777777" w:rsidTr="008D7831">
        <w:trPr>
          <w:cnfStyle w:val="000000010000" w:firstRow="0" w:lastRow="0" w:firstColumn="0" w:lastColumn="0" w:oddVBand="0" w:evenVBand="0" w:oddHBand="0" w:evenHBand="1" w:firstRowFirstColumn="0" w:firstRowLastColumn="0" w:lastRowFirstColumn="0" w:lastRowLastColumn="0"/>
        </w:trPr>
        <w:tc>
          <w:tcPr>
            <w:tcW w:w="2694" w:type="dxa"/>
            <w:hideMark/>
          </w:tcPr>
          <w:p w14:paraId="0A8D8F98" w14:textId="77777777" w:rsidR="000321CB" w:rsidRPr="007D6DF8" w:rsidRDefault="000321CB">
            <w:pPr>
              <w:pStyle w:val="NormalWeb"/>
              <w:rPr>
                <w:sz w:val="18"/>
                <w:szCs w:val="18"/>
              </w:rPr>
            </w:pPr>
            <w:r w:rsidRPr="007D6DF8">
              <w:rPr>
                <w:sz w:val="18"/>
                <w:szCs w:val="18"/>
              </w:rPr>
              <w:t>9</w:t>
            </w:r>
          </w:p>
        </w:tc>
        <w:tc>
          <w:tcPr>
            <w:tcW w:w="1482" w:type="dxa"/>
            <w:hideMark/>
          </w:tcPr>
          <w:p w14:paraId="73CA6287" w14:textId="77777777" w:rsidR="000321CB" w:rsidRPr="007D6DF8" w:rsidRDefault="000321CB" w:rsidP="00DF1D8A">
            <w:pPr>
              <w:pStyle w:val="NormalWeb"/>
              <w:jc w:val="center"/>
              <w:rPr>
                <w:sz w:val="18"/>
                <w:szCs w:val="18"/>
              </w:rPr>
            </w:pPr>
            <w:r w:rsidRPr="007D6DF8">
              <w:rPr>
                <w:sz w:val="18"/>
                <w:szCs w:val="18"/>
              </w:rPr>
              <w:t>149</w:t>
            </w:r>
          </w:p>
        </w:tc>
        <w:tc>
          <w:tcPr>
            <w:tcW w:w="2088" w:type="dxa"/>
            <w:hideMark/>
          </w:tcPr>
          <w:p w14:paraId="3632CA9B" w14:textId="77777777" w:rsidR="000321CB" w:rsidRPr="007D6DF8" w:rsidRDefault="000321CB" w:rsidP="00DF1D8A">
            <w:pPr>
              <w:pStyle w:val="NormalWeb"/>
              <w:jc w:val="center"/>
              <w:rPr>
                <w:sz w:val="18"/>
                <w:szCs w:val="18"/>
              </w:rPr>
            </w:pPr>
            <w:r w:rsidRPr="007D6DF8">
              <w:rPr>
                <w:sz w:val="18"/>
                <w:szCs w:val="18"/>
              </w:rPr>
              <w:t>37.4</w:t>
            </w:r>
          </w:p>
        </w:tc>
        <w:tc>
          <w:tcPr>
            <w:tcW w:w="2088" w:type="dxa"/>
            <w:hideMark/>
          </w:tcPr>
          <w:p w14:paraId="559375FF" w14:textId="77777777" w:rsidR="000321CB" w:rsidRPr="007D6DF8" w:rsidRDefault="000321CB" w:rsidP="00DF1D8A">
            <w:pPr>
              <w:pStyle w:val="NormalWeb"/>
              <w:jc w:val="center"/>
              <w:rPr>
                <w:sz w:val="18"/>
                <w:szCs w:val="18"/>
              </w:rPr>
            </w:pPr>
            <w:r w:rsidRPr="007D6DF8">
              <w:rPr>
                <w:sz w:val="18"/>
                <w:szCs w:val="18"/>
              </w:rPr>
              <w:t>80</w:t>
            </w:r>
          </w:p>
        </w:tc>
        <w:tc>
          <w:tcPr>
            <w:tcW w:w="2088" w:type="dxa"/>
            <w:hideMark/>
          </w:tcPr>
          <w:p w14:paraId="1522A1BD" w14:textId="77777777" w:rsidR="000321CB" w:rsidRPr="007D6DF8" w:rsidRDefault="000321CB" w:rsidP="00DF1D8A">
            <w:pPr>
              <w:pStyle w:val="NormalWeb"/>
              <w:jc w:val="center"/>
              <w:rPr>
                <w:sz w:val="18"/>
                <w:szCs w:val="18"/>
              </w:rPr>
            </w:pPr>
            <w:r w:rsidRPr="007D6DF8">
              <w:rPr>
                <w:sz w:val="18"/>
                <w:szCs w:val="18"/>
              </w:rPr>
              <w:t>21.0</w:t>
            </w:r>
          </w:p>
        </w:tc>
      </w:tr>
      <w:tr w:rsidR="000321CB" w:rsidRPr="007D6DF8" w14:paraId="35360577" w14:textId="77777777" w:rsidTr="008D7831">
        <w:tc>
          <w:tcPr>
            <w:tcW w:w="2694" w:type="dxa"/>
            <w:hideMark/>
          </w:tcPr>
          <w:p w14:paraId="591599F0" w14:textId="77777777" w:rsidR="000321CB" w:rsidRPr="007D6DF8" w:rsidRDefault="000321CB">
            <w:pPr>
              <w:pStyle w:val="NormalWeb"/>
              <w:rPr>
                <w:sz w:val="18"/>
                <w:szCs w:val="18"/>
              </w:rPr>
            </w:pPr>
            <w:r w:rsidRPr="007D6DF8">
              <w:rPr>
                <w:sz w:val="18"/>
                <w:szCs w:val="18"/>
              </w:rPr>
              <w:t>12</w:t>
            </w:r>
          </w:p>
        </w:tc>
        <w:tc>
          <w:tcPr>
            <w:tcW w:w="1482" w:type="dxa"/>
            <w:hideMark/>
          </w:tcPr>
          <w:p w14:paraId="2CBF5F22" w14:textId="77777777" w:rsidR="000321CB" w:rsidRPr="007D6DF8" w:rsidRDefault="000321CB" w:rsidP="00DF1D8A">
            <w:pPr>
              <w:pStyle w:val="NormalWeb"/>
              <w:jc w:val="center"/>
              <w:rPr>
                <w:sz w:val="18"/>
                <w:szCs w:val="18"/>
              </w:rPr>
            </w:pPr>
            <w:r w:rsidRPr="007D6DF8">
              <w:rPr>
                <w:sz w:val="18"/>
                <w:szCs w:val="18"/>
              </w:rPr>
              <w:t>127</w:t>
            </w:r>
          </w:p>
        </w:tc>
        <w:tc>
          <w:tcPr>
            <w:tcW w:w="2088" w:type="dxa"/>
            <w:hideMark/>
          </w:tcPr>
          <w:p w14:paraId="44B1781D" w14:textId="77777777" w:rsidR="000321CB" w:rsidRPr="007D6DF8" w:rsidRDefault="000321CB" w:rsidP="00DF1D8A">
            <w:pPr>
              <w:pStyle w:val="NormalWeb"/>
              <w:jc w:val="center"/>
              <w:rPr>
                <w:sz w:val="18"/>
                <w:szCs w:val="18"/>
              </w:rPr>
            </w:pPr>
            <w:r w:rsidRPr="007D6DF8">
              <w:rPr>
                <w:sz w:val="18"/>
                <w:szCs w:val="18"/>
              </w:rPr>
              <w:t>31.9</w:t>
            </w:r>
          </w:p>
        </w:tc>
        <w:tc>
          <w:tcPr>
            <w:tcW w:w="2088" w:type="dxa"/>
            <w:hideMark/>
          </w:tcPr>
          <w:p w14:paraId="6759C56D" w14:textId="77777777" w:rsidR="000321CB" w:rsidRPr="007D6DF8" w:rsidRDefault="000321CB" w:rsidP="00DF1D8A">
            <w:pPr>
              <w:pStyle w:val="NormalWeb"/>
              <w:jc w:val="center"/>
              <w:rPr>
                <w:sz w:val="18"/>
                <w:szCs w:val="18"/>
              </w:rPr>
            </w:pPr>
            <w:r w:rsidRPr="007D6DF8">
              <w:rPr>
                <w:sz w:val="18"/>
                <w:szCs w:val="18"/>
              </w:rPr>
              <w:t>73</w:t>
            </w:r>
          </w:p>
        </w:tc>
        <w:tc>
          <w:tcPr>
            <w:tcW w:w="2088" w:type="dxa"/>
            <w:hideMark/>
          </w:tcPr>
          <w:p w14:paraId="79F7DF14" w14:textId="77777777" w:rsidR="000321CB" w:rsidRPr="007D6DF8" w:rsidRDefault="000321CB" w:rsidP="00DF1D8A">
            <w:pPr>
              <w:pStyle w:val="NormalWeb"/>
              <w:jc w:val="center"/>
              <w:rPr>
                <w:sz w:val="18"/>
                <w:szCs w:val="18"/>
              </w:rPr>
            </w:pPr>
            <w:r w:rsidRPr="007D6DF8">
              <w:rPr>
                <w:sz w:val="18"/>
                <w:szCs w:val="18"/>
              </w:rPr>
              <w:t>19.2</w:t>
            </w:r>
          </w:p>
        </w:tc>
      </w:tr>
      <w:tr w:rsidR="000321CB" w:rsidRPr="007D6DF8" w14:paraId="32AFAF75" w14:textId="77777777" w:rsidTr="008D7831">
        <w:trPr>
          <w:cnfStyle w:val="000000010000" w:firstRow="0" w:lastRow="0" w:firstColumn="0" w:lastColumn="0" w:oddVBand="0" w:evenVBand="0" w:oddHBand="0" w:evenHBand="1" w:firstRowFirstColumn="0" w:firstRowLastColumn="0" w:lastRowFirstColumn="0" w:lastRowLastColumn="0"/>
        </w:trPr>
        <w:tc>
          <w:tcPr>
            <w:tcW w:w="2694" w:type="dxa"/>
            <w:hideMark/>
          </w:tcPr>
          <w:p w14:paraId="747C822A" w14:textId="77777777" w:rsidR="000321CB" w:rsidRPr="007D6DF8" w:rsidRDefault="000321CB">
            <w:pPr>
              <w:pStyle w:val="NormalWeb"/>
              <w:rPr>
                <w:sz w:val="18"/>
                <w:szCs w:val="18"/>
              </w:rPr>
            </w:pPr>
            <w:r w:rsidRPr="007D6DF8">
              <w:rPr>
                <w:sz w:val="18"/>
                <w:szCs w:val="18"/>
              </w:rPr>
              <w:t>15</w:t>
            </w:r>
          </w:p>
        </w:tc>
        <w:tc>
          <w:tcPr>
            <w:tcW w:w="1482" w:type="dxa"/>
            <w:hideMark/>
          </w:tcPr>
          <w:p w14:paraId="679A8096" w14:textId="77777777" w:rsidR="000321CB" w:rsidRPr="007D6DF8" w:rsidRDefault="000321CB" w:rsidP="00DF1D8A">
            <w:pPr>
              <w:pStyle w:val="NormalWeb"/>
              <w:jc w:val="center"/>
              <w:rPr>
                <w:sz w:val="18"/>
                <w:szCs w:val="18"/>
              </w:rPr>
            </w:pPr>
            <w:r w:rsidRPr="007D6DF8">
              <w:rPr>
                <w:sz w:val="18"/>
                <w:szCs w:val="18"/>
              </w:rPr>
              <w:t>117</w:t>
            </w:r>
          </w:p>
        </w:tc>
        <w:tc>
          <w:tcPr>
            <w:tcW w:w="2088" w:type="dxa"/>
            <w:hideMark/>
          </w:tcPr>
          <w:p w14:paraId="2D43FA19" w14:textId="77777777" w:rsidR="000321CB" w:rsidRPr="007D6DF8" w:rsidRDefault="000321CB" w:rsidP="00DF1D8A">
            <w:pPr>
              <w:pStyle w:val="NormalWeb"/>
              <w:jc w:val="center"/>
              <w:rPr>
                <w:sz w:val="18"/>
                <w:szCs w:val="18"/>
              </w:rPr>
            </w:pPr>
            <w:r w:rsidRPr="007D6DF8">
              <w:rPr>
                <w:sz w:val="18"/>
                <w:szCs w:val="18"/>
              </w:rPr>
              <w:t>29.4</w:t>
            </w:r>
          </w:p>
        </w:tc>
        <w:tc>
          <w:tcPr>
            <w:tcW w:w="2088" w:type="dxa"/>
            <w:hideMark/>
          </w:tcPr>
          <w:p w14:paraId="23DE515F" w14:textId="77777777" w:rsidR="000321CB" w:rsidRPr="007D6DF8" w:rsidRDefault="000321CB" w:rsidP="00DF1D8A">
            <w:pPr>
              <w:pStyle w:val="NormalWeb"/>
              <w:jc w:val="center"/>
              <w:rPr>
                <w:sz w:val="18"/>
                <w:szCs w:val="18"/>
              </w:rPr>
            </w:pPr>
            <w:r w:rsidRPr="007D6DF8">
              <w:rPr>
                <w:sz w:val="18"/>
                <w:szCs w:val="18"/>
              </w:rPr>
              <w:t>68</w:t>
            </w:r>
          </w:p>
        </w:tc>
        <w:tc>
          <w:tcPr>
            <w:tcW w:w="2088" w:type="dxa"/>
            <w:hideMark/>
          </w:tcPr>
          <w:p w14:paraId="22E47D82" w14:textId="77777777" w:rsidR="000321CB" w:rsidRPr="007D6DF8" w:rsidRDefault="000321CB" w:rsidP="00DF1D8A">
            <w:pPr>
              <w:pStyle w:val="NormalWeb"/>
              <w:jc w:val="center"/>
              <w:rPr>
                <w:sz w:val="18"/>
                <w:szCs w:val="18"/>
              </w:rPr>
            </w:pPr>
            <w:r w:rsidRPr="007D6DF8">
              <w:rPr>
                <w:sz w:val="18"/>
                <w:szCs w:val="18"/>
              </w:rPr>
              <w:t>17.8</w:t>
            </w:r>
          </w:p>
        </w:tc>
      </w:tr>
      <w:tr w:rsidR="000321CB" w:rsidRPr="007D6DF8" w14:paraId="737109C9" w14:textId="77777777" w:rsidTr="008D7831">
        <w:tc>
          <w:tcPr>
            <w:tcW w:w="2694" w:type="dxa"/>
            <w:hideMark/>
          </w:tcPr>
          <w:p w14:paraId="18EADD12" w14:textId="77777777" w:rsidR="000321CB" w:rsidRPr="007D6DF8" w:rsidRDefault="000321CB">
            <w:pPr>
              <w:pStyle w:val="NormalWeb"/>
              <w:rPr>
                <w:sz w:val="18"/>
                <w:szCs w:val="18"/>
              </w:rPr>
            </w:pPr>
            <w:r w:rsidRPr="007D6DF8">
              <w:rPr>
                <w:sz w:val="18"/>
                <w:szCs w:val="18"/>
              </w:rPr>
              <w:t>18</w:t>
            </w:r>
          </w:p>
        </w:tc>
        <w:tc>
          <w:tcPr>
            <w:tcW w:w="1482" w:type="dxa"/>
            <w:hideMark/>
          </w:tcPr>
          <w:p w14:paraId="052FAC8C" w14:textId="77777777" w:rsidR="000321CB" w:rsidRPr="007D6DF8" w:rsidRDefault="000321CB" w:rsidP="00DF1D8A">
            <w:pPr>
              <w:pStyle w:val="NormalWeb"/>
              <w:jc w:val="center"/>
              <w:rPr>
                <w:sz w:val="18"/>
                <w:szCs w:val="18"/>
              </w:rPr>
            </w:pPr>
            <w:r w:rsidRPr="007D6DF8">
              <w:rPr>
                <w:sz w:val="18"/>
                <w:szCs w:val="18"/>
              </w:rPr>
              <w:t>103</w:t>
            </w:r>
          </w:p>
        </w:tc>
        <w:tc>
          <w:tcPr>
            <w:tcW w:w="2088" w:type="dxa"/>
            <w:hideMark/>
          </w:tcPr>
          <w:p w14:paraId="10FB2265" w14:textId="77777777" w:rsidR="000321CB" w:rsidRPr="007D6DF8" w:rsidRDefault="000321CB" w:rsidP="00DF1D8A">
            <w:pPr>
              <w:pStyle w:val="NormalWeb"/>
              <w:jc w:val="center"/>
              <w:rPr>
                <w:sz w:val="18"/>
                <w:szCs w:val="18"/>
              </w:rPr>
            </w:pPr>
            <w:r w:rsidRPr="007D6DF8">
              <w:rPr>
                <w:sz w:val="18"/>
                <w:szCs w:val="18"/>
              </w:rPr>
              <w:t>25.9</w:t>
            </w:r>
          </w:p>
        </w:tc>
        <w:tc>
          <w:tcPr>
            <w:tcW w:w="2088" w:type="dxa"/>
            <w:hideMark/>
          </w:tcPr>
          <w:p w14:paraId="0D6344A0" w14:textId="77777777" w:rsidR="000321CB" w:rsidRPr="007D6DF8" w:rsidRDefault="000321CB" w:rsidP="00DF1D8A">
            <w:pPr>
              <w:pStyle w:val="NormalWeb"/>
              <w:jc w:val="center"/>
              <w:rPr>
                <w:sz w:val="18"/>
                <w:szCs w:val="18"/>
              </w:rPr>
            </w:pPr>
            <w:r w:rsidRPr="007D6DF8">
              <w:rPr>
                <w:sz w:val="18"/>
                <w:szCs w:val="18"/>
              </w:rPr>
              <w:t>63</w:t>
            </w:r>
          </w:p>
        </w:tc>
        <w:tc>
          <w:tcPr>
            <w:tcW w:w="2088" w:type="dxa"/>
            <w:hideMark/>
          </w:tcPr>
          <w:p w14:paraId="344C6FFD" w14:textId="77777777" w:rsidR="000321CB" w:rsidRPr="007D6DF8" w:rsidRDefault="000321CB" w:rsidP="00DF1D8A">
            <w:pPr>
              <w:pStyle w:val="NormalWeb"/>
              <w:jc w:val="center"/>
              <w:rPr>
                <w:sz w:val="18"/>
                <w:szCs w:val="18"/>
              </w:rPr>
            </w:pPr>
            <w:r w:rsidRPr="007D6DF8">
              <w:rPr>
                <w:sz w:val="18"/>
                <w:szCs w:val="18"/>
              </w:rPr>
              <w:t>16.5</w:t>
            </w:r>
          </w:p>
        </w:tc>
      </w:tr>
      <w:tr w:rsidR="000321CB" w:rsidRPr="007D6DF8" w14:paraId="7FB81D83" w14:textId="77777777" w:rsidTr="008D7831">
        <w:trPr>
          <w:cnfStyle w:val="000000010000" w:firstRow="0" w:lastRow="0" w:firstColumn="0" w:lastColumn="0" w:oddVBand="0" w:evenVBand="0" w:oddHBand="0" w:evenHBand="1" w:firstRowFirstColumn="0" w:firstRowLastColumn="0" w:lastRowFirstColumn="0" w:lastRowLastColumn="0"/>
        </w:trPr>
        <w:tc>
          <w:tcPr>
            <w:tcW w:w="2694" w:type="dxa"/>
            <w:hideMark/>
          </w:tcPr>
          <w:p w14:paraId="52914BCB" w14:textId="77777777" w:rsidR="000321CB" w:rsidRPr="007D6DF8" w:rsidRDefault="000321CB">
            <w:pPr>
              <w:pStyle w:val="NormalWeb"/>
              <w:rPr>
                <w:sz w:val="18"/>
                <w:szCs w:val="18"/>
              </w:rPr>
            </w:pPr>
            <w:r w:rsidRPr="007D6DF8">
              <w:rPr>
                <w:sz w:val="18"/>
                <w:szCs w:val="18"/>
              </w:rPr>
              <w:t>21</w:t>
            </w:r>
          </w:p>
        </w:tc>
        <w:tc>
          <w:tcPr>
            <w:tcW w:w="1482" w:type="dxa"/>
            <w:hideMark/>
          </w:tcPr>
          <w:p w14:paraId="2B159A9E" w14:textId="77777777" w:rsidR="000321CB" w:rsidRPr="007D6DF8" w:rsidRDefault="000321CB" w:rsidP="00DF1D8A">
            <w:pPr>
              <w:pStyle w:val="NormalWeb"/>
              <w:jc w:val="center"/>
              <w:rPr>
                <w:sz w:val="18"/>
                <w:szCs w:val="18"/>
              </w:rPr>
            </w:pPr>
            <w:r w:rsidRPr="007D6DF8">
              <w:rPr>
                <w:sz w:val="18"/>
                <w:szCs w:val="18"/>
              </w:rPr>
              <w:t>99</w:t>
            </w:r>
          </w:p>
        </w:tc>
        <w:tc>
          <w:tcPr>
            <w:tcW w:w="2088" w:type="dxa"/>
            <w:hideMark/>
          </w:tcPr>
          <w:p w14:paraId="76D95A24" w14:textId="77777777" w:rsidR="000321CB" w:rsidRPr="007D6DF8" w:rsidRDefault="000321CB" w:rsidP="00DF1D8A">
            <w:pPr>
              <w:pStyle w:val="NormalWeb"/>
              <w:jc w:val="center"/>
              <w:rPr>
                <w:sz w:val="18"/>
                <w:szCs w:val="18"/>
              </w:rPr>
            </w:pPr>
            <w:r w:rsidRPr="007D6DF8">
              <w:rPr>
                <w:sz w:val="18"/>
                <w:szCs w:val="18"/>
              </w:rPr>
              <w:t>24.9</w:t>
            </w:r>
          </w:p>
        </w:tc>
        <w:tc>
          <w:tcPr>
            <w:tcW w:w="2088" w:type="dxa"/>
            <w:hideMark/>
          </w:tcPr>
          <w:p w14:paraId="0B640081" w14:textId="77777777" w:rsidR="000321CB" w:rsidRPr="007D6DF8" w:rsidRDefault="000321CB" w:rsidP="00DF1D8A">
            <w:pPr>
              <w:pStyle w:val="NormalWeb"/>
              <w:jc w:val="center"/>
              <w:rPr>
                <w:sz w:val="18"/>
                <w:szCs w:val="18"/>
              </w:rPr>
            </w:pPr>
            <w:r w:rsidRPr="007D6DF8">
              <w:rPr>
                <w:sz w:val="18"/>
                <w:szCs w:val="18"/>
              </w:rPr>
              <w:t>62</w:t>
            </w:r>
          </w:p>
        </w:tc>
        <w:tc>
          <w:tcPr>
            <w:tcW w:w="2088" w:type="dxa"/>
            <w:hideMark/>
          </w:tcPr>
          <w:p w14:paraId="16741E39" w14:textId="77777777" w:rsidR="000321CB" w:rsidRPr="007D6DF8" w:rsidRDefault="000321CB" w:rsidP="00DF1D8A">
            <w:pPr>
              <w:pStyle w:val="NormalWeb"/>
              <w:jc w:val="center"/>
              <w:rPr>
                <w:sz w:val="18"/>
                <w:szCs w:val="18"/>
              </w:rPr>
            </w:pPr>
            <w:r w:rsidRPr="007D6DF8">
              <w:rPr>
                <w:sz w:val="18"/>
                <w:szCs w:val="18"/>
              </w:rPr>
              <w:t>16.3</w:t>
            </w:r>
          </w:p>
        </w:tc>
      </w:tr>
      <w:tr w:rsidR="000321CB" w:rsidRPr="007D6DF8" w14:paraId="3F09CA75" w14:textId="77777777" w:rsidTr="008D7831">
        <w:tc>
          <w:tcPr>
            <w:tcW w:w="2694" w:type="dxa"/>
            <w:hideMark/>
          </w:tcPr>
          <w:p w14:paraId="55511C41" w14:textId="77777777" w:rsidR="000321CB" w:rsidRPr="007D6DF8" w:rsidRDefault="000321CB">
            <w:pPr>
              <w:pStyle w:val="NormalWeb"/>
              <w:rPr>
                <w:sz w:val="18"/>
                <w:szCs w:val="18"/>
              </w:rPr>
            </w:pPr>
            <w:r w:rsidRPr="007D6DF8">
              <w:rPr>
                <w:sz w:val="18"/>
                <w:szCs w:val="18"/>
              </w:rPr>
              <w:t>24</w:t>
            </w:r>
          </w:p>
        </w:tc>
        <w:tc>
          <w:tcPr>
            <w:tcW w:w="1482" w:type="dxa"/>
            <w:hideMark/>
          </w:tcPr>
          <w:p w14:paraId="23B5D896" w14:textId="77777777" w:rsidR="000321CB" w:rsidRPr="007D6DF8" w:rsidRDefault="000321CB" w:rsidP="00DF1D8A">
            <w:pPr>
              <w:pStyle w:val="NormalWeb"/>
              <w:jc w:val="center"/>
              <w:rPr>
                <w:sz w:val="18"/>
                <w:szCs w:val="18"/>
              </w:rPr>
            </w:pPr>
            <w:r w:rsidRPr="007D6DF8">
              <w:rPr>
                <w:sz w:val="18"/>
                <w:szCs w:val="18"/>
              </w:rPr>
              <w:t>99</w:t>
            </w:r>
          </w:p>
        </w:tc>
        <w:tc>
          <w:tcPr>
            <w:tcW w:w="2088" w:type="dxa"/>
            <w:hideMark/>
          </w:tcPr>
          <w:p w14:paraId="1242A658" w14:textId="77777777" w:rsidR="000321CB" w:rsidRPr="007D6DF8" w:rsidRDefault="000321CB" w:rsidP="00DF1D8A">
            <w:pPr>
              <w:pStyle w:val="NormalWeb"/>
              <w:jc w:val="center"/>
              <w:rPr>
                <w:sz w:val="18"/>
                <w:szCs w:val="18"/>
              </w:rPr>
            </w:pPr>
            <w:r w:rsidRPr="007D6DF8">
              <w:rPr>
                <w:sz w:val="18"/>
                <w:szCs w:val="18"/>
              </w:rPr>
              <w:t>24.9</w:t>
            </w:r>
          </w:p>
        </w:tc>
        <w:tc>
          <w:tcPr>
            <w:tcW w:w="2088" w:type="dxa"/>
            <w:hideMark/>
          </w:tcPr>
          <w:p w14:paraId="21F44C1F" w14:textId="77777777" w:rsidR="000321CB" w:rsidRPr="007D6DF8" w:rsidRDefault="000321CB" w:rsidP="00DF1D8A">
            <w:pPr>
              <w:pStyle w:val="NormalWeb"/>
              <w:jc w:val="center"/>
              <w:rPr>
                <w:sz w:val="18"/>
                <w:szCs w:val="18"/>
              </w:rPr>
            </w:pPr>
            <w:r w:rsidRPr="007D6DF8">
              <w:rPr>
                <w:sz w:val="18"/>
                <w:szCs w:val="18"/>
              </w:rPr>
              <w:t>60</w:t>
            </w:r>
          </w:p>
        </w:tc>
        <w:tc>
          <w:tcPr>
            <w:tcW w:w="2088" w:type="dxa"/>
            <w:hideMark/>
          </w:tcPr>
          <w:p w14:paraId="3419060C" w14:textId="77777777" w:rsidR="000321CB" w:rsidRPr="007D6DF8" w:rsidRDefault="000321CB" w:rsidP="00DF1D8A">
            <w:pPr>
              <w:pStyle w:val="NormalWeb"/>
              <w:jc w:val="center"/>
              <w:rPr>
                <w:sz w:val="18"/>
                <w:szCs w:val="18"/>
              </w:rPr>
            </w:pPr>
            <w:r w:rsidRPr="007D6DF8">
              <w:rPr>
                <w:sz w:val="18"/>
                <w:szCs w:val="18"/>
              </w:rPr>
              <w:t>15.7</w:t>
            </w:r>
          </w:p>
        </w:tc>
      </w:tr>
    </w:tbl>
    <w:p w14:paraId="75A8CB02" w14:textId="77777777" w:rsidR="000321CB" w:rsidRDefault="000321CB" w:rsidP="0065646A">
      <w:pPr>
        <w:pStyle w:val="CDIFigures"/>
      </w:pPr>
      <w:r>
        <w:t>Figure 3. Proportion of children remaining not fully vaccinated</w:t>
      </w:r>
    </w:p>
    <w:p w14:paraId="67810A21" w14:textId="77777777" w:rsidR="000321CB" w:rsidRDefault="000321CB" w:rsidP="0080440C">
      <w:pPr>
        <w:pStyle w:val="NormalWeb"/>
        <w:jc w:val="center"/>
      </w:pPr>
      <w:r>
        <w:rPr>
          <w:noProof/>
        </w:rPr>
        <w:drawing>
          <wp:inline distT="0" distB="0" distL="0" distR="0" wp14:anchorId="7ECC57AA" wp14:editId="39A2D7C6">
            <wp:extent cx="5791597" cy="3596185"/>
            <wp:effectExtent l="0" t="0" r="0" b="4445"/>
            <wp:docPr id="5" name="Picture 5" descr="The table and the line graph show that the proportion of children remaining not fully vaccinated dropped faster in the intervention cohorts compared with the non-intervention cohorts when measured at 3 monthly intervals over 24 months.  Both cohorts commenced at 100%, and, as seen in Table 1, the intervention cohorts finished at the 24 month mark at 15.7% still not fully vaccinated compared with the non-intervention cohorts at 24.9%.  However the not fully vaccinated proportion also dropped faster in the intervention cohorts at all points of the graph when compared with the non-intervention cohorts.  At three months, the proportion remaining not fully vaccinated for the intervention cohorts dropped to 33.3% compared with the non-intervention cohorts at 60.3%.  Both intervention and non-intervention cohorts showed a steady decline there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table examines only the children who became fully vaccinated by the end of the study.  It shows how the children became fully vaccinated on ACIR, by correcting the records, by the children being vaccinated or the child having their record corrected and being vaccinated.  The proportions in the three categories were not markedly dissimilar when comparing intervention and non-intervention cohorts. Records were corrected in 66.0% of the intervention cohort compared with 63.9% of the non-intervention cohort, children were vaccinated after the download date in 24.6% of the intervention cohort compared with 23.4% of the non-intervention cohort and both vaccination and record correction occurred in 9.3% of the intervention cohort compared with the 13.0% in the non-intervention cohor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94305" cy="3597867"/>
                    </a:xfrm>
                    <a:prstGeom prst="rect">
                      <a:avLst/>
                    </a:prstGeom>
                  </pic:spPr>
                </pic:pic>
              </a:graphicData>
            </a:graphic>
          </wp:inline>
        </w:drawing>
      </w:r>
    </w:p>
    <w:p w14:paraId="5C6E7E4F" w14:textId="77777777" w:rsidR="000321CB" w:rsidRDefault="000321CB" w:rsidP="0065646A">
      <w:r>
        <w:lastRenderedPageBreak/>
        <w:t xml:space="preserve">The records for all the children in the intervention months were then examined to determine whether they became up to date as a result of a record correction, a vaccination that occurred after the intervention, or both. </w:t>
      </w:r>
    </w:p>
    <w:p w14:paraId="15F0933D" w14:textId="77777777" w:rsidR="000321CB" w:rsidRDefault="000321CB" w:rsidP="0065646A">
      <w:r>
        <w:t>From Table 3 it can be seen that in the intervention cohorts two-thirds (66%) of those who became up to date were record errors. One quarter (25%) completed their remaining vaccinations after the download date and the remaining 9% had both record corrections and vaccinations after the download date. While the proportion of children fully vaccinated at the end of the study in the non-intervention cohorts was lower than in the intervention cohorts, the proportions of record errors, vaccinations and both record errors and vaccinations were similar.</w:t>
      </w:r>
    </w:p>
    <w:p w14:paraId="494D4C46" w14:textId="77777777" w:rsidR="00431038" w:rsidRDefault="00431038" w:rsidP="00431038">
      <w:pPr>
        <w:pStyle w:val="CDIFigures"/>
        <w:sectPr w:rsidR="00431038" w:rsidSect="00A30C37">
          <w:footnotePr>
            <w:numFmt w:val="lowerRoman"/>
          </w:footnotePr>
          <w:pgSz w:w="11906" w:h="16838"/>
          <w:pgMar w:top="720" w:right="720" w:bottom="1134" w:left="720" w:header="709" w:footer="284" w:gutter="0"/>
          <w:cols w:space="708"/>
          <w:titlePg/>
          <w:docGrid w:linePitch="360"/>
        </w:sectPr>
      </w:pPr>
    </w:p>
    <w:p w14:paraId="3573ED5A" w14:textId="77777777" w:rsidR="000321CB" w:rsidRDefault="000321CB" w:rsidP="00431038">
      <w:pPr>
        <w:pStyle w:val="CDIFigures"/>
      </w:pPr>
      <w:r>
        <w:lastRenderedPageBreak/>
        <w:t>Table 3. How children became fully vaccinated</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is table examines only the children who became fully vaccinated by the end of the study.  It shows how the children became fully vaccinated on ACIR, by correcting the records, by the children being vaccinated or the child having their record corrected and being vaccinated.  The proportions in the three categories were not markedly dissimilar when comparing intervention and non-intervention cohorts."/>
      </w:tblPr>
      <w:tblGrid>
        <w:gridCol w:w="2268"/>
        <w:gridCol w:w="1985"/>
        <w:gridCol w:w="1843"/>
        <w:gridCol w:w="1417"/>
        <w:gridCol w:w="1701"/>
        <w:gridCol w:w="1134"/>
        <w:gridCol w:w="1276"/>
        <w:gridCol w:w="1843"/>
        <w:gridCol w:w="1517"/>
      </w:tblGrid>
      <w:tr w:rsidR="004F41FD" w:rsidRPr="00431038" w14:paraId="7282838A" w14:textId="77777777" w:rsidTr="002E7510">
        <w:trPr>
          <w:cnfStyle w:val="100000000000" w:firstRow="1" w:lastRow="0" w:firstColumn="0" w:lastColumn="0" w:oddVBand="0" w:evenVBand="0" w:oddHBand="0" w:evenHBand="0" w:firstRowFirstColumn="0" w:firstRowLastColumn="0" w:lastRowFirstColumn="0" w:lastRowLastColumn="0"/>
          <w:tblHeader/>
        </w:trPr>
        <w:tc>
          <w:tcPr>
            <w:tcW w:w="2268" w:type="dxa"/>
            <w:hideMark/>
          </w:tcPr>
          <w:p w14:paraId="3B6559F5" w14:textId="77777777" w:rsidR="000321CB" w:rsidRPr="00163B31" w:rsidRDefault="000321CB">
            <w:pPr>
              <w:pStyle w:val="NormalWeb"/>
              <w:rPr>
                <w:color w:val="FFFFFF" w:themeColor="background1"/>
                <w:sz w:val="18"/>
                <w:szCs w:val="18"/>
              </w:rPr>
            </w:pPr>
            <w:r w:rsidRPr="00163B31">
              <w:rPr>
                <w:color w:val="FFFFFF" w:themeColor="background1"/>
                <w:sz w:val="18"/>
                <w:szCs w:val="18"/>
              </w:rPr>
              <w:t>Study months (NI or I)</w:t>
            </w:r>
          </w:p>
        </w:tc>
        <w:tc>
          <w:tcPr>
            <w:tcW w:w="1985" w:type="dxa"/>
            <w:hideMark/>
          </w:tcPr>
          <w:p w14:paraId="3A38D1B0"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Birth months</w:t>
            </w:r>
          </w:p>
        </w:tc>
        <w:tc>
          <w:tcPr>
            <w:tcW w:w="1843" w:type="dxa"/>
            <w:hideMark/>
          </w:tcPr>
          <w:p w14:paraId="30D123EE"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Fully vaccinated</w:t>
            </w:r>
          </w:p>
        </w:tc>
        <w:tc>
          <w:tcPr>
            <w:tcW w:w="1417" w:type="dxa"/>
            <w:hideMark/>
          </w:tcPr>
          <w:p w14:paraId="625C36E1"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Record corrected</w:t>
            </w:r>
          </w:p>
        </w:tc>
        <w:tc>
          <w:tcPr>
            <w:tcW w:w="1701" w:type="dxa"/>
            <w:hideMark/>
          </w:tcPr>
          <w:p w14:paraId="06B23247"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Record corrected %</w:t>
            </w:r>
          </w:p>
        </w:tc>
        <w:tc>
          <w:tcPr>
            <w:tcW w:w="1134" w:type="dxa"/>
            <w:hideMark/>
          </w:tcPr>
          <w:p w14:paraId="7D3F8DC7"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Vaccinated</w:t>
            </w:r>
          </w:p>
        </w:tc>
        <w:tc>
          <w:tcPr>
            <w:tcW w:w="1276" w:type="dxa"/>
            <w:hideMark/>
          </w:tcPr>
          <w:p w14:paraId="0A2F1025"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Vaccinated %</w:t>
            </w:r>
          </w:p>
        </w:tc>
        <w:tc>
          <w:tcPr>
            <w:tcW w:w="1843" w:type="dxa"/>
            <w:hideMark/>
          </w:tcPr>
          <w:p w14:paraId="4A8B10DD"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Record corrected and vaccinated</w:t>
            </w:r>
          </w:p>
        </w:tc>
        <w:tc>
          <w:tcPr>
            <w:tcW w:w="1517" w:type="dxa"/>
            <w:hideMark/>
          </w:tcPr>
          <w:p w14:paraId="5412DBAE" w14:textId="77777777" w:rsidR="000321CB" w:rsidRPr="00163B31" w:rsidRDefault="000321CB" w:rsidP="00045704">
            <w:pPr>
              <w:pStyle w:val="NormalWeb"/>
              <w:jc w:val="center"/>
              <w:rPr>
                <w:color w:val="FFFFFF" w:themeColor="background1"/>
                <w:sz w:val="18"/>
                <w:szCs w:val="18"/>
              </w:rPr>
            </w:pPr>
            <w:r w:rsidRPr="00163B31">
              <w:rPr>
                <w:color w:val="FFFFFF" w:themeColor="background1"/>
                <w:sz w:val="18"/>
                <w:szCs w:val="18"/>
              </w:rPr>
              <w:t>Record corrected and vaccinated %</w:t>
            </w:r>
          </w:p>
        </w:tc>
      </w:tr>
      <w:tr w:rsidR="008E7DED" w:rsidRPr="00431038" w14:paraId="199293B1" w14:textId="77777777" w:rsidTr="008E7DED">
        <w:tc>
          <w:tcPr>
            <w:tcW w:w="2268" w:type="dxa"/>
            <w:hideMark/>
          </w:tcPr>
          <w:p w14:paraId="13FD4377" w14:textId="77777777" w:rsidR="000321CB" w:rsidRPr="00431038" w:rsidRDefault="000321CB">
            <w:pPr>
              <w:pStyle w:val="NormalWeb"/>
              <w:rPr>
                <w:sz w:val="18"/>
                <w:szCs w:val="18"/>
              </w:rPr>
            </w:pPr>
            <w:r w:rsidRPr="00431038">
              <w:rPr>
                <w:sz w:val="18"/>
                <w:szCs w:val="18"/>
              </w:rPr>
              <w:t>Jul 2011 to Sep 2011 (NI)</w:t>
            </w:r>
          </w:p>
        </w:tc>
        <w:tc>
          <w:tcPr>
            <w:tcW w:w="1985" w:type="dxa"/>
            <w:hideMark/>
          </w:tcPr>
          <w:p w14:paraId="7611E94B" w14:textId="77777777" w:rsidR="000321CB" w:rsidRPr="00431038" w:rsidRDefault="000321CB" w:rsidP="00045704">
            <w:pPr>
              <w:pStyle w:val="NormalWeb"/>
              <w:jc w:val="center"/>
              <w:rPr>
                <w:sz w:val="18"/>
                <w:szCs w:val="18"/>
              </w:rPr>
            </w:pPr>
            <w:r w:rsidRPr="00431038">
              <w:rPr>
                <w:sz w:val="18"/>
                <w:szCs w:val="18"/>
              </w:rPr>
              <w:t>Sep 2010 to Nov 2010</w:t>
            </w:r>
          </w:p>
        </w:tc>
        <w:tc>
          <w:tcPr>
            <w:tcW w:w="1843" w:type="dxa"/>
            <w:hideMark/>
          </w:tcPr>
          <w:p w14:paraId="282FE3E0" w14:textId="77777777" w:rsidR="000321CB" w:rsidRPr="00431038" w:rsidRDefault="000321CB" w:rsidP="00045704">
            <w:pPr>
              <w:pStyle w:val="NormalWeb"/>
              <w:jc w:val="center"/>
              <w:rPr>
                <w:sz w:val="18"/>
                <w:szCs w:val="18"/>
              </w:rPr>
            </w:pPr>
            <w:r w:rsidRPr="00431038">
              <w:rPr>
                <w:sz w:val="18"/>
                <w:szCs w:val="18"/>
              </w:rPr>
              <w:t>67</w:t>
            </w:r>
          </w:p>
        </w:tc>
        <w:tc>
          <w:tcPr>
            <w:tcW w:w="1417" w:type="dxa"/>
            <w:hideMark/>
          </w:tcPr>
          <w:p w14:paraId="5045C524" w14:textId="77777777" w:rsidR="000321CB" w:rsidRPr="00431038" w:rsidRDefault="000321CB" w:rsidP="00045704">
            <w:pPr>
              <w:pStyle w:val="NormalWeb"/>
              <w:jc w:val="center"/>
              <w:rPr>
                <w:sz w:val="18"/>
                <w:szCs w:val="18"/>
              </w:rPr>
            </w:pPr>
            <w:r w:rsidRPr="00431038">
              <w:rPr>
                <w:sz w:val="18"/>
                <w:szCs w:val="18"/>
              </w:rPr>
              <w:t>43</w:t>
            </w:r>
          </w:p>
        </w:tc>
        <w:tc>
          <w:tcPr>
            <w:tcW w:w="1701" w:type="dxa"/>
            <w:hideMark/>
          </w:tcPr>
          <w:p w14:paraId="1FA8DBD5" w14:textId="77777777" w:rsidR="000321CB" w:rsidRPr="00431038" w:rsidRDefault="000321CB" w:rsidP="00045704">
            <w:pPr>
              <w:pStyle w:val="NormalWeb"/>
              <w:jc w:val="center"/>
              <w:rPr>
                <w:sz w:val="18"/>
                <w:szCs w:val="18"/>
              </w:rPr>
            </w:pPr>
            <w:r w:rsidRPr="00431038">
              <w:rPr>
                <w:sz w:val="18"/>
                <w:szCs w:val="18"/>
              </w:rPr>
              <w:t>64.2</w:t>
            </w:r>
          </w:p>
        </w:tc>
        <w:tc>
          <w:tcPr>
            <w:tcW w:w="1134" w:type="dxa"/>
            <w:hideMark/>
          </w:tcPr>
          <w:p w14:paraId="2C06477B" w14:textId="77777777" w:rsidR="000321CB" w:rsidRPr="00431038" w:rsidRDefault="000321CB" w:rsidP="00045704">
            <w:pPr>
              <w:pStyle w:val="NormalWeb"/>
              <w:jc w:val="center"/>
              <w:rPr>
                <w:sz w:val="18"/>
                <w:szCs w:val="18"/>
              </w:rPr>
            </w:pPr>
            <w:r w:rsidRPr="00431038">
              <w:rPr>
                <w:sz w:val="18"/>
                <w:szCs w:val="18"/>
              </w:rPr>
              <w:t>10</w:t>
            </w:r>
          </w:p>
        </w:tc>
        <w:tc>
          <w:tcPr>
            <w:tcW w:w="1276" w:type="dxa"/>
            <w:hideMark/>
          </w:tcPr>
          <w:p w14:paraId="07F11001" w14:textId="77777777" w:rsidR="000321CB" w:rsidRPr="00431038" w:rsidRDefault="000321CB" w:rsidP="00045704">
            <w:pPr>
              <w:pStyle w:val="NormalWeb"/>
              <w:jc w:val="center"/>
              <w:rPr>
                <w:sz w:val="18"/>
                <w:szCs w:val="18"/>
              </w:rPr>
            </w:pPr>
            <w:r w:rsidRPr="00431038">
              <w:rPr>
                <w:sz w:val="18"/>
                <w:szCs w:val="18"/>
              </w:rPr>
              <w:t>14.9</w:t>
            </w:r>
          </w:p>
        </w:tc>
        <w:tc>
          <w:tcPr>
            <w:tcW w:w="1843" w:type="dxa"/>
            <w:hideMark/>
          </w:tcPr>
          <w:p w14:paraId="45FFB36E" w14:textId="77777777" w:rsidR="000321CB" w:rsidRPr="00431038" w:rsidRDefault="000321CB" w:rsidP="00045704">
            <w:pPr>
              <w:pStyle w:val="NormalWeb"/>
              <w:jc w:val="center"/>
              <w:rPr>
                <w:sz w:val="18"/>
                <w:szCs w:val="18"/>
              </w:rPr>
            </w:pPr>
            <w:r w:rsidRPr="00431038">
              <w:rPr>
                <w:sz w:val="18"/>
                <w:szCs w:val="18"/>
              </w:rPr>
              <w:t>14</w:t>
            </w:r>
          </w:p>
        </w:tc>
        <w:tc>
          <w:tcPr>
            <w:tcW w:w="1517" w:type="dxa"/>
            <w:hideMark/>
          </w:tcPr>
          <w:p w14:paraId="7D935E38" w14:textId="77777777" w:rsidR="000321CB" w:rsidRPr="00431038" w:rsidRDefault="000321CB" w:rsidP="00045704">
            <w:pPr>
              <w:pStyle w:val="NormalWeb"/>
              <w:jc w:val="center"/>
              <w:rPr>
                <w:sz w:val="18"/>
                <w:szCs w:val="18"/>
              </w:rPr>
            </w:pPr>
            <w:r w:rsidRPr="00431038">
              <w:rPr>
                <w:sz w:val="18"/>
                <w:szCs w:val="18"/>
              </w:rPr>
              <w:t>20.9</w:t>
            </w:r>
          </w:p>
        </w:tc>
      </w:tr>
      <w:tr w:rsidR="004F41FD" w:rsidRPr="00431038" w14:paraId="1CB5397C" w14:textId="77777777" w:rsidTr="008E7DED">
        <w:trPr>
          <w:cnfStyle w:val="000000010000" w:firstRow="0" w:lastRow="0" w:firstColumn="0" w:lastColumn="0" w:oddVBand="0" w:evenVBand="0" w:oddHBand="0" w:evenHBand="1" w:firstRowFirstColumn="0" w:firstRowLastColumn="0" w:lastRowFirstColumn="0" w:lastRowLastColumn="0"/>
        </w:trPr>
        <w:tc>
          <w:tcPr>
            <w:tcW w:w="2268" w:type="dxa"/>
            <w:hideMark/>
          </w:tcPr>
          <w:p w14:paraId="27389ED5" w14:textId="77777777" w:rsidR="000321CB" w:rsidRPr="00431038" w:rsidRDefault="000321CB">
            <w:pPr>
              <w:pStyle w:val="NormalWeb"/>
              <w:rPr>
                <w:sz w:val="18"/>
                <w:szCs w:val="18"/>
              </w:rPr>
            </w:pPr>
            <w:r w:rsidRPr="00431038">
              <w:rPr>
                <w:sz w:val="18"/>
                <w:szCs w:val="18"/>
              </w:rPr>
              <w:t>Oct 2011 to Dec 2011 (I)</w:t>
            </w:r>
          </w:p>
        </w:tc>
        <w:tc>
          <w:tcPr>
            <w:tcW w:w="1985" w:type="dxa"/>
            <w:hideMark/>
          </w:tcPr>
          <w:p w14:paraId="42320754" w14:textId="77777777" w:rsidR="000321CB" w:rsidRPr="00431038" w:rsidRDefault="000321CB" w:rsidP="00045704">
            <w:pPr>
              <w:pStyle w:val="NormalWeb"/>
              <w:jc w:val="center"/>
              <w:rPr>
                <w:sz w:val="18"/>
                <w:szCs w:val="18"/>
              </w:rPr>
            </w:pPr>
            <w:r w:rsidRPr="00431038">
              <w:rPr>
                <w:sz w:val="18"/>
                <w:szCs w:val="18"/>
              </w:rPr>
              <w:t>Dec 2010 to Feb 2011</w:t>
            </w:r>
          </w:p>
        </w:tc>
        <w:tc>
          <w:tcPr>
            <w:tcW w:w="1843" w:type="dxa"/>
            <w:hideMark/>
          </w:tcPr>
          <w:p w14:paraId="144FF2F7" w14:textId="77777777" w:rsidR="000321CB" w:rsidRPr="00431038" w:rsidRDefault="000321CB" w:rsidP="00045704">
            <w:pPr>
              <w:pStyle w:val="NormalWeb"/>
              <w:jc w:val="center"/>
              <w:rPr>
                <w:sz w:val="18"/>
                <w:szCs w:val="18"/>
              </w:rPr>
            </w:pPr>
            <w:r w:rsidRPr="00431038">
              <w:rPr>
                <w:sz w:val="18"/>
                <w:szCs w:val="18"/>
              </w:rPr>
              <w:t>66</w:t>
            </w:r>
          </w:p>
        </w:tc>
        <w:tc>
          <w:tcPr>
            <w:tcW w:w="1417" w:type="dxa"/>
            <w:hideMark/>
          </w:tcPr>
          <w:p w14:paraId="5A28B237" w14:textId="77777777" w:rsidR="000321CB" w:rsidRPr="00431038" w:rsidRDefault="000321CB" w:rsidP="00045704">
            <w:pPr>
              <w:pStyle w:val="NormalWeb"/>
              <w:jc w:val="center"/>
              <w:rPr>
                <w:sz w:val="18"/>
                <w:szCs w:val="18"/>
              </w:rPr>
            </w:pPr>
            <w:r w:rsidRPr="00431038">
              <w:rPr>
                <w:sz w:val="18"/>
                <w:szCs w:val="18"/>
              </w:rPr>
              <w:t>37</w:t>
            </w:r>
          </w:p>
        </w:tc>
        <w:tc>
          <w:tcPr>
            <w:tcW w:w="1701" w:type="dxa"/>
            <w:hideMark/>
          </w:tcPr>
          <w:p w14:paraId="6649C291" w14:textId="77777777" w:rsidR="000321CB" w:rsidRPr="00431038" w:rsidRDefault="000321CB" w:rsidP="00045704">
            <w:pPr>
              <w:pStyle w:val="NormalWeb"/>
              <w:jc w:val="center"/>
              <w:rPr>
                <w:sz w:val="18"/>
                <w:szCs w:val="18"/>
              </w:rPr>
            </w:pPr>
            <w:r w:rsidRPr="00431038">
              <w:rPr>
                <w:sz w:val="18"/>
                <w:szCs w:val="18"/>
              </w:rPr>
              <w:t>56.1</w:t>
            </w:r>
          </w:p>
        </w:tc>
        <w:tc>
          <w:tcPr>
            <w:tcW w:w="1134" w:type="dxa"/>
            <w:hideMark/>
          </w:tcPr>
          <w:p w14:paraId="36BA25AB" w14:textId="77777777" w:rsidR="000321CB" w:rsidRPr="00431038" w:rsidRDefault="000321CB" w:rsidP="00045704">
            <w:pPr>
              <w:pStyle w:val="NormalWeb"/>
              <w:jc w:val="center"/>
              <w:rPr>
                <w:sz w:val="18"/>
                <w:szCs w:val="18"/>
              </w:rPr>
            </w:pPr>
            <w:r w:rsidRPr="00431038">
              <w:rPr>
                <w:sz w:val="18"/>
                <w:szCs w:val="18"/>
              </w:rPr>
              <w:t>20</w:t>
            </w:r>
          </w:p>
        </w:tc>
        <w:tc>
          <w:tcPr>
            <w:tcW w:w="1276" w:type="dxa"/>
            <w:hideMark/>
          </w:tcPr>
          <w:p w14:paraId="1E43E7AA" w14:textId="77777777" w:rsidR="000321CB" w:rsidRPr="00431038" w:rsidRDefault="000321CB" w:rsidP="00045704">
            <w:pPr>
              <w:pStyle w:val="NormalWeb"/>
              <w:jc w:val="center"/>
              <w:rPr>
                <w:sz w:val="18"/>
                <w:szCs w:val="18"/>
              </w:rPr>
            </w:pPr>
            <w:r w:rsidRPr="00431038">
              <w:rPr>
                <w:sz w:val="18"/>
                <w:szCs w:val="18"/>
              </w:rPr>
              <w:t>30.3</w:t>
            </w:r>
          </w:p>
        </w:tc>
        <w:tc>
          <w:tcPr>
            <w:tcW w:w="1843" w:type="dxa"/>
            <w:hideMark/>
          </w:tcPr>
          <w:p w14:paraId="2E1B36BB" w14:textId="77777777" w:rsidR="000321CB" w:rsidRPr="00431038" w:rsidRDefault="000321CB" w:rsidP="00045704">
            <w:pPr>
              <w:pStyle w:val="NormalWeb"/>
              <w:jc w:val="center"/>
              <w:rPr>
                <w:sz w:val="18"/>
                <w:szCs w:val="18"/>
              </w:rPr>
            </w:pPr>
            <w:r w:rsidRPr="00431038">
              <w:rPr>
                <w:sz w:val="18"/>
                <w:szCs w:val="18"/>
              </w:rPr>
              <w:t>9</w:t>
            </w:r>
          </w:p>
        </w:tc>
        <w:tc>
          <w:tcPr>
            <w:tcW w:w="1517" w:type="dxa"/>
            <w:hideMark/>
          </w:tcPr>
          <w:p w14:paraId="650F72D5" w14:textId="77777777" w:rsidR="000321CB" w:rsidRPr="00431038" w:rsidRDefault="000321CB" w:rsidP="00045704">
            <w:pPr>
              <w:pStyle w:val="NormalWeb"/>
              <w:jc w:val="center"/>
              <w:rPr>
                <w:sz w:val="18"/>
                <w:szCs w:val="18"/>
              </w:rPr>
            </w:pPr>
            <w:r w:rsidRPr="00431038">
              <w:rPr>
                <w:sz w:val="18"/>
                <w:szCs w:val="18"/>
              </w:rPr>
              <w:t>13.6</w:t>
            </w:r>
          </w:p>
        </w:tc>
      </w:tr>
      <w:tr w:rsidR="008E7DED" w:rsidRPr="00431038" w14:paraId="3F00DCDA" w14:textId="77777777" w:rsidTr="008E7DED">
        <w:tc>
          <w:tcPr>
            <w:tcW w:w="2268" w:type="dxa"/>
            <w:hideMark/>
          </w:tcPr>
          <w:p w14:paraId="6F6B174C" w14:textId="77777777" w:rsidR="000321CB" w:rsidRPr="00431038" w:rsidRDefault="000321CB">
            <w:pPr>
              <w:pStyle w:val="NormalWeb"/>
              <w:rPr>
                <w:sz w:val="18"/>
                <w:szCs w:val="18"/>
              </w:rPr>
            </w:pPr>
            <w:r w:rsidRPr="00431038">
              <w:rPr>
                <w:sz w:val="18"/>
                <w:szCs w:val="18"/>
              </w:rPr>
              <w:t>Jan 2012 to Mar 2012 (NI)</w:t>
            </w:r>
          </w:p>
        </w:tc>
        <w:tc>
          <w:tcPr>
            <w:tcW w:w="1985" w:type="dxa"/>
            <w:hideMark/>
          </w:tcPr>
          <w:p w14:paraId="7A69A2DC" w14:textId="77777777" w:rsidR="000321CB" w:rsidRPr="00431038" w:rsidRDefault="000321CB" w:rsidP="00045704">
            <w:pPr>
              <w:pStyle w:val="NormalWeb"/>
              <w:jc w:val="center"/>
              <w:rPr>
                <w:sz w:val="18"/>
                <w:szCs w:val="18"/>
              </w:rPr>
            </w:pPr>
            <w:r w:rsidRPr="00431038">
              <w:rPr>
                <w:sz w:val="18"/>
                <w:szCs w:val="18"/>
              </w:rPr>
              <w:t>Mar 2011 to May 2011</w:t>
            </w:r>
          </w:p>
        </w:tc>
        <w:tc>
          <w:tcPr>
            <w:tcW w:w="1843" w:type="dxa"/>
            <w:hideMark/>
          </w:tcPr>
          <w:p w14:paraId="4199D39F" w14:textId="77777777" w:rsidR="000321CB" w:rsidRPr="00431038" w:rsidRDefault="000321CB" w:rsidP="00045704">
            <w:pPr>
              <w:pStyle w:val="NormalWeb"/>
              <w:jc w:val="center"/>
              <w:rPr>
                <w:sz w:val="18"/>
                <w:szCs w:val="18"/>
              </w:rPr>
            </w:pPr>
            <w:r w:rsidRPr="00431038">
              <w:rPr>
                <w:sz w:val="18"/>
                <w:szCs w:val="18"/>
              </w:rPr>
              <w:t>85</w:t>
            </w:r>
          </w:p>
        </w:tc>
        <w:tc>
          <w:tcPr>
            <w:tcW w:w="1417" w:type="dxa"/>
            <w:hideMark/>
          </w:tcPr>
          <w:p w14:paraId="455864C9" w14:textId="77777777" w:rsidR="000321CB" w:rsidRPr="00431038" w:rsidRDefault="000321CB" w:rsidP="00045704">
            <w:pPr>
              <w:pStyle w:val="NormalWeb"/>
              <w:jc w:val="center"/>
              <w:rPr>
                <w:sz w:val="18"/>
                <w:szCs w:val="18"/>
              </w:rPr>
            </w:pPr>
            <w:r w:rsidRPr="00431038">
              <w:rPr>
                <w:sz w:val="18"/>
                <w:szCs w:val="18"/>
              </w:rPr>
              <w:t>49</w:t>
            </w:r>
          </w:p>
        </w:tc>
        <w:tc>
          <w:tcPr>
            <w:tcW w:w="1701" w:type="dxa"/>
            <w:hideMark/>
          </w:tcPr>
          <w:p w14:paraId="6B1F4DAE" w14:textId="77777777" w:rsidR="000321CB" w:rsidRPr="00431038" w:rsidRDefault="000321CB" w:rsidP="00045704">
            <w:pPr>
              <w:pStyle w:val="NormalWeb"/>
              <w:jc w:val="center"/>
              <w:rPr>
                <w:sz w:val="18"/>
                <w:szCs w:val="18"/>
              </w:rPr>
            </w:pPr>
            <w:r w:rsidRPr="00431038">
              <w:rPr>
                <w:sz w:val="18"/>
                <w:szCs w:val="18"/>
              </w:rPr>
              <w:t>57.6</w:t>
            </w:r>
          </w:p>
        </w:tc>
        <w:tc>
          <w:tcPr>
            <w:tcW w:w="1134" w:type="dxa"/>
            <w:hideMark/>
          </w:tcPr>
          <w:p w14:paraId="2AF4042C" w14:textId="77777777" w:rsidR="000321CB" w:rsidRPr="00431038" w:rsidRDefault="000321CB" w:rsidP="00045704">
            <w:pPr>
              <w:pStyle w:val="NormalWeb"/>
              <w:jc w:val="center"/>
              <w:rPr>
                <w:sz w:val="18"/>
                <w:szCs w:val="18"/>
              </w:rPr>
            </w:pPr>
            <w:r w:rsidRPr="00431038">
              <w:rPr>
                <w:sz w:val="18"/>
                <w:szCs w:val="18"/>
              </w:rPr>
              <w:t>27</w:t>
            </w:r>
          </w:p>
        </w:tc>
        <w:tc>
          <w:tcPr>
            <w:tcW w:w="1276" w:type="dxa"/>
            <w:hideMark/>
          </w:tcPr>
          <w:p w14:paraId="6E50DE7A" w14:textId="77777777" w:rsidR="000321CB" w:rsidRPr="00431038" w:rsidRDefault="000321CB" w:rsidP="00045704">
            <w:pPr>
              <w:pStyle w:val="NormalWeb"/>
              <w:jc w:val="center"/>
              <w:rPr>
                <w:sz w:val="18"/>
                <w:szCs w:val="18"/>
              </w:rPr>
            </w:pPr>
            <w:r w:rsidRPr="00431038">
              <w:rPr>
                <w:sz w:val="18"/>
                <w:szCs w:val="18"/>
              </w:rPr>
              <w:t>31.8</w:t>
            </w:r>
          </w:p>
        </w:tc>
        <w:tc>
          <w:tcPr>
            <w:tcW w:w="1843" w:type="dxa"/>
            <w:hideMark/>
          </w:tcPr>
          <w:p w14:paraId="2F73EE00" w14:textId="77777777" w:rsidR="000321CB" w:rsidRPr="00431038" w:rsidRDefault="000321CB" w:rsidP="00045704">
            <w:pPr>
              <w:pStyle w:val="NormalWeb"/>
              <w:jc w:val="center"/>
              <w:rPr>
                <w:sz w:val="18"/>
                <w:szCs w:val="18"/>
              </w:rPr>
            </w:pPr>
            <w:r w:rsidRPr="00431038">
              <w:rPr>
                <w:sz w:val="18"/>
                <w:szCs w:val="18"/>
              </w:rPr>
              <w:t>9</w:t>
            </w:r>
          </w:p>
        </w:tc>
        <w:tc>
          <w:tcPr>
            <w:tcW w:w="1517" w:type="dxa"/>
            <w:hideMark/>
          </w:tcPr>
          <w:p w14:paraId="0D7E3D43" w14:textId="77777777" w:rsidR="000321CB" w:rsidRPr="00431038" w:rsidRDefault="000321CB" w:rsidP="00045704">
            <w:pPr>
              <w:pStyle w:val="NormalWeb"/>
              <w:jc w:val="center"/>
              <w:rPr>
                <w:sz w:val="18"/>
                <w:szCs w:val="18"/>
              </w:rPr>
            </w:pPr>
            <w:r w:rsidRPr="00431038">
              <w:rPr>
                <w:sz w:val="18"/>
                <w:szCs w:val="18"/>
              </w:rPr>
              <w:t>10.6</w:t>
            </w:r>
          </w:p>
        </w:tc>
      </w:tr>
      <w:tr w:rsidR="004F41FD" w:rsidRPr="00431038" w14:paraId="21531803" w14:textId="77777777" w:rsidTr="008E7DED">
        <w:trPr>
          <w:cnfStyle w:val="000000010000" w:firstRow="0" w:lastRow="0" w:firstColumn="0" w:lastColumn="0" w:oddVBand="0" w:evenVBand="0" w:oddHBand="0" w:evenHBand="1" w:firstRowFirstColumn="0" w:firstRowLastColumn="0" w:lastRowFirstColumn="0" w:lastRowLastColumn="0"/>
        </w:trPr>
        <w:tc>
          <w:tcPr>
            <w:tcW w:w="2268" w:type="dxa"/>
            <w:hideMark/>
          </w:tcPr>
          <w:p w14:paraId="1F2562CD" w14:textId="77777777" w:rsidR="000321CB" w:rsidRPr="00431038" w:rsidRDefault="000321CB">
            <w:pPr>
              <w:pStyle w:val="NormalWeb"/>
              <w:rPr>
                <w:sz w:val="18"/>
                <w:szCs w:val="18"/>
              </w:rPr>
            </w:pPr>
            <w:r w:rsidRPr="00431038">
              <w:rPr>
                <w:sz w:val="18"/>
                <w:szCs w:val="18"/>
              </w:rPr>
              <w:t>Apr 2012 to Jun 2012 (I)</w:t>
            </w:r>
          </w:p>
        </w:tc>
        <w:tc>
          <w:tcPr>
            <w:tcW w:w="1985" w:type="dxa"/>
            <w:hideMark/>
          </w:tcPr>
          <w:p w14:paraId="784C1083" w14:textId="77777777" w:rsidR="000321CB" w:rsidRPr="00431038" w:rsidRDefault="000321CB" w:rsidP="00045704">
            <w:pPr>
              <w:pStyle w:val="NormalWeb"/>
              <w:jc w:val="center"/>
              <w:rPr>
                <w:sz w:val="18"/>
                <w:szCs w:val="18"/>
              </w:rPr>
            </w:pPr>
            <w:r w:rsidRPr="00431038">
              <w:rPr>
                <w:sz w:val="18"/>
                <w:szCs w:val="18"/>
              </w:rPr>
              <w:t>Jun 2011 to Aug 2011</w:t>
            </w:r>
          </w:p>
        </w:tc>
        <w:tc>
          <w:tcPr>
            <w:tcW w:w="1843" w:type="dxa"/>
            <w:hideMark/>
          </w:tcPr>
          <w:p w14:paraId="19225AB8" w14:textId="77777777" w:rsidR="000321CB" w:rsidRPr="00431038" w:rsidRDefault="000321CB" w:rsidP="00045704">
            <w:pPr>
              <w:pStyle w:val="NormalWeb"/>
              <w:jc w:val="center"/>
              <w:rPr>
                <w:sz w:val="18"/>
                <w:szCs w:val="18"/>
              </w:rPr>
            </w:pPr>
            <w:r w:rsidRPr="00431038">
              <w:rPr>
                <w:sz w:val="18"/>
                <w:szCs w:val="18"/>
              </w:rPr>
              <w:t>79</w:t>
            </w:r>
          </w:p>
        </w:tc>
        <w:tc>
          <w:tcPr>
            <w:tcW w:w="1417" w:type="dxa"/>
            <w:hideMark/>
          </w:tcPr>
          <w:p w14:paraId="55FEF253" w14:textId="77777777" w:rsidR="000321CB" w:rsidRPr="00431038" w:rsidRDefault="000321CB" w:rsidP="00045704">
            <w:pPr>
              <w:pStyle w:val="NormalWeb"/>
              <w:jc w:val="center"/>
              <w:rPr>
                <w:sz w:val="18"/>
                <w:szCs w:val="18"/>
              </w:rPr>
            </w:pPr>
            <w:r w:rsidRPr="00431038">
              <w:rPr>
                <w:sz w:val="18"/>
                <w:szCs w:val="18"/>
              </w:rPr>
              <w:t>51</w:t>
            </w:r>
          </w:p>
        </w:tc>
        <w:tc>
          <w:tcPr>
            <w:tcW w:w="1701" w:type="dxa"/>
            <w:hideMark/>
          </w:tcPr>
          <w:p w14:paraId="30A33DCF" w14:textId="77777777" w:rsidR="000321CB" w:rsidRPr="00431038" w:rsidRDefault="000321CB" w:rsidP="00045704">
            <w:pPr>
              <w:pStyle w:val="NormalWeb"/>
              <w:jc w:val="center"/>
              <w:rPr>
                <w:sz w:val="18"/>
                <w:szCs w:val="18"/>
              </w:rPr>
            </w:pPr>
            <w:r w:rsidRPr="00431038">
              <w:rPr>
                <w:sz w:val="18"/>
                <w:szCs w:val="18"/>
              </w:rPr>
              <w:t>64.6</w:t>
            </w:r>
          </w:p>
        </w:tc>
        <w:tc>
          <w:tcPr>
            <w:tcW w:w="1134" w:type="dxa"/>
            <w:hideMark/>
          </w:tcPr>
          <w:p w14:paraId="0186F802" w14:textId="77777777" w:rsidR="000321CB" w:rsidRPr="00431038" w:rsidRDefault="000321CB" w:rsidP="00045704">
            <w:pPr>
              <w:pStyle w:val="NormalWeb"/>
              <w:jc w:val="center"/>
              <w:rPr>
                <w:sz w:val="18"/>
                <w:szCs w:val="18"/>
              </w:rPr>
            </w:pPr>
            <w:r w:rsidRPr="00431038">
              <w:rPr>
                <w:sz w:val="18"/>
                <w:szCs w:val="18"/>
              </w:rPr>
              <w:t>18</w:t>
            </w:r>
          </w:p>
        </w:tc>
        <w:tc>
          <w:tcPr>
            <w:tcW w:w="1276" w:type="dxa"/>
            <w:hideMark/>
          </w:tcPr>
          <w:p w14:paraId="31E514FB" w14:textId="77777777" w:rsidR="000321CB" w:rsidRPr="00431038" w:rsidRDefault="000321CB" w:rsidP="00045704">
            <w:pPr>
              <w:pStyle w:val="NormalWeb"/>
              <w:jc w:val="center"/>
              <w:rPr>
                <w:sz w:val="18"/>
                <w:szCs w:val="18"/>
              </w:rPr>
            </w:pPr>
            <w:r w:rsidRPr="00431038">
              <w:rPr>
                <w:sz w:val="18"/>
                <w:szCs w:val="18"/>
              </w:rPr>
              <w:t>22.8</w:t>
            </w:r>
          </w:p>
        </w:tc>
        <w:tc>
          <w:tcPr>
            <w:tcW w:w="1843" w:type="dxa"/>
            <w:hideMark/>
          </w:tcPr>
          <w:p w14:paraId="3C62BA20" w14:textId="77777777" w:rsidR="000321CB" w:rsidRPr="00431038" w:rsidRDefault="000321CB" w:rsidP="00045704">
            <w:pPr>
              <w:pStyle w:val="NormalWeb"/>
              <w:jc w:val="center"/>
              <w:rPr>
                <w:sz w:val="18"/>
                <w:szCs w:val="18"/>
              </w:rPr>
            </w:pPr>
            <w:r w:rsidRPr="00431038">
              <w:rPr>
                <w:sz w:val="18"/>
                <w:szCs w:val="18"/>
              </w:rPr>
              <w:t>10</w:t>
            </w:r>
          </w:p>
        </w:tc>
        <w:tc>
          <w:tcPr>
            <w:tcW w:w="1517" w:type="dxa"/>
            <w:hideMark/>
          </w:tcPr>
          <w:p w14:paraId="328B33E8" w14:textId="77777777" w:rsidR="000321CB" w:rsidRPr="00431038" w:rsidRDefault="000321CB" w:rsidP="00045704">
            <w:pPr>
              <w:pStyle w:val="NormalWeb"/>
              <w:jc w:val="center"/>
              <w:rPr>
                <w:sz w:val="18"/>
                <w:szCs w:val="18"/>
              </w:rPr>
            </w:pPr>
            <w:r w:rsidRPr="00431038">
              <w:rPr>
                <w:sz w:val="18"/>
                <w:szCs w:val="18"/>
              </w:rPr>
              <w:t>12.7</w:t>
            </w:r>
          </w:p>
        </w:tc>
      </w:tr>
      <w:tr w:rsidR="008E7DED" w:rsidRPr="00431038" w14:paraId="5B48197A" w14:textId="77777777" w:rsidTr="008E7DED">
        <w:tc>
          <w:tcPr>
            <w:tcW w:w="2268" w:type="dxa"/>
            <w:hideMark/>
          </w:tcPr>
          <w:p w14:paraId="0BCCDE92" w14:textId="77777777" w:rsidR="000321CB" w:rsidRPr="00431038" w:rsidRDefault="000321CB">
            <w:pPr>
              <w:pStyle w:val="NormalWeb"/>
              <w:rPr>
                <w:sz w:val="18"/>
                <w:szCs w:val="18"/>
              </w:rPr>
            </w:pPr>
            <w:r w:rsidRPr="00431038">
              <w:rPr>
                <w:sz w:val="18"/>
                <w:szCs w:val="18"/>
              </w:rPr>
              <w:t>Jul 2012 to Sep 2012 (NI)</w:t>
            </w:r>
          </w:p>
        </w:tc>
        <w:tc>
          <w:tcPr>
            <w:tcW w:w="1985" w:type="dxa"/>
            <w:hideMark/>
          </w:tcPr>
          <w:p w14:paraId="4D833259" w14:textId="77777777" w:rsidR="000321CB" w:rsidRPr="00431038" w:rsidRDefault="000321CB" w:rsidP="00045704">
            <w:pPr>
              <w:pStyle w:val="NormalWeb"/>
              <w:jc w:val="center"/>
              <w:rPr>
                <w:sz w:val="18"/>
                <w:szCs w:val="18"/>
              </w:rPr>
            </w:pPr>
            <w:r w:rsidRPr="00431038">
              <w:rPr>
                <w:sz w:val="18"/>
                <w:szCs w:val="18"/>
              </w:rPr>
              <w:t>Sep 2011 to Nov 2011</w:t>
            </w:r>
          </w:p>
        </w:tc>
        <w:tc>
          <w:tcPr>
            <w:tcW w:w="1843" w:type="dxa"/>
            <w:hideMark/>
          </w:tcPr>
          <w:p w14:paraId="3D2F59B9" w14:textId="77777777" w:rsidR="000321CB" w:rsidRPr="00431038" w:rsidRDefault="000321CB" w:rsidP="00045704">
            <w:pPr>
              <w:pStyle w:val="NormalWeb"/>
              <w:jc w:val="center"/>
              <w:rPr>
                <w:sz w:val="18"/>
                <w:szCs w:val="18"/>
              </w:rPr>
            </w:pPr>
            <w:r w:rsidRPr="00431038">
              <w:rPr>
                <w:sz w:val="18"/>
                <w:szCs w:val="18"/>
              </w:rPr>
              <w:t>75</w:t>
            </w:r>
          </w:p>
        </w:tc>
        <w:tc>
          <w:tcPr>
            <w:tcW w:w="1417" w:type="dxa"/>
            <w:hideMark/>
          </w:tcPr>
          <w:p w14:paraId="5C91DC6E" w14:textId="77777777" w:rsidR="000321CB" w:rsidRPr="00431038" w:rsidRDefault="000321CB" w:rsidP="00045704">
            <w:pPr>
              <w:pStyle w:val="NormalWeb"/>
              <w:jc w:val="center"/>
              <w:rPr>
                <w:sz w:val="18"/>
                <w:szCs w:val="18"/>
              </w:rPr>
            </w:pPr>
            <w:r w:rsidRPr="00431038">
              <w:rPr>
                <w:sz w:val="18"/>
                <w:szCs w:val="18"/>
              </w:rPr>
              <w:t>52</w:t>
            </w:r>
          </w:p>
        </w:tc>
        <w:tc>
          <w:tcPr>
            <w:tcW w:w="1701" w:type="dxa"/>
            <w:hideMark/>
          </w:tcPr>
          <w:p w14:paraId="62C25A13" w14:textId="77777777" w:rsidR="000321CB" w:rsidRPr="00431038" w:rsidRDefault="000321CB" w:rsidP="00045704">
            <w:pPr>
              <w:pStyle w:val="NormalWeb"/>
              <w:jc w:val="center"/>
              <w:rPr>
                <w:sz w:val="18"/>
                <w:szCs w:val="18"/>
              </w:rPr>
            </w:pPr>
            <w:r w:rsidRPr="00431038">
              <w:rPr>
                <w:sz w:val="18"/>
                <w:szCs w:val="18"/>
              </w:rPr>
              <w:t>69.3</w:t>
            </w:r>
          </w:p>
        </w:tc>
        <w:tc>
          <w:tcPr>
            <w:tcW w:w="1134" w:type="dxa"/>
            <w:hideMark/>
          </w:tcPr>
          <w:p w14:paraId="55067D3E" w14:textId="77777777" w:rsidR="000321CB" w:rsidRPr="00431038" w:rsidRDefault="000321CB" w:rsidP="00045704">
            <w:pPr>
              <w:pStyle w:val="NormalWeb"/>
              <w:jc w:val="center"/>
              <w:rPr>
                <w:sz w:val="18"/>
                <w:szCs w:val="18"/>
              </w:rPr>
            </w:pPr>
            <w:r w:rsidRPr="00431038">
              <w:rPr>
                <w:sz w:val="18"/>
                <w:szCs w:val="18"/>
              </w:rPr>
              <w:t>12</w:t>
            </w:r>
          </w:p>
        </w:tc>
        <w:tc>
          <w:tcPr>
            <w:tcW w:w="1276" w:type="dxa"/>
            <w:hideMark/>
          </w:tcPr>
          <w:p w14:paraId="74FF9467" w14:textId="77777777" w:rsidR="000321CB" w:rsidRPr="00431038" w:rsidRDefault="000321CB" w:rsidP="00045704">
            <w:pPr>
              <w:pStyle w:val="NormalWeb"/>
              <w:jc w:val="center"/>
              <w:rPr>
                <w:sz w:val="18"/>
                <w:szCs w:val="18"/>
              </w:rPr>
            </w:pPr>
            <w:r w:rsidRPr="00431038">
              <w:rPr>
                <w:sz w:val="18"/>
                <w:szCs w:val="18"/>
              </w:rPr>
              <w:t>16.0</w:t>
            </w:r>
          </w:p>
        </w:tc>
        <w:tc>
          <w:tcPr>
            <w:tcW w:w="1843" w:type="dxa"/>
            <w:hideMark/>
          </w:tcPr>
          <w:p w14:paraId="0BED2E4E" w14:textId="77777777" w:rsidR="000321CB" w:rsidRPr="00431038" w:rsidRDefault="000321CB" w:rsidP="00045704">
            <w:pPr>
              <w:pStyle w:val="NormalWeb"/>
              <w:jc w:val="center"/>
              <w:rPr>
                <w:sz w:val="18"/>
                <w:szCs w:val="18"/>
              </w:rPr>
            </w:pPr>
            <w:r w:rsidRPr="00431038">
              <w:rPr>
                <w:sz w:val="18"/>
                <w:szCs w:val="18"/>
              </w:rPr>
              <w:t>12</w:t>
            </w:r>
          </w:p>
        </w:tc>
        <w:tc>
          <w:tcPr>
            <w:tcW w:w="1517" w:type="dxa"/>
            <w:hideMark/>
          </w:tcPr>
          <w:p w14:paraId="2516159E" w14:textId="77777777" w:rsidR="000321CB" w:rsidRPr="00431038" w:rsidRDefault="000321CB" w:rsidP="00045704">
            <w:pPr>
              <w:pStyle w:val="NormalWeb"/>
              <w:jc w:val="center"/>
              <w:rPr>
                <w:sz w:val="18"/>
                <w:szCs w:val="18"/>
              </w:rPr>
            </w:pPr>
            <w:r w:rsidRPr="00431038">
              <w:rPr>
                <w:sz w:val="18"/>
                <w:szCs w:val="18"/>
              </w:rPr>
              <w:t>16.0</w:t>
            </w:r>
          </w:p>
        </w:tc>
      </w:tr>
      <w:tr w:rsidR="004F41FD" w:rsidRPr="00431038" w14:paraId="3E4E5A54" w14:textId="77777777" w:rsidTr="008E7DED">
        <w:trPr>
          <w:cnfStyle w:val="000000010000" w:firstRow="0" w:lastRow="0" w:firstColumn="0" w:lastColumn="0" w:oddVBand="0" w:evenVBand="0" w:oddHBand="0" w:evenHBand="1" w:firstRowFirstColumn="0" w:firstRowLastColumn="0" w:lastRowFirstColumn="0" w:lastRowLastColumn="0"/>
        </w:trPr>
        <w:tc>
          <w:tcPr>
            <w:tcW w:w="2268" w:type="dxa"/>
            <w:hideMark/>
          </w:tcPr>
          <w:p w14:paraId="7806374E" w14:textId="77777777" w:rsidR="000321CB" w:rsidRPr="00431038" w:rsidRDefault="000321CB">
            <w:pPr>
              <w:pStyle w:val="NormalWeb"/>
              <w:rPr>
                <w:sz w:val="18"/>
                <w:szCs w:val="18"/>
              </w:rPr>
            </w:pPr>
            <w:r w:rsidRPr="00431038">
              <w:rPr>
                <w:sz w:val="18"/>
                <w:szCs w:val="18"/>
              </w:rPr>
              <w:t>Oct 2012 to Dec 2012 (I)</w:t>
            </w:r>
          </w:p>
        </w:tc>
        <w:tc>
          <w:tcPr>
            <w:tcW w:w="1985" w:type="dxa"/>
            <w:hideMark/>
          </w:tcPr>
          <w:p w14:paraId="2184B14F" w14:textId="77777777" w:rsidR="000321CB" w:rsidRPr="00431038" w:rsidRDefault="000321CB" w:rsidP="00045704">
            <w:pPr>
              <w:pStyle w:val="NormalWeb"/>
              <w:jc w:val="center"/>
              <w:rPr>
                <w:sz w:val="18"/>
                <w:szCs w:val="18"/>
              </w:rPr>
            </w:pPr>
            <w:r w:rsidRPr="00431038">
              <w:rPr>
                <w:sz w:val="18"/>
                <w:szCs w:val="18"/>
              </w:rPr>
              <w:t>Dec 2011 to Feb 2012</w:t>
            </w:r>
          </w:p>
        </w:tc>
        <w:tc>
          <w:tcPr>
            <w:tcW w:w="1843" w:type="dxa"/>
            <w:hideMark/>
          </w:tcPr>
          <w:p w14:paraId="7A92F4D8" w14:textId="77777777" w:rsidR="000321CB" w:rsidRPr="00431038" w:rsidRDefault="000321CB" w:rsidP="00045704">
            <w:pPr>
              <w:pStyle w:val="NormalWeb"/>
              <w:jc w:val="center"/>
              <w:rPr>
                <w:sz w:val="18"/>
                <w:szCs w:val="18"/>
              </w:rPr>
            </w:pPr>
            <w:r w:rsidRPr="00431038">
              <w:rPr>
                <w:sz w:val="18"/>
                <w:szCs w:val="18"/>
              </w:rPr>
              <w:t>74</w:t>
            </w:r>
          </w:p>
        </w:tc>
        <w:tc>
          <w:tcPr>
            <w:tcW w:w="1417" w:type="dxa"/>
            <w:hideMark/>
          </w:tcPr>
          <w:p w14:paraId="72C7F7CE" w14:textId="77777777" w:rsidR="000321CB" w:rsidRPr="00431038" w:rsidRDefault="000321CB" w:rsidP="00045704">
            <w:pPr>
              <w:pStyle w:val="NormalWeb"/>
              <w:jc w:val="center"/>
              <w:rPr>
                <w:sz w:val="18"/>
                <w:szCs w:val="18"/>
              </w:rPr>
            </w:pPr>
            <w:r w:rsidRPr="00431038">
              <w:rPr>
                <w:sz w:val="18"/>
                <w:szCs w:val="18"/>
              </w:rPr>
              <w:t>54</w:t>
            </w:r>
          </w:p>
        </w:tc>
        <w:tc>
          <w:tcPr>
            <w:tcW w:w="1701" w:type="dxa"/>
            <w:hideMark/>
          </w:tcPr>
          <w:p w14:paraId="7C7A850E" w14:textId="77777777" w:rsidR="000321CB" w:rsidRPr="00431038" w:rsidRDefault="000321CB" w:rsidP="00045704">
            <w:pPr>
              <w:pStyle w:val="NormalWeb"/>
              <w:jc w:val="center"/>
              <w:rPr>
                <w:sz w:val="18"/>
                <w:szCs w:val="18"/>
              </w:rPr>
            </w:pPr>
            <w:r w:rsidRPr="00431038">
              <w:rPr>
                <w:sz w:val="18"/>
                <w:szCs w:val="18"/>
              </w:rPr>
              <w:t>73.0</w:t>
            </w:r>
          </w:p>
        </w:tc>
        <w:tc>
          <w:tcPr>
            <w:tcW w:w="1134" w:type="dxa"/>
            <w:hideMark/>
          </w:tcPr>
          <w:p w14:paraId="034F6798" w14:textId="77777777" w:rsidR="000321CB" w:rsidRPr="00431038" w:rsidRDefault="000321CB" w:rsidP="00045704">
            <w:pPr>
              <w:pStyle w:val="NormalWeb"/>
              <w:jc w:val="center"/>
              <w:rPr>
                <w:sz w:val="18"/>
                <w:szCs w:val="18"/>
              </w:rPr>
            </w:pPr>
            <w:r w:rsidRPr="00431038">
              <w:rPr>
                <w:sz w:val="18"/>
                <w:szCs w:val="18"/>
              </w:rPr>
              <w:t>16</w:t>
            </w:r>
          </w:p>
        </w:tc>
        <w:tc>
          <w:tcPr>
            <w:tcW w:w="1276" w:type="dxa"/>
            <w:hideMark/>
          </w:tcPr>
          <w:p w14:paraId="1845EF4A" w14:textId="77777777" w:rsidR="000321CB" w:rsidRPr="00431038" w:rsidRDefault="000321CB" w:rsidP="00045704">
            <w:pPr>
              <w:pStyle w:val="NormalWeb"/>
              <w:jc w:val="center"/>
              <w:rPr>
                <w:sz w:val="18"/>
                <w:szCs w:val="18"/>
              </w:rPr>
            </w:pPr>
            <w:r w:rsidRPr="00431038">
              <w:rPr>
                <w:sz w:val="18"/>
                <w:szCs w:val="18"/>
              </w:rPr>
              <w:t>21.6</w:t>
            </w:r>
          </w:p>
        </w:tc>
        <w:tc>
          <w:tcPr>
            <w:tcW w:w="1843" w:type="dxa"/>
            <w:hideMark/>
          </w:tcPr>
          <w:p w14:paraId="4DF99EC9" w14:textId="77777777" w:rsidR="000321CB" w:rsidRPr="00431038" w:rsidRDefault="000321CB" w:rsidP="00045704">
            <w:pPr>
              <w:pStyle w:val="NormalWeb"/>
              <w:jc w:val="center"/>
              <w:rPr>
                <w:sz w:val="18"/>
                <w:szCs w:val="18"/>
              </w:rPr>
            </w:pPr>
            <w:r w:rsidRPr="00431038">
              <w:rPr>
                <w:sz w:val="18"/>
                <w:szCs w:val="18"/>
              </w:rPr>
              <w:t>4</w:t>
            </w:r>
          </w:p>
        </w:tc>
        <w:tc>
          <w:tcPr>
            <w:tcW w:w="1517" w:type="dxa"/>
            <w:hideMark/>
          </w:tcPr>
          <w:p w14:paraId="7C4D58A3" w14:textId="77777777" w:rsidR="000321CB" w:rsidRPr="00431038" w:rsidRDefault="000321CB" w:rsidP="00045704">
            <w:pPr>
              <w:pStyle w:val="NormalWeb"/>
              <w:jc w:val="center"/>
              <w:rPr>
                <w:sz w:val="18"/>
                <w:szCs w:val="18"/>
              </w:rPr>
            </w:pPr>
            <w:r w:rsidRPr="00431038">
              <w:rPr>
                <w:sz w:val="18"/>
                <w:szCs w:val="18"/>
              </w:rPr>
              <w:t>5.4</w:t>
            </w:r>
          </w:p>
        </w:tc>
      </w:tr>
      <w:tr w:rsidR="008E7DED" w:rsidRPr="00431038" w14:paraId="03C3CC4B" w14:textId="77777777" w:rsidTr="008E7DED">
        <w:tc>
          <w:tcPr>
            <w:tcW w:w="2268" w:type="dxa"/>
            <w:hideMark/>
          </w:tcPr>
          <w:p w14:paraId="5EEC1EC2" w14:textId="77777777" w:rsidR="000321CB" w:rsidRPr="00431038" w:rsidRDefault="000321CB">
            <w:pPr>
              <w:pStyle w:val="NormalWeb"/>
              <w:rPr>
                <w:sz w:val="18"/>
                <w:szCs w:val="18"/>
              </w:rPr>
            </w:pPr>
            <w:r w:rsidRPr="00431038">
              <w:rPr>
                <w:sz w:val="18"/>
                <w:szCs w:val="18"/>
              </w:rPr>
              <w:t>Jan 2013 to Mar 2013 (NI)</w:t>
            </w:r>
          </w:p>
        </w:tc>
        <w:tc>
          <w:tcPr>
            <w:tcW w:w="1985" w:type="dxa"/>
            <w:hideMark/>
          </w:tcPr>
          <w:p w14:paraId="2364D4F1" w14:textId="77777777" w:rsidR="000321CB" w:rsidRPr="00431038" w:rsidRDefault="000321CB" w:rsidP="00045704">
            <w:pPr>
              <w:pStyle w:val="NormalWeb"/>
              <w:jc w:val="center"/>
              <w:rPr>
                <w:sz w:val="18"/>
                <w:szCs w:val="18"/>
              </w:rPr>
            </w:pPr>
            <w:r w:rsidRPr="00431038">
              <w:rPr>
                <w:sz w:val="18"/>
                <w:szCs w:val="18"/>
              </w:rPr>
              <w:t>Mar 2012 to May 2012</w:t>
            </w:r>
          </w:p>
        </w:tc>
        <w:tc>
          <w:tcPr>
            <w:tcW w:w="1843" w:type="dxa"/>
            <w:hideMark/>
          </w:tcPr>
          <w:p w14:paraId="6E49DA92" w14:textId="77777777" w:rsidR="000321CB" w:rsidRPr="00431038" w:rsidRDefault="000321CB" w:rsidP="00045704">
            <w:pPr>
              <w:pStyle w:val="NormalWeb"/>
              <w:jc w:val="center"/>
              <w:rPr>
                <w:sz w:val="18"/>
                <w:szCs w:val="18"/>
              </w:rPr>
            </w:pPr>
            <w:r w:rsidRPr="00431038">
              <w:rPr>
                <w:sz w:val="18"/>
                <w:szCs w:val="18"/>
              </w:rPr>
              <w:t>72</w:t>
            </w:r>
          </w:p>
        </w:tc>
        <w:tc>
          <w:tcPr>
            <w:tcW w:w="1417" w:type="dxa"/>
            <w:hideMark/>
          </w:tcPr>
          <w:p w14:paraId="2252F5A6" w14:textId="77777777" w:rsidR="000321CB" w:rsidRPr="00431038" w:rsidRDefault="000321CB" w:rsidP="00045704">
            <w:pPr>
              <w:pStyle w:val="NormalWeb"/>
              <w:jc w:val="center"/>
              <w:rPr>
                <w:sz w:val="18"/>
                <w:szCs w:val="18"/>
              </w:rPr>
            </w:pPr>
            <w:r w:rsidRPr="00431038">
              <w:rPr>
                <w:sz w:val="18"/>
                <w:szCs w:val="18"/>
              </w:rPr>
              <w:t>47</w:t>
            </w:r>
          </w:p>
        </w:tc>
        <w:tc>
          <w:tcPr>
            <w:tcW w:w="1701" w:type="dxa"/>
            <w:hideMark/>
          </w:tcPr>
          <w:p w14:paraId="63A69647" w14:textId="77777777" w:rsidR="000321CB" w:rsidRPr="00431038" w:rsidRDefault="000321CB" w:rsidP="00045704">
            <w:pPr>
              <w:pStyle w:val="NormalWeb"/>
              <w:jc w:val="center"/>
              <w:rPr>
                <w:sz w:val="18"/>
                <w:szCs w:val="18"/>
              </w:rPr>
            </w:pPr>
            <w:r w:rsidRPr="00431038">
              <w:rPr>
                <w:sz w:val="18"/>
                <w:szCs w:val="18"/>
              </w:rPr>
              <w:t>65.3</w:t>
            </w:r>
          </w:p>
        </w:tc>
        <w:tc>
          <w:tcPr>
            <w:tcW w:w="1134" w:type="dxa"/>
            <w:hideMark/>
          </w:tcPr>
          <w:p w14:paraId="08E00BBF" w14:textId="77777777" w:rsidR="000321CB" w:rsidRPr="00431038" w:rsidRDefault="000321CB" w:rsidP="00045704">
            <w:pPr>
              <w:pStyle w:val="NormalWeb"/>
              <w:jc w:val="center"/>
              <w:rPr>
                <w:sz w:val="18"/>
                <w:szCs w:val="18"/>
              </w:rPr>
            </w:pPr>
            <w:r w:rsidRPr="00431038">
              <w:rPr>
                <w:sz w:val="18"/>
                <w:szCs w:val="18"/>
              </w:rPr>
              <w:t>21</w:t>
            </w:r>
          </w:p>
        </w:tc>
        <w:tc>
          <w:tcPr>
            <w:tcW w:w="1276" w:type="dxa"/>
            <w:hideMark/>
          </w:tcPr>
          <w:p w14:paraId="162F4BB9" w14:textId="77777777" w:rsidR="000321CB" w:rsidRPr="00431038" w:rsidRDefault="000321CB" w:rsidP="00045704">
            <w:pPr>
              <w:pStyle w:val="NormalWeb"/>
              <w:jc w:val="center"/>
              <w:rPr>
                <w:sz w:val="18"/>
                <w:szCs w:val="18"/>
              </w:rPr>
            </w:pPr>
            <w:r w:rsidRPr="00431038">
              <w:rPr>
                <w:sz w:val="18"/>
                <w:szCs w:val="18"/>
              </w:rPr>
              <w:t>29.2</w:t>
            </w:r>
          </w:p>
        </w:tc>
        <w:tc>
          <w:tcPr>
            <w:tcW w:w="1843" w:type="dxa"/>
            <w:hideMark/>
          </w:tcPr>
          <w:p w14:paraId="2F78A790" w14:textId="77777777" w:rsidR="000321CB" w:rsidRPr="00431038" w:rsidRDefault="000321CB" w:rsidP="00045704">
            <w:pPr>
              <w:pStyle w:val="NormalWeb"/>
              <w:jc w:val="center"/>
              <w:rPr>
                <w:sz w:val="18"/>
                <w:szCs w:val="18"/>
              </w:rPr>
            </w:pPr>
            <w:r w:rsidRPr="00431038">
              <w:rPr>
                <w:sz w:val="18"/>
                <w:szCs w:val="18"/>
              </w:rPr>
              <w:t>4</w:t>
            </w:r>
          </w:p>
        </w:tc>
        <w:tc>
          <w:tcPr>
            <w:tcW w:w="1517" w:type="dxa"/>
            <w:hideMark/>
          </w:tcPr>
          <w:p w14:paraId="42C1115C" w14:textId="77777777" w:rsidR="000321CB" w:rsidRPr="00431038" w:rsidRDefault="000321CB" w:rsidP="00045704">
            <w:pPr>
              <w:pStyle w:val="NormalWeb"/>
              <w:jc w:val="center"/>
              <w:rPr>
                <w:sz w:val="18"/>
                <w:szCs w:val="18"/>
              </w:rPr>
            </w:pPr>
            <w:r w:rsidRPr="00431038">
              <w:rPr>
                <w:sz w:val="18"/>
                <w:szCs w:val="18"/>
              </w:rPr>
              <w:t>5.6</w:t>
            </w:r>
          </w:p>
        </w:tc>
      </w:tr>
      <w:tr w:rsidR="004F41FD" w:rsidRPr="00431038" w14:paraId="0D96470D" w14:textId="77777777" w:rsidTr="0031002A">
        <w:trPr>
          <w:cnfStyle w:val="000000010000" w:firstRow="0" w:lastRow="0" w:firstColumn="0" w:lastColumn="0" w:oddVBand="0" w:evenVBand="0" w:oddHBand="0" w:evenHBand="1" w:firstRowFirstColumn="0" w:firstRowLastColumn="0" w:lastRowFirstColumn="0" w:lastRowLastColumn="0"/>
        </w:trPr>
        <w:tc>
          <w:tcPr>
            <w:tcW w:w="2268" w:type="dxa"/>
            <w:tcBorders>
              <w:bottom w:val="single" w:sz="4" w:space="0" w:color="auto"/>
            </w:tcBorders>
            <w:hideMark/>
          </w:tcPr>
          <w:p w14:paraId="098112DF" w14:textId="77777777" w:rsidR="000321CB" w:rsidRPr="00431038" w:rsidRDefault="000321CB">
            <w:pPr>
              <w:pStyle w:val="NormalWeb"/>
              <w:rPr>
                <w:sz w:val="18"/>
                <w:szCs w:val="18"/>
              </w:rPr>
            </w:pPr>
            <w:r w:rsidRPr="00431038">
              <w:rPr>
                <w:sz w:val="18"/>
                <w:szCs w:val="18"/>
              </w:rPr>
              <w:t>Apr 2013 to Jun 2013 (I)</w:t>
            </w:r>
          </w:p>
        </w:tc>
        <w:tc>
          <w:tcPr>
            <w:tcW w:w="1985" w:type="dxa"/>
            <w:tcBorders>
              <w:bottom w:val="single" w:sz="4" w:space="0" w:color="auto"/>
            </w:tcBorders>
            <w:hideMark/>
          </w:tcPr>
          <w:p w14:paraId="37BD9C46" w14:textId="77777777" w:rsidR="000321CB" w:rsidRPr="00431038" w:rsidRDefault="000321CB" w:rsidP="00045704">
            <w:pPr>
              <w:pStyle w:val="NormalWeb"/>
              <w:jc w:val="center"/>
              <w:rPr>
                <w:sz w:val="18"/>
                <w:szCs w:val="18"/>
              </w:rPr>
            </w:pPr>
            <w:r w:rsidRPr="00431038">
              <w:rPr>
                <w:sz w:val="18"/>
                <w:szCs w:val="18"/>
              </w:rPr>
              <w:t>Jun 2012 to Aug 2012</w:t>
            </w:r>
          </w:p>
        </w:tc>
        <w:tc>
          <w:tcPr>
            <w:tcW w:w="1843" w:type="dxa"/>
            <w:tcBorders>
              <w:bottom w:val="single" w:sz="4" w:space="0" w:color="auto"/>
            </w:tcBorders>
            <w:hideMark/>
          </w:tcPr>
          <w:p w14:paraId="00210A2B" w14:textId="77777777" w:rsidR="000321CB" w:rsidRPr="00431038" w:rsidRDefault="000321CB" w:rsidP="00045704">
            <w:pPr>
              <w:pStyle w:val="NormalWeb"/>
              <w:jc w:val="center"/>
              <w:rPr>
                <w:sz w:val="18"/>
                <w:szCs w:val="18"/>
              </w:rPr>
            </w:pPr>
            <w:r w:rsidRPr="00431038">
              <w:rPr>
                <w:sz w:val="18"/>
                <w:szCs w:val="18"/>
              </w:rPr>
              <w:t>102</w:t>
            </w:r>
          </w:p>
        </w:tc>
        <w:tc>
          <w:tcPr>
            <w:tcW w:w="1417" w:type="dxa"/>
            <w:tcBorders>
              <w:bottom w:val="single" w:sz="4" w:space="0" w:color="auto"/>
            </w:tcBorders>
            <w:hideMark/>
          </w:tcPr>
          <w:p w14:paraId="0E8FB3D8" w14:textId="77777777" w:rsidR="000321CB" w:rsidRPr="00431038" w:rsidRDefault="000321CB" w:rsidP="00045704">
            <w:pPr>
              <w:pStyle w:val="NormalWeb"/>
              <w:jc w:val="center"/>
              <w:rPr>
                <w:sz w:val="18"/>
                <w:szCs w:val="18"/>
              </w:rPr>
            </w:pPr>
            <w:r w:rsidRPr="00431038">
              <w:rPr>
                <w:sz w:val="18"/>
                <w:szCs w:val="18"/>
              </w:rPr>
              <w:t>70</w:t>
            </w:r>
          </w:p>
        </w:tc>
        <w:tc>
          <w:tcPr>
            <w:tcW w:w="1701" w:type="dxa"/>
            <w:tcBorders>
              <w:bottom w:val="single" w:sz="4" w:space="0" w:color="auto"/>
            </w:tcBorders>
            <w:hideMark/>
          </w:tcPr>
          <w:p w14:paraId="39F31CFE" w14:textId="77777777" w:rsidR="000321CB" w:rsidRPr="00431038" w:rsidRDefault="000321CB" w:rsidP="00045704">
            <w:pPr>
              <w:pStyle w:val="NormalWeb"/>
              <w:jc w:val="center"/>
              <w:rPr>
                <w:sz w:val="18"/>
                <w:szCs w:val="18"/>
              </w:rPr>
            </w:pPr>
            <w:r w:rsidRPr="00431038">
              <w:rPr>
                <w:sz w:val="18"/>
                <w:szCs w:val="18"/>
              </w:rPr>
              <w:t>68.6</w:t>
            </w:r>
          </w:p>
        </w:tc>
        <w:tc>
          <w:tcPr>
            <w:tcW w:w="1134" w:type="dxa"/>
            <w:tcBorders>
              <w:bottom w:val="single" w:sz="4" w:space="0" w:color="auto"/>
            </w:tcBorders>
            <w:hideMark/>
          </w:tcPr>
          <w:p w14:paraId="3EAC14F8" w14:textId="77777777" w:rsidR="000321CB" w:rsidRPr="00431038" w:rsidRDefault="000321CB" w:rsidP="00045704">
            <w:pPr>
              <w:pStyle w:val="NormalWeb"/>
              <w:jc w:val="center"/>
              <w:rPr>
                <w:sz w:val="18"/>
                <w:szCs w:val="18"/>
              </w:rPr>
            </w:pPr>
            <w:r w:rsidRPr="00431038">
              <w:rPr>
                <w:sz w:val="18"/>
                <w:szCs w:val="18"/>
              </w:rPr>
              <w:t>25</w:t>
            </w:r>
          </w:p>
        </w:tc>
        <w:tc>
          <w:tcPr>
            <w:tcW w:w="1276" w:type="dxa"/>
            <w:tcBorders>
              <w:bottom w:val="single" w:sz="4" w:space="0" w:color="auto"/>
            </w:tcBorders>
            <w:hideMark/>
          </w:tcPr>
          <w:p w14:paraId="6AAD5232" w14:textId="77777777" w:rsidR="000321CB" w:rsidRPr="00431038" w:rsidRDefault="000321CB" w:rsidP="00045704">
            <w:pPr>
              <w:pStyle w:val="NormalWeb"/>
              <w:jc w:val="center"/>
              <w:rPr>
                <w:sz w:val="18"/>
                <w:szCs w:val="18"/>
              </w:rPr>
            </w:pPr>
            <w:r w:rsidRPr="00431038">
              <w:rPr>
                <w:sz w:val="18"/>
                <w:szCs w:val="18"/>
              </w:rPr>
              <w:t>24.5</w:t>
            </w:r>
          </w:p>
        </w:tc>
        <w:tc>
          <w:tcPr>
            <w:tcW w:w="1843" w:type="dxa"/>
            <w:tcBorders>
              <w:bottom w:val="single" w:sz="4" w:space="0" w:color="auto"/>
            </w:tcBorders>
            <w:hideMark/>
          </w:tcPr>
          <w:p w14:paraId="16373BC8" w14:textId="77777777" w:rsidR="000321CB" w:rsidRPr="00431038" w:rsidRDefault="000321CB" w:rsidP="00045704">
            <w:pPr>
              <w:pStyle w:val="NormalWeb"/>
              <w:jc w:val="center"/>
              <w:rPr>
                <w:sz w:val="18"/>
                <w:szCs w:val="18"/>
              </w:rPr>
            </w:pPr>
            <w:r w:rsidRPr="00431038">
              <w:rPr>
                <w:sz w:val="18"/>
                <w:szCs w:val="18"/>
              </w:rPr>
              <w:t>7</w:t>
            </w:r>
          </w:p>
        </w:tc>
        <w:tc>
          <w:tcPr>
            <w:tcW w:w="1517" w:type="dxa"/>
            <w:tcBorders>
              <w:bottom w:val="single" w:sz="4" w:space="0" w:color="auto"/>
            </w:tcBorders>
            <w:hideMark/>
          </w:tcPr>
          <w:p w14:paraId="5FFD258C" w14:textId="77777777" w:rsidR="000321CB" w:rsidRPr="00431038" w:rsidRDefault="000321CB" w:rsidP="00045704">
            <w:pPr>
              <w:pStyle w:val="NormalWeb"/>
              <w:jc w:val="center"/>
              <w:rPr>
                <w:sz w:val="18"/>
                <w:szCs w:val="18"/>
              </w:rPr>
            </w:pPr>
            <w:r w:rsidRPr="00431038">
              <w:rPr>
                <w:sz w:val="18"/>
                <w:szCs w:val="18"/>
              </w:rPr>
              <w:t>6.9</w:t>
            </w:r>
          </w:p>
        </w:tc>
      </w:tr>
      <w:tr w:rsidR="008E7DED" w:rsidRPr="0031002A" w14:paraId="2C530C5E" w14:textId="77777777" w:rsidTr="0031002A">
        <w:tc>
          <w:tcPr>
            <w:tcW w:w="2268" w:type="dxa"/>
            <w:tcBorders>
              <w:top w:val="single" w:sz="4" w:space="0" w:color="auto"/>
              <w:bottom w:val="single" w:sz="4" w:space="0" w:color="auto"/>
            </w:tcBorders>
            <w:shd w:val="clear" w:color="auto" w:fill="F2F2F2" w:themeFill="background1" w:themeFillShade="F2"/>
            <w:hideMark/>
          </w:tcPr>
          <w:p w14:paraId="5930735F" w14:textId="77777777" w:rsidR="000321CB" w:rsidRPr="0031002A" w:rsidRDefault="000321CB">
            <w:pPr>
              <w:pStyle w:val="NormalWeb"/>
              <w:rPr>
                <w:b/>
                <w:sz w:val="18"/>
                <w:szCs w:val="18"/>
              </w:rPr>
            </w:pPr>
            <w:r w:rsidRPr="0031002A">
              <w:rPr>
                <w:b/>
                <w:sz w:val="18"/>
                <w:szCs w:val="18"/>
              </w:rPr>
              <w:t>Total non-intervention</w:t>
            </w:r>
          </w:p>
        </w:tc>
        <w:tc>
          <w:tcPr>
            <w:tcW w:w="1985" w:type="dxa"/>
            <w:tcBorders>
              <w:top w:val="single" w:sz="4" w:space="0" w:color="auto"/>
              <w:bottom w:val="single" w:sz="4" w:space="0" w:color="auto"/>
            </w:tcBorders>
            <w:shd w:val="clear" w:color="auto" w:fill="F2F2F2" w:themeFill="background1" w:themeFillShade="F2"/>
            <w:hideMark/>
          </w:tcPr>
          <w:p w14:paraId="32C6DF73" w14:textId="77777777" w:rsidR="000321CB" w:rsidRPr="0031002A" w:rsidRDefault="000321CB" w:rsidP="00045704">
            <w:pPr>
              <w:jc w:val="center"/>
              <w:rPr>
                <w:b/>
                <w:sz w:val="18"/>
                <w:szCs w:val="18"/>
              </w:rPr>
            </w:pPr>
          </w:p>
        </w:tc>
        <w:tc>
          <w:tcPr>
            <w:tcW w:w="1843" w:type="dxa"/>
            <w:tcBorders>
              <w:top w:val="single" w:sz="4" w:space="0" w:color="auto"/>
              <w:bottom w:val="single" w:sz="4" w:space="0" w:color="auto"/>
            </w:tcBorders>
            <w:shd w:val="clear" w:color="auto" w:fill="F2F2F2" w:themeFill="background1" w:themeFillShade="F2"/>
            <w:hideMark/>
          </w:tcPr>
          <w:p w14:paraId="127713C0" w14:textId="77777777" w:rsidR="000321CB" w:rsidRPr="0031002A" w:rsidRDefault="000321CB" w:rsidP="00045704">
            <w:pPr>
              <w:pStyle w:val="NormalWeb"/>
              <w:jc w:val="center"/>
              <w:rPr>
                <w:b/>
                <w:sz w:val="18"/>
                <w:szCs w:val="18"/>
              </w:rPr>
            </w:pPr>
            <w:r w:rsidRPr="0031002A">
              <w:rPr>
                <w:b/>
                <w:sz w:val="18"/>
                <w:szCs w:val="18"/>
              </w:rPr>
              <w:t>299</w:t>
            </w:r>
          </w:p>
        </w:tc>
        <w:tc>
          <w:tcPr>
            <w:tcW w:w="1417" w:type="dxa"/>
            <w:tcBorders>
              <w:top w:val="single" w:sz="4" w:space="0" w:color="auto"/>
              <w:bottom w:val="single" w:sz="4" w:space="0" w:color="auto"/>
            </w:tcBorders>
            <w:shd w:val="clear" w:color="auto" w:fill="F2F2F2" w:themeFill="background1" w:themeFillShade="F2"/>
            <w:hideMark/>
          </w:tcPr>
          <w:p w14:paraId="7D3D5F79" w14:textId="77777777" w:rsidR="000321CB" w:rsidRPr="0031002A" w:rsidRDefault="000321CB" w:rsidP="00045704">
            <w:pPr>
              <w:pStyle w:val="NormalWeb"/>
              <w:jc w:val="center"/>
              <w:rPr>
                <w:b/>
                <w:sz w:val="18"/>
                <w:szCs w:val="18"/>
              </w:rPr>
            </w:pPr>
            <w:r w:rsidRPr="0031002A">
              <w:rPr>
                <w:b/>
                <w:sz w:val="18"/>
                <w:szCs w:val="18"/>
              </w:rPr>
              <w:t>191</w:t>
            </w:r>
          </w:p>
        </w:tc>
        <w:tc>
          <w:tcPr>
            <w:tcW w:w="1701" w:type="dxa"/>
            <w:tcBorders>
              <w:top w:val="single" w:sz="4" w:space="0" w:color="auto"/>
              <w:bottom w:val="single" w:sz="4" w:space="0" w:color="auto"/>
            </w:tcBorders>
            <w:shd w:val="clear" w:color="auto" w:fill="F2F2F2" w:themeFill="background1" w:themeFillShade="F2"/>
            <w:hideMark/>
          </w:tcPr>
          <w:p w14:paraId="3684A409" w14:textId="77777777" w:rsidR="000321CB" w:rsidRPr="0031002A" w:rsidRDefault="000321CB" w:rsidP="00045704">
            <w:pPr>
              <w:pStyle w:val="NormalWeb"/>
              <w:jc w:val="center"/>
              <w:rPr>
                <w:b/>
                <w:sz w:val="18"/>
                <w:szCs w:val="18"/>
              </w:rPr>
            </w:pPr>
            <w:r w:rsidRPr="0031002A">
              <w:rPr>
                <w:b/>
                <w:sz w:val="18"/>
                <w:szCs w:val="18"/>
              </w:rPr>
              <w:t>63.9</w:t>
            </w:r>
          </w:p>
        </w:tc>
        <w:tc>
          <w:tcPr>
            <w:tcW w:w="1134" w:type="dxa"/>
            <w:tcBorders>
              <w:top w:val="single" w:sz="4" w:space="0" w:color="auto"/>
              <w:bottom w:val="single" w:sz="4" w:space="0" w:color="auto"/>
            </w:tcBorders>
            <w:shd w:val="clear" w:color="auto" w:fill="F2F2F2" w:themeFill="background1" w:themeFillShade="F2"/>
            <w:hideMark/>
          </w:tcPr>
          <w:p w14:paraId="1995C982" w14:textId="77777777" w:rsidR="000321CB" w:rsidRPr="0031002A" w:rsidRDefault="000321CB" w:rsidP="00045704">
            <w:pPr>
              <w:pStyle w:val="NormalWeb"/>
              <w:jc w:val="center"/>
              <w:rPr>
                <w:b/>
                <w:sz w:val="18"/>
                <w:szCs w:val="18"/>
              </w:rPr>
            </w:pPr>
            <w:r w:rsidRPr="0031002A">
              <w:rPr>
                <w:b/>
                <w:sz w:val="18"/>
                <w:szCs w:val="18"/>
              </w:rPr>
              <w:t>70</w:t>
            </w:r>
          </w:p>
        </w:tc>
        <w:tc>
          <w:tcPr>
            <w:tcW w:w="1276" w:type="dxa"/>
            <w:tcBorders>
              <w:top w:val="single" w:sz="4" w:space="0" w:color="auto"/>
              <w:bottom w:val="single" w:sz="4" w:space="0" w:color="auto"/>
            </w:tcBorders>
            <w:shd w:val="clear" w:color="auto" w:fill="F2F2F2" w:themeFill="background1" w:themeFillShade="F2"/>
            <w:hideMark/>
          </w:tcPr>
          <w:p w14:paraId="22604AB5" w14:textId="77777777" w:rsidR="000321CB" w:rsidRPr="0031002A" w:rsidRDefault="000321CB" w:rsidP="00045704">
            <w:pPr>
              <w:pStyle w:val="NormalWeb"/>
              <w:jc w:val="center"/>
              <w:rPr>
                <w:b/>
                <w:sz w:val="18"/>
                <w:szCs w:val="18"/>
              </w:rPr>
            </w:pPr>
            <w:r w:rsidRPr="0031002A">
              <w:rPr>
                <w:b/>
                <w:sz w:val="18"/>
                <w:szCs w:val="18"/>
              </w:rPr>
              <w:t>23.4</w:t>
            </w:r>
          </w:p>
        </w:tc>
        <w:tc>
          <w:tcPr>
            <w:tcW w:w="1843" w:type="dxa"/>
            <w:tcBorders>
              <w:top w:val="single" w:sz="4" w:space="0" w:color="auto"/>
              <w:bottom w:val="single" w:sz="4" w:space="0" w:color="auto"/>
            </w:tcBorders>
            <w:shd w:val="clear" w:color="auto" w:fill="F2F2F2" w:themeFill="background1" w:themeFillShade="F2"/>
            <w:hideMark/>
          </w:tcPr>
          <w:p w14:paraId="631ECA5C" w14:textId="77777777" w:rsidR="000321CB" w:rsidRPr="0031002A" w:rsidRDefault="000321CB" w:rsidP="00045704">
            <w:pPr>
              <w:pStyle w:val="NormalWeb"/>
              <w:jc w:val="center"/>
              <w:rPr>
                <w:b/>
                <w:sz w:val="18"/>
                <w:szCs w:val="18"/>
              </w:rPr>
            </w:pPr>
            <w:r w:rsidRPr="0031002A">
              <w:rPr>
                <w:b/>
                <w:sz w:val="18"/>
                <w:szCs w:val="18"/>
              </w:rPr>
              <w:t>39</w:t>
            </w:r>
          </w:p>
        </w:tc>
        <w:tc>
          <w:tcPr>
            <w:tcW w:w="1517" w:type="dxa"/>
            <w:tcBorders>
              <w:top w:val="single" w:sz="4" w:space="0" w:color="auto"/>
              <w:bottom w:val="single" w:sz="4" w:space="0" w:color="auto"/>
            </w:tcBorders>
            <w:shd w:val="clear" w:color="auto" w:fill="F2F2F2" w:themeFill="background1" w:themeFillShade="F2"/>
            <w:hideMark/>
          </w:tcPr>
          <w:p w14:paraId="2F4605A3" w14:textId="77777777" w:rsidR="000321CB" w:rsidRPr="0031002A" w:rsidRDefault="000321CB" w:rsidP="00045704">
            <w:pPr>
              <w:pStyle w:val="NormalWeb"/>
              <w:jc w:val="center"/>
              <w:rPr>
                <w:b/>
                <w:sz w:val="18"/>
                <w:szCs w:val="18"/>
              </w:rPr>
            </w:pPr>
            <w:r w:rsidRPr="0031002A">
              <w:rPr>
                <w:b/>
                <w:sz w:val="18"/>
                <w:szCs w:val="18"/>
              </w:rPr>
              <w:t>13.0</w:t>
            </w:r>
          </w:p>
        </w:tc>
      </w:tr>
      <w:tr w:rsidR="004F41FD" w:rsidRPr="0031002A" w14:paraId="3AE5C3B2" w14:textId="77777777" w:rsidTr="0031002A">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auto"/>
              <w:bottom w:val="single" w:sz="4" w:space="0" w:color="auto"/>
            </w:tcBorders>
            <w:shd w:val="clear" w:color="auto" w:fill="FDE9D9" w:themeFill="accent6" w:themeFillTint="33"/>
            <w:hideMark/>
          </w:tcPr>
          <w:p w14:paraId="090E36F0" w14:textId="77777777" w:rsidR="000321CB" w:rsidRPr="0031002A" w:rsidRDefault="000321CB">
            <w:pPr>
              <w:pStyle w:val="NormalWeb"/>
              <w:rPr>
                <w:b/>
                <w:sz w:val="18"/>
                <w:szCs w:val="18"/>
              </w:rPr>
            </w:pPr>
            <w:r w:rsidRPr="0031002A">
              <w:rPr>
                <w:b/>
                <w:sz w:val="18"/>
                <w:szCs w:val="18"/>
              </w:rPr>
              <w:t>Total intervention</w:t>
            </w:r>
          </w:p>
        </w:tc>
        <w:tc>
          <w:tcPr>
            <w:tcW w:w="1985" w:type="dxa"/>
            <w:tcBorders>
              <w:top w:val="single" w:sz="4" w:space="0" w:color="auto"/>
              <w:bottom w:val="single" w:sz="4" w:space="0" w:color="auto"/>
            </w:tcBorders>
            <w:shd w:val="clear" w:color="auto" w:fill="FDE9D9" w:themeFill="accent6" w:themeFillTint="33"/>
            <w:hideMark/>
          </w:tcPr>
          <w:p w14:paraId="015E3EED" w14:textId="77777777" w:rsidR="000321CB" w:rsidRPr="0031002A" w:rsidRDefault="000321CB" w:rsidP="00045704">
            <w:pPr>
              <w:jc w:val="center"/>
              <w:rPr>
                <w:b/>
                <w:sz w:val="18"/>
                <w:szCs w:val="18"/>
              </w:rPr>
            </w:pPr>
          </w:p>
        </w:tc>
        <w:tc>
          <w:tcPr>
            <w:tcW w:w="1843" w:type="dxa"/>
            <w:tcBorders>
              <w:top w:val="single" w:sz="4" w:space="0" w:color="auto"/>
              <w:bottom w:val="single" w:sz="4" w:space="0" w:color="auto"/>
            </w:tcBorders>
            <w:shd w:val="clear" w:color="auto" w:fill="FDE9D9" w:themeFill="accent6" w:themeFillTint="33"/>
            <w:hideMark/>
          </w:tcPr>
          <w:p w14:paraId="17A0C43F" w14:textId="77777777" w:rsidR="000321CB" w:rsidRPr="0031002A" w:rsidRDefault="000321CB" w:rsidP="00045704">
            <w:pPr>
              <w:pStyle w:val="NormalWeb"/>
              <w:jc w:val="center"/>
              <w:rPr>
                <w:b/>
                <w:sz w:val="18"/>
                <w:szCs w:val="18"/>
              </w:rPr>
            </w:pPr>
            <w:r w:rsidRPr="0031002A">
              <w:rPr>
                <w:b/>
                <w:sz w:val="18"/>
                <w:szCs w:val="18"/>
              </w:rPr>
              <w:t>321</w:t>
            </w:r>
          </w:p>
        </w:tc>
        <w:tc>
          <w:tcPr>
            <w:tcW w:w="1417" w:type="dxa"/>
            <w:tcBorders>
              <w:top w:val="single" w:sz="4" w:space="0" w:color="auto"/>
              <w:bottom w:val="single" w:sz="4" w:space="0" w:color="auto"/>
            </w:tcBorders>
            <w:shd w:val="clear" w:color="auto" w:fill="FDE9D9" w:themeFill="accent6" w:themeFillTint="33"/>
            <w:hideMark/>
          </w:tcPr>
          <w:p w14:paraId="0D955692" w14:textId="77777777" w:rsidR="000321CB" w:rsidRPr="0031002A" w:rsidRDefault="000321CB" w:rsidP="00045704">
            <w:pPr>
              <w:pStyle w:val="NormalWeb"/>
              <w:jc w:val="center"/>
              <w:rPr>
                <w:b/>
                <w:sz w:val="18"/>
                <w:szCs w:val="18"/>
              </w:rPr>
            </w:pPr>
            <w:r w:rsidRPr="0031002A">
              <w:rPr>
                <w:b/>
                <w:sz w:val="18"/>
                <w:szCs w:val="18"/>
              </w:rPr>
              <w:t>212</w:t>
            </w:r>
          </w:p>
        </w:tc>
        <w:tc>
          <w:tcPr>
            <w:tcW w:w="1701" w:type="dxa"/>
            <w:tcBorders>
              <w:top w:val="single" w:sz="4" w:space="0" w:color="auto"/>
              <w:bottom w:val="single" w:sz="4" w:space="0" w:color="auto"/>
            </w:tcBorders>
            <w:shd w:val="clear" w:color="auto" w:fill="FDE9D9" w:themeFill="accent6" w:themeFillTint="33"/>
            <w:hideMark/>
          </w:tcPr>
          <w:p w14:paraId="3526C810" w14:textId="77777777" w:rsidR="000321CB" w:rsidRPr="0031002A" w:rsidRDefault="000321CB" w:rsidP="00045704">
            <w:pPr>
              <w:pStyle w:val="NormalWeb"/>
              <w:jc w:val="center"/>
              <w:rPr>
                <w:b/>
                <w:sz w:val="18"/>
                <w:szCs w:val="18"/>
              </w:rPr>
            </w:pPr>
            <w:r w:rsidRPr="0031002A">
              <w:rPr>
                <w:b/>
                <w:sz w:val="18"/>
                <w:szCs w:val="18"/>
              </w:rPr>
              <w:t>66.0</w:t>
            </w:r>
          </w:p>
        </w:tc>
        <w:tc>
          <w:tcPr>
            <w:tcW w:w="1134" w:type="dxa"/>
            <w:tcBorders>
              <w:top w:val="single" w:sz="4" w:space="0" w:color="auto"/>
              <w:bottom w:val="single" w:sz="4" w:space="0" w:color="auto"/>
            </w:tcBorders>
            <w:shd w:val="clear" w:color="auto" w:fill="FDE9D9" w:themeFill="accent6" w:themeFillTint="33"/>
            <w:hideMark/>
          </w:tcPr>
          <w:p w14:paraId="2BD5E5AB" w14:textId="77777777" w:rsidR="000321CB" w:rsidRPr="0031002A" w:rsidRDefault="000321CB" w:rsidP="00045704">
            <w:pPr>
              <w:pStyle w:val="NormalWeb"/>
              <w:jc w:val="center"/>
              <w:rPr>
                <w:b/>
                <w:sz w:val="18"/>
                <w:szCs w:val="18"/>
              </w:rPr>
            </w:pPr>
            <w:r w:rsidRPr="0031002A">
              <w:rPr>
                <w:b/>
                <w:sz w:val="18"/>
                <w:szCs w:val="18"/>
              </w:rPr>
              <w:t>79</w:t>
            </w:r>
          </w:p>
        </w:tc>
        <w:tc>
          <w:tcPr>
            <w:tcW w:w="1276" w:type="dxa"/>
            <w:tcBorders>
              <w:top w:val="single" w:sz="4" w:space="0" w:color="auto"/>
              <w:bottom w:val="single" w:sz="4" w:space="0" w:color="auto"/>
            </w:tcBorders>
            <w:shd w:val="clear" w:color="auto" w:fill="FDE9D9" w:themeFill="accent6" w:themeFillTint="33"/>
            <w:hideMark/>
          </w:tcPr>
          <w:p w14:paraId="47D896C4" w14:textId="77777777" w:rsidR="000321CB" w:rsidRPr="0031002A" w:rsidRDefault="000321CB" w:rsidP="00045704">
            <w:pPr>
              <w:pStyle w:val="NormalWeb"/>
              <w:jc w:val="center"/>
              <w:rPr>
                <w:b/>
                <w:sz w:val="18"/>
                <w:szCs w:val="18"/>
              </w:rPr>
            </w:pPr>
            <w:r w:rsidRPr="0031002A">
              <w:rPr>
                <w:b/>
                <w:sz w:val="18"/>
                <w:szCs w:val="18"/>
              </w:rPr>
              <w:t>24.6</w:t>
            </w:r>
          </w:p>
        </w:tc>
        <w:tc>
          <w:tcPr>
            <w:tcW w:w="1843" w:type="dxa"/>
            <w:tcBorders>
              <w:top w:val="single" w:sz="4" w:space="0" w:color="auto"/>
              <w:bottom w:val="single" w:sz="4" w:space="0" w:color="auto"/>
            </w:tcBorders>
            <w:shd w:val="clear" w:color="auto" w:fill="FDE9D9" w:themeFill="accent6" w:themeFillTint="33"/>
            <w:hideMark/>
          </w:tcPr>
          <w:p w14:paraId="5B1CC3E4" w14:textId="77777777" w:rsidR="000321CB" w:rsidRPr="0031002A" w:rsidRDefault="000321CB" w:rsidP="00045704">
            <w:pPr>
              <w:pStyle w:val="NormalWeb"/>
              <w:jc w:val="center"/>
              <w:rPr>
                <w:b/>
                <w:sz w:val="18"/>
                <w:szCs w:val="18"/>
              </w:rPr>
            </w:pPr>
            <w:r w:rsidRPr="0031002A">
              <w:rPr>
                <w:b/>
                <w:sz w:val="18"/>
                <w:szCs w:val="18"/>
              </w:rPr>
              <w:t>30</w:t>
            </w:r>
          </w:p>
        </w:tc>
        <w:tc>
          <w:tcPr>
            <w:tcW w:w="1517" w:type="dxa"/>
            <w:tcBorders>
              <w:top w:val="single" w:sz="4" w:space="0" w:color="auto"/>
              <w:bottom w:val="single" w:sz="4" w:space="0" w:color="auto"/>
            </w:tcBorders>
            <w:shd w:val="clear" w:color="auto" w:fill="FDE9D9" w:themeFill="accent6" w:themeFillTint="33"/>
            <w:hideMark/>
          </w:tcPr>
          <w:p w14:paraId="7993EC86" w14:textId="77777777" w:rsidR="000321CB" w:rsidRPr="0031002A" w:rsidRDefault="000321CB" w:rsidP="00045704">
            <w:pPr>
              <w:pStyle w:val="NormalWeb"/>
              <w:jc w:val="center"/>
              <w:rPr>
                <w:b/>
                <w:sz w:val="18"/>
                <w:szCs w:val="18"/>
              </w:rPr>
            </w:pPr>
            <w:r w:rsidRPr="0031002A">
              <w:rPr>
                <w:b/>
                <w:sz w:val="18"/>
                <w:szCs w:val="18"/>
              </w:rPr>
              <w:t>9.3</w:t>
            </w:r>
          </w:p>
        </w:tc>
      </w:tr>
    </w:tbl>
    <w:p w14:paraId="1B91569D" w14:textId="77777777" w:rsidR="000321CB" w:rsidRPr="0008752B" w:rsidRDefault="000321CB" w:rsidP="0008752B">
      <w:pPr>
        <w:pStyle w:val="CDIfootnotes"/>
      </w:pPr>
      <w:r w:rsidRPr="0008752B">
        <w:t>NI = No intervention</w:t>
      </w:r>
    </w:p>
    <w:p w14:paraId="31B47B6F" w14:textId="77777777" w:rsidR="000321CB" w:rsidRPr="0008752B" w:rsidRDefault="000321CB" w:rsidP="0008752B">
      <w:pPr>
        <w:pStyle w:val="CDIfootnotes"/>
      </w:pPr>
      <w:r w:rsidRPr="0008752B">
        <w:t>I = Intervention</w:t>
      </w:r>
    </w:p>
    <w:p w14:paraId="73F02637" w14:textId="77777777" w:rsidR="00431038" w:rsidRDefault="000321CB">
      <w:pPr>
        <w:pStyle w:val="NormalWeb"/>
        <w:sectPr w:rsidR="00431038" w:rsidSect="00431038">
          <w:footnotePr>
            <w:numFmt w:val="lowerRoman"/>
          </w:footnotePr>
          <w:pgSz w:w="16838" w:h="11906" w:orient="landscape"/>
          <w:pgMar w:top="720" w:right="720" w:bottom="720" w:left="1134" w:header="709" w:footer="284" w:gutter="0"/>
          <w:cols w:space="708"/>
          <w:titlePg/>
          <w:docGrid w:linePitch="360"/>
        </w:sectPr>
      </w:pPr>
      <w:r>
        <w:t> </w:t>
      </w:r>
    </w:p>
    <w:p w14:paraId="5EF70477" w14:textId="77777777" w:rsidR="000321CB" w:rsidRDefault="000321CB">
      <w:pPr>
        <w:pStyle w:val="NormalWeb"/>
      </w:pPr>
    </w:p>
    <w:p w14:paraId="45732611" w14:textId="77777777" w:rsidR="000321CB" w:rsidRPr="0065646A" w:rsidRDefault="000321CB" w:rsidP="0065646A">
      <w:pPr>
        <w:pStyle w:val="Heading3"/>
      </w:pPr>
      <w:r w:rsidRPr="0065646A">
        <w:t xml:space="preserve">Effectiveness </w:t>
      </w:r>
    </w:p>
    <w:p w14:paraId="6D883609" w14:textId="77777777" w:rsidR="000321CB" w:rsidRDefault="000321CB" w:rsidP="0065646A">
      <w:r>
        <w:t>During the Quality Improvement activity (Figure 4, blue shaded section) quite a divergence occurred between rates of fully vaccinated Central Coast children compared with NSW as a whole. Furthermore, all but one of the quarters with 2 out of 3 intervention months showed higher rates than the quarters with 1 out of 3 intervention months. This convinced the authors that the intervention was making a difference, and thus there was a need to follow up all 9–10 month children said to be overdue by ACIR. This ongoing program commenced in January 2014 with the April 2013 birth cohort, and Central Coast rates have subsequently remained consistently above NSW rates.</w:t>
      </w:r>
    </w:p>
    <w:p w14:paraId="1D8DEBA3" w14:textId="77777777" w:rsidR="00AB11D5" w:rsidRDefault="00AB11D5" w:rsidP="00AB11D5">
      <w:pPr>
        <w:pStyle w:val="CDIFigures"/>
        <w:sectPr w:rsidR="00AB11D5" w:rsidSect="00A30C37">
          <w:footnotePr>
            <w:numFmt w:val="lowerRoman"/>
          </w:footnotePr>
          <w:pgSz w:w="11906" w:h="16838"/>
          <w:pgMar w:top="720" w:right="720" w:bottom="1134" w:left="720" w:header="709" w:footer="284" w:gutter="0"/>
          <w:cols w:space="708"/>
          <w:titlePg/>
          <w:docGrid w:linePitch="360"/>
        </w:sectPr>
      </w:pPr>
    </w:p>
    <w:p w14:paraId="68958323" w14:textId="77777777" w:rsidR="000321CB" w:rsidRDefault="000321CB" w:rsidP="00AB11D5">
      <w:pPr>
        <w:pStyle w:val="CDIFigures"/>
      </w:pPr>
      <w:r>
        <w:lastRenderedPageBreak/>
        <w:t>Figure 4. ACIR vaccination rates for Central Coast and NSW children 12–15 months of age</w:t>
      </w:r>
    </w:p>
    <w:p w14:paraId="4AD4B506" w14:textId="77777777" w:rsidR="000321CB" w:rsidRDefault="000321CB">
      <w:pPr>
        <w:pStyle w:val="NormalWeb"/>
      </w:pPr>
      <w:r>
        <w:rPr>
          <w:noProof/>
        </w:rPr>
        <w:drawing>
          <wp:inline distT="0" distB="0" distL="0" distR="0" wp14:anchorId="004C22E7" wp14:editId="6141F00C">
            <wp:extent cx="9286875" cy="6047244"/>
            <wp:effectExtent l="0" t="0" r="0" b="0"/>
            <wp:docPr id="6" name="Picture 6" descr="The line graph compares routinely published quarterly ACIR vaccination rates for Central Coast and NSW children aged 12 to 15 months.  Before our study, Central Coast rates were frequently just above NSW rates, generally between 91 and 93%.  During our study, Central Coast rates increased beyond NSW rates with a widening gap, NSW rates remaining below 92% while Central Coast rates fluctuated between 92 and 94%.  After our study, both Central Coast and NSW rates increased.  However the gap between Central Coast and NSW rates has been maintained, with NSW rates just under 93% and Central Coast rates at just abov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line graph compares routinely published quarterly ACIR vaccination rates for Central Coast and NSW children aged 12 to 15 months.  Before our study, Central Coast rates were frequently just above NSW rates, generally between 91 and 93%.  During our study, Central Coast rates increased beyond NSW rates with a widening gap, NSW rates remaining below 92% while Central Coast rates fluctuated between 92 and 94%.  After our study, both Central Coast and NSW rates increased.  However the gap between Central Coast and NSW rates has been maintained, with NSW rates just under 93% and Central Coast rates at just above 9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86875" cy="6047244"/>
                    </a:xfrm>
                    <a:prstGeom prst="rect">
                      <a:avLst/>
                    </a:prstGeom>
                  </pic:spPr>
                </pic:pic>
              </a:graphicData>
            </a:graphic>
          </wp:inline>
        </w:drawing>
      </w:r>
    </w:p>
    <w:p w14:paraId="5D3182D1" w14:textId="77777777" w:rsidR="00AB11D5" w:rsidRDefault="00AB11D5" w:rsidP="0065646A">
      <w:pPr>
        <w:pStyle w:val="Heading2"/>
        <w:sectPr w:rsidR="00AB11D5" w:rsidSect="000E3355">
          <w:footnotePr>
            <w:numFmt w:val="lowerRoman"/>
          </w:footnotePr>
          <w:pgSz w:w="16838" w:h="11906" w:orient="landscape"/>
          <w:pgMar w:top="720" w:right="720" w:bottom="720" w:left="1134" w:header="709" w:footer="284" w:gutter="0"/>
          <w:cols w:space="708"/>
          <w:titlePg/>
          <w:docGrid w:linePitch="360"/>
        </w:sectPr>
      </w:pPr>
    </w:p>
    <w:p w14:paraId="4F746B62" w14:textId="77777777" w:rsidR="000321CB" w:rsidRPr="0065646A" w:rsidRDefault="000321CB" w:rsidP="0065646A">
      <w:pPr>
        <w:pStyle w:val="Heading2"/>
      </w:pPr>
      <w:r w:rsidRPr="0065646A">
        <w:lastRenderedPageBreak/>
        <w:t xml:space="preserve">Discussion </w:t>
      </w:r>
    </w:p>
    <w:p w14:paraId="4048782D" w14:textId="77777777" w:rsidR="000321CB" w:rsidRDefault="000321CB" w:rsidP="0065646A">
      <w:r>
        <w:t xml:space="preserve">Reporting on Australian immunisation coverage in 2014, Hull </w:t>
      </w:r>
      <w:r w:rsidRPr="00E73C24">
        <w:rPr>
          <w:rStyle w:val="Emphasis"/>
          <w:b w:val="0"/>
        </w:rPr>
        <w:t>et al</w:t>
      </w:r>
      <w:r>
        <w:t>. noted that while high levels of vaccine coverage at milestone ages have been achieved, timeliness of vaccination could be improved.</w:t>
      </w:r>
      <w:r>
        <w:rPr>
          <w:vertAlign w:val="superscript"/>
        </w:rPr>
        <w:t>6</w:t>
      </w:r>
      <w:r>
        <w:t xml:space="preserve"> A number of state and federal strategies have contributed to these high levels, the Immunise Australia Program in 1997 being one of the early strategies. This program included financial incentives for providers and parents, and the incentives have been refined over the years. The most recent iterations are the No Jab, No Pay measure and the No Jab, No Play legislation.</w:t>
      </w:r>
      <w:r>
        <w:rPr>
          <w:vertAlign w:val="superscript"/>
        </w:rPr>
        <w:t xml:space="preserve">7,8 </w:t>
      </w:r>
      <w:r>
        <w:t xml:space="preserve">These national and state efforts have been supplemented by more focussed interventions in some smaller jurisdictions. </w:t>
      </w:r>
    </w:p>
    <w:p w14:paraId="37372D91" w14:textId="77777777" w:rsidR="000321CB" w:rsidRDefault="000321CB" w:rsidP="0065646A">
      <w:r>
        <w:t>While active follow-up of children said to be overdue for immunisation can be quite resource-intensive,</w:t>
      </w:r>
      <w:r>
        <w:rPr>
          <w:vertAlign w:val="superscript"/>
        </w:rPr>
        <w:t>3</w:t>
      </w:r>
      <w:r>
        <w:t xml:space="preserve"> a range of interventions designed to improve immunisation rates and timeliness of vaccinations have been used in different populations in Australia. </w:t>
      </w:r>
    </w:p>
    <w:p w14:paraId="5ADBD7A2" w14:textId="77777777" w:rsidR="000321CB" w:rsidRDefault="000321CB" w:rsidP="0065646A">
      <w:r>
        <w:t xml:space="preserve">Elia </w:t>
      </w:r>
      <w:r w:rsidRPr="00E73C24">
        <w:rPr>
          <w:rStyle w:val="Emphasis"/>
          <w:b w:val="0"/>
        </w:rPr>
        <w:t>et al</w:t>
      </w:r>
      <w:r>
        <w:t>.</w:t>
      </w:r>
      <w:r>
        <w:rPr>
          <w:vertAlign w:val="superscript"/>
        </w:rPr>
        <w:t>9</w:t>
      </w:r>
      <w:r>
        <w:t xml:space="preserve"> targeted children with medical conditions in the Royal Children’s Hospital in Melbourne. They identified that during admission one quarter of children were not up to date for their routine scheduled immunisations. Approximately 42% of these were then brought up to date, either during admission or within a month of discharge. </w:t>
      </w:r>
    </w:p>
    <w:p w14:paraId="3EEC5863" w14:textId="77777777" w:rsidR="000321CB" w:rsidRDefault="000321CB" w:rsidP="0065646A">
      <w:r>
        <w:t>In 2007 Central Sydney General Practice Network and the University of Sydney targeted Central Sydney general practices with immunisation coverage rates less than 90%.</w:t>
      </w:r>
      <w:r>
        <w:rPr>
          <w:vertAlign w:val="superscript"/>
        </w:rPr>
        <w:t>10</w:t>
      </w:r>
      <w:r>
        <w:t xml:space="preserve"> The intervention consisted of education to encourage the practices to identify and recall overdue children. At the end of the study there was a marked improvement in the proportion of practices with coverage rates of greater than 90%. The barriers to increasing immunisation rates included the substantial transient population and communication and language barriers in the culturally and linguistically diverse population. Lack of staff resources was another barrier. </w:t>
      </w:r>
    </w:p>
    <w:p w14:paraId="0C07B572" w14:textId="77777777" w:rsidR="000321CB" w:rsidRDefault="000321CB" w:rsidP="0065646A">
      <w:r>
        <w:t>Successful interventions in Aboriginal populations include personalised calendars,</w:t>
      </w:r>
      <w:r>
        <w:rPr>
          <w:vertAlign w:val="superscript"/>
        </w:rPr>
        <w:t>11</w:t>
      </w:r>
      <w:r>
        <w:t xml:space="preserve"> telephoning families before the due date for immunisation</w:t>
      </w:r>
      <w:r>
        <w:rPr>
          <w:vertAlign w:val="superscript"/>
        </w:rPr>
        <w:t>12</w:t>
      </w:r>
      <w:r>
        <w:t xml:space="preserve"> and the introduction of the Aboriginal Immunisation Healthcare Worker Program in New South Wales.</w:t>
      </w:r>
      <w:r>
        <w:rPr>
          <w:vertAlign w:val="superscript"/>
        </w:rPr>
        <w:t xml:space="preserve">13 </w:t>
      </w:r>
    </w:p>
    <w:p w14:paraId="1EC883F9" w14:textId="77777777" w:rsidR="000321CB" w:rsidRDefault="000321CB" w:rsidP="0065646A">
      <w:r>
        <w:t>In a before-after study, Western Sydney Aboriginal children who received a personalised calendar showed improved timeliness of vaccination.</w:t>
      </w:r>
      <w:r>
        <w:rPr>
          <w:vertAlign w:val="superscript"/>
        </w:rPr>
        <w:t>11</w:t>
      </w:r>
      <w:r>
        <w:t xml:space="preserve"> The Hunter New England (HNE) pre-call strategy was introduced around the time when Aboriginal immunisation workers were being introduced in all jurisdictions in NSW.</w:t>
      </w:r>
      <w:r>
        <w:rPr>
          <w:vertAlign w:val="superscript"/>
        </w:rPr>
        <w:t>12</w:t>
      </w:r>
      <w:r>
        <w:t xml:space="preserve"> The families of HNE Aboriginal babies were telephoned two weeks before the first scheduled vaccine and encouraged to get their vaccinations on time. There was a significant increase in immunisation coverage for HNE Aboriginal children at 12 months while the coverage for Aboriginal children in the rest of NSW increased but not significantly. These findings were mirrored by Hendry </w:t>
      </w:r>
      <w:r w:rsidRPr="00E73C24">
        <w:rPr>
          <w:rStyle w:val="Emphasis"/>
          <w:b w:val="0"/>
        </w:rPr>
        <w:t>et al</w:t>
      </w:r>
      <w:r>
        <w:t>. when they compared the gaps between immunisation rates for Indigenous and non-Indigenous children in New South Wales and Australia before and after the introduction of the Aboriginal Immunisation Healthcare Worker Program in New South Wales.</w:t>
      </w:r>
      <w:r>
        <w:rPr>
          <w:vertAlign w:val="superscript"/>
        </w:rPr>
        <w:t>13</w:t>
      </w:r>
      <w:r>
        <w:t xml:space="preserve"> The gap reduced more in NSW when compared with Australia. </w:t>
      </w:r>
    </w:p>
    <w:p w14:paraId="0D7BABB8" w14:textId="77777777" w:rsidR="000321CB" w:rsidRDefault="000321CB" w:rsidP="0065646A">
      <w:r>
        <w:t xml:space="preserve">In an international systematic review of different interventions to improve immunisation uptake Harvey </w:t>
      </w:r>
      <w:r w:rsidRPr="00E73C24">
        <w:rPr>
          <w:rStyle w:val="Emphasis"/>
          <w:b w:val="0"/>
        </w:rPr>
        <w:t>et al</w:t>
      </w:r>
      <w:r>
        <w:t>. noted that while all interventions were effective to a degree, receiving both telephone and postal reminders was the most effective reminder-based intervention.</w:t>
      </w:r>
      <w:r>
        <w:rPr>
          <w:vertAlign w:val="superscript"/>
        </w:rPr>
        <w:t>14</w:t>
      </w:r>
      <w:r>
        <w:t xml:space="preserve"> This review reinforces the common theme gleaned from the Australian interventions, that is, that personal contact works well. </w:t>
      </w:r>
    </w:p>
    <w:p w14:paraId="5C777787" w14:textId="77777777" w:rsidR="000321CB" w:rsidRDefault="000321CB" w:rsidP="0065646A">
      <w:r>
        <w:t xml:space="preserve">The ability to use personal contact, with telephone calls to vaccine providers and to parents, and also personally addressed letters is one of the strengths of the CCPHU intervention. Central Coast’s relatively small geographical area has allowed the CCPHU’s immunisation staff to develop and maintain excellent relationships with local vaccine providers, particularly because they are able to visit the practices when needed. </w:t>
      </w:r>
    </w:p>
    <w:p w14:paraId="6E314D08" w14:textId="77777777" w:rsidR="000321CB" w:rsidRDefault="000321CB" w:rsidP="0065646A">
      <w:r>
        <w:lastRenderedPageBreak/>
        <w:t xml:space="preserve">Another strength of the intervention was the population-based comparison. By including all non-Aboriginal children aged 9 to less than 10 months in the study the opportunity for bias has been reduced. The results may therefore be considered generalizable to the rest of the NSW population. </w:t>
      </w:r>
    </w:p>
    <w:p w14:paraId="746527AF" w14:textId="77777777" w:rsidR="000321CB" w:rsidRDefault="000321CB" w:rsidP="0065646A">
      <w:r>
        <w:t xml:space="preserve">The intervention did not consume a lot of resources. By confining the intervention to a population of about 30 children per month, about 8 hours per week of staff time was needed (provided the time was relatively uninterrupted). The intervention was also able to identify systematic errors of reporting. By noting the vaccine providers the authors quickly identified patterns of potential errors. For example, one practice seemed to have difficulty reporting the third Prevenar vaccination. One author (CG) had several discussions with the practice staff, and this issue has now been corrected. </w:t>
      </w:r>
    </w:p>
    <w:p w14:paraId="67B06779" w14:textId="77777777" w:rsidR="000321CB" w:rsidRDefault="000321CB" w:rsidP="0065646A">
      <w:r>
        <w:t xml:space="preserve">One limitation of this study is the possibility of errors in attributing the reason for a child to become up to date. If the vaccination(s) occurred before the download date, it can be stated with some confidence that this is a record error. This error may be a problem with the provider recording the vaccination, a problem with transmission of those data to ACIR or a problem with recording on the ACIR. </w:t>
      </w:r>
    </w:p>
    <w:p w14:paraId="757E7362" w14:textId="77777777" w:rsidR="000321CB" w:rsidRDefault="000321CB" w:rsidP="0065646A">
      <w:r>
        <w:t xml:space="preserve">However if the vaccination occurred after the ACIR download date the reason is less clear-cut. It is conceivable that the intervention may have prompted the vaccination, and conversations with parents suggest that this does happen, but there are other influences on parents’ decisions to vaccinate. </w:t>
      </w:r>
    </w:p>
    <w:p w14:paraId="0F1D5C0F" w14:textId="77777777" w:rsidR="000321CB" w:rsidRDefault="000321CB" w:rsidP="0065646A">
      <w:r>
        <w:t>One such influence may be the proximity of the follow-up to subsequent scheduled vaccinations. Any activity such as reminders for the 12 month vaccinations could focus attention on the earlier vaccinations targeted in the current study. Another possible influence is the range of financial incentives for vaccination.</w:t>
      </w:r>
      <w:r>
        <w:rPr>
          <w:vertAlign w:val="superscript"/>
        </w:rPr>
        <w:t>7</w:t>
      </w:r>
      <w:r>
        <w:t xml:space="preserve"> These have included financial incentives for general practice and incentives for parents, particularly linking the Family Tax Benefit to a child’s immunisation status. </w:t>
      </w:r>
    </w:p>
    <w:p w14:paraId="74615CD3" w14:textId="77777777" w:rsidR="000321CB" w:rsidRDefault="000321CB" w:rsidP="0065646A">
      <w:r>
        <w:t xml:space="preserve">The authors have shown that a simple intervention can improve timeliness of vaccination as well as vaccination rates. While a quarter of those becoming up to date were as a result of vaccinations after the intervention, about two thirds of children initially said to be overdue were not late vaccinations but late reports. </w:t>
      </w:r>
    </w:p>
    <w:p w14:paraId="5632FF64" w14:textId="77777777" w:rsidR="000321CB" w:rsidRDefault="000321CB" w:rsidP="0065646A">
      <w:r>
        <w:t xml:space="preserve">Central Coast rates have been generally better than NSW, but during the intervention Central Coast rates diverged further from NSW rates, more particularly in the three-month periods where there were two months of intervention compared with one month of intervention. This difference convinced the authors that a quality improvement study needed to be extended to an ongoing program for all children age 9–10 months. </w:t>
      </w:r>
    </w:p>
    <w:p w14:paraId="7D7C792A" w14:textId="77777777" w:rsidR="000321CB" w:rsidRPr="0065646A" w:rsidRDefault="000321CB" w:rsidP="0065646A">
      <w:pPr>
        <w:pStyle w:val="Heading1"/>
      </w:pPr>
      <w:r w:rsidRPr="0065646A">
        <w:t xml:space="preserve">Acknowledgements </w:t>
      </w:r>
    </w:p>
    <w:p w14:paraId="2B41384B" w14:textId="77777777" w:rsidR="000321CB" w:rsidRDefault="000321CB" w:rsidP="0065646A">
      <w:r>
        <w:t xml:space="preserve">The authors acknowledge the valuable assistance of Paul Cook from the Public Health Unit who prepared the data each month. The authors also acknowledge the cheerful willingness of Central Coast immunisers and the commitment of Central Coast parents. Without the enthusiasm of these people we would be unable to maintain our current high rates of vaccination. The thoughtful comments by the reviewers of an earlier draft of this manuscript were greatly appreciated. </w:t>
      </w:r>
    </w:p>
    <w:p w14:paraId="00196ECA" w14:textId="77777777" w:rsidR="004D21C3" w:rsidRDefault="004D21C3">
      <w:pPr>
        <w:rPr>
          <w:rFonts w:asciiTheme="majorHAnsi" w:eastAsiaTheme="majorEastAsia" w:hAnsiTheme="majorHAnsi" w:cstheme="majorBidi"/>
          <w:b/>
          <w:bCs/>
          <w:sz w:val="32"/>
          <w:szCs w:val="28"/>
        </w:rPr>
      </w:pPr>
      <w:r>
        <w:br w:type="page"/>
      </w:r>
    </w:p>
    <w:p w14:paraId="6ABBF12E" w14:textId="77777777" w:rsidR="000321CB" w:rsidRPr="0065646A" w:rsidRDefault="000321CB" w:rsidP="0065646A">
      <w:pPr>
        <w:pStyle w:val="Heading1"/>
      </w:pPr>
      <w:r w:rsidRPr="0065646A">
        <w:lastRenderedPageBreak/>
        <w:t xml:space="preserve">Author details </w:t>
      </w:r>
    </w:p>
    <w:p w14:paraId="47205B96" w14:textId="77777777" w:rsidR="000321CB" w:rsidRDefault="000321CB" w:rsidP="0065646A">
      <w:r>
        <w:t>Dr Thaïs A Miles, Public Health Physician</w:t>
      </w:r>
      <w:r>
        <w:rPr>
          <w:vertAlign w:val="superscript"/>
        </w:rPr>
        <w:t xml:space="preserve">1 </w:t>
      </w:r>
    </w:p>
    <w:p w14:paraId="3F6663DB" w14:textId="77777777" w:rsidR="000321CB" w:rsidRDefault="000321CB" w:rsidP="0065646A">
      <w:r>
        <w:t>Ms Linda V Granger, Immunisation Nurse</w:t>
      </w:r>
      <w:r>
        <w:rPr>
          <w:vertAlign w:val="superscript"/>
        </w:rPr>
        <w:t xml:space="preserve">1 </w:t>
      </w:r>
    </w:p>
    <w:p w14:paraId="5611A4A5" w14:textId="77777777" w:rsidR="000321CB" w:rsidRDefault="000321CB" w:rsidP="0065646A">
      <w:r>
        <w:t>Mrs Colleen L Gately, Immunisation Co-ordinator</w:t>
      </w:r>
      <w:r>
        <w:rPr>
          <w:vertAlign w:val="superscript"/>
        </w:rPr>
        <w:t xml:space="preserve">1 </w:t>
      </w:r>
    </w:p>
    <w:p w14:paraId="7DE630D8" w14:textId="77777777" w:rsidR="000321CB" w:rsidRPr="0065646A" w:rsidRDefault="000321CB" w:rsidP="0065646A">
      <w:pPr>
        <w:pStyle w:val="ListParagraph"/>
        <w:numPr>
          <w:ilvl w:val="0"/>
          <w:numId w:val="11"/>
        </w:numPr>
        <w:rPr>
          <w:rFonts w:eastAsia="Times New Roman"/>
        </w:rPr>
      </w:pPr>
      <w:r w:rsidRPr="0065646A">
        <w:rPr>
          <w:rFonts w:eastAsia="Times New Roman"/>
        </w:rPr>
        <w:t xml:space="preserve">Central Coast Public Health Unit </w:t>
      </w:r>
    </w:p>
    <w:p w14:paraId="02ECC5AF" w14:textId="77777777" w:rsidR="000321CB" w:rsidRPr="0065646A" w:rsidRDefault="000321CB" w:rsidP="0065646A">
      <w:pPr>
        <w:pStyle w:val="Heading2"/>
      </w:pPr>
      <w:r w:rsidRPr="0065646A">
        <w:t xml:space="preserve">Corresponding author </w:t>
      </w:r>
    </w:p>
    <w:p w14:paraId="50687DC0" w14:textId="77777777" w:rsidR="000321CB" w:rsidRDefault="000321CB" w:rsidP="0065646A">
      <w:r>
        <w:t xml:space="preserve">Dr Thaïs A Miles, Public Health Physician, Central Coast Public Health Unit, PO Box 361, Gosford 2250 thais.miles@bigpond.com </w:t>
      </w:r>
    </w:p>
    <w:p w14:paraId="53AD0AEA" w14:textId="77777777" w:rsidR="000321CB" w:rsidRPr="0065646A" w:rsidRDefault="000321CB" w:rsidP="0065646A">
      <w:pPr>
        <w:pStyle w:val="Heading1"/>
      </w:pPr>
      <w:r w:rsidRPr="0065646A">
        <w:t xml:space="preserve">References </w:t>
      </w:r>
    </w:p>
    <w:p w14:paraId="30888D86"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Hull BP, McIntyre PB. Timeliness of childhood immunisation in Australia. </w:t>
      </w:r>
      <w:r w:rsidRPr="00E73C24">
        <w:rPr>
          <w:rStyle w:val="Emphasis"/>
          <w:rFonts w:eastAsia="Times New Roman"/>
          <w:b w:val="0"/>
        </w:rPr>
        <w:t>Vaccine.</w:t>
      </w:r>
      <w:r>
        <w:rPr>
          <w:rFonts w:eastAsia="Times New Roman"/>
        </w:rPr>
        <w:t xml:space="preserve"> 2006;24(20):4403–8. </w:t>
      </w:r>
    </w:p>
    <w:p w14:paraId="01AA1158"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Ferson M, Orr K. Some truths about the “low” vaccination coverage in Sydney’s eastern suburbs. </w:t>
      </w:r>
      <w:r w:rsidRPr="00E73C24">
        <w:rPr>
          <w:rStyle w:val="Emphasis"/>
          <w:rFonts w:eastAsia="Times New Roman"/>
          <w:b w:val="0"/>
        </w:rPr>
        <w:t>Med J Aust.</w:t>
      </w:r>
      <w:r>
        <w:rPr>
          <w:rFonts w:eastAsia="Times New Roman"/>
        </w:rPr>
        <w:t xml:space="preserve"> 2015;203(3):153–4. </w:t>
      </w:r>
    </w:p>
    <w:p w14:paraId="74681144"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Botham SJ, Poulos RG, McFarland KJ, Ferson MJ. Getting it right – the Australian Childhood Immunisation Register and immunisation rates in south-eastern Sydney. </w:t>
      </w:r>
      <w:r w:rsidRPr="00E73C24">
        <w:rPr>
          <w:rStyle w:val="Emphasis"/>
          <w:rFonts w:eastAsia="Times New Roman"/>
          <w:b w:val="0"/>
        </w:rPr>
        <w:t>Aust N Z J Public Health</w:t>
      </w:r>
      <w:r>
        <w:rPr>
          <w:rFonts w:eastAsia="Times New Roman"/>
        </w:rPr>
        <w:t xml:space="preserve">. 2004;28(1):68–71. </w:t>
      </w:r>
    </w:p>
    <w:p w14:paraId="576B55AA"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Hull BP, McIntyre PB. Immunisation coverage reporting through the Australian Childhood Immunisation Register – an evaluation of the third-dose assumption. </w:t>
      </w:r>
      <w:r w:rsidRPr="00E73C24">
        <w:rPr>
          <w:rStyle w:val="Emphasis"/>
          <w:rFonts w:eastAsia="Times New Roman"/>
          <w:b w:val="0"/>
        </w:rPr>
        <w:t>Aust N Z J Public Health</w:t>
      </w:r>
      <w:r>
        <w:rPr>
          <w:rFonts w:eastAsia="Times New Roman"/>
        </w:rPr>
        <w:t xml:space="preserve">. 2000;24(1):17–21. </w:t>
      </w:r>
    </w:p>
    <w:p w14:paraId="4BC238CB"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Hull BP, Lawrence GL, </w:t>
      </w:r>
      <w:proofErr w:type="spellStart"/>
      <w:r>
        <w:rPr>
          <w:rFonts w:eastAsia="Times New Roman"/>
        </w:rPr>
        <w:t>MacIntyre</w:t>
      </w:r>
      <w:proofErr w:type="spellEnd"/>
      <w:r>
        <w:rPr>
          <w:rFonts w:eastAsia="Times New Roman"/>
        </w:rPr>
        <w:t xml:space="preserve"> CR, McIntyre PB. Estimating immunisation coverage: is the “third dose assumption” still valid? </w:t>
      </w:r>
      <w:r w:rsidRPr="00E73C24">
        <w:rPr>
          <w:rStyle w:val="Emphasis"/>
          <w:rFonts w:eastAsia="Times New Roman"/>
          <w:b w:val="0"/>
        </w:rPr>
        <w:t>Commun Dis Intell Q Rep.</w:t>
      </w:r>
      <w:r>
        <w:rPr>
          <w:rFonts w:eastAsia="Times New Roman"/>
        </w:rPr>
        <w:t xml:space="preserve"> 2003;27(3):357–61. </w:t>
      </w:r>
    </w:p>
    <w:p w14:paraId="75099C02"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Hull BP, Hendry AJ, Dey A, Beard FH, Brotherton JM, McIntyre PB. Immunisation coverage annual report, 2014. </w:t>
      </w:r>
      <w:r w:rsidRPr="00E73C24">
        <w:rPr>
          <w:rStyle w:val="Emphasis"/>
          <w:rFonts w:eastAsia="Times New Roman"/>
          <w:b w:val="0"/>
        </w:rPr>
        <w:t>Commun Dis Intell Q Rep</w:t>
      </w:r>
      <w:r>
        <w:rPr>
          <w:rFonts w:eastAsia="Times New Roman"/>
        </w:rPr>
        <w:t xml:space="preserve">. 2017;41(1):E68–90. </w:t>
      </w:r>
    </w:p>
    <w:p w14:paraId="0CB2F7E2"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Ward K, Hull BP, Leask J. Financial incentives for childhood immunisation – a unique but changing Australian initiative. </w:t>
      </w:r>
      <w:r w:rsidRPr="00E73C24">
        <w:rPr>
          <w:rStyle w:val="Emphasis"/>
          <w:rFonts w:eastAsia="Times New Roman"/>
          <w:b w:val="0"/>
        </w:rPr>
        <w:t>Med J Aust.</w:t>
      </w:r>
      <w:r>
        <w:rPr>
          <w:rFonts w:eastAsia="Times New Roman"/>
        </w:rPr>
        <w:t xml:space="preserve"> 2013;198(11):590–2. </w:t>
      </w:r>
    </w:p>
    <w:p w14:paraId="48DC5605"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Beard FH, Leask J, McIntyre PB. No Jab, No Pay and vaccine refusal in Australia: the jury is still out. </w:t>
      </w:r>
      <w:r w:rsidRPr="00E73C24">
        <w:rPr>
          <w:rStyle w:val="Emphasis"/>
          <w:rFonts w:eastAsia="Times New Roman"/>
          <w:b w:val="0"/>
        </w:rPr>
        <w:t>Med J Aust.</w:t>
      </w:r>
      <w:r>
        <w:rPr>
          <w:rFonts w:eastAsia="Times New Roman"/>
        </w:rPr>
        <w:t xml:space="preserve"> 2017;206(9):381–3. </w:t>
      </w:r>
    </w:p>
    <w:p w14:paraId="47DCCB24"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Elia S, Perrett K, Newall F. Providing opportunistic immunisations for at risk inpatients in a tertiary paediatric hospital. </w:t>
      </w:r>
      <w:r w:rsidRPr="00E73C24">
        <w:rPr>
          <w:rStyle w:val="Emphasis"/>
          <w:rFonts w:eastAsia="Times New Roman"/>
          <w:b w:val="0"/>
        </w:rPr>
        <w:t xml:space="preserve">J Spec </w:t>
      </w:r>
      <w:proofErr w:type="spellStart"/>
      <w:r w:rsidRPr="00E73C24">
        <w:rPr>
          <w:rStyle w:val="Emphasis"/>
          <w:rFonts w:eastAsia="Times New Roman"/>
          <w:b w:val="0"/>
        </w:rPr>
        <w:t>Pediatr</w:t>
      </w:r>
      <w:proofErr w:type="spellEnd"/>
      <w:r w:rsidRPr="00E73C24">
        <w:rPr>
          <w:rStyle w:val="Emphasis"/>
          <w:rFonts w:eastAsia="Times New Roman"/>
          <w:b w:val="0"/>
        </w:rPr>
        <w:t xml:space="preserve"> </w:t>
      </w:r>
      <w:proofErr w:type="spellStart"/>
      <w:r w:rsidRPr="00E73C24">
        <w:rPr>
          <w:rStyle w:val="Emphasis"/>
          <w:rFonts w:eastAsia="Times New Roman"/>
          <w:b w:val="0"/>
        </w:rPr>
        <w:t>Nurs</w:t>
      </w:r>
      <w:proofErr w:type="spellEnd"/>
      <w:r>
        <w:rPr>
          <w:rFonts w:eastAsia="Times New Roman"/>
        </w:rPr>
        <w:t xml:space="preserve">. 2017;22: https://doi.org/10.1111/jspn.12167. </w:t>
      </w:r>
    </w:p>
    <w:p w14:paraId="7C6A0F4C"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Ali H, </w:t>
      </w:r>
      <w:proofErr w:type="spellStart"/>
      <w:r>
        <w:rPr>
          <w:rFonts w:eastAsia="Times New Roman"/>
        </w:rPr>
        <w:t>Zwar</w:t>
      </w:r>
      <w:proofErr w:type="spellEnd"/>
      <w:r>
        <w:rPr>
          <w:rFonts w:eastAsia="Times New Roman"/>
        </w:rPr>
        <w:t xml:space="preserve"> N, Wild J. Improving childhood immunisation coverage rates. Evaluation of a divisional program. </w:t>
      </w:r>
      <w:r w:rsidRPr="00E73C24">
        <w:rPr>
          <w:rStyle w:val="Emphasis"/>
          <w:rFonts w:eastAsia="Times New Roman"/>
          <w:b w:val="0"/>
        </w:rPr>
        <w:t>Aust Fam Physician.</w:t>
      </w:r>
      <w:r>
        <w:rPr>
          <w:rFonts w:eastAsia="Times New Roman"/>
        </w:rPr>
        <w:t xml:space="preserve"> 2009;38(10):833–5. </w:t>
      </w:r>
    </w:p>
    <w:p w14:paraId="0BD9D40B"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Abbott P, Menzies R, Davison J, Moore L, Wang H. Improving immunisation timeliness in Aboriginal children through personalised calendars. </w:t>
      </w:r>
      <w:r w:rsidRPr="00E73C24">
        <w:rPr>
          <w:rStyle w:val="Emphasis"/>
          <w:rFonts w:eastAsia="Times New Roman"/>
          <w:b w:val="0"/>
        </w:rPr>
        <w:t>BMC Public Health.</w:t>
      </w:r>
      <w:r>
        <w:rPr>
          <w:rFonts w:eastAsia="Times New Roman"/>
        </w:rPr>
        <w:t xml:space="preserve"> 2013;13:598. </w:t>
      </w:r>
    </w:p>
    <w:p w14:paraId="3EA8602B"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Cashman PM, Allan NA, Clark KK, Butler MT, Massey PD, Durrheim DN. Closing the gap in Australian Aboriginal infant immunisation rates – the development and review of a pre-call strategy. </w:t>
      </w:r>
      <w:r w:rsidRPr="00E73C24">
        <w:rPr>
          <w:rStyle w:val="Emphasis"/>
          <w:rFonts w:eastAsia="Times New Roman"/>
          <w:b w:val="0"/>
        </w:rPr>
        <w:t>BMC Public Health.</w:t>
      </w:r>
      <w:r>
        <w:rPr>
          <w:rFonts w:eastAsia="Times New Roman"/>
        </w:rPr>
        <w:t xml:space="preserve"> 2016;16:514. </w:t>
      </w:r>
    </w:p>
    <w:p w14:paraId="5C7E37F9"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Hendry AJ, Beard FH, Dey A, Meijer D, Campbell-Lloyd S, Clark KK et al. Closing the vaccination coverage gap in New South Wales: the Aboriginal Immunisation Healthcare Worker Program. </w:t>
      </w:r>
      <w:r w:rsidRPr="00E73C24">
        <w:rPr>
          <w:rStyle w:val="Emphasis"/>
          <w:rFonts w:eastAsia="Times New Roman"/>
          <w:b w:val="0"/>
        </w:rPr>
        <w:t>Med J Aust.</w:t>
      </w:r>
      <w:r>
        <w:rPr>
          <w:rFonts w:eastAsia="Times New Roman"/>
        </w:rPr>
        <w:t xml:space="preserve"> 2018;209(1):24–8. </w:t>
      </w:r>
    </w:p>
    <w:p w14:paraId="713629F0" w14:textId="77777777" w:rsidR="000321CB" w:rsidRDefault="000321CB" w:rsidP="000321CB">
      <w:pPr>
        <w:numPr>
          <w:ilvl w:val="0"/>
          <w:numId w:val="9"/>
        </w:numPr>
        <w:spacing w:before="100" w:beforeAutospacing="1" w:after="100" w:afterAutospacing="1" w:line="240" w:lineRule="auto"/>
        <w:rPr>
          <w:rFonts w:eastAsia="Times New Roman"/>
        </w:rPr>
      </w:pPr>
      <w:r>
        <w:rPr>
          <w:rFonts w:eastAsia="Times New Roman"/>
        </w:rPr>
        <w:t xml:space="preserve">Harvey H, </w:t>
      </w:r>
      <w:proofErr w:type="spellStart"/>
      <w:r>
        <w:rPr>
          <w:rFonts w:eastAsia="Times New Roman"/>
        </w:rPr>
        <w:t>Reissland</w:t>
      </w:r>
      <w:proofErr w:type="spellEnd"/>
      <w:r>
        <w:rPr>
          <w:rFonts w:eastAsia="Times New Roman"/>
        </w:rPr>
        <w:t xml:space="preserve"> N, Mason J. Parental reminder, recall and educational interventions to improve early childhood immunisation uptake: A systematic review and meta-analysis. </w:t>
      </w:r>
      <w:r w:rsidRPr="00E73C24">
        <w:rPr>
          <w:rStyle w:val="Emphasis"/>
          <w:rFonts w:eastAsia="Times New Roman"/>
          <w:b w:val="0"/>
        </w:rPr>
        <w:t>Vaccine.</w:t>
      </w:r>
      <w:r>
        <w:rPr>
          <w:rFonts w:eastAsia="Times New Roman"/>
        </w:rPr>
        <w:t xml:space="preserve"> 2015;33(25):2862–80.</w:t>
      </w:r>
    </w:p>
    <w:p w14:paraId="45F3DE43" w14:textId="77777777" w:rsidR="008B5348" w:rsidRDefault="008B5348">
      <w:pPr>
        <w:rPr>
          <w:rStyle w:val="A10"/>
        </w:rPr>
      </w:pPr>
    </w:p>
    <w:p w14:paraId="37A296C5"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737EC2A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0FE7E9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E4C80A4" w14:textId="77777777" w:rsidR="000A5F42" w:rsidRPr="000606CC" w:rsidRDefault="000A5F42" w:rsidP="000A5F42">
      <w:pPr>
        <w:pStyle w:val="NoSpacing"/>
        <w:rPr>
          <w:rStyle w:val="URI"/>
          <w:rFonts w:cstheme="minorHAnsi"/>
          <w:sz w:val="20"/>
          <w:szCs w:val="18"/>
        </w:rPr>
      </w:pPr>
    </w:p>
    <w:p w14:paraId="77EFD61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6F5FBC3" w14:textId="77777777" w:rsidR="000A5F42" w:rsidRPr="000606CC" w:rsidRDefault="000A5F42" w:rsidP="000A5F42">
      <w:pPr>
        <w:pStyle w:val="NoSpacing"/>
        <w:rPr>
          <w:rStyle w:val="Strong"/>
          <w:rFonts w:cstheme="minorHAnsi"/>
          <w:sz w:val="20"/>
          <w:szCs w:val="18"/>
        </w:rPr>
      </w:pPr>
    </w:p>
    <w:p w14:paraId="65C850F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0D6E78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F7BF62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1A05D5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02A8F06" w14:textId="77777777" w:rsidR="000A5F42" w:rsidRPr="000606CC" w:rsidRDefault="000A5F42" w:rsidP="000A5F42">
      <w:pPr>
        <w:pStyle w:val="NoSpacing"/>
        <w:rPr>
          <w:rStyle w:val="Strong"/>
          <w:rFonts w:cstheme="minorHAnsi"/>
          <w:sz w:val="20"/>
          <w:szCs w:val="18"/>
        </w:rPr>
      </w:pPr>
    </w:p>
    <w:p w14:paraId="2BBDDC02" w14:textId="11F3AD5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DADF1E6" w14:textId="77777777" w:rsidR="000A5F42" w:rsidRPr="000606CC" w:rsidRDefault="000A5F42" w:rsidP="000A5F42">
      <w:pPr>
        <w:pStyle w:val="NoSpacing"/>
        <w:rPr>
          <w:rStyle w:val="Strong"/>
          <w:rFonts w:cstheme="minorHAnsi"/>
          <w:sz w:val="20"/>
          <w:szCs w:val="18"/>
        </w:rPr>
      </w:pPr>
    </w:p>
    <w:p w14:paraId="0525CE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678D565" w14:textId="77777777" w:rsidR="000A5F42" w:rsidRPr="000606CC" w:rsidRDefault="000A5F42" w:rsidP="000A5F42">
      <w:pPr>
        <w:pStyle w:val="NoSpacing"/>
        <w:rPr>
          <w:rStyle w:val="Strong"/>
          <w:rFonts w:cstheme="minorHAnsi"/>
          <w:sz w:val="20"/>
          <w:szCs w:val="18"/>
        </w:rPr>
      </w:pPr>
    </w:p>
    <w:p w14:paraId="349F4807" w14:textId="7C63E01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D9B0131" w14:textId="77777777" w:rsidR="000A5F42" w:rsidRPr="000606CC" w:rsidRDefault="000A5F42" w:rsidP="000A5F42">
      <w:pPr>
        <w:pStyle w:val="NoSpacing"/>
        <w:rPr>
          <w:rStyle w:val="Strong"/>
          <w:rFonts w:cstheme="minorHAnsi"/>
          <w:sz w:val="20"/>
          <w:szCs w:val="18"/>
        </w:rPr>
      </w:pPr>
    </w:p>
    <w:p w14:paraId="1E89AE0A" w14:textId="52A14D7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2E66511" w14:textId="3AA3579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7BBFEFD3" w14:textId="77777777" w:rsidR="000A5F42" w:rsidRPr="000606CC" w:rsidRDefault="000A5F42" w:rsidP="000A5F42">
      <w:pPr>
        <w:pStyle w:val="NoSpacing"/>
        <w:pBdr>
          <w:bottom w:val="single" w:sz="6" w:space="1" w:color="auto"/>
        </w:pBdr>
        <w:rPr>
          <w:rStyle w:val="Strong"/>
          <w:rFonts w:cstheme="minorHAnsi"/>
          <w:sz w:val="12"/>
          <w:szCs w:val="18"/>
        </w:rPr>
      </w:pPr>
    </w:p>
    <w:p w14:paraId="0D6069C4" w14:textId="77777777" w:rsidR="000A5F42" w:rsidRPr="000606CC" w:rsidRDefault="000A5F42" w:rsidP="000A5F42">
      <w:pPr>
        <w:pStyle w:val="NoSpacing"/>
        <w:rPr>
          <w:rFonts w:cstheme="minorHAnsi"/>
          <w:sz w:val="20"/>
          <w:szCs w:val="18"/>
        </w:rPr>
      </w:pPr>
    </w:p>
    <w:p w14:paraId="46C63E4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E4FD481" w14:textId="77777777" w:rsidR="000A5F42" w:rsidRPr="000606CC" w:rsidRDefault="000A5F42" w:rsidP="000A5F42">
      <w:pPr>
        <w:pStyle w:val="NoSpacing"/>
        <w:rPr>
          <w:rFonts w:cstheme="minorHAnsi"/>
          <w:sz w:val="20"/>
          <w:szCs w:val="18"/>
        </w:rPr>
      </w:pPr>
    </w:p>
    <w:p w14:paraId="179820D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231D3D8"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0C98CE3A" w14:textId="08BF60A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D2C48DB" w14:textId="77777777" w:rsidR="000A5F42" w:rsidRPr="000606CC" w:rsidRDefault="000A5F42" w:rsidP="000A5F42">
      <w:pPr>
        <w:pStyle w:val="NoSpacing"/>
        <w:rPr>
          <w:rFonts w:cstheme="minorHAnsi"/>
          <w:sz w:val="20"/>
          <w:szCs w:val="18"/>
        </w:rPr>
      </w:pPr>
    </w:p>
    <w:p w14:paraId="06F3E5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5C4E1E9" w14:textId="022835A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D1B970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67F1E7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5C0E3E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3F39D2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3E10723" w14:textId="77777777" w:rsidR="000A5F42" w:rsidRPr="000606CC" w:rsidRDefault="000A5F42" w:rsidP="000A5F42">
      <w:pPr>
        <w:pStyle w:val="NoSpacing"/>
        <w:rPr>
          <w:rStyle w:val="Strong"/>
          <w:rFonts w:cstheme="minorHAnsi"/>
          <w:sz w:val="20"/>
          <w:szCs w:val="18"/>
        </w:rPr>
      </w:pPr>
    </w:p>
    <w:p w14:paraId="5ADB8A0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34A1C5C" w14:textId="77777777" w:rsidR="000A5F42" w:rsidRPr="000606CC" w:rsidRDefault="000A5F42" w:rsidP="000A5F42">
      <w:pPr>
        <w:pStyle w:val="NoSpacing"/>
        <w:rPr>
          <w:rStyle w:val="Strong"/>
          <w:rFonts w:cstheme="minorHAnsi"/>
          <w:sz w:val="20"/>
          <w:szCs w:val="18"/>
        </w:rPr>
      </w:pPr>
    </w:p>
    <w:p w14:paraId="3D2EC0A6" w14:textId="7E1855B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5A1883B" w14:textId="77777777" w:rsidR="000A5F42" w:rsidRPr="000606CC" w:rsidRDefault="000A5F42" w:rsidP="000A5F42">
      <w:pPr>
        <w:pStyle w:val="NoSpacing"/>
        <w:rPr>
          <w:rStyle w:val="URI"/>
          <w:rFonts w:cstheme="minorHAnsi"/>
          <w:sz w:val="20"/>
          <w:szCs w:val="18"/>
        </w:rPr>
      </w:pPr>
    </w:p>
    <w:p w14:paraId="60F416CC" w14:textId="1A169F9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0F1B885F"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F512" w14:textId="77777777" w:rsidR="00D251EB" w:rsidRDefault="00D251EB" w:rsidP="00E54DBA">
      <w:r>
        <w:separator/>
      </w:r>
    </w:p>
    <w:p w14:paraId="03B0660B" w14:textId="77777777" w:rsidR="00D251EB" w:rsidRDefault="00D251EB"/>
    <w:p w14:paraId="214777CF" w14:textId="77777777" w:rsidR="00D251EB" w:rsidRDefault="00D251EB" w:rsidP="008714B0"/>
  </w:endnote>
  <w:endnote w:type="continuationSeparator" w:id="0">
    <w:p w14:paraId="283F5A30" w14:textId="77777777" w:rsidR="00D251EB" w:rsidRDefault="00D251EB" w:rsidP="00E54DBA">
      <w:r>
        <w:continuationSeparator/>
      </w:r>
    </w:p>
    <w:p w14:paraId="2173A2D4" w14:textId="77777777" w:rsidR="00D251EB" w:rsidRDefault="00D251EB"/>
    <w:p w14:paraId="6C3A6C1D" w14:textId="77777777" w:rsidR="00D251EB" w:rsidRDefault="00D251E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11C3"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254B7">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254B7">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73C2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701D0">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701D0">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254B7">
      <w:rPr>
        <w:sz w:val="18"/>
      </w:rPr>
      <w:t>https://doi.org/10.33321/cdi.2018.42.46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254B7">
      <w:rPr>
        <w:sz w:val="18"/>
      </w:rPr>
      <w:t>15/10/2019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2B6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254B7">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254B7">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73C2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701D0">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701D0">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254B7">
      <w:rPr>
        <w:sz w:val="18"/>
      </w:rPr>
      <w:t>https://doi.org/10.33321/cdi.2018.42.46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254B7">
      <w:rPr>
        <w:sz w:val="18"/>
      </w:rPr>
      <w:t>15/10/2019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9B10" w14:textId="77777777" w:rsidR="00D251EB" w:rsidRDefault="00D251EB" w:rsidP="00E54DBA">
      <w:r>
        <w:separator/>
      </w:r>
    </w:p>
  </w:footnote>
  <w:footnote w:type="continuationSeparator" w:id="0">
    <w:p w14:paraId="6A849261" w14:textId="77777777" w:rsidR="00D251EB" w:rsidRDefault="00D251EB" w:rsidP="00E54DBA">
      <w:r>
        <w:continuationSeparator/>
      </w:r>
    </w:p>
  </w:footnote>
  <w:footnote w:type="continuationNotice" w:id="1">
    <w:p w14:paraId="7974F1CF" w14:textId="77777777" w:rsidR="00D251EB" w:rsidRDefault="00D251EB">
      <w:pPr>
        <w:spacing w:after="0" w:line="240" w:lineRule="auto"/>
      </w:pPr>
    </w:p>
  </w:footnote>
  <w:footnote w:id="2">
    <w:p w14:paraId="2B312BF6" w14:textId="77777777" w:rsidR="004D7EFE" w:rsidRDefault="004D7EFE" w:rsidP="004D7EFE">
      <w:pPr>
        <w:pStyle w:val="CDIfootnotes"/>
      </w:pPr>
      <w:r>
        <w:rPr>
          <w:rStyle w:val="FootnoteReference"/>
        </w:rPr>
        <w:footnoteRef/>
      </w:r>
      <w:r>
        <w:t xml:space="preserve"> From 30 September 2016, the ACIR expanded to become the Australian Immunisation Register (AIR), recording immunisations given to people of all ages.</w:t>
      </w:r>
    </w:p>
  </w:footnote>
  <w:footnote w:id="3">
    <w:p w14:paraId="18703BAF" w14:textId="77777777" w:rsidR="005030E0" w:rsidRDefault="005030E0" w:rsidP="005030E0">
      <w:pPr>
        <w:pStyle w:val="CDIfootnotes"/>
      </w:pPr>
      <w:r>
        <w:rPr>
          <w:rStyle w:val="FootnoteReference"/>
        </w:rPr>
        <w:footnoteRef/>
      </w:r>
      <w:r>
        <w:t xml:space="preserve"> </w:t>
      </w:r>
      <w:r w:rsidRPr="005030E0">
        <w:t>The third dose assumption states that if a child has received their scheduled six-month vaccines it is assumed that the earlier vaccinations in the sequence have been given. This assumption has been shown to be valid.</w:t>
      </w:r>
      <w:r w:rsidRPr="007606E7">
        <w:rPr>
          <w:vertAlign w:val="superscript"/>
        </w:rPr>
        <w:t>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CE69" w14:textId="77777777" w:rsidR="00257484" w:rsidRPr="00A153B6" w:rsidRDefault="006F6C47" w:rsidP="00A153B6">
    <w:pPr>
      <w:pStyle w:val="Header"/>
      <w:pBdr>
        <w:bottom w:val="single" w:sz="6" w:space="1" w:color="auto"/>
      </w:pBdr>
    </w:pPr>
    <w:sdt>
      <w:sdtPr>
        <w:alias w:val="Category"/>
        <w:tag w:val=""/>
        <w:id w:val="-135414716"/>
        <w:dataBinding w:prefixMappings="xmlns:ns0='http://purl.org/dc/elements/1.1/' xmlns:ns1='http://schemas.openxmlformats.org/package/2006/metadata/core-properties' " w:xpath="/ns1:coreProperties[1]/ns1:category[1]" w:storeItemID="{6C3C8BC8-F283-45AE-878A-BAB7291924A1}"/>
        <w:text/>
      </w:sdtPr>
      <w:sdtEndPr/>
      <w:sdtContent>
        <w:r w:rsidR="00EB3376">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48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0C2C5F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D57B28"/>
    <w:multiLevelType w:val="hybridMultilevel"/>
    <w:tmpl w:val="DDD8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24951"/>
    <w:multiLevelType w:val="multilevel"/>
    <w:tmpl w:val="CAD8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3625AB"/>
    <w:multiLevelType w:val="multilevel"/>
    <w:tmpl w:val="B52A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26D6B"/>
    <w:multiLevelType w:val="multilevel"/>
    <w:tmpl w:val="0592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D7636F"/>
    <w:multiLevelType w:val="hybridMultilevel"/>
    <w:tmpl w:val="B80400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495949">
    <w:abstractNumId w:val="1"/>
  </w:num>
  <w:num w:numId="2" w16cid:durableId="1384283221">
    <w:abstractNumId w:val="4"/>
  </w:num>
  <w:num w:numId="3" w16cid:durableId="1608272870">
    <w:abstractNumId w:val="5"/>
  </w:num>
  <w:num w:numId="4" w16cid:durableId="1153570925">
    <w:abstractNumId w:val="0"/>
  </w:num>
  <w:num w:numId="5" w16cid:durableId="1983999781">
    <w:abstractNumId w:val="8"/>
  </w:num>
  <w:num w:numId="6" w16cid:durableId="406879945">
    <w:abstractNumId w:val="9"/>
  </w:num>
  <w:num w:numId="7" w16cid:durableId="290093092">
    <w:abstractNumId w:val="6"/>
  </w:num>
  <w:num w:numId="8" w16cid:durableId="2078431908">
    <w:abstractNumId w:val="3"/>
  </w:num>
  <w:num w:numId="9" w16cid:durableId="1302731923">
    <w:abstractNumId w:val="7"/>
  </w:num>
  <w:num w:numId="10" w16cid:durableId="845483642">
    <w:abstractNumId w:val="2"/>
  </w:num>
  <w:num w:numId="11" w16cid:durableId="1969045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D0"/>
    <w:rsid w:val="00000B5B"/>
    <w:rsid w:val="00001611"/>
    <w:rsid w:val="00007EB0"/>
    <w:rsid w:val="000104A8"/>
    <w:rsid w:val="0001246E"/>
    <w:rsid w:val="000124B1"/>
    <w:rsid w:val="00016FE6"/>
    <w:rsid w:val="00031064"/>
    <w:rsid w:val="00031692"/>
    <w:rsid w:val="000321CB"/>
    <w:rsid w:val="00032531"/>
    <w:rsid w:val="00034191"/>
    <w:rsid w:val="00044B00"/>
    <w:rsid w:val="00045704"/>
    <w:rsid w:val="000471BF"/>
    <w:rsid w:val="00047B68"/>
    <w:rsid w:val="00052600"/>
    <w:rsid w:val="0005643C"/>
    <w:rsid w:val="0006264A"/>
    <w:rsid w:val="00073D77"/>
    <w:rsid w:val="00081655"/>
    <w:rsid w:val="000864E0"/>
    <w:rsid w:val="0008752B"/>
    <w:rsid w:val="0009666D"/>
    <w:rsid w:val="000969B3"/>
    <w:rsid w:val="000A5F42"/>
    <w:rsid w:val="000B3B79"/>
    <w:rsid w:val="000D4B4D"/>
    <w:rsid w:val="000E3355"/>
    <w:rsid w:val="00113D58"/>
    <w:rsid w:val="001378A3"/>
    <w:rsid w:val="00155582"/>
    <w:rsid w:val="00161590"/>
    <w:rsid w:val="00163B31"/>
    <w:rsid w:val="00171CC0"/>
    <w:rsid w:val="00175494"/>
    <w:rsid w:val="00175629"/>
    <w:rsid w:val="001830EC"/>
    <w:rsid w:val="00183534"/>
    <w:rsid w:val="001A4A96"/>
    <w:rsid w:val="001A5D05"/>
    <w:rsid w:val="001A796C"/>
    <w:rsid w:val="001B2614"/>
    <w:rsid w:val="001B37B8"/>
    <w:rsid w:val="001B552F"/>
    <w:rsid w:val="001C0893"/>
    <w:rsid w:val="001C1303"/>
    <w:rsid w:val="001C2AAA"/>
    <w:rsid w:val="001C70B2"/>
    <w:rsid w:val="001D37C7"/>
    <w:rsid w:val="001D6888"/>
    <w:rsid w:val="002138C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4847"/>
    <w:rsid w:val="002A569F"/>
    <w:rsid w:val="002A7066"/>
    <w:rsid w:val="002B001E"/>
    <w:rsid w:val="002B09B7"/>
    <w:rsid w:val="002B75A9"/>
    <w:rsid w:val="002C21B0"/>
    <w:rsid w:val="002C5CD1"/>
    <w:rsid w:val="002E2FB3"/>
    <w:rsid w:val="002E7510"/>
    <w:rsid w:val="002F327B"/>
    <w:rsid w:val="002F6FB3"/>
    <w:rsid w:val="00301626"/>
    <w:rsid w:val="00303BDD"/>
    <w:rsid w:val="003059EC"/>
    <w:rsid w:val="0031002A"/>
    <w:rsid w:val="00316CCD"/>
    <w:rsid w:val="00324F7E"/>
    <w:rsid w:val="003323BC"/>
    <w:rsid w:val="00346D42"/>
    <w:rsid w:val="00346E11"/>
    <w:rsid w:val="003601C0"/>
    <w:rsid w:val="003620F1"/>
    <w:rsid w:val="003635F5"/>
    <w:rsid w:val="00372A88"/>
    <w:rsid w:val="00374E94"/>
    <w:rsid w:val="00381A0F"/>
    <w:rsid w:val="00384DFC"/>
    <w:rsid w:val="003A1B3A"/>
    <w:rsid w:val="003A40F5"/>
    <w:rsid w:val="003B5B8C"/>
    <w:rsid w:val="003D79B1"/>
    <w:rsid w:val="003E26DE"/>
    <w:rsid w:val="003E74EE"/>
    <w:rsid w:val="003F0552"/>
    <w:rsid w:val="003F3BC2"/>
    <w:rsid w:val="00400B38"/>
    <w:rsid w:val="00401ED1"/>
    <w:rsid w:val="0040224C"/>
    <w:rsid w:val="00413EE1"/>
    <w:rsid w:val="004164BB"/>
    <w:rsid w:val="00421ECE"/>
    <w:rsid w:val="00422FEB"/>
    <w:rsid w:val="0042435E"/>
    <w:rsid w:val="00431038"/>
    <w:rsid w:val="004315F5"/>
    <w:rsid w:val="00433456"/>
    <w:rsid w:val="00433DFA"/>
    <w:rsid w:val="00435D67"/>
    <w:rsid w:val="00441C64"/>
    <w:rsid w:val="0044717E"/>
    <w:rsid w:val="00464A58"/>
    <w:rsid w:val="004709D8"/>
    <w:rsid w:val="00473D2D"/>
    <w:rsid w:val="00492AED"/>
    <w:rsid w:val="004A2125"/>
    <w:rsid w:val="004A38F6"/>
    <w:rsid w:val="004B4EB6"/>
    <w:rsid w:val="004C083C"/>
    <w:rsid w:val="004C67C6"/>
    <w:rsid w:val="004C6EDB"/>
    <w:rsid w:val="004D21C3"/>
    <w:rsid w:val="004D29DE"/>
    <w:rsid w:val="004D7EFE"/>
    <w:rsid w:val="004F41FD"/>
    <w:rsid w:val="005030E0"/>
    <w:rsid w:val="005049F4"/>
    <w:rsid w:val="00510EAC"/>
    <w:rsid w:val="005130EE"/>
    <w:rsid w:val="00521D4D"/>
    <w:rsid w:val="00535EA7"/>
    <w:rsid w:val="00542A57"/>
    <w:rsid w:val="00547FE1"/>
    <w:rsid w:val="005732C0"/>
    <w:rsid w:val="0057336D"/>
    <w:rsid w:val="0057393E"/>
    <w:rsid w:val="0057489A"/>
    <w:rsid w:val="00574ACF"/>
    <w:rsid w:val="00581588"/>
    <w:rsid w:val="0058540B"/>
    <w:rsid w:val="00587C87"/>
    <w:rsid w:val="00590B80"/>
    <w:rsid w:val="005A2A47"/>
    <w:rsid w:val="005B3134"/>
    <w:rsid w:val="005B4E61"/>
    <w:rsid w:val="005B595A"/>
    <w:rsid w:val="005B66C2"/>
    <w:rsid w:val="005D2465"/>
    <w:rsid w:val="005E0EFB"/>
    <w:rsid w:val="005E4229"/>
    <w:rsid w:val="005E540E"/>
    <w:rsid w:val="005E55FB"/>
    <w:rsid w:val="005F16BB"/>
    <w:rsid w:val="00607115"/>
    <w:rsid w:val="00620768"/>
    <w:rsid w:val="006254B7"/>
    <w:rsid w:val="0062594B"/>
    <w:rsid w:val="00631406"/>
    <w:rsid w:val="006324FF"/>
    <w:rsid w:val="0063500F"/>
    <w:rsid w:val="006351D6"/>
    <w:rsid w:val="006366D9"/>
    <w:rsid w:val="00636E0D"/>
    <w:rsid w:val="0064142F"/>
    <w:rsid w:val="00643CB4"/>
    <w:rsid w:val="00655B0A"/>
    <w:rsid w:val="00656427"/>
    <w:rsid w:val="0065646A"/>
    <w:rsid w:val="00660255"/>
    <w:rsid w:val="006971F3"/>
    <w:rsid w:val="006C74A3"/>
    <w:rsid w:val="006D1381"/>
    <w:rsid w:val="006D31BC"/>
    <w:rsid w:val="006E7943"/>
    <w:rsid w:val="006F24EA"/>
    <w:rsid w:val="006F6C47"/>
    <w:rsid w:val="00704CA9"/>
    <w:rsid w:val="0071048D"/>
    <w:rsid w:val="00710F86"/>
    <w:rsid w:val="007111A8"/>
    <w:rsid w:val="00711DD8"/>
    <w:rsid w:val="00731BC3"/>
    <w:rsid w:val="00741192"/>
    <w:rsid w:val="00743A33"/>
    <w:rsid w:val="00746080"/>
    <w:rsid w:val="0075144A"/>
    <w:rsid w:val="007606E7"/>
    <w:rsid w:val="007701D0"/>
    <w:rsid w:val="00773352"/>
    <w:rsid w:val="00786329"/>
    <w:rsid w:val="00792C7D"/>
    <w:rsid w:val="00794A4D"/>
    <w:rsid w:val="007A5234"/>
    <w:rsid w:val="007B7854"/>
    <w:rsid w:val="007C56A1"/>
    <w:rsid w:val="007C6454"/>
    <w:rsid w:val="007D6DF8"/>
    <w:rsid w:val="007E01E0"/>
    <w:rsid w:val="007F0B93"/>
    <w:rsid w:val="007F2ECA"/>
    <w:rsid w:val="007F4705"/>
    <w:rsid w:val="0080440C"/>
    <w:rsid w:val="00811708"/>
    <w:rsid w:val="00816B90"/>
    <w:rsid w:val="00817799"/>
    <w:rsid w:val="00822F5F"/>
    <w:rsid w:val="00823EFD"/>
    <w:rsid w:val="00824FD3"/>
    <w:rsid w:val="00826589"/>
    <w:rsid w:val="00834BCC"/>
    <w:rsid w:val="00850D54"/>
    <w:rsid w:val="008714B0"/>
    <w:rsid w:val="00876331"/>
    <w:rsid w:val="00880726"/>
    <w:rsid w:val="008872F6"/>
    <w:rsid w:val="008930A3"/>
    <w:rsid w:val="008A3544"/>
    <w:rsid w:val="008B48B8"/>
    <w:rsid w:val="008B5348"/>
    <w:rsid w:val="008B58F8"/>
    <w:rsid w:val="008C0712"/>
    <w:rsid w:val="008C4520"/>
    <w:rsid w:val="008C5F09"/>
    <w:rsid w:val="008D470F"/>
    <w:rsid w:val="008D7831"/>
    <w:rsid w:val="008E1F8F"/>
    <w:rsid w:val="008E4768"/>
    <w:rsid w:val="008E761E"/>
    <w:rsid w:val="008E7DED"/>
    <w:rsid w:val="008F68F1"/>
    <w:rsid w:val="008F77B3"/>
    <w:rsid w:val="009008F5"/>
    <w:rsid w:val="00902667"/>
    <w:rsid w:val="00904CC1"/>
    <w:rsid w:val="009066AF"/>
    <w:rsid w:val="00912050"/>
    <w:rsid w:val="00912E48"/>
    <w:rsid w:val="0092746F"/>
    <w:rsid w:val="00935DC9"/>
    <w:rsid w:val="009446C0"/>
    <w:rsid w:val="0094718D"/>
    <w:rsid w:val="0096082E"/>
    <w:rsid w:val="009609EE"/>
    <w:rsid w:val="00961347"/>
    <w:rsid w:val="00967410"/>
    <w:rsid w:val="00967D73"/>
    <w:rsid w:val="009777C8"/>
    <w:rsid w:val="0098119A"/>
    <w:rsid w:val="00984AAF"/>
    <w:rsid w:val="00991B09"/>
    <w:rsid w:val="00993CB2"/>
    <w:rsid w:val="009A5166"/>
    <w:rsid w:val="009A76F8"/>
    <w:rsid w:val="009B2B83"/>
    <w:rsid w:val="009C48C2"/>
    <w:rsid w:val="009C49F8"/>
    <w:rsid w:val="009D77CC"/>
    <w:rsid w:val="009E2423"/>
    <w:rsid w:val="009E55D7"/>
    <w:rsid w:val="009F2998"/>
    <w:rsid w:val="009F4150"/>
    <w:rsid w:val="009F5665"/>
    <w:rsid w:val="009F5DAD"/>
    <w:rsid w:val="00A01BCA"/>
    <w:rsid w:val="00A10458"/>
    <w:rsid w:val="00A153B6"/>
    <w:rsid w:val="00A164D5"/>
    <w:rsid w:val="00A252B7"/>
    <w:rsid w:val="00A273C3"/>
    <w:rsid w:val="00A30C37"/>
    <w:rsid w:val="00A36C65"/>
    <w:rsid w:val="00A41BBE"/>
    <w:rsid w:val="00A45BDD"/>
    <w:rsid w:val="00A46A0A"/>
    <w:rsid w:val="00A553F8"/>
    <w:rsid w:val="00A6708F"/>
    <w:rsid w:val="00A71BF6"/>
    <w:rsid w:val="00A86F9A"/>
    <w:rsid w:val="00AA35E6"/>
    <w:rsid w:val="00AA50B6"/>
    <w:rsid w:val="00AB11D5"/>
    <w:rsid w:val="00AB3472"/>
    <w:rsid w:val="00AC46C8"/>
    <w:rsid w:val="00AD0762"/>
    <w:rsid w:val="00AD6BF7"/>
    <w:rsid w:val="00AE27D9"/>
    <w:rsid w:val="00AE4452"/>
    <w:rsid w:val="00AE7C38"/>
    <w:rsid w:val="00B01F99"/>
    <w:rsid w:val="00B02B37"/>
    <w:rsid w:val="00B04F00"/>
    <w:rsid w:val="00B05276"/>
    <w:rsid w:val="00B132DB"/>
    <w:rsid w:val="00B31427"/>
    <w:rsid w:val="00B33861"/>
    <w:rsid w:val="00B40DE2"/>
    <w:rsid w:val="00B50210"/>
    <w:rsid w:val="00B53955"/>
    <w:rsid w:val="00B6408A"/>
    <w:rsid w:val="00B714B8"/>
    <w:rsid w:val="00B82C2C"/>
    <w:rsid w:val="00B8720B"/>
    <w:rsid w:val="00B876EF"/>
    <w:rsid w:val="00BA4697"/>
    <w:rsid w:val="00BA4B34"/>
    <w:rsid w:val="00BB5378"/>
    <w:rsid w:val="00BB5DED"/>
    <w:rsid w:val="00BC0BD3"/>
    <w:rsid w:val="00BD0107"/>
    <w:rsid w:val="00BD708E"/>
    <w:rsid w:val="00BE0C33"/>
    <w:rsid w:val="00BE262C"/>
    <w:rsid w:val="00BE6C3D"/>
    <w:rsid w:val="00BF256F"/>
    <w:rsid w:val="00C07606"/>
    <w:rsid w:val="00C12542"/>
    <w:rsid w:val="00C24725"/>
    <w:rsid w:val="00C26367"/>
    <w:rsid w:val="00C30BA9"/>
    <w:rsid w:val="00C337DE"/>
    <w:rsid w:val="00C3541E"/>
    <w:rsid w:val="00C36A8F"/>
    <w:rsid w:val="00C42FFA"/>
    <w:rsid w:val="00C507D8"/>
    <w:rsid w:val="00C62EAC"/>
    <w:rsid w:val="00C63F9F"/>
    <w:rsid w:val="00C7723C"/>
    <w:rsid w:val="00C838F5"/>
    <w:rsid w:val="00C84F61"/>
    <w:rsid w:val="00CA1AF4"/>
    <w:rsid w:val="00CA6068"/>
    <w:rsid w:val="00CB15E1"/>
    <w:rsid w:val="00CB3D46"/>
    <w:rsid w:val="00CD0907"/>
    <w:rsid w:val="00CD1A87"/>
    <w:rsid w:val="00CD35F3"/>
    <w:rsid w:val="00CD5C93"/>
    <w:rsid w:val="00CE342B"/>
    <w:rsid w:val="00CF320C"/>
    <w:rsid w:val="00CF3A4B"/>
    <w:rsid w:val="00CF4001"/>
    <w:rsid w:val="00D05837"/>
    <w:rsid w:val="00D11AA0"/>
    <w:rsid w:val="00D12AD4"/>
    <w:rsid w:val="00D12D8A"/>
    <w:rsid w:val="00D13E0C"/>
    <w:rsid w:val="00D251EB"/>
    <w:rsid w:val="00D25896"/>
    <w:rsid w:val="00D27066"/>
    <w:rsid w:val="00D373A1"/>
    <w:rsid w:val="00D37C0F"/>
    <w:rsid w:val="00D45661"/>
    <w:rsid w:val="00D45943"/>
    <w:rsid w:val="00D47D22"/>
    <w:rsid w:val="00D51865"/>
    <w:rsid w:val="00D51D0C"/>
    <w:rsid w:val="00D532F8"/>
    <w:rsid w:val="00D74140"/>
    <w:rsid w:val="00D76338"/>
    <w:rsid w:val="00DA6E56"/>
    <w:rsid w:val="00DC6705"/>
    <w:rsid w:val="00DD088F"/>
    <w:rsid w:val="00DD2DE8"/>
    <w:rsid w:val="00DE38B4"/>
    <w:rsid w:val="00DE5D02"/>
    <w:rsid w:val="00DF1D8A"/>
    <w:rsid w:val="00E005A9"/>
    <w:rsid w:val="00E1166E"/>
    <w:rsid w:val="00E145AC"/>
    <w:rsid w:val="00E24DC0"/>
    <w:rsid w:val="00E2519C"/>
    <w:rsid w:val="00E25F2A"/>
    <w:rsid w:val="00E41455"/>
    <w:rsid w:val="00E42AD2"/>
    <w:rsid w:val="00E50856"/>
    <w:rsid w:val="00E538CC"/>
    <w:rsid w:val="00E54DBA"/>
    <w:rsid w:val="00E63D7C"/>
    <w:rsid w:val="00E640D5"/>
    <w:rsid w:val="00E67691"/>
    <w:rsid w:val="00E73C24"/>
    <w:rsid w:val="00E92237"/>
    <w:rsid w:val="00E92EF6"/>
    <w:rsid w:val="00E951EF"/>
    <w:rsid w:val="00EA3D54"/>
    <w:rsid w:val="00EA56D9"/>
    <w:rsid w:val="00EA5CE3"/>
    <w:rsid w:val="00EB3376"/>
    <w:rsid w:val="00EB51C1"/>
    <w:rsid w:val="00EB5AE1"/>
    <w:rsid w:val="00EB5E0B"/>
    <w:rsid w:val="00EC2171"/>
    <w:rsid w:val="00ED442D"/>
    <w:rsid w:val="00ED70C2"/>
    <w:rsid w:val="00EE18FF"/>
    <w:rsid w:val="00EE489F"/>
    <w:rsid w:val="00EE4D65"/>
    <w:rsid w:val="00F0647F"/>
    <w:rsid w:val="00F10CE3"/>
    <w:rsid w:val="00F14F3B"/>
    <w:rsid w:val="00F16362"/>
    <w:rsid w:val="00F207C7"/>
    <w:rsid w:val="00F24238"/>
    <w:rsid w:val="00F36B6D"/>
    <w:rsid w:val="00F37912"/>
    <w:rsid w:val="00F43FA3"/>
    <w:rsid w:val="00F4665A"/>
    <w:rsid w:val="00F55648"/>
    <w:rsid w:val="00F70046"/>
    <w:rsid w:val="00F748C2"/>
    <w:rsid w:val="00F76C5C"/>
    <w:rsid w:val="00F81EF3"/>
    <w:rsid w:val="00F84496"/>
    <w:rsid w:val="00F85DCB"/>
    <w:rsid w:val="00F86F9C"/>
    <w:rsid w:val="00FC002E"/>
    <w:rsid w:val="00FC4C23"/>
    <w:rsid w:val="00FC642E"/>
    <w:rsid w:val="00FD32FF"/>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E06ADC"/>
  <w15:docId w15:val="{A96A96FC-62DF-49F9-83DC-3BD5F0C1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4D7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EFE"/>
    <w:rPr>
      <w:sz w:val="20"/>
      <w:szCs w:val="20"/>
    </w:rPr>
  </w:style>
  <w:style w:type="character" w:styleId="FootnoteReference">
    <w:name w:val="footnote reference"/>
    <w:basedOn w:val="DefaultParagraphFont"/>
    <w:uiPriority w:val="99"/>
    <w:semiHidden/>
    <w:unhideWhenUsed/>
    <w:rsid w:val="004D7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194BD0-CDDD-4470-90B7-DF7A500F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3770</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Communicable Diseases Intelligence 2019 - Improving the accuracy of ACIR data and increasing vaccination rates</vt:lpstr>
    </vt:vector>
  </TitlesOfParts>
  <Company>Australian Government, Department of Health</Company>
  <LinksUpToDate>false</LinksUpToDate>
  <CharactersWithSpaces>24673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Improving the accuracy of ACIR data and increasing vaccination rates</dc:title>
  <dc:subject>We sought to determine if clarifying the actual immunisation status of 9 month children said to be overdue would improve both timeliness of vaccination and vaccination rates.</dc:subject>
  <dc:creator>Thaïs A Miles;Linda V Granger;Colleen L Gately</dc:creator>
  <cp:keywords>ACIR data accuracy; immunisation rates; timeliness</cp:keywords>
  <dc:description>© Commonwealth of Australia CC BY-NC-ND ISSN: 2209-6051 (Online)</dc:description>
  <cp:lastPrinted>2018-05-10T02:19:00Z</cp:lastPrinted>
  <dcterms:created xsi:type="dcterms:W3CDTF">2024-08-27T22:56:00Z</dcterms:created>
  <dcterms:modified xsi:type="dcterms:W3CDTF">2024-08-27T22:56:00Z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15/10/2019</vt:lpwstr>
  </property>
  <property fmtid="{D5CDD505-2E9C-101B-9397-08002B2CF9AE}" pid="5" name="DOI">
    <vt:lpwstr>https://doi.org/10.33321/cdi.2018.42.46</vt:lpwstr>
  </property>
</Properties>
</file>