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EC51" w14:textId="77777777" w:rsidR="006E243E" w:rsidRPr="002A1969" w:rsidRDefault="006E243E" w:rsidP="002A1969">
      <w:pPr>
        <w:pStyle w:val="Title"/>
      </w:pPr>
      <w:r w:rsidRPr="002A1969">
        <w:t>Infectious</w:t>
      </w:r>
      <w:r w:rsidR="00C40692">
        <w:t xml:space="preserve"> Disease Notification Practices</w:t>
      </w:r>
      <w:r w:rsidR="00C40692">
        <w:br/>
      </w:r>
      <w:r w:rsidRPr="002A1969">
        <w:t>in Victoria, 2016–17</w:t>
      </w:r>
    </w:p>
    <w:p w14:paraId="14BFAC15" w14:textId="77777777" w:rsidR="006E243E" w:rsidRDefault="006E243E" w:rsidP="006E243E">
      <w:r>
        <w:t>Cassidy K Nelson, Lucinda J Franklin and Katherine B Gibney</w:t>
      </w:r>
    </w:p>
    <w:p w14:paraId="18394E24" w14:textId="77777777" w:rsidR="006E243E" w:rsidRPr="006E243E" w:rsidRDefault="006E243E" w:rsidP="006E243E">
      <w:pPr>
        <w:pStyle w:val="Heading1"/>
      </w:pPr>
      <w:r w:rsidRPr="006E243E">
        <w:t>Abstract</w:t>
      </w:r>
    </w:p>
    <w:p w14:paraId="69776A81" w14:textId="77777777" w:rsidR="006E243E" w:rsidRPr="006E243E" w:rsidRDefault="006E243E" w:rsidP="006E243E">
      <w:pPr>
        <w:pStyle w:val="Heading2"/>
      </w:pPr>
      <w:r w:rsidRPr="006E243E">
        <w:t>Introduction</w:t>
      </w:r>
    </w:p>
    <w:p w14:paraId="253DD63E" w14:textId="77777777" w:rsidR="006E243E" w:rsidRDefault="006E243E" w:rsidP="006E243E">
      <w:r>
        <w:t>Infectious disease surveillance in Victoria, Australia is based upon a legislated requirement for doctors and laboratories to notify suspected or diagnosed cases of specific conditions to the Department of Health and Human Services (DHHS). The department undertakes regular audits of notification practices in Victoria typically every two years. The objective of this particular audit was to describe notification practices in 2016 and 2017, assess the effect of enhanced surveillance programs (ESPs) on Indigenous status data completeness and provide a baseline assessment that can be used to monitor the impact of a recent legislative change to notification requirements for several of the notifiable diseases which came into effect on 1 September 2018.</w:t>
      </w:r>
    </w:p>
    <w:p w14:paraId="5050DA45" w14:textId="77777777" w:rsidR="006E243E" w:rsidRPr="006E243E" w:rsidRDefault="006E243E" w:rsidP="006E243E">
      <w:pPr>
        <w:pStyle w:val="Heading2"/>
      </w:pPr>
      <w:r w:rsidRPr="006E243E">
        <w:t>Methods</w:t>
      </w:r>
    </w:p>
    <w:p w14:paraId="48D2696D" w14:textId="77777777" w:rsidR="006E243E" w:rsidRDefault="006E243E" w:rsidP="006E243E">
      <w:r>
        <w:t>Notified cases reported to DHHS between 1 January 2016 and 31 December 2017 which met the confirmed and probable national case definitions were analysed by year, notifier type (doctor-only, laboratory-only, or both) and condition category (urgent versus routine). For three notifiable conditions (gonococcal infection and hepatitis B and hepatitis C of unspecified duration) Indigenous status completeness was compared pre- and post ESP commencement.</w:t>
      </w:r>
    </w:p>
    <w:p w14:paraId="4B2344B4" w14:textId="77777777" w:rsidR="006E243E" w:rsidRPr="006E243E" w:rsidRDefault="006E243E" w:rsidP="006E243E">
      <w:pPr>
        <w:pStyle w:val="Heading2"/>
      </w:pPr>
      <w:r w:rsidRPr="006E243E">
        <w:t>Results</w:t>
      </w:r>
    </w:p>
    <w:p w14:paraId="230F7985" w14:textId="77777777" w:rsidR="006E243E" w:rsidRDefault="006E243E" w:rsidP="006E243E">
      <w:r>
        <w:t xml:space="preserve">The number of notified cases in Victoria increased 50% from 76,904 in 2016 to 115,318 in 2017 with a 277% increase in notified influenza alone. Almost half of cases were notified by both laboratory and doctor. Indigenous status was more likely to be complete following the introduction of ESPs (relative risk, RR 1.36 (95%CI: 1.33 – 1.40) </w:t>
      </w:r>
      <w:r w:rsidRPr="00684CC6">
        <w:rPr>
          <w:rStyle w:val="Emphasis"/>
          <w:b w:val="0"/>
        </w:rPr>
        <w:t>p&lt;0</w:t>
      </w:r>
      <w:r>
        <w:t xml:space="preserve"> .001).</w:t>
      </w:r>
    </w:p>
    <w:p w14:paraId="23B5ABC6" w14:textId="77777777" w:rsidR="006E243E" w:rsidRPr="006E243E" w:rsidRDefault="006E243E" w:rsidP="006E243E">
      <w:pPr>
        <w:pStyle w:val="Heading2"/>
      </w:pPr>
      <w:r w:rsidRPr="006E243E">
        <w:t>Discussion</w:t>
      </w:r>
    </w:p>
    <w:p w14:paraId="0B8B9736" w14:textId="77777777" w:rsidR="006E243E" w:rsidRDefault="006E243E" w:rsidP="006E243E">
      <w:r>
        <w:t>DHHS Victoria experienced a 1.5-fold increase in notified cases in 2017 compared with 2016, which was almost entirely attributable to influenza. For three notifiable conditions which had ESPs introduced during this period, Indigenous status reporting significantly improved. Indigenous identifiers on pathology request forms and data linkage are both interventions which are being considered to improve Indigenous status reporting in Victoria.</w:t>
      </w:r>
    </w:p>
    <w:p w14:paraId="0534A2A6" w14:textId="77777777" w:rsidR="006E243E" w:rsidRDefault="006E243E" w:rsidP="006E243E">
      <w:r>
        <w:t>Keywords: public health surveillance; disease notification; communicable disease control; notifiable conditions; Indigenous population; notification practices; enhanced surveillance program; Victoria</w:t>
      </w:r>
    </w:p>
    <w:p w14:paraId="4F507E57" w14:textId="77777777" w:rsidR="006E243E" w:rsidRPr="006E243E" w:rsidRDefault="006E243E" w:rsidP="006E243E">
      <w:pPr>
        <w:pStyle w:val="Heading1"/>
      </w:pPr>
      <w:r w:rsidRPr="006E243E">
        <w:t>Introduction</w:t>
      </w:r>
    </w:p>
    <w:p w14:paraId="5E0BA6BF" w14:textId="77777777" w:rsidR="006E243E" w:rsidRDefault="006E243E" w:rsidP="006E243E">
      <w:r>
        <w:t xml:space="preserve">Public health surveillance is the ongoing systematic gathering and collation of data for analysis so that information can be </w:t>
      </w:r>
      <w:proofErr w:type="gramStart"/>
      <w:r>
        <w:t>communicated</w:t>
      </w:r>
      <w:proofErr w:type="gramEnd"/>
      <w:r>
        <w:t xml:space="preserve"> and public health action undertaken.</w:t>
      </w:r>
      <w:r>
        <w:rPr>
          <w:vertAlign w:val="superscript"/>
        </w:rPr>
        <w:t>1</w:t>
      </w:r>
      <w:r>
        <w:t xml:space="preserve"> In Victoria, under the </w:t>
      </w:r>
      <w:r w:rsidRPr="00684CC6">
        <w:rPr>
          <w:rStyle w:val="Emphasis"/>
          <w:b w:val="0"/>
        </w:rPr>
        <w:t>Public Health and Wellbeing Act 2008</w:t>
      </w:r>
      <w:r>
        <w:t xml:space="preserve"> (the Act) </w:t>
      </w:r>
      <w:r w:rsidRPr="00684CC6">
        <w:rPr>
          <w:rStyle w:val="Emphasis"/>
          <w:b w:val="0"/>
        </w:rPr>
        <w:t>,</w:t>
      </w:r>
      <w:r>
        <w:t xml:space="preserve"> both doctors and pathology laboratories are required to notify DHHS on suspicion or diagnosis of more than seventy conditions specified in Schedule 4 of the Public Health and Wellbeing Regulations 2009 (the Regulations). More than sixty of these conditions are nationally notifiable with standardised case definitions specifying the laboratory, clinical and/or epidemiological evidence required for confirmed and probable case classification. </w:t>
      </w:r>
      <w:r>
        <w:rPr>
          <w:vertAlign w:val="superscript"/>
        </w:rPr>
        <w:t>2</w:t>
      </w:r>
      <w:r>
        <w:t xml:space="preserve"> As the main source of data input in Victorian disease surveillance, doctor and laboratory notifiers </w:t>
      </w:r>
      <w:r>
        <w:lastRenderedPageBreak/>
        <w:t>serve a fundamental role in outbreak detection, public health interventions and the development of new health</w:t>
      </w:r>
      <w:r w:rsidR="000062B7">
        <w:t> </w:t>
      </w:r>
      <w:r>
        <w:t xml:space="preserve">programs. </w:t>
      </w:r>
    </w:p>
    <w:p w14:paraId="0008D0BF" w14:textId="77777777" w:rsidR="006E243E" w:rsidRDefault="006E243E" w:rsidP="006E243E">
      <w:r>
        <w:t>The Act and Regulations categorise the notifiable conditions in Victoria into four groups (A, B, C and D) based on the notification timeframe, information and public health action required. For all conditions, both doctors and laboratories must provide case name, date of birth and address details, with doctors also required to supply Indigenous status and some group-specific clinical information. The Group A conditions require immediate same-day telephone notification on diagnosis or suspicion by both notifier types. This legislated timeframe facilitates prompt public health action, such as vaccine administration to measles case contacts. Group B</w:t>
      </w:r>
      <w:r w:rsidR="00846DEF">
        <w:t>–</w:t>
      </w:r>
      <w:r>
        <w:t>D conditions require written notification (via facsimile, post or online) within five days of diagnosis.</w:t>
      </w:r>
    </w:p>
    <w:p w14:paraId="6D3CDD51" w14:textId="77777777" w:rsidR="006E243E" w:rsidRDefault="006E243E" w:rsidP="006E243E">
      <w:r>
        <w:t>Upon receipt at DHHS, notifications are manually entered into the Public Health Event Surveillance System (PHESS) with the exception of chlamydial infection notifications which, since 2013, have been bulk entered using a semi-automated electronic laboratory reporting (ELR) system.</w:t>
      </w:r>
      <w:r>
        <w:rPr>
          <w:vertAlign w:val="superscript"/>
        </w:rPr>
        <w:t>3</w:t>
      </w:r>
      <w:r>
        <w:t xml:space="preserve"> Active case follow-up by DHHS staff is undertaken for all Group A conditions and Group B-D conditions that meet pre-defined criteria. A de-identified core dataset of nationally notifiable diseases is forwarded to the National Notifiable Diseases Surveillance System (NNDSS) on a daily basis by DHHS, with the exception of HIV for which data are forwarded to the Kirby Institute quarterly.</w:t>
      </w:r>
      <w:r>
        <w:rPr>
          <w:vertAlign w:val="superscript"/>
        </w:rPr>
        <w:t>4</w:t>
      </w:r>
      <w:r>
        <w:t xml:space="preserve"> </w:t>
      </w:r>
    </w:p>
    <w:p w14:paraId="53035387" w14:textId="77777777" w:rsidR="006E243E" w:rsidRDefault="006E243E" w:rsidP="006E243E">
      <w:r>
        <w:t>Six previous audits of the Victorian surveillance system have been completed from 2004 to 2013.</w:t>
      </w:r>
      <w:r>
        <w:rPr>
          <w:vertAlign w:val="superscript"/>
        </w:rPr>
        <w:t>5–10</w:t>
      </w:r>
      <w:r>
        <w:t xml:space="preserve"> While state legislation requires both doctors and laboratories to notify cases, previous audits found only 42.5–52% of cases were ‘dual notified’ by both doctor and laboratory with 47–49% notified by only a laboratory. Indigenous status was complete in only 44.9–48% of cases in previous audits partially because, unlike doctors, laboratories are not legislatively required to report case Indigenous status nor include Indigenous identifiers on pathology forms.</w:t>
      </w:r>
      <w:r>
        <w:rPr>
          <w:vertAlign w:val="superscript"/>
        </w:rPr>
        <w:t>11</w:t>
      </w:r>
      <w:r>
        <w:t xml:space="preserve"> </w:t>
      </w:r>
    </w:p>
    <w:p w14:paraId="41A84745" w14:textId="77777777" w:rsidR="006E243E" w:rsidRDefault="006E243E" w:rsidP="006E243E">
      <w:r>
        <w:t>To address low Indigenous status reporting, in 2009 the Communicable Diseases Network Australia (CDNA) set a data completeness target for Indigenous status in all Australian states and territories of ≥95% for eighteen priority conditions and ≥80% for all other notifiable conditions.</w:t>
      </w:r>
      <w:r>
        <w:rPr>
          <w:vertAlign w:val="superscript"/>
        </w:rPr>
        <w:t>4</w:t>
      </w:r>
      <w:r>
        <w:t xml:space="preserve"> DHHS Victoria has since commenced a number of enhanced surveillance programs (ESPs) for certain priority conditions to improve Indigenous status reporting and other data completeness. On 1 July 2016, ESPs for hepatitis B and C of unspecified duration began in collaboration with The Peter Doherty Institute for Infection and Immunity.</w:t>
      </w:r>
      <w:r>
        <w:rPr>
          <w:vertAlign w:val="superscript"/>
        </w:rPr>
        <w:t>12</w:t>
      </w:r>
      <w:r>
        <w:t xml:space="preserve"> A separate ESP for gonococcal infection commenced on 1</w:t>
      </w:r>
      <w:r w:rsidR="0006685B">
        <w:t> </w:t>
      </w:r>
      <w:r>
        <w:t>January 2017.</w:t>
      </w:r>
      <w:r>
        <w:rPr>
          <w:vertAlign w:val="superscript"/>
        </w:rPr>
        <w:t>3</w:t>
      </w:r>
      <w:r>
        <w:t xml:space="preserve"> As a part of these programs, after initial notification receipt at DHHS, standardised form questionnaires are sent to medical practitioners to request further risk factor and case demographic information, including Indigenous status. </w:t>
      </w:r>
    </w:p>
    <w:p w14:paraId="6FC30B1D" w14:textId="77777777" w:rsidR="006E243E" w:rsidRDefault="006E243E" w:rsidP="006E243E">
      <w:r>
        <w:t>With the aim of simplifying notification requirements in Victoria, on 1 September 2018 amendments to the Regulations came into effect.</w:t>
      </w:r>
      <w:r>
        <w:rPr>
          <w:vertAlign w:val="superscript"/>
        </w:rPr>
        <w:t>13</w:t>
      </w:r>
      <w:r>
        <w:t xml:space="preserve"> Categorisation of notifiable conditions were reduced to ‘urgent’ (formerly Group A conditions) and ‘routine’ (formerly Group B</w:t>
      </w:r>
      <w:r w:rsidR="00846DEF">
        <w:t>–</w:t>
      </w:r>
      <w:r>
        <w:t>D conditions). Ten notifiable conditions no longer require doctors to notify DHHS: Barmah Forest virus infection, Ross River virus infection, arboviruses (other including flaviviruses), chlamydial infection, influenza, campylobacteriosis, leptospirosis, psittacosis, blood lead</w:t>
      </w:r>
      <w:r w:rsidR="00846DEF">
        <w:t xml:space="preserve"> </w:t>
      </w:r>
      <w:r>
        <w:t>&gt;5</w:t>
      </w:r>
      <w:r w:rsidR="00846DEF">
        <w:t xml:space="preserve"> </w:t>
      </w:r>
      <w:r>
        <w:t>µg/dL and hepatitis viral (not further specified). These conditions still require laboratory notification and doctors may continue to be contacted by DHHS during case investigation. Rotavirus was added as a ‘routine’ laboratory-only notifiable condition and AIDS ceased being a notifiable condition in Victoria, with no changes to HIV infection notification requirements. Listeriosis was reclassified as an ‘urgent’ condition and Chikungunya virus infection became a ‘routine’ condition. Doctors are no longer required to follow up telephone notifications of ‘urgent’ conditions in writing.</w:t>
      </w:r>
    </w:p>
    <w:p w14:paraId="288E4AB4" w14:textId="77777777" w:rsidR="006E243E" w:rsidRDefault="006E243E" w:rsidP="006E243E">
      <w:r>
        <w:t>This audit was conducted to describe doctor and laboratory notification practices in 2016 and 2017, quantify the effect of condition-specific ESPs on Indigenous status data completeness, and provide a baseline reference for changes to notification requirements effective on 1 September 2018.</w:t>
      </w:r>
    </w:p>
    <w:p w14:paraId="75D495E8" w14:textId="77777777" w:rsidR="006E243E" w:rsidRPr="006E243E" w:rsidRDefault="006E243E" w:rsidP="006E243E">
      <w:pPr>
        <w:pStyle w:val="Heading1"/>
      </w:pPr>
      <w:r w:rsidRPr="006E243E">
        <w:lastRenderedPageBreak/>
        <w:t>Methods</w:t>
      </w:r>
    </w:p>
    <w:p w14:paraId="7787E029" w14:textId="77777777" w:rsidR="006E243E" w:rsidRDefault="006E243E" w:rsidP="006E243E">
      <w:r>
        <w:t xml:space="preserve">All notifications received by the Victorian DHHS between 1 January 2016 and 31 December 2017 and entered into PHESS were included in this audit, excluding blood lead levels &gt;5 </w:t>
      </w:r>
      <w:proofErr w:type="spellStart"/>
      <w:r>
        <w:t>μg</w:t>
      </w:r>
      <w:proofErr w:type="spellEnd"/>
      <w:r>
        <w:t>/dL and foodborne or water-borne illness with two or more related cases. De-identified notification data for the study period were extracted from PHESS in July 2018. In the dataset, a ‘case’ signified an individual with a notifiable condition while a ‘notification’ was the report of a case over the phone or in writing from a doctor and/or laboratory; there could be multiple notifications per case.</w:t>
      </w:r>
    </w:p>
    <w:p w14:paraId="32AF80E7" w14:textId="77777777" w:rsidR="006E243E" w:rsidRDefault="006E243E" w:rsidP="006E243E">
      <w:r>
        <w:t>Cases were classified into six categories: ‘Confirmed’ and ‘Probable’ cases meeting the corresponding national case definitions;</w:t>
      </w:r>
      <w:r>
        <w:rPr>
          <w:vertAlign w:val="superscript"/>
        </w:rPr>
        <w:t>2</w:t>
      </w:r>
      <w:r>
        <w:t xml:space="preserve"> ‘Rejected’ cases did not meet the national case definition; ‘Suspected’ cases were awaiting assessment against the national case definition; ‘At-risk’ cases were contacts of known cases; ‘Not notifiable’ cases were non-Victorian residents counted in another jurisdiction. To be consistent with the changes to notification requirements from 1 September 2018, Group A conditions were defined as ‘urgent’ and Group B-D conditions as ‘routine.’</w:t>
      </w:r>
    </w:p>
    <w:p w14:paraId="11F0E913" w14:textId="77777777" w:rsidR="006E243E" w:rsidRDefault="006E243E" w:rsidP="006E243E">
      <w:r>
        <w:t xml:space="preserve">The numbers of cases and notifications per case were described for all six case classifications. All remaining analyses were restricted to confirmed and probable cases, consistent with the NNDSS. The notifier-type analysis compared cases notified by doctors, laboratories or both, and excluded influenza case notifications received between 31 July and 31 October 2017 and all chlamydial infection notifications as only laboratory notifications were entered into PHESS for these conditions due to high notification volumes. </w:t>
      </w:r>
    </w:p>
    <w:p w14:paraId="622A387F" w14:textId="77777777" w:rsidR="006E243E" w:rsidRDefault="006E243E" w:rsidP="006E243E">
      <w:r>
        <w:t>Time-to-notification was calculated as the number of days between the earliest ‘signature date’ (the date the notification was authorised by doctor/laboratory, signifying the day of diagnosis and/or result finalisation) and the ‘event date’ (the date DHHS received the notification). Notifications with a signature date that was missing or &gt;365 days or &lt;0 days from the event date were excluded from the time-to-notification analysis. The proportions of cases notified within the legislated timeframes (0 days for ‘urgent’ and within 5 days for ‘routine’ conditions) were reported. The time-and-notifier-type analysis compared notification delay between notifier types and was completed on all cases included within both the notifier-type and time-to-notification analysis.</w:t>
      </w:r>
    </w:p>
    <w:p w14:paraId="08C63BA1" w14:textId="77777777" w:rsidR="006E243E" w:rsidRDefault="006E243E" w:rsidP="006E243E">
      <w:r>
        <w:t>Data were analysed in Stata version 15 comparing urgent vs. routine, doctor-notified vs. laboratory-only notifications and 2017 vs. 2016 using chi-square tests with relative risks (RR) and 95% confidence intervals (95%CI) generated. As this audit was conducted on de-identified data collected in accordance with the Act, human research ethics committee review was not required.</w:t>
      </w:r>
    </w:p>
    <w:p w14:paraId="37EA3AA6" w14:textId="77777777" w:rsidR="006E243E" w:rsidRPr="006E243E" w:rsidRDefault="006E243E" w:rsidP="006E243E">
      <w:pPr>
        <w:pStyle w:val="Heading1"/>
      </w:pPr>
      <w:r w:rsidRPr="006E243E">
        <w:t>Results</w:t>
      </w:r>
    </w:p>
    <w:p w14:paraId="2FD8BDC2" w14:textId="77777777" w:rsidR="006E243E" w:rsidRDefault="006E243E" w:rsidP="006E243E">
      <w:r>
        <w:t>In 2016–2017, DHHS received and entered into PHESS 373,206 notifications for 204,801 cases of notifiable conditions included in this audit. Of these cases, 186,758/204,801 (91.2%) were classified as confirmed, 5,464 probable (2.7%), 4,865 (2.4%) rejected, 3,206 at-risk (1.6%) and 117 (0.06%) suspected. A further 4,391 (2.1%) cases were classified as not notifiable. Hereafter only cases classified as confirmed and probable are included in the analysis as ‘cases.’</w:t>
      </w:r>
    </w:p>
    <w:p w14:paraId="28F491F2" w14:textId="77777777" w:rsidR="006E243E" w:rsidRDefault="006E243E" w:rsidP="006E243E">
      <w:r>
        <w:t xml:space="preserve">The total number of notifications received by the DHHS increased 35.5% from 158,487 in 2016 to 214,719 notifications in 2017. 303,976 (81.5%) notifications were received from laboratories, 66,434 (17.8%) from doctors, and 2,796 (0.7%) from health departments including DHHS. Of laboratory notifications, 62,010 (20.4%) were received from public health reference laboratories. The median number of notifications per case was one (IQR 1-2) with a range of 1 – 45. Six conditions (78 cases) had individual cases for which &gt;25 notifications per case were </w:t>
      </w:r>
      <w:r>
        <w:lastRenderedPageBreak/>
        <w:t xml:space="preserve">received: legionellosis, pneumococcal infection, Q Fever, Shiga-toxin and </w:t>
      </w:r>
      <w:proofErr w:type="spellStart"/>
      <w:r>
        <w:t>verotoxin</w:t>
      </w:r>
      <w:proofErr w:type="spellEnd"/>
      <w:r>
        <w:t xml:space="preserve"> producing </w:t>
      </w:r>
      <w:r w:rsidRPr="00684CC6">
        <w:rPr>
          <w:rStyle w:val="Emphasis"/>
          <w:b w:val="0"/>
        </w:rPr>
        <w:t>Escherichia coli</w:t>
      </w:r>
      <w:r>
        <w:t>, tuberculosis and typhoid, reflecting repeat testing practices for these conditions.</w:t>
      </w:r>
    </w:p>
    <w:p w14:paraId="498FBBEB" w14:textId="77777777" w:rsidR="006E243E" w:rsidRDefault="006E243E" w:rsidP="006E243E">
      <w:r>
        <w:t>A total of 192,222 cases were notified to the Victorian DHHS in 2016–2017. Greater than 90% of notified cases originated from ten conditions (Table 1). Overall, the number of cases increased 1.5-fold in 2017 compared with 2016, with a 277% increase in the number of notified cases of influenza and a 4.5% increase in all remaining notifiable conditions.</w:t>
      </w:r>
    </w:p>
    <w:p w14:paraId="2A28F965" w14:textId="77777777" w:rsidR="006E243E" w:rsidRDefault="006E243E" w:rsidP="006E243E">
      <w:pPr>
        <w:pStyle w:val="CDIFigures"/>
      </w:pPr>
      <w:r>
        <w:t>Table 1. Top ten notified conditions (number and proportion of cases) by year in Victoria, 2016 and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top ten notified conditions by number and proportion of cases by year in Victoria for 2016 and 2017. &#10;"/>
      </w:tblPr>
      <w:tblGrid>
        <w:gridCol w:w="2932"/>
        <w:gridCol w:w="1700"/>
        <w:gridCol w:w="1701"/>
        <w:gridCol w:w="1700"/>
        <w:gridCol w:w="1701"/>
      </w:tblGrid>
      <w:tr w:rsidR="0045475B" w:rsidRPr="00786E82" w14:paraId="6176B1AB" w14:textId="77777777" w:rsidTr="00D60FF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00F45510" w14:textId="77777777" w:rsidR="006E243E" w:rsidRPr="00786E82" w:rsidRDefault="006E243E">
            <w:pPr>
              <w:pStyle w:val="NormalWeb"/>
              <w:rPr>
                <w:color w:val="FFFFFF" w:themeColor="background1"/>
                <w:sz w:val="18"/>
                <w:szCs w:val="18"/>
              </w:rPr>
            </w:pPr>
            <w:r w:rsidRPr="00786E82">
              <w:rPr>
                <w:color w:val="FFFFFF" w:themeColor="background1"/>
                <w:sz w:val="18"/>
                <w:szCs w:val="18"/>
              </w:rPr>
              <w:t>Condition</w:t>
            </w:r>
          </w:p>
        </w:tc>
        <w:tc>
          <w:tcPr>
            <w:tcW w:w="3401" w:type="dxa"/>
            <w:gridSpan w:val="2"/>
            <w:hideMark/>
          </w:tcPr>
          <w:p w14:paraId="386FF139"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2016</w:t>
            </w:r>
          </w:p>
        </w:tc>
        <w:tc>
          <w:tcPr>
            <w:tcW w:w="3401" w:type="dxa"/>
            <w:gridSpan w:val="2"/>
            <w:hideMark/>
          </w:tcPr>
          <w:p w14:paraId="3985EA34"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2017</w:t>
            </w:r>
          </w:p>
        </w:tc>
      </w:tr>
      <w:tr w:rsidR="0045475B" w:rsidRPr="00786E82" w14:paraId="6CDDE298" w14:textId="77777777" w:rsidTr="00D60FF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218AD2BA" w14:textId="77777777" w:rsidR="006E243E" w:rsidRPr="00786E82" w:rsidRDefault="006E243E">
            <w:pPr>
              <w:rPr>
                <w:color w:val="FFFFFF" w:themeColor="background1"/>
                <w:sz w:val="18"/>
                <w:szCs w:val="18"/>
              </w:rPr>
            </w:pPr>
          </w:p>
        </w:tc>
        <w:tc>
          <w:tcPr>
            <w:tcW w:w="1700" w:type="dxa"/>
            <w:hideMark/>
          </w:tcPr>
          <w:p w14:paraId="65C2E8BC"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n</w:t>
            </w:r>
          </w:p>
        </w:tc>
        <w:tc>
          <w:tcPr>
            <w:tcW w:w="1701" w:type="dxa"/>
            <w:hideMark/>
          </w:tcPr>
          <w:p w14:paraId="016752DC"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w:t>
            </w:r>
          </w:p>
        </w:tc>
        <w:tc>
          <w:tcPr>
            <w:tcW w:w="1700" w:type="dxa"/>
            <w:hideMark/>
          </w:tcPr>
          <w:p w14:paraId="73E27E3C"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n</w:t>
            </w:r>
          </w:p>
        </w:tc>
        <w:tc>
          <w:tcPr>
            <w:tcW w:w="1701" w:type="dxa"/>
            <w:hideMark/>
          </w:tcPr>
          <w:p w14:paraId="5311CC77" w14:textId="77777777" w:rsidR="006E243E" w:rsidRPr="00786E82" w:rsidRDefault="006E243E" w:rsidP="00D60FFC">
            <w:pPr>
              <w:pStyle w:val="NormalWeb"/>
              <w:jc w:val="center"/>
              <w:rPr>
                <w:color w:val="FFFFFF" w:themeColor="background1"/>
                <w:sz w:val="18"/>
                <w:szCs w:val="18"/>
              </w:rPr>
            </w:pPr>
            <w:r w:rsidRPr="00786E82">
              <w:rPr>
                <w:color w:val="FFFFFF" w:themeColor="background1"/>
                <w:sz w:val="18"/>
                <w:szCs w:val="18"/>
              </w:rPr>
              <w:t>%</w:t>
            </w:r>
          </w:p>
        </w:tc>
      </w:tr>
      <w:tr w:rsidR="006E243E" w:rsidRPr="00786E82" w14:paraId="5248390B" w14:textId="77777777" w:rsidTr="00D60FFC">
        <w:tc>
          <w:tcPr>
            <w:tcW w:w="0" w:type="auto"/>
            <w:hideMark/>
          </w:tcPr>
          <w:p w14:paraId="174ADA9B" w14:textId="77777777" w:rsidR="006E243E" w:rsidRPr="00786E82" w:rsidRDefault="006E243E">
            <w:pPr>
              <w:pStyle w:val="NormalWeb"/>
              <w:rPr>
                <w:sz w:val="18"/>
                <w:szCs w:val="18"/>
              </w:rPr>
            </w:pPr>
            <w:r w:rsidRPr="00786E82">
              <w:rPr>
                <w:sz w:val="18"/>
                <w:szCs w:val="18"/>
              </w:rPr>
              <w:t>Influenza</w:t>
            </w:r>
          </w:p>
        </w:tc>
        <w:tc>
          <w:tcPr>
            <w:tcW w:w="1700" w:type="dxa"/>
            <w:hideMark/>
          </w:tcPr>
          <w:p w14:paraId="2DB129AD" w14:textId="77777777" w:rsidR="006E243E" w:rsidRPr="00786E82" w:rsidRDefault="006E243E" w:rsidP="00D60FFC">
            <w:pPr>
              <w:pStyle w:val="NormalWeb"/>
              <w:jc w:val="center"/>
              <w:rPr>
                <w:sz w:val="18"/>
                <w:szCs w:val="18"/>
              </w:rPr>
            </w:pPr>
            <w:r w:rsidRPr="00786E82">
              <w:rPr>
                <w:sz w:val="18"/>
                <w:szCs w:val="18"/>
              </w:rPr>
              <w:t>12,784</w:t>
            </w:r>
          </w:p>
        </w:tc>
        <w:tc>
          <w:tcPr>
            <w:tcW w:w="1701" w:type="dxa"/>
            <w:hideMark/>
          </w:tcPr>
          <w:p w14:paraId="0098A2A0" w14:textId="77777777" w:rsidR="006E243E" w:rsidRPr="00786E82" w:rsidRDefault="006E243E" w:rsidP="00D60FFC">
            <w:pPr>
              <w:pStyle w:val="NormalWeb"/>
              <w:jc w:val="center"/>
              <w:rPr>
                <w:sz w:val="18"/>
                <w:szCs w:val="18"/>
              </w:rPr>
            </w:pPr>
            <w:r w:rsidRPr="00786E82">
              <w:rPr>
                <w:sz w:val="18"/>
                <w:szCs w:val="18"/>
              </w:rPr>
              <w:t>16.6</w:t>
            </w:r>
          </w:p>
        </w:tc>
        <w:tc>
          <w:tcPr>
            <w:tcW w:w="1700" w:type="dxa"/>
            <w:hideMark/>
          </w:tcPr>
          <w:p w14:paraId="7AA38041" w14:textId="77777777" w:rsidR="006E243E" w:rsidRPr="00786E82" w:rsidRDefault="006E243E" w:rsidP="00D60FFC">
            <w:pPr>
              <w:pStyle w:val="NormalWeb"/>
              <w:jc w:val="center"/>
              <w:rPr>
                <w:sz w:val="18"/>
                <w:szCs w:val="18"/>
              </w:rPr>
            </w:pPr>
            <w:r w:rsidRPr="00786E82">
              <w:rPr>
                <w:sz w:val="18"/>
                <w:szCs w:val="18"/>
              </w:rPr>
              <w:t>48,199</w:t>
            </w:r>
          </w:p>
        </w:tc>
        <w:tc>
          <w:tcPr>
            <w:tcW w:w="1701" w:type="dxa"/>
            <w:hideMark/>
          </w:tcPr>
          <w:p w14:paraId="6D7C3D4A" w14:textId="77777777" w:rsidR="006E243E" w:rsidRPr="00786E82" w:rsidRDefault="006E243E" w:rsidP="00D60FFC">
            <w:pPr>
              <w:pStyle w:val="NormalWeb"/>
              <w:jc w:val="center"/>
              <w:rPr>
                <w:sz w:val="18"/>
                <w:szCs w:val="18"/>
              </w:rPr>
            </w:pPr>
            <w:r w:rsidRPr="00786E82">
              <w:rPr>
                <w:sz w:val="18"/>
                <w:szCs w:val="18"/>
              </w:rPr>
              <w:t>41.8</w:t>
            </w:r>
          </w:p>
        </w:tc>
      </w:tr>
      <w:tr w:rsidR="006E243E" w:rsidRPr="00786E82" w14:paraId="532E9E86" w14:textId="77777777" w:rsidTr="00D60FFC">
        <w:trPr>
          <w:cnfStyle w:val="000000010000" w:firstRow="0" w:lastRow="0" w:firstColumn="0" w:lastColumn="0" w:oddVBand="0" w:evenVBand="0" w:oddHBand="0" w:evenHBand="1" w:firstRowFirstColumn="0" w:firstRowLastColumn="0" w:lastRowFirstColumn="0" w:lastRowLastColumn="0"/>
        </w:trPr>
        <w:tc>
          <w:tcPr>
            <w:tcW w:w="0" w:type="auto"/>
            <w:hideMark/>
          </w:tcPr>
          <w:p w14:paraId="37C129E5" w14:textId="77777777" w:rsidR="006E243E" w:rsidRPr="00786E82" w:rsidRDefault="006E243E">
            <w:pPr>
              <w:pStyle w:val="NormalWeb"/>
              <w:rPr>
                <w:sz w:val="18"/>
                <w:szCs w:val="18"/>
              </w:rPr>
            </w:pPr>
            <w:r w:rsidRPr="00786E82">
              <w:rPr>
                <w:sz w:val="18"/>
                <w:szCs w:val="18"/>
              </w:rPr>
              <w:t>Chlamydial infection</w:t>
            </w:r>
          </w:p>
        </w:tc>
        <w:tc>
          <w:tcPr>
            <w:tcW w:w="1700" w:type="dxa"/>
            <w:hideMark/>
          </w:tcPr>
          <w:p w14:paraId="08711A4D" w14:textId="77777777" w:rsidR="006E243E" w:rsidRPr="00786E82" w:rsidRDefault="006E243E" w:rsidP="00D60FFC">
            <w:pPr>
              <w:pStyle w:val="NormalWeb"/>
              <w:jc w:val="center"/>
              <w:rPr>
                <w:sz w:val="18"/>
                <w:szCs w:val="18"/>
              </w:rPr>
            </w:pPr>
            <w:r w:rsidRPr="00786E82">
              <w:rPr>
                <w:sz w:val="18"/>
                <w:szCs w:val="18"/>
              </w:rPr>
              <w:t>22,747</w:t>
            </w:r>
          </w:p>
        </w:tc>
        <w:tc>
          <w:tcPr>
            <w:tcW w:w="1701" w:type="dxa"/>
            <w:hideMark/>
          </w:tcPr>
          <w:p w14:paraId="760AA2DC" w14:textId="77777777" w:rsidR="006E243E" w:rsidRPr="00786E82" w:rsidRDefault="006E243E" w:rsidP="00D60FFC">
            <w:pPr>
              <w:pStyle w:val="NormalWeb"/>
              <w:jc w:val="center"/>
              <w:rPr>
                <w:sz w:val="18"/>
                <w:szCs w:val="18"/>
              </w:rPr>
            </w:pPr>
            <w:r w:rsidRPr="00786E82">
              <w:rPr>
                <w:sz w:val="18"/>
                <w:szCs w:val="18"/>
              </w:rPr>
              <w:t>29.6</w:t>
            </w:r>
          </w:p>
        </w:tc>
        <w:tc>
          <w:tcPr>
            <w:tcW w:w="1700" w:type="dxa"/>
            <w:hideMark/>
          </w:tcPr>
          <w:p w14:paraId="1116B62E" w14:textId="77777777" w:rsidR="006E243E" w:rsidRPr="00786E82" w:rsidRDefault="006E243E" w:rsidP="00D60FFC">
            <w:pPr>
              <w:pStyle w:val="NormalWeb"/>
              <w:jc w:val="center"/>
              <w:rPr>
                <w:sz w:val="18"/>
                <w:szCs w:val="18"/>
              </w:rPr>
            </w:pPr>
            <w:r w:rsidRPr="00786E82">
              <w:rPr>
                <w:sz w:val="18"/>
                <w:szCs w:val="18"/>
              </w:rPr>
              <w:t>25,172</w:t>
            </w:r>
          </w:p>
        </w:tc>
        <w:tc>
          <w:tcPr>
            <w:tcW w:w="1701" w:type="dxa"/>
            <w:hideMark/>
          </w:tcPr>
          <w:p w14:paraId="2F57B7B0" w14:textId="77777777" w:rsidR="006E243E" w:rsidRPr="00786E82" w:rsidRDefault="006E243E" w:rsidP="00D60FFC">
            <w:pPr>
              <w:pStyle w:val="NormalWeb"/>
              <w:jc w:val="center"/>
              <w:rPr>
                <w:sz w:val="18"/>
                <w:szCs w:val="18"/>
              </w:rPr>
            </w:pPr>
            <w:r w:rsidRPr="00786E82">
              <w:rPr>
                <w:sz w:val="18"/>
                <w:szCs w:val="18"/>
              </w:rPr>
              <w:t>21.8</w:t>
            </w:r>
          </w:p>
        </w:tc>
      </w:tr>
      <w:tr w:rsidR="006E243E" w:rsidRPr="00786E82" w14:paraId="60DDBB91" w14:textId="77777777" w:rsidTr="00D60FFC">
        <w:tc>
          <w:tcPr>
            <w:tcW w:w="0" w:type="auto"/>
            <w:hideMark/>
          </w:tcPr>
          <w:p w14:paraId="3E844E60" w14:textId="77777777" w:rsidR="006E243E" w:rsidRPr="00786E82" w:rsidRDefault="006E243E">
            <w:pPr>
              <w:pStyle w:val="NormalWeb"/>
              <w:rPr>
                <w:sz w:val="18"/>
                <w:szCs w:val="18"/>
              </w:rPr>
            </w:pPr>
            <w:r w:rsidRPr="00786E82">
              <w:rPr>
                <w:sz w:val="18"/>
                <w:szCs w:val="18"/>
              </w:rPr>
              <w:t>Campylobacteriosis</w:t>
            </w:r>
          </w:p>
        </w:tc>
        <w:tc>
          <w:tcPr>
            <w:tcW w:w="1700" w:type="dxa"/>
            <w:hideMark/>
          </w:tcPr>
          <w:p w14:paraId="74BF8E97" w14:textId="77777777" w:rsidR="006E243E" w:rsidRPr="00786E82" w:rsidRDefault="006E243E" w:rsidP="00D60FFC">
            <w:pPr>
              <w:pStyle w:val="NormalWeb"/>
              <w:jc w:val="center"/>
              <w:rPr>
                <w:sz w:val="18"/>
                <w:szCs w:val="18"/>
              </w:rPr>
            </w:pPr>
            <w:r w:rsidRPr="00786E82">
              <w:rPr>
                <w:sz w:val="18"/>
                <w:szCs w:val="18"/>
              </w:rPr>
              <w:t>8,238</w:t>
            </w:r>
          </w:p>
        </w:tc>
        <w:tc>
          <w:tcPr>
            <w:tcW w:w="1701" w:type="dxa"/>
            <w:hideMark/>
          </w:tcPr>
          <w:p w14:paraId="73CE2F43" w14:textId="77777777" w:rsidR="006E243E" w:rsidRPr="00786E82" w:rsidRDefault="006E243E" w:rsidP="00D60FFC">
            <w:pPr>
              <w:pStyle w:val="NormalWeb"/>
              <w:jc w:val="center"/>
              <w:rPr>
                <w:sz w:val="18"/>
                <w:szCs w:val="18"/>
              </w:rPr>
            </w:pPr>
            <w:r w:rsidRPr="00786E82">
              <w:rPr>
                <w:sz w:val="18"/>
                <w:szCs w:val="18"/>
              </w:rPr>
              <w:t>10.7</w:t>
            </w:r>
          </w:p>
        </w:tc>
        <w:tc>
          <w:tcPr>
            <w:tcW w:w="1700" w:type="dxa"/>
            <w:hideMark/>
          </w:tcPr>
          <w:p w14:paraId="47F819A5" w14:textId="77777777" w:rsidR="006E243E" w:rsidRPr="00786E82" w:rsidRDefault="006E243E" w:rsidP="00D60FFC">
            <w:pPr>
              <w:pStyle w:val="NormalWeb"/>
              <w:jc w:val="center"/>
              <w:rPr>
                <w:sz w:val="18"/>
                <w:szCs w:val="18"/>
              </w:rPr>
            </w:pPr>
            <w:r w:rsidRPr="00786E82">
              <w:rPr>
                <w:sz w:val="18"/>
                <w:szCs w:val="18"/>
              </w:rPr>
              <w:t>6,857</w:t>
            </w:r>
          </w:p>
        </w:tc>
        <w:tc>
          <w:tcPr>
            <w:tcW w:w="1701" w:type="dxa"/>
            <w:hideMark/>
          </w:tcPr>
          <w:p w14:paraId="13FCB5F9" w14:textId="77777777" w:rsidR="006E243E" w:rsidRPr="00786E82" w:rsidRDefault="006E243E" w:rsidP="00D60FFC">
            <w:pPr>
              <w:pStyle w:val="NormalWeb"/>
              <w:jc w:val="center"/>
              <w:rPr>
                <w:sz w:val="18"/>
                <w:szCs w:val="18"/>
              </w:rPr>
            </w:pPr>
            <w:r w:rsidRPr="00786E82">
              <w:rPr>
                <w:sz w:val="18"/>
                <w:szCs w:val="18"/>
              </w:rPr>
              <w:t>5.9</w:t>
            </w:r>
          </w:p>
        </w:tc>
      </w:tr>
      <w:tr w:rsidR="006E243E" w:rsidRPr="00786E82" w14:paraId="7C86A046" w14:textId="77777777" w:rsidTr="00D60FFC">
        <w:trPr>
          <w:cnfStyle w:val="000000010000" w:firstRow="0" w:lastRow="0" w:firstColumn="0" w:lastColumn="0" w:oddVBand="0" w:evenVBand="0" w:oddHBand="0" w:evenHBand="1" w:firstRowFirstColumn="0" w:firstRowLastColumn="0" w:lastRowFirstColumn="0" w:lastRowLastColumn="0"/>
        </w:trPr>
        <w:tc>
          <w:tcPr>
            <w:tcW w:w="0" w:type="auto"/>
            <w:hideMark/>
          </w:tcPr>
          <w:p w14:paraId="357186AA" w14:textId="77777777" w:rsidR="006E243E" w:rsidRPr="00786E82" w:rsidRDefault="006E243E">
            <w:pPr>
              <w:pStyle w:val="NormalWeb"/>
              <w:rPr>
                <w:sz w:val="18"/>
                <w:szCs w:val="18"/>
              </w:rPr>
            </w:pPr>
            <w:r w:rsidRPr="00786E82">
              <w:rPr>
                <w:sz w:val="18"/>
                <w:szCs w:val="18"/>
              </w:rPr>
              <w:t>Gonococcal infection</w:t>
            </w:r>
          </w:p>
        </w:tc>
        <w:tc>
          <w:tcPr>
            <w:tcW w:w="1700" w:type="dxa"/>
            <w:hideMark/>
          </w:tcPr>
          <w:p w14:paraId="5F47EB31" w14:textId="77777777" w:rsidR="006E243E" w:rsidRPr="00786E82" w:rsidRDefault="006E243E" w:rsidP="00D60FFC">
            <w:pPr>
              <w:pStyle w:val="NormalWeb"/>
              <w:jc w:val="center"/>
              <w:rPr>
                <w:sz w:val="18"/>
                <w:szCs w:val="18"/>
              </w:rPr>
            </w:pPr>
            <w:r w:rsidRPr="00786E82">
              <w:rPr>
                <w:sz w:val="18"/>
                <w:szCs w:val="18"/>
              </w:rPr>
              <w:t>6,269</w:t>
            </w:r>
          </w:p>
        </w:tc>
        <w:tc>
          <w:tcPr>
            <w:tcW w:w="1701" w:type="dxa"/>
            <w:hideMark/>
          </w:tcPr>
          <w:p w14:paraId="6516A2EC" w14:textId="77777777" w:rsidR="006E243E" w:rsidRPr="00786E82" w:rsidRDefault="006E243E" w:rsidP="00D60FFC">
            <w:pPr>
              <w:pStyle w:val="NormalWeb"/>
              <w:jc w:val="center"/>
              <w:rPr>
                <w:sz w:val="18"/>
                <w:szCs w:val="18"/>
              </w:rPr>
            </w:pPr>
            <w:r w:rsidRPr="00786E82">
              <w:rPr>
                <w:sz w:val="18"/>
                <w:szCs w:val="18"/>
              </w:rPr>
              <w:t>8.2</w:t>
            </w:r>
          </w:p>
        </w:tc>
        <w:tc>
          <w:tcPr>
            <w:tcW w:w="1700" w:type="dxa"/>
            <w:hideMark/>
          </w:tcPr>
          <w:p w14:paraId="307515B2" w14:textId="77777777" w:rsidR="006E243E" w:rsidRPr="00786E82" w:rsidRDefault="006E243E" w:rsidP="00D60FFC">
            <w:pPr>
              <w:pStyle w:val="NormalWeb"/>
              <w:jc w:val="center"/>
              <w:rPr>
                <w:sz w:val="18"/>
                <w:szCs w:val="18"/>
              </w:rPr>
            </w:pPr>
            <w:r w:rsidRPr="00786E82">
              <w:rPr>
                <w:sz w:val="18"/>
                <w:szCs w:val="18"/>
              </w:rPr>
              <w:t>7,281</w:t>
            </w:r>
          </w:p>
        </w:tc>
        <w:tc>
          <w:tcPr>
            <w:tcW w:w="1701" w:type="dxa"/>
            <w:hideMark/>
          </w:tcPr>
          <w:p w14:paraId="16CE1EF7" w14:textId="77777777" w:rsidR="006E243E" w:rsidRPr="00786E82" w:rsidRDefault="006E243E" w:rsidP="00D60FFC">
            <w:pPr>
              <w:pStyle w:val="NormalWeb"/>
              <w:jc w:val="center"/>
              <w:rPr>
                <w:sz w:val="18"/>
                <w:szCs w:val="18"/>
              </w:rPr>
            </w:pPr>
            <w:r w:rsidRPr="00786E82">
              <w:rPr>
                <w:sz w:val="18"/>
                <w:szCs w:val="18"/>
              </w:rPr>
              <w:t>6.3</w:t>
            </w:r>
          </w:p>
        </w:tc>
      </w:tr>
      <w:tr w:rsidR="006E243E" w:rsidRPr="00786E82" w14:paraId="36BCE3E8" w14:textId="77777777" w:rsidTr="00D60FFC">
        <w:tc>
          <w:tcPr>
            <w:tcW w:w="0" w:type="auto"/>
            <w:hideMark/>
          </w:tcPr>
          <w:p w14:paraId="53BFA69F" w14:textId="77777777" w:rsidR="006E243E" w:rsidRPr="00786E82" w:rsidRDefault="006E243E">
            <w:pPr>
              <w:pStyle w:val="NormalWeb"/>
              <w:rPr>
                <w:sz w:val="18"/>
                <w:szCs w:val="18"/>
              </w:rPr>
            </w:pPr>
            <w:r w:rsidRPr="00786E82">
              <w:rPr>
                <w:sz w:val="18"/>
                <w:szCs w:val="18"/>
              </w:rPr>
              <w:t>Varicella zoster infection (Unspecified)</w:t>
            </w:r>
          </w:p>
        </w:tc>
        <w:tc>
          <w:tcPr>
            <w:tcW w:w="1700" w:type="dxa"/>
            <w:hideMark/>
          </w:tcPr>
          <w:p w14:paraId="7A681213" w14:textId="77777777" w:rsidR="006E243E" w:rsidRPr="00786E82" w:rsidRDefault="006E243E" w:rsidP="00D60FFC">
            <w:pPr>
              <w:pStyle w:val="NormalWeb"/>
              <w:jc w:val="center"/>
              <w:rPr>
                <w:sz w:val="18"/>
                <w:szCs w:val="18"/>
              </w:rPr>
            </w:pPr>
            <w:r w:rsidRPr="00786E82">
              <w:rPr>
                <w:sz w:val="18"/>
                <w:szCs w:val="18"/>
              </w:rPr>
              <w:t>5,837</w:t>
            </w:r>
          </w:p>
        </w:tc>
        <w:tc>
          <w:tcPr>
            <w:tcW w:w="1701" w:type="dxa"/>
            <w:hideMark/>
          </w:tcPr>
          <w:p w14:paraId="058A6DD3" w14:textId="77777777" w:rsidR="006E243E" w:rsidRPr="00786E82" w:rsidRDefault="006E243E" w:rsidP="00D60FFC">
            <w:pPr>
              <w:pStyle w:val="NormalWeb"/>
              <w:jc w:val="center"/>
              <w:rPr>
                <w:sz w:val="18"/>
                <w:szCs w:val="18"/>
              </w:rPr>
            </w:pPr>
            <w:r w:rsidRPr="00786E82">
              <w:rPr>
                <w:sz w:val="18"/>
                <w:szCs w:val="18"/>
              </w:rPr>
              <w:t>7.6</w:t>
            </w:r>
          </w:p>
        </w:tc>
        <w:tc>
          <w:tcPr>
            <w:tcW w:w="1700" w:type="dxa"/>
            <w:hideMark/>
          </w:tcPr>
          <w:p w14:paraId="2AA3E223" w14:textId="77777777" w:rsidR="006E243E" w:rsidRPr="00786E82" w:rsidRDefault="006E243E" w:rsidP="00D60FFC">
            <w:pPr>
              <w:pStyle w:val="NormalWeb"/>
              <w:jc w:val="center"/>
              <w:rPr>
                <w:sz w:val="18"/>
                <w:szCs w:val="18"/>
              </w:rPr>
            </w:pPr>
            <w:r w:rsidRPr="00786E82">
              <w:rPr>
                <w:sz w:val="18"/>
                <w:szCs w:val="18"/>
              </w:rPr>
              <w:t>6,470</w:t>
            </w:r>
          </w:p>
        </w:tc>
        <w:tc>
          <w:tcPr>
            <w:tcW w:w="1701" w:type="dxa"/>
            <w:hideMark/>
          </w:tcPr>
          <w:p w14:paraId="6C27322D" w14:textId="77777777" w:rsidR="006E243E" w:rsidRPr="00786E82" w:rsidRDefault="006E243E" w:rsidP="00D60FFC">
            <w:pPr>
              <w:pStyle w:val="NormalWeb"/>
              <w:jc w:val="center"/>
              <w:rPr>
                <w:sz w:val="18"/>
                <w:szCs w:val="18"/>
              </w:rPr>
            </w:pPr>
            <w:r w:rsidRPr="00786E82">
              <w:rPr>
                <w:sz w:val="18"/>
                <w:szCs w:val="18"/>
              </w:rPr>
              <w:t>5.6</w:t>
            </w:r>
          </w:p>
        </w:tc>
      </w:tr>
      <w:tr w:rsidR="006E243E" w:rsidRPr="00786E82" w14:paraId="27D90759" w14:textId="77777777" w:rsidTr="00D60FFC">
        <w:trPr>
          <w:cnfStyle w:val="000000010000" w:firstRow="0" w:lastRow="0" w:firstColumn="0" w:lastColumn="0" w:oddVBand="0" w:evenVBand="0" w:oddHBand="0" w:evenHBand="1" w:firstRowFirstColumn="0" w:firstRowLastColumn="0" w:lastRowFirstColumn="0" w:lastRowLastColumn="0"/>
        </w:trPr>
        <w:tc>
          <w:tcPr>
            <w:tcW w:w="0" w:type="auto"/>
            <w:hideMark/>
          </w:tcPr>
          <w:p w14:paraId="078002FE" w14:textId="77777777" w:rsidR="006E243E" w:rsidRPr="00786E82" w:rsidRDefault="006E243E">
            <w:pPr>
              <w:pStyle w:val="NormalWeb"/>
              <w:rPr>
                <w:sz w:val="18"/>
                <w:szCs w:val="18"/>
              </w:rPr>
            </w:pPr>
            <w:r w:rsidRPr="00786E82">
              <w:rPr>
                <w:sz w:val="18"/>
                <w:szCs w:val="18"/>
              </w:rPr>
              <w:t>Salmonellosis</w:t>
            </w:r>
          </w:p>
        </w:tc>
        <w:tc>
          <w:tcPr>
            <w:tcW w:w="1700" w:type="dxa"/>
            <w:hideMark/>
          </w:tcPr>
          <w:p w14:paraId="54FF773B" w14:textId="77777777" w:rsidR="006E243E" w:rsidRPr="00786E82" w:rsidRDefault="006E243E" w:rsidP="00D60FFC">
            <w:pPr>
              <w:pStyle w:val="NormalWeb"/>
              <w:jc w:val="center"/>
              <w:rPr>
                <w:sz w:val="18"/>
                <w:szCs w:val="18"/>
              </w:rPr>
            </w:pPr>
            <w:r w:rsidRPr="00786E82">
              <w:rPr>
                <w:sz w:val="18"/>
                <w:szCs w:val="18"/>
              </w:rPr>
              <w:t>4,090</w:t>
            </w:r>
          </w:p>
        </w:tc>
        <w:tc>
          <w:tcPr>
            <w:tcW w:w="1701" w:type="dxa"/>
            <w:hideMark/>
          </w:tcPr>
          <w:p w14:paraId="678DEBAC" w14:textId="77777777" w:rsidR="006E243E" w:rsidRPr="00786E82" w:rsidRDefault="006E243E" w:rsidP="00D60FFC">
            <w:pPr>
              <w:pStyle w:val="NormalWeb"/>
              <w:jc w:val="center"/>
              <w:rPr>
                <w:sz w:val="18"/>
                <w:szCs w:val="18"/>
              </w:rPr>
            </w:pPr>
            <w:r w:rsidRPr="00786E82">
              <w:rPr>
                <w:sz w:val="18"/>
                <w:szCs w:val="18"/>
              </w:rPr>
              <w:t>5.3</w:t>
            </w:r>
          </w:p>
        </w:tc>
        <w:tc>
          <w:tcPr>
            <w:tcW w:w="1700" w:type="dxa"/>
            <w:hideMark/>
          </w:tcPr>
          <w:p w14:paraId="4A970C23" w14:textId="77777777" w:rsidR="006E243E" w:rsidRPr="00786E82" w:rsidRDefault="006E243E" w:rsidP="00D60FFC">
            <w:pPr>
              <w:pStyle w:val="NormalWeb"/>
              <w:jc w:val="center"/>
              <w:rPr>
                <w:sz w:val="18"/>
                <w:szCs w:val="18"/>
              </w:rPr>
            </w:pPr>
            <w:r w:rsidRPr="00786E82">
              <w:rPr>
                <w:sz w:val="18"/>
                <w:szCs w:val="18"/>
              </w:rPr>
              <w:t>3,230</w:t>
            </w:r>
          </w:p>
        </w:tc>
        <w:tc>
          <w:tcPr>
            <w:tcW w:w="1701" w:type="dxa"/>
            <w:hideMark/>
          </w:tcPr>
          <w:p w14:paraId="1FB96EB6" w14:textId="77777777" w:rsidR="006E243E" w:rsidRPr="00786E82" w:rsidRDefault="006E243E" w:rsidP="00D60FFC">
            <w:pPr>
              <w:pStyle w:val="NormalWeb"/>
              <w:jc w:val="center"/>
              <w:rPr>
                <w:sz w:val="18"/>
                <w:szCs w:val="18"/>
              </w:rPr>
            </w:pPr>
            <w:r w:rsidRPr="00786E82">
              <w:rPr>
                <w:sz w:val="18"/>
                <w:szCs w:val="18"/>
              </w:rPr>
              <w:t>2.8</w:t>
            </w:r>
          </w:p>
        </w:tc>
      </w:tr>
      <w:tr w:rsidR="006E243E" w:rsidRPr="00786E82" w14:paraId="5557DF0D" w14:textId="77777777" w:rsidTr="00D60FFC">
        <w:tc>
          <w:tcPr>
            <w:tcW w:w="0" w:type="auto"/>
            <w:hideMark/>
          </w:tcPr>
          <w:p w14:paraId="4BFBA2E5" w14:textId="77777777" w:rsidR="006E243E" w:rsidRPr="00786E82" w:rsidRDefault="006E243E">
            <w:pPr>
              <w:pStyle w:val="NormalWeb"/>
              <w:rPr>
                <w:sz w:val="18"/>
                <w:szCs w:val="18"/>
              </w:rPr>
            </w:pPr>
            <w:r w:rsidRPr="00786E82">
              <w:rPr>
                <w:sz w:val="18"/>
                <w:szCs w:val="18"/>
              </w:rPr>
              <w:t>Varicella zoster infection (Shingles)</w:t>
            </w:r>
          </w:p>
        </w:tc>
        <w:tc>
          <w:tcPr>
            <w:tcW w:w="1700" w:type="dxa"/>
            <w:hideMark/>
          </w:tcPr>
          <w:p w14:paraId="0FA50290" w14:textId="77777777" w:rsidR="006E243E" w:rsidRPr="00786E82" w:rsidRDefault="006E243E" w:rsidP="00D60FFC">
            <w:pPr>
              <w:pStyle w:val="NormalWeb"/>
              <w:jc w:val="center"/>
              <w:rPr>
                <w:sz w:val="18"/>
                <w:szCs w:val="18"/>
              </w:rPr>
            </w:pPr>
            <w:r w:rsidRPr="00786E82">
              <w:rPr>
                <w:sz w:val="18"/>
                <w:szCs w:val="18"/>
              </w:rPr>
              <w:t>2,401</w:t>
            </w:r>
          </w:p>
        </w:tc>
        <w:tc>
          <w:tcPr>
            <w:tcW w:w="1701" w:type="dxa"/>
            <w:hideMark/>
          </w:tcPr>
          <w:p w14:paraId="485FF9D8" w14:textId="77777777" w:rsidR="006E243E" w:rsidRPr="00786E82" w:rsidRDefault="006E243E" w:rsidP="00D60FFC">
            <w:pPr>
              <w:pStyle w:val="NormalWeb"/>
              <w:jc w:val="center"/>
              <w:rPr>
                <w:sz w:val="18"/>
                <w:szCs w:val="18"/>
              </w:rPr>
            </w:pPr>
            <w:r w:rsidRPr="00786E82">
              <w:rPr>
                <w:sz w:val="18"/>
                <w:szCs w:val="18"/>
              </w:rPr>
              <w:t>3.1</w:t>
            </w:r>
          </w:p>
        </w:tc>
        <w:tc>
          <w:tcPr>
            <w:tcW w:w="1700" w:type="dxa"/>
            <w:hideMark/>
          </w:tcPr>
          <w:p w14:paraId="2500C1C4" w14:textId="77777777" w:rsidR="006E243E" w:rsidRPr="00786E82" w:rsidRDefault="006E243E" w:rsidP="00D60FFC">
            <w:pPr>
              <w:pStyle w:val="NormalWeb"/>
              <w:jc w:val="center"/>
              <w:rPr>
                <w:sz w:val="18"/>
                <w:szCs w:val="18"/>
              </w:rPr>
            </w:pPr>
            <w:r w:rsidRPr="00786E82">
              <w:rPr>
                <w:sz w:val="18"/>
                <w:szCs w:val="18"/>
              </w:rPr>
              <w:t>2,720</w:t>
            </w:r>
          </w:p>
        </w:tc>
        <w:tc>
          <w:tcPr>
            <w:tcW w:w="1701" w:type="dxa"/>
            <w:hideMark/>
          </w:tcPr>
          <w:p w14:paraId="29163E11" w14:textId="77777777" w:rsidR="006E243E" w:rsidRPr="00786E82" w:rsidRDefault="006E243E" w:rsidP="00D60FFC">
            <w:pPr>
              <w:pStyle w:val="NormalWeb"/>
              <w:jc w:val="center"/>
              <w:rPr>
                <w:sz w:val="18"/>
                <w:szCs w:val="18"/>
              </w:rPr>
            </w:pPr>
            <w:r w:rsidRPr="00786E82">
              <w:rPr>
                <w:sz w:val="18"/>
                <w:szCs w:val="18"/>
              </w:rPr>
              <w:t>2.4</w:t>
            </w:r>
          </w:p>
        </w:tc>
      </w:tr>
      <w:tr w:rsidR="006E243E" w:rsidRPr="00786E82" w14:paraId="123A79EB" w14:textId="77777777" w:rsidTr="00D60FFC">
        <w:trPr>
          <w:cnfStyle w:val="000000010000" w:firstRow="0" w:lastRow="0" w:firstColumn="0" w:lastColumn="0" w:oddVBand="0" w:evenVBand="0" w:oddHBand="0" w:evenHBand="1" w:firstRowFirstColumn="0" w:firstRowLastColumn="0" w:lastRowFirstColumn="0" w:lastRowLastColumn="0"/>
        </w:trPr>
        <w:tc>
          <w:tcPr>
            <w:tcW w:w="0" w:type="auto"/>
            <w:hideMark/>
          </w:tcPr>
          <w:p w14:paraId="2714DD80" w14:textId="77777777" w:rsidR="006E243E" w:rsidRPr="00786E82" w:rsidRDefault="006E243E">
            <w:pPr>
              <w:pStyle w:val="NormalWeb"/>
              <w:rPr>
                <w:sz w:val="18"/>
                <w:szCs w:val="18"/>
              </w:rPr>
            </w:pPr>
            <w:r w:rsidRPr="00786E82">
              <w:rPr>
                <w:sz w:val="18"/>
                <w:szCs w:val="18"/>
              </w:rPr>
              <w:t>Pertussis</w:t>
            </w:r>
          </w:p>
        </w:tc>
        <w:tc>
          <w:tcPr>
            <w:tcW w:w="1700" w:type="dxa"/>
            <w:hideMark/>
          </w:tcPr>
          <w:p w14:paraId="668240ED" w14:textId="77777777" w:rsidR="006E243E" w:rsidRPr="00786E82" w:rsidRDefault="006E243E" w:rsidP="00D60FFC">
            <w:pPr>
              <w:pStyle w:val="NormalWeb"/>
              <w:jc w:val="center"/>
              <w:rPr>
                <w:sz w:val="18"/>
                <w:szCs w:val="18"/>
              </w:rPr>
            </w:pPr>
            <w:r w:rsidRPr="00786E82">
              <w:rPr>
                <w:sz w:val="18"/>
                <w:szCs w:val="18"/>
              </w:rPr>
              <w:t>2,881</w:t>
            </w:r>
          </w:p>
        </w:tc>
        <w:tc>
          <w:tcPr>
            <w:tcW w:w="1701" w:type="dxa"/>
            <w:hideMark/>
          </w:tcPr>
          <w:p w14:paraId="2E01C49A" w14:textId="77777777" w:rsidR="006E243E" w:rsidRPr="00786E82" w:rsidRDefault="006E243E" w:rsidP="00D60FFC">
            <w:pPr>
              <w:pStyle w:val="NormalWeb"/>
              <w:jc w:val="center"/>
              <w:rPr>
                <w:sz w:val="18"/>
                <w:szCs w:val="18"/>
              </w:rPr>
            </w:pPr>
            <w:r w:rsidRPr="00786E82">
              <w:rPr>
                <w:sz w:val="18"/>
                <w:szCs w:val="18"/>
              </w:rPr>
              <w:t>3.7</w:t>
            </w:r>
          </w:p>
        </w:tc>
        <w:tc>
          <w:tcPr>
            <w:tcW w:w="1700" w:type="dxa"/>
            <w:hideMark/>
          </w:tcPr>
          <w:p w14:paraId="14E00F21" w14:textId="77777777" w:rsidR="006E243E" w:rsidRPr="00786E82" w:rsidRDefault="006E243E" w:rsidP="00D60FFC">
            <w:pPr>
              <w:pStyle w:val="NormalWeb"/>
              <w:jc w:val="center"/>
              <w:rPr>
                <w:sz w:val="18"/>
                <w:szCs w:val="18"/>
              </w:rPr>
            </w:pPr>
            <w:r w:rsidRPr="00786E82">
              <w:rPr>
                <w:sz w:val="18"/>
                <w:szCs w:val="18"/>
              </w:rPr>
              <w:t>1,998</w:t>
            </w:r>
          </w:p>
        </w:tc>
        <w:tc>
          <w:tcPr>
            <w:tcW w:w="1701" w:type="dxa"/>
            <w:hideMark/>
          </w:tcPr>
          <w:p w14:paraId="72B12DE4" w14:textId="77777777" w:rsidR="006E243E" w:rsidRPr="00786E82" w:rsidRDefault="006E243E" w:rsidP="00D60FFC">
            <w:pPr>
              <w:pStyle w:val="NormalWeb"/>
              <w:jc w:val="center"/>
              <w:rPr>
                <w:sz w:val="18"/>
                <w:szCs w:val="18"/>
              </w:rPr>
            </w:pPr>
            <w:r w:rsidRPr="00786E82">
              <w:rPr>
                <w:sz w:val="18"/>
                <w:szCs w:val="18"/>
              </w:rPr>
              <w:t>1.7</w:t>
            </w:r>
          </w:p>
        </w:tc>
      </w:tr>
      <w:tr w:rsidR="006E243E" w:rsidRPr="00786E82" w14:paraId="0F07182E" w14:textId="77777777" w:rsidTr="00D60FFC">
        <w:tc>
          <w:tcPr>
            <w:tcW w:w="0" w:type="auto"/>
            <w:hideMark/>
          </w:tcPr>
          <w:p w14:paraId="6863EA09" w14:textId="77777777" w:rsidR="006E243E" w:rsidRPr="00786E82" w:rsidRDefault="006E243E">
            <w:pPr>
              <w:pStyle w:val="NormalWeb"/>
              <w:rPr>
                <w:sz w:val="18"/>
                <w:szCs w:val="18"/>
              </w:rPr>
            </w:pPr>
            <w:r w:rsidRPr="00786E82">
              <w:rPr>
                <w:sz w:val="18"/>
                <w:szCs w:val="18"/>
              </w:rPr>
              <w:t>Hepatitis C – Unspecified</w:t>
            </w:r>
          </w:p>
        </w:tc>
        <w:tc>
          <w:tcPr>
            <w:tcW w:w="1700" w:type="dxa"/>
            <w:hideMark/>
          </w:tcPr>
          <w:p w14:paraId="5C1647EA" w14:textId="77777777" w:rsidR="006E243E" w:rsidRPr="00786E82" w:rsidRDefault="006E243E" w:rsidP="00D60FFC">
            <w:pPr>
              <w:pStyle w:val="NormalWeb"/>
              <w:jc w:val="center"/>
              <w:rPr>
                <w:sz w:val="18"/>
                <w:szCs w:val="18"/>
              </w:rPr>
            </w:pPr>
            <w:r w:rsidRPr="00786E82">
              <w:rPr>
                <w:sz w:val="18"/>
                <w:szCs w:val="18"/>
              </w:rPr>
              <w:t>2,339</w:t>
            </w:r>
          </w:p>
        </w:tc>
        <w:tc>
          <w:tcPr>
            <w:tcW w:w="1701" w:type="dxa"/>
            <w:hideMark/>
          </w:tcPr>
          <w:p w14:paraId="5DD1C462" w14:textId="77777777" w:rsidR="006E243E" w:rsidRPr="00786E82" w:rsidRDefault="006E243E" w:rsidP="00D60FFC">
            <w:pPr>
              <w:pStyle w:val="NormalWeb"/>
              <w:jc w:val="center"/>
              <w:rPr>
                <w:sz w:val="18"/>
                <w:szCs w:val="18"/>
              </w:rPr>
            </w:pPr>
            <w:r w:rsidRPr="00786E82">
              <w:rPr>
                <w:sz w:val="18"/>
                <w:szCs w:val="18"/>
              </w:rPr>
              <w:t>3.0</w:t>
            </w:r>
          </w:p>
        </w:tc>
        <w:tc>
          <w:tcPr>
            <w:tcW w:w="1700" w:type="dxa"/>
            <w:hideMark/>
          </w:tcPr>
          <w:p w14:paraId="5367BE6A" w14:textId="77777777" w:rsidR="006E243E" w:rsidRPr="00786E82" w:rsidRDefault="006E243E" w:rsidP="00D60FFC">
            <w:pPr>
              <w:pStyle w:val="NormalWeb"/>
              <w:jc w:val="center"/>
              <w:rPr>
                <w:sz w:val="18"/>
                <w:szCs w:val="18"/>
              </w:rPr>
            </w:pPr>
            <w:r w:rsidRPr="00786E82">
              <w:rPr>
                <w:sz w:val="18"/>
                <w:szCs w:val="18"/>
              </w:rPr>
              <w:t>1,889</w:t>
            </w:r>
          </w:p>
        </w:tc>
        <w:tc>
          <w:tcPr>
            <w:tcW w:w="1701" w:type="dxa"/>
            <w:hideMark/>
          </w:tcPr>
          <w:p w14:paraId="4E00C80A" w14:textId="77777777" w:rsidR="006E243E" w:rsidRPr="00786E82" w:rsidRDefault="006E243E" w:rsidP="00D60FFC">
            <w:pPr>
              <w:pStyle w:val="NormalWeb"/>
              <w:jc w:val="center"/>
              <w:rPr>
                <w:sz w:val="18"/>
                <w:szCs w:val="18"/>
              </w:rPr>
            </w:pPr>
            <w:r w:rsidRPr="00786E82">
              <w:rPr>
                <w:sz w:val="18"/>
                <w:szCs w:val="18"/>
              </w:rPr>
              <w:t>1.6</w:t>
            </w:r>
          </w:p>
        </w:tc>
      </w:tr>
      <w:tr w:rsidR="006E243E" w:rsidRPr="00786E82" w14:paraId="3220EBDD" w14:textId="77777777" w:rsidTr="00D60FFC">
        <w:trPr>
          <w:cnfStyle w:val="000000010000" w:firstRow="0" w:lastRow="0" w:firstColumn="0" w:lastColumn="0" w:oddVBand="0" w:evenVBand="0" w:oddHBand="0" w:evenHBand="1" w:firstRowFirstColumn="0" w:firstRowLastColumn="0" w:lastRowFirstColumn="0" w:lastRowLastColumn="0"/>
        </w:trPr>
        <w:tc>
          <w:tcPr>
            <w:tcW w:w="0" w:type="auto"/>
            <w:hideMark/>
          </w:tcPr>
          <w:p w14:paraId="1E374972" w14:textId="77777777" w:rsidR="006E243E" w:rsidRPr="00786E82" w:rsidRDefault="006E243E">
            <w:pPr>
              <w:pStyle w:val="NormalWeb"/>
              <w:rPr>
                <w:sz w:val="18"/>
                <w:szCs w:val="18"/>
              </w:rPr>
            </w:pPr>
            <w:r w:rsidRPr="00786E82">
              <w:rPr>
                <w:sz w:val="18"/>
                <w:szCs w:val="18"/>
              </w:rPr>
              <w:t>Hepatitis B – Unspecified</w:t>
            </w:r>
          </w:p>
        </w:tc>
        <w:tc>
          <w:tcPr>
            <w:tcW w:w="1700" w:type="dxa"/>
            <w:hideMark/>
          </w:tcPr>
          <w:p w14:paraId="4A095EC0" w14:textId="77777777" w:rsidR="006E243E" w:rsidRPr="00786E82" w:rsidRDefault="006E243E" w:rsidP="00D60FFC">
            <w:pPr>
              <w:pStyle w:val="NormalWeb"/>
              <w:jc w:val="center"/>
              <w:rPr>
                <w:sz w:val="18"/>
                <w:szCs w:val="18"/>
              </w:rPr>
            </w:pPr>
            <w:r w:rsidRPr="00786E82">
              <w:rPr>
                <w:sz w:val="18"/>
                <w:szCs w:val="18"/>
              </w:rPr>
              <w:t>1,816</w:t>
            </w:r>
          </w:p>
        </w:tc>
        <w:tc>
          <w:tcPr>
            <w:tcW w:w="1701" w:type="dxa"/>
            <w:hideMark/>
          </w:tcPr>
          <w:p w14:paraId="6484B866" w14:textId="77777777" w:rsidR="006E243E" w:rsidRPr="00786E82" w:rsidRDefault="006E243E" w:rsidP="00D60FFC">
            <w:pPr>
              <w:pStyle w:val="NormalWeb"/>
              <w:jc w:val="center"/>
              <w:rPr>
                <w:sz w:val="18"/>
                <w:szCs w:val="18"/>
              </w:rPr>
            </w:pPr>
            <w:r w:rsidRPr="00786E82">
              <w:rPr>
                <w:sz w:val="18"/>
                <w:szCs w:val="18"/>
              </w:rPr>
              <w:t>2.4</w:t>
            </w:r>
          </w:p>
        </w:tc>
        <w:tc>
          <w:tcPr>
            <w:tcW w:w="1700" w:type="dxa"/>
            <w:hideMark/>
          </w:tcPr>
          <w:p w14:paraId="52A31A4A" w14:textId="77777777" w:rsidR="006E243E" w:rsidRPr="00786E82" w:rsidRDefault="006E243E" w:rsidP="00D60FFC">
            <w:pPr>
              <w:pStyle w:val="NormalWeb"/>
              <w:jc w:val="center"/>
              <w:rPr>
                <w:sz w:val="18"/>
                <w:szCs w:val="18"/>
              </w:rPr>
            </w:pPr>
            <w:r w:rsidRPr="00786E82">
              <w:rPr>
                <w:sz w:val="18"/>
                <w:szCs w:val="18"/>
              </w:rPr>
              <w:t>1,759</w:t>
            </w:r>
          </w:p>
        </w:tc>
        <w:tc>
          <w:tcPr>
            <w:tcW w:w="1701" w:type="dxa"/>
            <w:hideMark/>
          </w:tcPr>
          <w:p w14:paraId="56345EAD" w14:textId="77777777" w:rsidR="006E243E" w:rsidRPr="00786E82" w:rsidRDefault="006E243E" w:rsidP="00D60FFC">
            <w:pPr>
              <w:pStyle w:val="NormalWeb"/>
              <w:jc w:val="center"/>
              <w:rPr>
                <w:sz w:val="18"/>
                <w:szCs w:val="18"/>
              </w:rPr>
            </w:pPr>
            <w:r w:rsidRPr="00786E82">
              <w:rPr>
                <w:sz w:val="18"/>
                <w:szCs w:val="18"/>
              </w:rPr>
              <w:t>1.5</w:t>
            </w:r>
          </w:p>
        </w:tc>
      </w:tr>
      <w:tr w:rsidR="006E243E" w:rsidRPr="00786E82" w14:paraId="3EE4E3CF" w14:textId="77777777" w:rsidTr="00D60FFC">
        <w:tc>
          <w:tcPr>
            <w:tcW w:w="0" w:type="auto"/>
            <w:hideMark/>
          </w:tcPr>
          <w:p w14:paraId="34054F08" w14:textId="77777777" w:rsidR="006E243E" w:rsidRPr="00786E82" w:rsidRDefault="006E243E">
            <w:pPr>
              <w:pStyle w:val="NormalWeb"/>
              <w:rPr>
                <w:sz w:val="18"/>
                <w:szCs w:val="18"/>
              </w:rPr>
            </w:pPr>
            <w:r w:rsidRPr="00786E82">
              <w:rPr>
                <w:sz w:val="18"/>
                <w:szCs w:val="18"/>
              </w:rPr>
              <w:t xml:space="preserve">All other notifiable </w:t>
            </w:r>
            <w:proofErr w:type="spellStart"/>
            <w:r w:rsidRPr="00786E82">
              <w:rPr>
                <w:sz w:val="18"/>
                <w:szCs w:val="18"/>
              </w:rPr>
              <w:t>conditions</w:t>
            </w:r>
            <w:r w:rsidRPr="00786E82">
              <w:rPr>
                <w:sz w:val="18"/>
                <w:szCs w:val="18"/>
                <w:vertAlign w:val="superscript"/>
              </w:rPr>
              <w:t>a</w:t>
            </w:r>
            <w:proofErr w:type="spellEnd"/>
          </w:p>
        </w:tc>
        <w:tc>
          <w:tcPr>
            <w:tcW w:w="1700" w:type="dxa"/>
            <w:hideMark/>
          </w:tcPr>
          <w:p w14:paraId="4AB5C644" w14:textId="77777777" w:rsidR="006E243E" w:rsidRPr="00786E82" w:rsidRDefault="006E243E" w:rsidP="00D60FFC">
            <w:pPr>
              <w:pStyle w:val="NormalWeb"/>
              <w:jc w:val="center"/>
              <w:rPr>
                <w:sz w:val="18"/>
                <w:szCs w:val="18"/>
              </w:rPr>
            </w:pPr>
            <w:r w:rsidRPr="00786E82">
              <w:rPr>
                <w:sz w:val="18"/>
                <w:szCs w:val="18"/>
              </w:rPr>
              <w:t>7,502</w:t>
            </w:r>
          </w:p>
        </w:tc>
        <w:tc>
          <w:tcPr>
            <w:tcW w:w="1701" w:type="dxa"/>
            <w:hideMark/>
          </w:tcPr>
          <w:p w14:paraId="3A83E8CF" w14:textId="77777777" w:rsidR="006E243E" w:rsidRPr="00786E82" w:rsidRDefault="006E243E" w:rsidP="00D60FFC">
            <w:pPr>
              <w:pStyle w:val="NormalWeb"/>
              <w:jc w:val="center"/>
              <w:rPr>
                <w:sz w:val="18"/>
                <w:szCs w:val="18"/>
              </w:rPr>
            </w:pPr>
            <w:r w:rsidRPr="00786E82">
              <w:rPr>
                <w:sz w:val="18"/>
                <w:szCs w:val="18"/>
              </w:rPr>
              <w:t>9.8</w:t>
            </w:r>
          </w:p>
        </w:tc>
        <w:tc>
          <w:tcPr>
            <w:tcW w:w="1700" w:type="dxa"/>
            <w:hideMark/>
          </w:tcPr>
          <w:p w14:paraId="71871953" w14:textId="77777777" w:rsidR="006E243E" w:rsidRPr="00786E82" w:rsidRDefault="006E243E" w:rsidP="00D60FFC">
            <w:pPr>
              <w:pStyle w:val="NormalWeb"/>
              <w:jc w:val="center"/>
              <w:rPr>
                <w:sz w:val="18"/>
                <w:szCs w:val="18"/>
              </w:rPr>
            </w:pPr>
            <w:r w:rsidRPr="00786E82">
              <w:rPr>
                <w:sz w:val="18"/>
                <w:szCs w:val="18"/>
              </w:rPr>
              <w:t>9,743</w:t>
            </w:r>
          </w:p>
        </w:tc>
        <w:tc>
          <w:tcPr>
            <w:tcW w:w="1701" w:type="dxa"/>
            <w:hideMark/>
          </w:tcPr>
          <w:p w14:paraId="66E373F8" w14:textId="77777777" w:rsidR="006E243E" w:rsidRPr="00786E82" w:rsidRDefault="006E243E" w:rsidP="00D60FFC">
            <w:pPr>
              <w:pStyle w:val="NormalWeb"/>
              <w:jc w:val="center"/>
              <w:rPr>
                <w:sz w:val="18"/>
                <w:szCs w:val="18"/>
              </w:rPr>
            </w:pPr>
            <w:r w:rsidRPr="00786E82">
              <w:rPr>
                <w:sz w:val="18"/>
                <w:szCs w:val="18"/>
              </w:rPr>
              <w:t>8.4</w:t>
            </w:r>
          </w:p>
        </w:tc>
      </w:tr>
      <w:tr w:rsidR="006E243E" w:rsidRPr="002B5FF3" w14:paraId="396D8D12" w14:textId="77777777" w:rsidTr="002B5FF3">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6E04598F" w14:textId="0D59527B" w:rsidR="006E243E" w:rsidRPr="00957A93" w:rsidRDefault="006E243E" w:rsidP="00846DEF">
            <w:pPr>
              <w:pStyle w:val="NormalWeb"/>
              <w:rPr>
                <w:b/>
                <w:sz w:val="18"/>
                <w:szCs w:val="18"/>
                <w:vertAlign w:val="superscript"/>
              </w:rPr>
            </w:pPr>
            <w:r w:rsidRPr="002B5FF3">
              <w:rPr>
                <w:b/>
                <w:sz w:val="18"/>
                <w:szCs w:val="18"/>
              </w:rPr>
              <w:t xml:space="preserve">All </w:t>
            </w:r>
            <w:proofErr w:type="spellStart"/>
            <w:r w:rsidRPr="002B5FF3">
              <w:rPr>
                <w:b/>
                <w:sz w:val="18"/>
                <w:szCs w:val="18"/>
              </w:rPr>
              <w:t>Conditions</w:t>
            </w:r>
            <w:r w:rsidR="00846DEF">
              <w:rPr>
                <w:b/>
                <w:sz w:val="18"/>
                <w:szCs w:val="18"/>
                <w:vertAlign w:val="superscript"/>
              </w:rPr>
              <w:t>a</w:t>
            </w:r>
            <w:proofErr w:type="spellEnd"/>
          </w:p>
        </w:tc>
        <w:tc>
          <w:tcPr>
            <w:tcW w:w="1700" w:type="dxa"/>
            <w:shd w:val="clear" w:color="auto" w:fill="FDE9D9" w:themeFill="accent6" w:themeFillTint="33"/>
            <w:hideMark/>
          </w:tcPr>
          <w:p w14:paraId="37ECA93A" w14:textId="77777777" w:rsidR="006E243E" w:rsidRPr="002B5FF3" w:rsidRDefault="006E243E" w:rsidP="00D60FFC">
            <w:pPr>
              <w:pStyle w:val="NormalWeb"/>
              <w:jc w:val="center"/>
              <w:rPr>
                <w:b/>
                <w:sz w:val="18"/>
                <w:szCs w:val="18"/>
              </w:rPr>
            </w:pPr>
            <w:r w:rsidRPr="002B5FF3">
              <w:rPr>
                <w:b/>
                <w:sz w:val="18"/>
                <w:szCs w:val="18"/>
              </w:rPr>
              <w:t>76,904</w:t>
            </w:r>
          </w:p>
        </w:tc>
        <w:tc>
          <w:tcPr>
            <w:tcW w:w="1701" w:type="dxa"/>
            <w:shd w:val="clear" w:color="auto" w:fill="FDE9D9" w:themeFill="accent6" w:themeFillTint="33"/>
            <w:hideMark/>
          </w:tcPr>
          <w:p w14:paraId="0D24EDAA" w14:textId="77777777" w:rsidR="006E243E" w:rsidRPr="002B5FF3" w:rsidRDefault="006E243E" w:rsidP="00D60FFC">
            <w:pPr>
              <w:jc w:val="center"/>
              <w:rPr>
                <w:b/>
                <w:sz w:val="18"/>
                <w:szCs w:val="18"/>
              </w:rPr>
            </w:pPr>
          </w:p>
        </w:tc>
        <w:tc>
          <w:tcPr>
            <w:tcW w:w="1700" w:type="dxa"/>
            <w:shd w:val="clear" w:color="auto" w:fill="FDE9D9" w:themeFill="accent6" w:themeFillTint="33"/>
            <w:hideMark/>
          </w:tcPr>
          <w:p w14:paraId="5CBE5332" w14:textId="77777777" w:rsidR="006E243E" w:rsidRPr="002B5FF3" w:rsidRDefault="006E243E" w:rsidP="00D60FFC">
            <w:pPr>
              <w:pStyle w:val="NormalWeb"/>
              <w:jc w:val="center"/>
              <w:rPr>
                <w:b/>
                <w:sz w:val="18"/>
                <w:szCs w:val="18"/>
              </w:rPr>
            </w:pPr>
            <w:r w:rsidRPr="002B5FF3">
              <w:rPr>
                <w:b/>
                <w:sz w:val="18"/>
                <w:szCs w:val="18"/>
              </w:rPr>
              <w:t>115,318</w:t>
            </w:r>
          </w:p>
        </w:tc>
        <w:tc>
          <w:tcPr>
            <w:tcW w:w="1701" w:type="dxa"/>
            <w:shd w:val="clear" w:color="auto" w:fill="FDE9D9" w:themeFill="accent6" w:themeFillTint="33"/>
            <w:hideMark/>
          </w:tcPr>
          <w:p w14:paraId="0C8A8719" w14:textId="77777777" w:rsidR="006E243E" w:rsidRPr="002B5FF3" w:rsidRDefault="006E243E" w:rsidP="00D60FFC">
            <w:pPr>
              <w:jc w:val="center"/>
              <w:rPr>
                <w:b/>
                <w:sz w:val="18"/>
                <w:szCs w:val="18"/>
              </w:rPr>
            </w:pPr>
          </w:p>
        </w:tc>
      </w:tr>
    </w:tbl>
    <w:p w14:paraId="3AC9ADDA" w14:textId="77777777" w:rsidR="006E243E" w:rsidRDefault="006E243E" w:rsidP="00840AD3">
      <w:pPr>
        <w:pStyle w:val="CDIfootnotes"/>
        <w:rPr>
          <w:sz w:val="24"/>
          <w:szCs w:val="24"/>
        </w:rPr>
      </w:pPr>
      <w:r>
        <w:t>a</w:t>
      </w:r>
      <w:r>
        <w:tab/>
        <w:t xml:space="preserve">Excludes blood lead levels &gt;5 </w:t>
      </w:r>
      <w:proofErr w:type="spellStart"/>
      <w:r>
        <w:t>μg</w:t>
      </w:r>
      <w:proofErr w:type="spellEnd"/>
      <w:r>
        <w:t>/dL and food and water-borne illnesses with two or more related cases</w:t>
      </w:r>
    </w:p>
    <w:p w14:paraId="661F5484" w14:textId="77777777" w:rsidR="006E243E" w:rsidRPr="006E243E" w:rsidRDefault="006E243E" w:rsidP="006E243E">
      <w:pPr>
        <w:pStyle w:val="Heading2"/>
      </w:pPr>
      <w:r w:rsidRPr="006E243E">
        <w:t>Notifier Type</w:t>
      </w:r>
    </w:p>
    <w:p w14:paraId="5AFA415D" w14:textId="77777777" w:rsidR="00754A60" w:rsidRDefault="006E243E" w:rsidP="006E243E">
      <w:pPr>
        <w:sectPr w:rsidR="00754A60"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For cases included in the notifier-type analysis (n=104,045 cases), a total of 49,939 cases (47.9%) were dual notified, 49,933 cases (47.9%) were notified by laboratory alone and 4,173 cases (4.0%) by doctor alone. The proportion of cases dual notified varied by condition (Figure 1). For cases notified by a doctor alone, more than half (56.2%; 2,346 cases) were for two conditions for which the probable case definition does not require laboratory evidence: varicella zoster infection (shingles and chickenpox). For routine conditions in 2016 and 2017, the most common method of doctor notification was facsimile (60.0%) followed by online (23.9%).</w:t>
      </w:r>
    </w:p>
    <w:p w14:paraId="4DAA7ED3" w14:textId="77777777" w:rsidR="006E243E" w:rsidRDefault="006E243E" w:rsidP="00BB45B6">
      <w:pPr>
        <w:pStyle w:val="CDIFigures"/>
      </w:pPr>
      <w:r>
        <w:lastRenderedPageBreak/>
        <w:t>Figure 1. Type of notifier by condition and disease grouping for notified cases in Victoria, 2016 and 2017.</w:t>
      </w:r>
      <w:r w:rsidRPr="00754A60">
        <w:rPr>
          <w:vertAlign w:val="superscript"/>
        </w:rPr>
        <w:t>a</w:t>
      </w:r>
    </w:p>
    <w:p w14:paraId="20D05007" w14:textId="77777777" w:rsidR="006E243E" w:rsidRDefault="006E243E">
      <w:pPr>
        <w:pStyle w:val="NormalWeb"/>
      </w:pPr>
      <w:r>
        <w:rPr>
          <w:noProof/>
        </w:rPr>
        <w:drawing>
          <wp:inline distT="0" distB="0" distL="0" distR="0" wp14:anchorId="09B6DF5E" wp14:editId="3A3FF08C">
            <wp:extent cx="9363600" cy="5454000"/>
            <wp:effectExtent l="0" t="0" r="0" b="0"/>
            <wp:docPr id="2" name="Picture 2" descr="Figure 1 shows per cent of cases notified by a doctor only, laboratory only or both laboratory and doctor by condition and disease grouping for cases notified in Victoria for 2016 and 2017 combined. A feature of this figure is the difference in notifier type by condition. For example, 236/237 (99.6%) of newly acquired HIV infection cases were notified by both doctor and laboratory. In contrast, 11,760/12,307 (95.6%) of varicella zoster unspecified cases were notified by only the labor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per cent of cases notified by a doctor only, laboratory only or both laboratory and doctor by condition and disease grouping for cases notified in Victoria for 2016 and 2017 combined. A feature of this figure is the difference in notifier type by condition. For example, 236/237 (99.6%) of newly acquired HIV infection cases were notified by both doctor and laboratory. In contrast, 11,760/12,307 (95.6%) of varicella zoster unspecified cases were notified by only the laborat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63600" cy="5454000"/>
                    </a:xfrm>
                    <a:prstGeom prst="rect">
                      <a:avLst/>
                    </a:prstGeom>
                    <a:noFill/>
                    <a:ln>
                      <a:noFill/>
                    </a:ln>
                  </pic:spPr>
                </pic:pic>
              </a:graphicData>
            </a:graphic>
          </wp:inline>
        </w:drawing>
      </w:r>
    </w:p>
    <w:p w14:paraId="729ADB2E" w14:textId="77777777" w:rsidR="006E243E" w:rsidRDefault="006E243E" w:rsidP="006E243E">
      <w:pPr>
        <w:pStyle w:val="CDIfootnotes"/>
      </w:pPr>
      <w:r>
        <w:t xml:space="preserve">a </w:t>
      </w:r>
      <w:r>
        <w:tab/>
        <w:t xml:space="preserve">Total number of confirmed and probable cases notified in parentheses excluding notified cases of chlamydial infection, elevated blood lead levels &gt;5 </w:t>
      </w:r>
      <w:proofErr w:type="spellStart"/>
      <w:r>
        <w:t>μg</w:t>
      </w:r>
      <w:proofErr w:type="spellEnd"/>
      <w:r>
        <w:t xml:space="preserve">/dL, food and water-borne illnesses with two or more related cases and cases notified by only DHHS and other health departments. The following conditions, not included in the above figure, had 1–20 cases notified: Creutzfeldt-Jakob disease (19 cases), flavivirus (17 cases), haemolytic uraemic syndrome (7 cases), Haemophilus influenzae type b infection (6 cases), rubella (4 cases), diphtheria (3 cases), syphilis – congenital (2 </w:t>
      </w:r>
      <w:r>
        <w:lastRenderedPageBreak/>
        <w:t xml:space="preserve">cases), tetanus (2 cases), leprosy (2 cases), Cholera (1 case), brucellosis (1 case), </w:t>
      </w:r>
      <w:proofErr w:type="spellStart"/>
      <w:r>
        <w:t>Kunjin</w:t>
      </w:r>
      <w:proofErr w:type="spellEnd"/>
      <w:r>
        <w:t xml:space="preserve"> virus infection (1 case), Japanese encephalitis (1 case). No confirmed or probable notifications were received for 14 notifiable conditions: Anthrax, Arbovirus, Botulism, Donovanosis, hepatitis (viral), lyssavirus, Murray Valley encephalitis, MERS-</w:t>
      </w:r>
      <w:proofErr w:type="spellStart"/>
      <w:r>
        <w:t>CoV</w:t>
      </w:r>
      <w:proofErr w:type="spellEnd"/>
      <w:r>
        <w:t xml:space="preserve">, plague, poliomyelitis, rabies, severe acute respiratory syndrome (SARS), smallpox, tularaemia, viral haemorrhagic fevers, yellow </w:t>
      </w:r>
      <w:proofErr w:type="gramStart"/>
      <w:r>
        <w:t>fever</w:t>
      </w:r>
      <w:proofErr w:type="gramEnd"/>
    </w:p>
    <w:p w14:paraId="39D76E38" w14:textId="77777777" w:rsidR="00754A60" w:rsidRDefault="006E243E" w:rsidP="00754A60">
      <w:pPr>
        <w:pStyle w:val="CDIfootnotes"/>
        <w:sectPr w:rsidR="00754A60" w:rsidSect="00754A60">
          <w:pgSz w:w="16838" w:h="11906" w:orient="landscape"/>
          <w:pgMar w:top="720" w:right="720" w:bottom="720" w:left="1134" w:header="709" w:footer="284" w:gutter="0"/>
          <w:cols w:space="708"/>
          <w:titlePg/>
          <w:docGrid w:linePitch="360"/>
        </w:sectPr>
      </w:pPr>
      <w:r>
        <w:t xml:space="preserve">b </w:t>
      </w:r>
      <w:r>
        <w:tab/>
        <w:t>Excludes notified cases of influenza with an event date between 31 July – 31 October 2017.</w:t>
      </w:r>
    </w:p>
    <w:p w14:paraId="18AC3396" w14:textId="77777777" w:rsidR="006E243E" w:rsidRDefault="006E243E">
      <w:pPr>
        <w:pStyle w:val="Heading2"/>
        <w:rPr>
          <w:rFonts w:eastAsia="Times New Roman"/>
        </w:rPr>
      </w:pPr>
      <w:r>
        <w:rPr>
          <w:rFonts w:eastAsia="Times New Roman"/>
        </w:rPr>
        <w:lastRenderedPageBreak/>
        <w:t>Days to Notification</w:t>
      </w:r>
    </w:p>
    <w:p w14:paraId="2143C1C8" w14:textId="77777777" w:rsidR="006E243E" w:rsidRDefault="006E243E">
      <w:pPr>
        <w:pStyle w:val="NormalWeb"/>
      </w:pPr>
      <w:r>
        <w:t xml:space="preserve">For cases included in the time-to-notification analysis (n=190,765), the median time-to-notification for urgent conditions was 0 days (IQR 0–1 day) and for routine conditions was 0 days (IQR 0–2 days). For conditions included in the time-and-notifier-type analysis (n=102,927), the overall proportion of urgent cases received by DHHS on the same date they were authorised by the notifying laboratory or doctor was significantly higher in 2017 compared with 2016 (71.9% vs. 59.6%; RR 1.21 (95%CI: 1.08 – 1.35) </w:t>
      </w:r>
      <w:r w:rsidRPr="00684CC6">
        <w:rPr>
          <w:rStyle w:val="Emphasis"/>
          <w:b w:val="0"/>
        </w:rPr>
        <w:t>p</w:t>
      </w:r>
      <w:r>
        <w:t xml:space="preserve"> &lt;0.001) (Table 2). In contrast, routine cases were less likely to be notified within the legislated five day timeframe in 2017 compared with 2016 (84.1% vs. 85.1%; RR 0.99 (95%CI: 0.98 – 0.99), </w:t>
      </w:r>
      <w:r w:rsidRPr="00684CC6">
        <w:rPr>
          <w:rStyle w:val="Emphasis"/>
          <w:b w:val="0"/>
        </w:rPr>
        <w:t>p&lt;0</w:t>
      </w:r>
      <w:r>
        <w:t xml:space="preserve"> .001). For routine conditions notified by a doctor, the proportion of notifications received within the legislated timeframe varied by method, ranging from 79.4% for post to 96.4% for online.</w:t>
      </w:r>
    </w:p>
    <w:p w14:paraId="3F6DE9A7" w14:textId="77777777" w:rsidR="006E243E" w:rsidRDefault="006E243E" w:rsidP="002916AC">
      <w:pPr>
        <w:pStyle w:val="CDIFigures"/>
      </w:pPr>
      <w:r>
        <w:t>Table 2. Cases notified within 0 days, 1–5 days, and &gt;5 days of the earliest signature date, by condition group and notifier type, Victoria 2016 and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per cent of cases notified within 0 days, 1-5 days, and &gt;5 days of the earliest signature date, by condition group and notifier type in Victoria in 2016 and 2017 for cases included in the time-and-notifier-type analysis (n=102,927 cases).&#10;"/>
      </w:tblPr>
      <w:tblGrid>
        <w:gridCol w:w="760"/>
        <w:gridCol w:w="1154"/>
        <w:gridCol w:w="1155"/>
        <w:gridCol w:w="1154"/>
        <w:gridCol w:w="1155"/>
        <w:gridCol w:w="1154"/>
        <w:gridCol w:w="1155"/>
        <w:gridCol w:w="1154"/>
        <w:gridCol w:w="1155"/>
      </w:tblGrid>
      <w:tr w:rsidR="006E243E" w:rsidRPr="00C81508" w14:paraId="4EDAB157" w14:textId="77777777" w:rsidTr="00B845B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76A976E5" w14:textId="77777777" w:rsidR="006E243E" w:rsidRPr="00C81508" w:rsidRDefault="006E243E">
            <w:pPr>
              <w:rPr>
                <w:color w:val="FFFFFF" w:themeColor="background1"/>
                <w:sz w:val="18"/>
                <w:szCs w:val="18"/>
              </w:rPr>
            </w:pPr>
          </w:p>
        </w:tc>
        <w:tc>
          <w:tcPr>
            <w:tcW w:w="9236" w:type="dxa"/>
            <w:gridSpan w:val="8"/>
            <w:hideMark/>
          </w:tcPr>
          <w:p w14:paraId="5E43171E"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 xml:space="preserve">% Notified Cases Received within Stated Days of Signature </w:t>
            </w:r>
            <w:proofErr w:type="spellStart"/>
            <w:r w:rsidRPr="00C81508">
              <w:rPr>
                <w:color w:val="FFFFFF" w:themeColor="background1"/>
                <w:sz w:val="18"/>
                <w:szCs w:val="18"/>
              </w:rPr>
              <w:t>Date</w:t>
            </w:r>
            <w:r w:rsidRPr="00C81508">
              <w:rPr>
                <w:color w:val="FFFFFF" w:themeColor="background1"/>
                <w:sz w:val="18"/>
                <w:szCs w:val="18"/>
                <w:vertAlign w:val="superscript"/>
              </w:rPr>
              <w:t>a</w:t>
            </w:r>
            <w:proofErr w:type="spellEnd"/>
          </w:p>
        </w:tc>
      </w:tr>
      <w:tr w:rsidR="006E243E" w:rsidRPr="00C81508" w14:paraId="2BD120C3" w14:textId="77777777" w:rsidTr="00B845B1">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6D22F79" w14:textId="77777777" w:rsidR="006E243E" w:rsidRPr="00C81508" w:rsidRDefault="006E243E">
            <w:pPr>
              <w:rPr>
                <w:color w:val="FFFFFF" w:themeColor="background1"/>
                <w:sz w:val="18"/>
                <w:szCs w:val="18"/>
              </w:rPr>
            </w:pPr>
          </w:p>
        </w:tc>
        <w:tc>
          <w:tcPr>
            <w:tcW w:w="2309" w:type="dxa"/>
            <w:gridSpan w:val="2"/>
            <w:hideMark/>
          </w:tcPr>
          <w:p w14:paraId="3873F8C5"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Both Laboratory and Doctor</w:t>
            </w:r>
          </w:p>
        </w:tc>
        <w:tc>
          <w:tcPr>
            <w:tcW w:w="2309" w:type="dxa"/>
            <w:gridSpan w:val="2"/>
            <w:hideMark/>
          </w:tcPr>
          <w:p w14:paraId="541B5FCD"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Doctor Only</w:t>
            </w:r>
          </w:p>
        </w:tc>
        <w:tc>
          <w:tcPr>
            <w:tcW w:w="2309" w:type="dxa"/>
            <w:gridSpan w:val="2"/>
            <w:hideMark/>
          </w:tcPr>
          <w:p w14:paraId="39372B31"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Laboratory Only</w:t>
            </w:r>
          </w:p>
        </w:tc>
        <w:tc>
          <w:tcPr>
            <w:tcW w:w="2309" w:type="dxa"/>
            <w:gridSpan w:val="2"/>
            <w:hideMark/>
          </w:tcPr>
          <w:p w14:paraId="1480C9F9"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Total</w:t>
            </w:r>
          </w:p>
        </w:tc>
      </w:tr>
      <w:tr w:rsidR="006E243E" w:rsidRPr="00C81508" w14:paraId="198E41B1" w14:textId="77777777" w:rsidTr="00B845B1">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0E2A160" w14:textId="77777777" w:rsidR="006E243E" w:rsidRPr="00C81508" w:rsidRDefault="006E243E">
            <w:pPr>
              <w:rPr>
                <w:color w:val="FFFFFF" w:themeColor="background1"/>
                <w:sz w:val="18"/>
                <w:szCs w:val="18"/>
              </w:rPr>
            </w:pPr>
          </w:p>
        </w:tc>
        <w:tc>
          <w:tcPr>
            <w:tcW w:w="1154" w:type="dxa"/>
            <w:hideMark/>
          </w:tcPr>
          <w:p w14:paraId="61558CC1"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2016</w:t>
            </w:r>
          </w:p>
        </w:tc>
        <w:tc>
          <w:tcPr>
            <w:tcW w:w="1155" w:type="dxa"/>
            <w:hideMark/>
          </w:tcPr>
          <w:p w14:paraId="2A05C0C0"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2017</w:t>
            </w:r>
          </w:p>
        </w:tc>
        <w:tc>
          <w:tcPr>
            <w:tcW w:w="1154" w:type="dxa"/>
            <w:hideMark/>
          </w:tcPr>
          <w:p w14:paraId="39C04A29"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2016</w:t>
            </w:r>
          </w:p>
        </w:tc>
        <w:tc>
          <w:tcPr>
            <w:tcW w:w="1155" w:type="dxa"/>
            <w:hideMark/>
          </w:tcPr>
          <w:p w14:paraId="20E9DA84"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2017</w:t>
            </w:r>
          </w:p>
        </w:tc>
        <w:tc>
          <w:tcPr>
            <w:tcW w:w="1154" w:type="dxa"/>
            <w:hideMark/>
          </w:tcPr>
          <w:p w14:paraId="4670C8B4"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2016</w:t>
            </w:r>
          </w:p>
        </w:tc>
        <w:tc>
          <w:tcPr>
            <w:tcW w:w="1155" w:type="dxa"/>
            <w:hideMark/>
          </w:tcPr>
          <w:p w14:paraId="6FD0778E"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2017</w:t>
            </w:r>
          </w:p>
        </w:tc>
        <w:tc>
          <w:tcPr>
            <w:tcW w:w="1154" w:type="dxa"/>
            <w:hideMark/>
          </w:tcPr>
          <w:p w14:paraId="2B877E72"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2016</w:t>
            </w:r>
          </w:p>
        </w:tc>
        <w:tc>
          <w:tcPr>
            <w:tcW w:w="1155" w:type="dxa"/>
            <w:hideMark/>
          </w:tcPr>
          <w:p w14:paraId="080A98A2" w14:textId="77777777" w:rsidR="006E243E" w:rsidRPr="00C81508" w:rsidRDefault="006E243E" w:rsidP="000C0672">
            <w:pPr>
              <w:pStyle w:val="NormalWeb"/>
              <w:jc w:val="center"/>
              <w:rPr>
                <w:color w:val="FFFFFF" w:themeColor="background1"/>
                <w:sz w:val="18"/>
                <w:szCs w:val="18"/>
              </w:rPr>
            </w:pPr>
            <w:r w:rsidRPr="00C81508">
              <w:rPr>
                <w:color w:val="FFFFFF" w:themeColor="background1"/>
                <w:sz w:val="18"/>
                <w:szCs w:val="18"/>
              </w:rPr>
              <w:t>2017</w:t>
            </w:r>
          </w:p>
        </w:tc>
      </w:tr>
      <w:tr w:rsidR="006321A5" w:rsidRPr="006321A5" w14:paraId="60B0E069" w14:textId="77777777" w:rsidTr="006321A5">
        <w:tc>
          <w:tcPr>
            <w:tcW w:w="9996" w:type="dxa"/>
            <w:gridSpan w:val="9"/>
            <w:shd w:val="clear" w:color="auto" w:fill="808080" w:themeFill="background1" w:themeFillShade="80"/>
            <w:hideMark/>
          </w:tcPr>
          <w:p w14:paraId="017AD7AE" w14:textId="77777777" w:rsidR="006E243E" w:rsidRPr="006321A5" w:rsidRDefault="006E243E" w:rsidP="000C0672">
            <w:pPr>
              <w:pStyle w:val="NormalWeb"/>
              <w:jc w:val="center"/>
              <w:rPr>
                <w:b/>
                <w:color w:val="FFFFFF" w:themeColor="background1"/>
                <w:sz w:val="18"/>
                <w:szCs w:val="18"/>
              </w:rPr>
            </w:pPr>
            <w:r w:rsidRPr="006321A5">
              <w:rPr>
                <w:b/>
                <w:color w:val="FFFFFF" w:themeColor="background1"/>
                <w:sz w:val="18"/>
                <w:szCs w:val="18"/>
              </w:rPr>
              <w:t>Urgent (Group A)</w:t>
            </w:r>
          </w:p>
        </w:tc>
      </w:tr>
      <w:tr w:rsidR="006E243E" w:rsidRPr="00C81508" w14:paraId="02AEA765" w14:textId="77777777" w:rsidTr="00B845B1">
        <w:trPr>
          <w:cnfStyle w:val="000000010000" w:firstRow="0" w:lastRow="0" w:firstColumn="0" w:lastColumn="0" w:oddVBand="0" w:evenVBand="0" w:oddHBand="0" w:evenHBand="1" w:firstRowFirstColumn="0" w:firstRowLastColumn="0" w:lastRowFirstColumn="0" w:lastRowLastColumn="0"/>
        </w:trPr>
        <w:tc>
          <w:tcPr>
            <w:tcW w:w="0" w:type="auto"/>
            <w:hideMark/>
          </w:tcPr>
          <w:p w14:paraId="7C9E10CE" w14:textId="77777777" w:rsidR="006E243E" w:rsidRPr="00C81508" w:rsidRDefault="006E243E">
            <w:pPr>
              <w:pStyle w:val="NormalWeb"/>
              <w:rPr>
                <w:sz w:val="18"/>
                <w:szCs w:val="18"/>
              </w:rPr>
            </w:pPr>
            <w:r w:rsidRPr="00C81508">
              <w:rPr>
                <w:sz w:val="18"/>
                <w:szCs w:val="18"/>
              </w:rPr>
              <w:t>0 days</w:t>
            </w:r>
          </w:p>
        </w:tc>
        <w:tc>
          <w:tcPr>
            <w:tcW w:w="1154" w:type="dxa"/>
            <w:hideMark/>
          </w:tcPr>
          <w:p w14:paraId="56F7B362" w14:textId="77777777" w:rsidR="006E243E" w:rsidRPr="00C81508" w:rsidRDefault="006E243E" w:rsidP="000C0672">
            <w:pPr>
              <w:pStyle w:val="NormalWeb"/>
              <w:jc w:val="center"/>
              <w:rPr>
                <w:sz w:val="18"/>
                <w:szCs w:val="18"/>
              </w:rPr>
            </w:pPr>
            <w:r w:rsidRPr="00C81508">
              <w:rPr>
                <w:sz w:val="18"/>
                <w:szCs w:val="18"/>
              </w:rPr>
              <w:t>60.7</w:t>
            </w:r>
          </w:p>
        </w:tc>
        <w:tc>
          <w:tcPr>
            <w:tcW w:w="1155" w:type="dxa"/>
            <w:hideMark/>
          </w:tcPr>
          <w:p w14:paraId="77A99CE0" w14:textId="77777777" w:rsidR="006E243E" w:rsidRPr="00C81508" w:rsidRDefault="006E243E" w:rsidP="000C0672">
            <w:pPr>
              <w:pStyle w:val="NormalWeb"/>
              <w:jc w:val="center"/>
              <w:rPr>
                <w:sz w:val="18"/>
                <w:szCs w:val="18"/>
              </w:rPr>
            </w:pPr>
            <w:r w:rsidRPr="00C81508">
              <w:rPr>
                <w:sz w:val="18"/>
                <w:szCs w:val="18"/>
              </w:rPr>
              <w:t>71.4</w:t>
            </w:r>
          </w:p>
        </w:tc>
        <w:tc>
          <w:tcPr>
            <w:tcW w:w="1154" w:type="dxa"/>
            <w:hideMark/>
          </w:tcPr>
          <w:p w14:paraId="40F43B41" w14:textId="77777777" w:rsidR="006E243E" w:rsidRPr="00C81508" w:rsidRDefault="006E243E" w:rsidP="000C0672">
            <w:pPr>
              <w:pStyle w:val="NormalWeb"/>
              <w:jc w:val="center"/>
              <w:rPr>
                <w:sz w:val="18"/>
                <w:szCs w:val="18"/>
              </w:rPr>
            </w:pPr>
            <w:r w:rsidRPr="00C81508">
              <w:rPr>
                <w:sz w:val="18"/>
                <w:szCs w:val="18"/>
              </w:rPr>
              <w:t>-</w:t>
            </w:r>
          </w:p>
        </w:tc>
        <w:tc>
          <w:tcPr>
            <w:tcW w:w="1155" w:type="dxa"/>
            <w:hideMark/>
          </w:tcPr>
          <w:p w14:paraId="74920C72" w14:textId="77777777" w:rsidR="006E243E" w:rsidRPr="00C81508" w:rsidRDefault="006E243E" w:rsidP="000C0672">
            <w:pPr>
              <w:pStyle w:val="NormalWeb"/>
              <w:jc w:val="center"/>
              <w:rPr>
                <w:sz w:val="18"/>
                <w:szCs w:val="18"/>
              </w:rPr>
            </w:pPr>
            <w:r w:rsidRPr="00C81508">
              <w:rPr>
                <w:sz w:val="18"/>
                <w:szCs w:val="18"/>
              </w:rPr>
              <w:t>100</w:t>
            </w:r>
          </w:p>
        </w:tc>
        <w:tc>
          <w:tcPr>
            <w:tcW w:w="1154" w:type="dxa"/>
            <w:hideMark/>
          </w:tcPr>
          <w:p w14:paraId="21F45778" w14:textId="77777777" w:rsidR="006E243E" w:rsidRPr="00C81508" w:rsidRDefault="006E243E" w:rsidP="000C0672">
            <w:pPr>
              <w:pStyle w:val="NormalWeb"/>
              <w:jc w:val="center"/>
              <w:rPr>
                <w:sz w:val="18"/>
                <w:szCs w:val="18"/>
              </w:rPr>
            </w:pPr>
            <w:r w:rsidRPr="00C81508">
              <w:rPr>
                <w:sz w:val="18"/>
                <w:szCs w:val="18"/>
              </w:rPr>
              <w:t>58.1</w:t>
            </w:r>
          </w:p>
        </w:tc>
        <w:tc>
          <w:tcPr>
            <w:tcW w:w="1155" w:type="dxa"/>
            <w:hideMark/>
          </w:tcPr>
          <w:p w14:paraId="35CC595B" w14:textId="77777777" w:rsidR="006E243E" w:rsidRPr="00C81508" w:rsidRDefault="006E243E" w:rsidP="000C0672">
            <w:pPr>
              <w:pStyle w:val="NormalWeb"/>
              <w:jc w:val="center"/>
              <w:rPr>
                <w:sz w:val="18"/>
                <w:szCs w:val="18"/>
              </w:rPr>
            </w:pPr>
            <w:r w:rsidRPr="00C81508">
              <w:rPr>
                <w:sz w:val="18"/>
                <w:szCs w:val="18"/>
              </w:rPr>
              <w:t>71.9</w:t>
            </w:r>
          </w:p>
        </w:tc>
        <w:tc>
          <w:tcPr>
            <w:tcW w:w="1154" w:type="dxa"/>
            <w:hideMark/>
          </w:tcPr>
          <w:p w14:paraId="7B8CCBD3" w14:textId="77777777" w:rsidR="006E243E" w:rsidRPr="00C81508" w:rsidRDefault="006E243E" w:rsidP="000C0672">
            <w:pPr>
              <w:pStyle w:val="NormalWeb"/>
              <w:jc w:val="center"/>
              <w:rPr>
                <w:sz w:val="18"/>
                <w:szCs w:val="18"/>
              </w:rPr>
            </w:pPr>
            <w:r w:rsidRPr="00C81508">
              <w:rPr>
                <w:sz w:val="18"/>
                <w:szCs w:val="18"/>
              </w:rPr>
              <w:t>59.6</w:t>
            </w:r>
          </w:p>
        </w:tc>
        <w:tc>
          <w:tcPr>
            <w:tcW w:w="1155" w:type="dxa"/>
            <w:hideMark/>
          </w:tcPr>
          <w:p w14:paraId="637460B3" w14:textId="77777777" w:rsidR="006E243E" w:rsidRPr="00C81508" w:rsidRDefault="006E243E" w:rsidP="000C0672">
            <w:pPr>
              <w:pStyle w:val="NormalWeb"/>
              <w:jc w:val="center"/>
              <w:rPr>
                <w:sz w:val="18"/>
                <w:szCs w:val="18"/>
              </w:rPr>
            </w:pPr>
            <w:r w:rsidRPr="00C81508">
              <w:rPr>
                <w:sz w:val="18"/>
                <w:szCs w:val="18"/>
              </w:rPr>
              <w:t>71.9</w:t>
            </w:r>
          </w:p>
        </w:tc>
      </w:tr>
      <w:tr w:rsidR="006E243E" w:rsidRPr="00C81508" w14:paraId="74AFD930" w14:textId="77777777" w:rsidTr="00B845B1">
        <w:tc>
          <w:tcPr>
            <w:tcW w:w="0" w:type="auto"/>
            <w:hideMark/>
          </w:tcPr>
          <w:p w14:paraId="0158848B" w14:textId="77777777" w:rsidR="006E243E" w:rsidRPr="00C81508" w:rsidRDefault="006E243E">
            <w:pPr>
              <w:pStyle w:val="NormalWeb"/>
              <w:rPr>
                <w:sz w:val="18"/>
                <w:szCs w:val="18"/>
              </w:rPr>
            </w:pPr>
            <w:r w:rsidRPr="00C81508">
              <w:rPr>
                <w:sz w:val="18"/>
                <w:szCs w:val="18"/>
              </w:rPr>
              <w:t>1–5 days</w:t>
            </w:r>
          </w:p>
        </w:tc>
        <w:tc>
          <w:tcPr>
            <w:tcW w:w="1154" w:type="dxa"/>
            <w:hideMark/>
          </w:tcPr>
          <w:p w14:paraId="3BE17A7A" w14:textId="77777777" w:rsidR="006E243E" w:rsidRPr="00C81508" w:rsidRDefault="006E243E" w:rsidP="000C0672">
            <w:pPr>
              <w:pStyle w:val="NormalWeb"/>
              <w:jc w:val="center"/>
              <w:rPr>
                <w:sz w:val="18"/>
                <w:szCs w:val="18"/>
              </w:rPr>
            </w:pPr>
            <w:r w:rsidRPr="00C81508">
              <w:rPr>
                <w:sz w:val="18"/>
                <w:szCs w:val="18"/>
              </w:rPr>
              <w:t>32.6</w:t>
            </w:r>
          </w:p>
        </w:tc>
        <w:tc>
          <w:tcPr>
            <w:tcW w:w="1155" w:type="dxa"/>
            <w:hideMark/>
          </w:tcPr>
          <w:p w14:paraId="54246AB6" w14:textId="77777777" w:rsidR="006E243E" w:rsidRPr="00C81508" w:rsidRDefault="006E243E" w:rsidP="000C0672">
            <w:pPr>
              <w:pStyle w:val="NormalWeb"/>
              <w:jc w:val="center"/>
              <w:rPr>
                <w:sz w:val="18"/>
                <w:szCs w:val="18"/>
              </w:rPr>
            </w:pPr>
            <w:r w:rsidRPr="00C81508">
              <w:rPr>
                <w:sz w:val="18"/>
                <w:szCs w:val="18"/>
              </w:rPr>
              <w:t>26.2</w:t>
            </w:r>
          </w:p>
        </w:tc>
        <w:tc>
          <w:tcPr>
            <w:tcW w:w="1154" w:type="dxa"/>
            <w:hideMark/>
          </w:tcPr>
          <w:p w14:paraId="141EB165" w14:textId="77777777" w:rsidR="006E243E" w:rsidRPr="00C81508" w:rsidRDefault="006E243E" w:rsidP="000C0672">
            <w:pPr>
              <w:pStyle w:val="NormalWeb"/>
              <w:jc w:val="center"/>
              <w:rPr>
                <w:sz w:val="18"/>
                <w:szCs w:val="18"/>
              </w:rPr>
            </w:pPr>
            <w:r w:rsidRPr="00C81508">
              <w:rPr>
                <w:sz w:val="18"/>
                <w:szCs w:val="18"/>
              </w:rPr>
              <w:t>-</w:t>
            </w:r>
          </w:p>
        </w:tc>
        <w:tc>
          <w:tcPr>
            <w:tcW w:w="1155" w:type="dxa"/>
            <w:hideMark/>
          </w:tcPr>
          <w:p w14:paraId="78882B08" w14:textId="77777777" w:rsidR="006E243E" w:rsidRPr="00C81508" w:rsidRDefault="006E243E" w:rsidP="000C0672">
            <w:pPr>
              <w:pStyle w:val="NormalWeb"/>
              <w:jc w:val="center"/>
              <w:rPr>
                <w:sz w:val="18"/>
                <w:szCs w:val="18"/>
              </w:rPr>
            </w:pPr>
            <w:r w:rsidRPr="00C81508">
              <w:rPr>
                <w:sz w:val="18"/>
                <w:szCs w:val="18"/>
              </w:rPr>
              <w:t>0</w:t>
            </w:r>
          </w:p>
        </w:tc>
        <w:tc>
          <w:tcPr>
            <w:tcW w:w="1154" w:type="dxa"/>
            <w:hideMark/>
          </w:tcPr>
          <w:p w14:paraId="1AE7CCB7" w14:textId="77777777" w:rsidR="006E243E" w:rsidRPr="00C81508" w:rsidRDefault="006E243E" w:rsidP="000C0672">
            <w:pPr>
              <w:pStyle w:val="NormalWeb"/>
              <w:jc w:val="center"/>
              <w:rPr>
                <w:sz w:val="18"/>
                <w:szCs w:val="18"/>
              </w:rPr>
            </w:pPr>
            <w:r w:rsidRPr="00C81508">
              <w:rPr>
                <w:sz w:val="18"/>
                <w:szCs w:val="18"/>
              </w:rPr>
              <w:t>29.1</w:t>
            </w:r>
          </w:p>
        </w:tc>
        <w:tc>
          <w:tcPr>
            <w:tcW w:w="1155" w:type="dxa"/>
            <w:hideMark/>
          </w:tcPr>
          <w:p w14:paraId="49A5573B" w14:textId="77777777" w:rsidR="006E243E" w:rsidRPr="00C81508" w:rsidRDefault="006E243E" w:rsidP="000C0672">
            <w:pPr>
              <w:pStyle w:val="NormalWeb"/>
              <w:jc w:val="center"/>
              <w:rPr>
                <w:sz w:val="18"/>
                <w:szCs w:val="18"/>
              </w:rPr>
            </w:pPr>
            <w:r w:rsidRPr="00C81508">
              <w:rPr>
                <w:sz w:val="18"/>
                <w:szCs w:val="18"/>
              </w:rPr>
              <w:t>19.6</w:t>
            </w:r>
          </w:p>
        </w:tc>
        <w:tc>
          <w:tcPr>
            <w:tcW w:w="1154" w:type="dxa"/>
            <w:hideMark/>
          </w:tcPr>
          <w:p w14:paraId="67104899" w14:textId="77777777" w:rsidR="006E243E" w:rsidRPr="00C81508" w:rsidRDefault="006E243E" w:rsidP="000C0672">
            <w:pPr>
              <w:pStyle w:val="NormalWeb"/>
              <w:jc w:val="center"/>
              <w:rPr>
                <w:sz w:val="18"/>
                <w:szCs w:val="18"/>
              </w:rPr>
            </w:pPr>
            <w:r w:rsidRPr="00C81508">
              <w:rPr>
                <w:sz w:val="18"/>
                <w:szCs w:val="18"/>
              </w:rPr>
              <w:t>31.0</w:t>
            </w:r>
          </w:p>
        </w:tc>
        <w:tc>
          <w:tcPr>
            <w:tcW w:w="1155" w:type="dxa"/>
            <w:hideMark/>
          </w:tcPr>
          <w:p w14:paraId="76BE116F" w14:textId="77777777" w:rsidR="006E243E" w:rsidRPr="00C81508" w:rsidRDefault="006E243E" w:rsidP="000C0672">
            <w:pPr>
              <w:pStyle w:val="NormalWeb"/>
              <w:jc w:val="center"/>
              <w:rPr>
                <w:sz w:val="18"/>
                <w:szCs w:val="18"/>
              </w:rPr>
            </w:pPr>
            <w:r w:rsidRPr="00C81508">
              <w:rPr>
                <w:sz w:val="18"/>
                <w:szCs w:val="18"/>
              </w:rPr>
              <w:t>23.2</w:t>
            </w:r>
          </w:p>
        </w:tc>
      </w:tr>
      <w:tr w:rsidR="006E243E" w:rsidRPr="00C81508" w14:paraId="23420542" w14:textId="77777777" w:rsidTr="00B845B1">
        <w:trPr>
          <w:cnfStyle w:val="000000010000" w:firstRow="0" w:lastRow="0" w:firstColumn="0" w:lastColumn="0" w:oddVBand="0" w:evenVBand="0" w:oddHBand="0" w:evenHBand="1" w:firstRowFirstColumn="0" w:firstRowLastColumn="0" w:lastRowFirstColumn="0" w:lastRowLastColumn="0"/>
        </w:trPr>
        <w:tc>
          <w:tcPr>
            <w:tcW w:w="0" w:type="auto"/>
            <w:hideMark/>
          </w:tcPr>
          <w:p w14:paraId="192C0F09" w14:textId="77777777" w:rsidR="006E243E" w:rsidRPr="00C81508" w:rsidRDefault="006E243E">
            <w:pPr>
              <w:pStyle w:val="NormalWeb"/>
              <w:rPr>
                <w:sz w:val="18"/>
                <w:szCs w:val="18"/>
              </w:rPr>
            </w:pPr>
            <w:r w:rsidRPr="00C81508">
              <w:rPr>
                <w:sz w:val="18"/>
                <w:szCs w:val="18"/>
              </w:rPr>
              <w:t>&gt; 5 days</w:t>
            </w:r>
          </w:p>
        </w:tc>
        <w:tc>
          <w:tcPr>
            <w:tcW w:w="1154" w:type="dxa"/>
            <w:hideMark/>
          </w:tcPr>
          <w:p w14:paraId="4A4984D7" w14:textId="77777777" w:rsidR="006E243E" w:rsidRPr="00C81508" w:rsidRDefault="006E243E" w:rsidP="000C0672">
            <w:pPr>
              <w:pStyle w:val="NormalWeb"/>
              <w:jc w:val="center"/>
              <w:rPr>
                <w:sz w:val="18"/>
                <w:szCs w:val="18"/>
              </w:rPr>
            </w:pPr>
            <w:r w:rsidRPr="00C81508">
              <w:rPr>
                <w:sz w:val="18"/>
                <w:szCs w:val="18"/>
              </w:rPr>
              <w:t>6.6</w:t>
            </w:r>
          </w:p>
        </w:tc>
        <w:tc>
          <w:tcPr>
            <w:tcW w:w="1155" w:type="dxa"/>
            <w:hideMark/>
          </w:tcPr>
          <w:p w14:paraId="017A0B45" w14:textId="77777777" w:rsidR="006E243E" w:rsidRPr="00C81508" w:rsidRDefault="006E243E" w:rsidP="000C0672">
            <w:pPr>
              <w:pStyle w:val="NormalWeb"/>
              <w:jc w:val="center"/>
              <w:rPr>
                <w:sz w:val="18"/>
                <w:szCs w:val="18"/>
              </w:rPr>
            </w:pPr>
            <w:r w:rsidRPr="00C81508">
              <w:rPr>
                <w:sz w:val="18"/>
                <w:szCs w:val="18"/>
              </w:rPr>
              <w:t>2.4</w:t>
            </w:r>
          </w:p>
        </w:tc>
        <w:tc>
          <w:tcPr>
            <w:tcW w:w="1154" w:type="dxa"/>
            <w:hideMark/>
          </w:tcPr>
          <w:p w14:paraId="420EFD67" w14:textId="77777777" w:rsidR="006E243E" w:rsidRPr="00C81508" w:rsidRDefault="006E243E" w:rsidP="000C0672">
            <w:pPr>
              <w:pStyle w:val="NormalWeb"/>
              <w:jc w:val="center"/>
              <w:rPr>
                <w:sz w:val="18"/>
                <w:szCs w:val="18"/>
              </w:rPr>
            </w:pPr>
            <w:r w:rsidRPr="00C81508">
              <w:rPr>
                <w:sz w:val="18"/>
                <w:szCs w:val="18"/>
              </w:rPr>
              <w:t>-</w:t>
            </w:r>
          </w:p>
        </w:tc>
        <w:tc>
          <w:tcPr>
            <w:tcW w:w="1155" w:type="dxa"/>
            <w:hideMark/>
          </w:tcPr>
          <w:p w14:paraId="541C401E" w14:textId="77777777" w:rsidR="006E243E" w:rsidRPr="00C81508" w:rsidRDefault="006E243E" w:rsidP="000C0672">
            <w:pPr>
              <w:pStyle w:val="NormalWeb"/>
              <w:jc w:val="center"/>
              <w:rPr>
                <w:sz w:val="18"/>
                <w:szCs w:val="18"/>
              </w:rPr>
            </w:pPr>
            <w:r w:rsidRPr="00C81508">
              <w:rPr>
                <w:sz w:val="18"/>
                <w:szCs w:val="18"/>
              </w:rPr>
              <w:t>0</w:t>
            </w:r>
          </w:p>
        </w:tc>
        <w:tc>
          <w:tcPr>
            <w:tcW w:w="1154" w:type="dxa"/>
            <w:hideMark/>
          </w:tcPr>
          <w:p w14:paraId="5AD4B330" w14:textId="77777777" w:rsidR="006E243E" w:rsidRPr="00C81508" w:rsidRDefault="006E243E" w:rsidP="000C0672">
            <w:pPr>
              <w:pStyle w:val="NormalWeb"/>
              <w:jc w:val="center"/>
              <w:rPr>
                <w:sz w:val="18"/>
                <w:szCs w:val="18"/>
              </w:rPr>
            </w:pPr>
            <w:r w:rsidRPr="00C81508">
              <w:rPr>
                <w:sz w:val="18"/>
                <w:szCs w:val="18"/>
              </w:rPr>
              <w:t>12.8</w:t>
            </w:r>
          </w:p>
        </w:tc>
        <w:tc>
          <w:tcPr>
            <w:tcW w:w="1155" w:type="dxa"/>
            <w:hideMark/>
          </w:tcPr>
          <w:p w14:paraId="2CEB0EAE" w14:textId="77777777" w:rsidR="006E243E" w:rsidRPr="00C81508" w:rsidRDefault="006E243E" w:rsidP="000C0672">
            <w:pPr>
              <w:pStyle w:val="NormalWeb"/>
              <w:jc w:val="center"/>
              <w:rPr>
                <w:sz w:val="18"/>
                <w:szCs w:val="18"/>
              </w:rPr>
            </w:pPr>
            <w:r w:rsidRPr="00C81508">
              <w:rPr>
                <w:sz w:val="18"/>
                <w:szCs w:val="18"/>
              </w:rPr>
              <w:t>8.5</w:t>
            </w:r>
          </w:p>
        </w:tc>
        <w:tc>
          <w:tcPr>
            <w:tcW w:w="1154" w:type="dxa"/>
            <w:hideMark/>
          </w:tcPr>
          <w:p w14:paraId="509F05AC" w14:textId="77777777" w:rsidR="006E243E" w:rsidRPr="00C81508" w:rsidRDefault="006E243E" w:rsidP="000C0672">
            <w:pPr>
              <w:pStyle w:val="NormalWeb"/>
              <w:jc w:val="center"/>
              <w:rPr>
                <w:sz w:val="18"/>
                <w:szCs w:val="18"/>
              </w:rPr>
            </w:pPr>
            <w:r w:rsidRPr="00C81508">
              <w:rPr>
                <w:sz w:val="18"/>
                <w:szCs w:val="18"/>
              </w:rPr>
              <w:t>9.4</w:t>
            </w:r>
          </w:p>
        </w:tc>
        <w:tc>
          <w:tcPr>
            <w:tcW w:w="1155" w:type="dxa"/>
            <w:hideMark/>
          </w:tcPr>
          <w:p w14:paraId="7FA976DD" w14:textId="77777777" w:rsidR="006E243E" w:rsidRPr="00C81508" w:rsidRDefault="006E243E" w:rsidP="000C0672">
            <w:pPr>
              <w:pStyle w:val="NormalWeb"/>
              <w:jc w:val="center"/>
              <w:rPr>
                <w:sz w:val="18"/>
                <w:szCs w:val="18"/>
              </w:rPr>
            </w:pPr>
            <w:r w:rsidRPr="00C81508">
              <w:rPr>
                <w:sz w:val="18"/>
                <w:szCs w:val="18"/>
              </w:rPr>
              <w:t>4.9</w:t>
            </w:r>
          </w:p>
        </w:tc>
      </w:tr>
      <w:tr w:rsidR="006E243E" w:rsidRPr="002B5FF3" w14:paraId="2022EEFB" w14:textId="77777777" w:rsidTr="006321A5">
        <w:tc>
          <w:tcPr>
            <w:tcW w:w="0" w:type="auto"/>
            <w:shd w:val="clear" w:color="auto" w:fill="FDE9D9" w:themeFill="accent6" w:themeFillTint="33"/>
            <w:hideMark/>
          </w:tcPr>
          <w:p w14:paraId="36D069F4" w14:textId="77777777" w:rsidR="006E243E" w:rsidRPr="002B5FF3" w:rsidRDefault="006E243E">
            <w:pPr>
              <w:pStyle w:val="NormalWeb"/>
              <w:rPr>
                <w:b/>
                <w:sz w:val="18"/>
                <w:szCs w:val="18"/>
              </w:rPr>
            </w:pPr>
            <w:r w:rsidRPr="002B5FF3">
              <w:rPr>
                <w:b/>
                <w:sz w:val="18"/>
                <w:szCs w:val="18"/>
              </w:rPr>
              <w:t>Cases</w:t>
            </w:r>
          </w:p>
        </w:tc>
        <w:tc>
          <w:tcPr>
            <w:tcW w:w="1154" w:type="dxa"/>
            <w:shd w:val="clear" w:color="auto" w:fill="FDE9D9" w:themeFill="accent6" w:themeFillTint="33"/>
            <w:hideMark/>
          </w:tcPr>
          <w:p w14:paraId="747D7939" w14:textId="77777777" w:rsidR="006E243E" w:rsidRPr="002B5FF3" w:rsidRDefault="006E243E" w:rsidP="000C0672">
            <w:pPr>
              <w:pStyle w:val="NormalWeb"/>
              <w:jc w:val="center"/>
              <w:rPr>
                <w:b/>
                <w:sz w:val="18"/>
                <w:szCs w:val="18"/>
              </w:rPr>
            </w:pPr>
            <w:r w:rsidRPr="002B5FF3">
              <w:rPr>
                <w:b/>
                <w:sz w:val="18"/>
                <w:szCs w:val="18"/>
              </w:rPr>
              <w:t>181</w:t>
            </w:r>
          </w:p>
        </w:tc>
        <w:tc>
          <w:tcPr>
            <w:tcW w:w="1155" w:type="dxa"/>
            <w:shd w:val="clear" w:color="auto" w:fill="FDE9D9" w:themeFill="accent6" w:themeFillTint="33"/>
            <w:hideMark/>
          </w:tcPr>
          <w:p w14:paraId="0CA079C5" w14:textId="77777777" w:rsidR="006E243E" w:rsidRPr="002B5FF3" w:rsidRDefault="006E243E" w:rsidP="000C0672">
            <w:pPr>
              <w:pStyle w:val="NormalWeb"/>
              <w:jc w:val="center"/>
              <w:rPr>
                <w:b/>
                <w:sz w:val="18"/>
                <w:szCs w:val="18"/>
              </w:rPr>
            </w:pPr>
            <w:r w:rsidRPr="002B5FF3">
              <w:rPr>
                <w:b/>
                <w:sz w:val="18"/>
                <w:szCs w:val="18"/>
              </w:rPr>
              <w:t>210</w:t>
            </w:r>
          </w:p>
        </w:tc>
        <w:tc>
          <w:tcPr>
            <w:tcW w:w="1154" w:type="dxa"/>
            <w:shd w:val="clear" w:color="auto" w:fill="FDE9D9" w:themeFill="accent6" w:themeFillTint="33"/>
            <w:hideMark/>
          </w:tcPr>
          <w:p w14:paraId="036C2A00" w14:textId="77777777" w:rsidR="006E243E" w:rsidRPr="002B5FF3" w:rsidRDefault="006E243E" w:rsidP="000C0672">
            <w:pPr>
              <w:pStyle w:val="NormalWeb"/>
              <w:jc w:val="center"/>
              <w:rPr>
                <w:b/>
                <w:sz w:val="18"/>
                <w:szCs w:val="18"/>
              </w:rPr>
            </w:pPr>
            <w:r w:rsidRPr="002B5FF3">
              <w:rPr>
                <w:b/>
                <w:sz w:val="18"/>
                <w:szCs w:val="18"/>
              </w:rPr>
              <w:t>-</w:t>
            </w:r>
          </w:p>
        </w:tc>
        <w:tc>
          <w:tcPr>
            <w:tcW w:w="1155" w:type="dxa"/>
            <w:shd w:val="clear" w:color="auto" w:fill="FDE9D9" w:themeFill="accent6" w:themeFillTint="33"/>
            <w:hideMark/>
          </w:tcPr>
          <w:p w14:paraId="6793F4A6" w14:textId="77777777" w:rsidR="006E243E" w:rsidRPr="002B5FF3" w:rsidRDefault="006E243E" w:rsidP="000C0672">
            <w:pPr>
              <w:pStyle w:val="NormalWeb"/>
              <w:jc w:val="center"/>
              <w:rPr>
                <w:b/>
                <w:sz w:val="18"/>
                <w:szCs w:val="18"/>
              </w:rPr>
            </w:pPr>
            <w:r w:rsidRPr="002B5FF3">
              <w:rPr>
                <w:b/>
                <w:sz w:val="18"/>
                <w:szCs w:val="18"/>
              </w:rPr>
              <w:t>3</w:t>
            </w:r>
          </w:p>
        </w:tc>
        <w:tc>
          <w:tcPr>
            <w:tcW w:w="1154" w:type="dxa"/>
            <w:shd w:val="clear" w:color="auto" w:fill="FDE9D9" w:themeFill="accent6" w:themeFillTint="33"/>
            <w:hideMark/>
          </w:tcPr>
          <w:p w14:paraId="321D7C6A" w14:textId="77777777" w:rsidR="006E243E" w:rsidRPr="002B5FF3" w:rsidRDefault="006E243E" w:rsidP="000C0672">
            <w:pPr>
              <w:pStyle w:val="NormalWeb"/>
              <w:jc w:val="center"/>
              <w:rPr>
                <w:b/>
                <w:sz w:val="18"/>
                <w:szCs w:val="18"/>
              </w:rPr>
            </w:pPr>
            <w:r w:rsidRPr="002B5FF3">
              <w:rPr>
                <w:b/>
                <w:sz w:val="18"/>
                <w:szCs w:val="18"/>
              </w:rPr>
              <w:t>148</w:t>
            </w:r>
          </w:p>
        </w:tc>
        <w:tc>
          <w:tcPr>
            <w:tcW w:w="1155" w:type="dxa"/>
            <w:shd w:val="clear" w:color="auto" w:fill="FDE9D9" w:themeFill="accent6" w:themeFillTint="33"/>
            <w:hideMark/>
          </w:tcPr>
          <w:p w14:paraId="303ACEDE" w14:textId="77777777" w:rsidR="006E243E" w:rsidRPr="002B5FF3" w:rsidRDefault="006E243E" w:rsidP="000C0672">
            <w:pPr>
              <w:pStyle w:val="NormalWeb"/>
              <w:jc w:val="center"/>
              <w:rPr>
                <w:b/>
                <w:sz w:val="18"/>
                <w:szCs w:val="18"/>
              </w:rPr>
            </w:pPr>
            <w:r w:rsidRPr="002B5FF3">
              <w:rPr>
                <w:b/>
                <w:sz w:val="18"/>
                <w:szCs w:val="18"/>
              </w:rPr>
              <w:t>153</w:t>
            </w:r>
          </w:p>
        </w:tc>
        <w:tc>
          <w:tcPr>
            <w:tcW w:w="1154" w:type="dxa"/>
            <w:shd w:val="clear" w:color="auto" w:fill="FDE9D9" w:themeFill="accent6" w:themeFillTint="33"/>
            <w:hideMark/>
          </w:tcPr>
          <w:p w14:paraId="5B1EE4C0" w14:textId="77777777" w:rsidR="006E243E" w:rsidRPr="002B5FF3" w:rsidRDefault="006E243E" w:rsidP="000C0672">
            <w:pPr>
              <w:pStyle w:val="NormalWeb"/>
              <w:jc w:val="center"/>
              <w:rPr>
                <w:b/>
                <w:sz w:val="18"/>
                <w:szCs w:val="18"/>
              </w:rPr>
            </w:pPr>
            <w:r w:rsidRPr="002B5FF3">
              <w:rPr>
                <w:b/>
                <w:sz w:val="18"/>
                <w:szCs w:val="18"/>
              </w:rPr>
              <w:t>329</w:t>
            </w:r>
          </w:p>
        </w:tc>
        <w:tc>
          <w:tcPr>
            <w:tcW w:w="1155" w:type="dxa"/>
            <w:shd w:val="clear" w:color="auto" w:fill="FDE9D9" w:themeFill="accent6" w:themeFillTint="33"/>
            <w:hideMark/>
          </w:tcPr>
          <w:p w14:paraId="4B3A8C3D" w14:textId="77777777" w:rsidR="006E243E" w:rsidRPr="002B5FF3" w:rsidRDefault="006E243E" w:rsidP="000C0672">
            <w:pPr>
              <w:pStyle w:val="NormalWeb"/>
              <w:jc w:val="center"/>
              <w:rPr>
                <w:b/>
                <w:sz w:val="18"/>
                <w:szCs w:val="18"/>
              </w:rPr>
            </w:pPr>
            <w:r w:rsidRPr="002B5FF3">
              <w:rPr>
                <w:b/>
                <w:sz w:val="18"/>
                <w:szCs w:val="18"/>
              </w:rPr>
              <w:t>366</w:t>
            </w:r>
          </w:p>
        </w:tc>
      </w:tr>
      <w:tr w:rsidR="006321A5" w:rsidRPr="006321A5" w14:paraId="0F278843" w14:textId="77777777" w:rsidTr="006321A5">
        <w:trPr>
          <w:cnfStyle w:val="000000010000" w:firstRow="0" w:lastRow="0" w:firstColumn="0" w:lastColumn="0" w:oddVBand="0" w:evenVBand="0" w:oddHBand="0" w:evenHBand="1" w:firstRowFirstColumn="0" w:firstRowLastColumn="0" w:lastRowFirstColumn="0" w:lastRowLastColumn="0"/>
        </w:trPr>
        <w:tc>
          <w:tcPr>
            <w:tcW w:w="9996" w:type="dxa"/>
            <w:gridSpan w:val="9"/>
            <w:shd w:val="clear" w:color="auto" w:fill="808080" w:themeFill="background1" w:themeFillShade="80"/>
            <w:hideMark/>
          </w:tcPr>
          <w:p w14:paraId="7736DF75" w14:textId="77777777" w:rsidR="006E243E" w:rsidRPr="006321A5" w:rsidRDefault="006E243E" w:rsidP="000C0672">
            <w:pPr>
              <w:pStyle w:val="NormalWeb"/>
              <w:jc w:val="center"/>
              <w:rPr>
                <w:b/>
                <w:color w:val="FFFFFF" w:themeColor="background1"/>
                <w:sz w:val="18"/>
                <w:szCs w:val="18"/>
              </w:rPr>
            </w:pPr>
            <w:r w:rsidRPr="006321A5">
              <w:rPr>
                <w:b/>
                <w:color w:val="FFFFFF" w:themeColor="background1"/>
                <w:sz w:val="18"/>
                <w:szCs w:val="18"/>
              </w:rPr>
              <w:t>Routine (Group B, C, D)</w:t>
            </w:r>
          </w:p>
        </w:tc>
      </w:tr>
      <w:tr w:rsidR="006E243E" w:rsidRPr="00C81508" w14:paraId="1D5EBB15" w14:textId="77777777" w:rsidTr="00B845B1">
        <w:tc>
          <w:tcPr>
            <w:tcW w:w="0" w:type="auto"/>
            <w:hideMark/>
          </w:tcPr>
          <w:p w14:paraId="7AA33672" w14:textId="77777777" w:rsidR="006E243E" w:rsidRPr="00C81508" w:rsidRDefault="006E243E">
            <w:pPr>
              <w:pStyle w:val="NormalWeb"/>
              <w:rPr>
                <w:sz w:val="18"/>
                <w:szCs w:val="18"/>
              </w:rPr>
            </w:pPr>
            <w:r w:rsidRPr="00C81508">
              <w:rPr>
                <w:sz w:val="18"/>
                <w:szCs w:val="18"/>
              </w:rPr>
              <w:t>0 days</w:t>
            </w:r>
          </w:p>
        </w:tc>
        <w:tc>
          <w:tcPr>
            <w:tcW w:w="1154" w:type="dxa"/>
            <w:hideMark/>
          </w:tcPr>
          <w:p w14:paraId="626CB7E3" w14:textId="77777777" w:rsidR="006E243E" w:rsidRPr="00C81508" w:rsidRDefault="006E243E" w:rsidP="000C0672">
            <w:pPr>
              <w:pStyle w:val="NormalWeb"/>
              <w:jc w:val="center"/>
              <w:rPr>
                <w:sz w:val="18"/>
                <w:szCs w:val="18"/>
              </w:rPr>
            </w:pPr>
            <w:r w:rsidRPr="00C81508">
              <w:rPr>
                <w:sz w:val="18"/>
                <w:szCs w:val="18"/>
              </w:rPr>
              <w:t>33.6</w:t>
            </w:r>
          </w:p>
        </w:tc>
        <w:tc>
          <w:tcPr>
            <w:tcW w:w="1155" w:type="dxa"/>
            <w:hideMark/>
          </w:tcPr>
          <w:p w14:paraId="7FD75EB2" w14:textId="77777777" w:rsidR="006E243E" w:rsidRPr="00C81508" w:rsidRDefault="006E243E" w:rsidP="000C0672">
            <w:pPr>
              <w:pStyle w:val="NormalWeb"/>
              <w:jc w:val="center"/>
              <w:rPr>
                <w:sz w:val="18"/>
                <w:szCs w:val="18"/>
              </w:rPr>
            </w:pPr>
            <w:r w:rsidRPr="00C81508">
              <w:rPr>
                <w:sz w:val="18"/>
                <w:szCs w:val="18"/>
              </w:rPr>
              <w:t>32.5</w:t>
            </w:r>
          </w:p>
        </w:tc>
        <w:tc>
          <w:tcPr>
            <w:tcW w:w="1154" w:type="dxa"/>
            <w:hideMark/>
          </w:tcPr>
          <w:p w14:paraId="0458CDB3" w14:textId="77777777" w:rsidR="006E243E" w:rsidRPr="00C81508" w:rsidRDefault="006E243E" w:rsidP="000C0672">
            <w:pPr>
              <w:pStyle w:val="NormalWeb"/>
              <w:jc w:val="center"/>
              <w:rPr>
                <w:sz w:val="18"/>
                <w:szCs w:val="18"/>
              </w:rPr>
            </w:pPr>
            <w:r w:rsidRPr="00C81508">
              <w:rPr>
                <w:sz w:val="18"/>
                <w:szCs w:val="18"/>
              </w:rPr>
              <w:t>61.6</w:t>
            </w:r>
          </w:p>
        </w:tc>
        <w:tc>
          <w:tcPr>
            <w:tcW w:w="1155" w:type="dxa"/>
            <w:hideMark/>
          </w:tcPr>
          <w:p w14:paraId="5DD80964" w14:textId="77777777" w:rsidR="006E243E" w:rsidRPr="00C81508" w:rsidRDefault="006E243E" w:rsidP="000C0672">
            <w:pPr>
              <w:pStyle w:val="NormalWeb"/>
              <w:jc w:val="center"/>
              <w:rPr>
                <w:sz w:val="18"/>
                <w:szCs w:val="18"/>
              </w:rPr>
            </w:pPr>
            <w:r w:rsidRPr="00C81508">
              <w:rPr>
                <w:sz w:val="18"/>
                <w:szCs w:val="18"/>
              </w:rPr>
              <w:t>69.5</w:t>
            </w:r>
          </w:p>
        </w:tc>
        <w:tc>
          <w:tcPr>
            <w:tcW w:w="1154" w:type="dxa"/>
            <w:hideMark/>
          </w:tcPr>
          <w:p w14:paraId="43ED3877" w14:textId="77777777" w:rsidR="006E243E" w:rsidRPr="00C81508" w:rsidRDefault="006E243E" w:rsidP="000C0672">
            <w:pPr>
              <w:pStyle w:val="NormalWeb"/>
              <w:jc w:val="center"/>
              <w:rPr>
                <w:sz w:val="18"/>
                <w:szCs w:val="18"/>
              </w:rPr>
            </w:pPr>
            <w:r w:rsidRPr="00C81508">
              <w:rPr>
                <w:sz w:val="18"/>
                <w:szCs w:val="18"/>
              </w:rPr>
              <w:t>33.9</w:t>
            </w:r>
          </w:p>
        </w:tc>
        <w:tc>
          <w:tcPr>
            <w:tcW w:w="1155" w:type="dxa"/>
            <w:hideMark/>
          </w:tcPr>
          <w:p w14:paraId="7E9BFFB9" w14:textId="77777777" w:rsidR="006E243E" w:rsidRPr="00C81508" w:rsidRDefault="006E243E" w:rsidP="000C0672">
            <w:pPr>
              <w:pStyle w:val="NormalWeb"/>
              <w:jc w:val="center"/>
              <w:rPr>
                <w:sz w:val="18"/>
                <w:szCs w:val="18"/>
              </w:rPr>
            </w:pPr>
            <w:r w:rsidRPr="00C81508">
              <w:rPr>
                <w:sz w:val="18"/>
                <w:szCs w:val="18"/>
              </w:rPr>
              <w:t>35.3</w:t>
            </w:r>
          </w:p>
        </w:tc>
        <w:tc>
          <w:tcPr>
            <w:tcW w:w="1154" w:type="dxa"/>
            <w:hideMark/>
          </w:tcPr>
          <w:p w14:paraId="41AE5BE3" w14:textId="77777777" w:rsidR="006E243E" w:rsidRPr="00C81508" w:rsidRDefault="006E243E" w:rsidP="000C0672">
            <w:pPr>
              <w:pStyle w:val="NormalWeb"/>
              <w:jc w:val="center"/>
              <w:rPr>
                <w:sz w:val="18"/>
                <w:szCs w:val="18"/>
              </w:rPr>
            </w:pPr>
            <w:r w:rsidRPr="00C81508">
              <w:rPr>
                <w:sz w:val="18"/>
                <w:szCs w:val="18"/>
              </w:rPr>
              <w:t>34.9</w:t>
            </w:r>
          </w:p>
        </w:tc>
        <w:tc>
          <w:tcPr>
            <w:tcW w:w="1155" w:type="dxa"/>
            <w:hideMark/>
          </w:tcPr>
          <w:p w14:paraId="5907DAB8" w14:textId="77777777" w:rsidR="006E243E" w:rsidRPr="00C81508" w:rsidRDefault="006E243E" w:rsidP="000C0672">
            <w:pPr>
              <w:pStyle w:val="NormalWeb"/>
              <w:jc w:val="center"/>
              <w:rPr>
                <w:sz w:val="18"/>
                <w:szCs w:val="18"/>
              </w:rPr>
            </w:pPr>
            <w:r w:rsidRPr="00C81508">
              <w:rPr>
                <w:sz w:val="18"/>
                <w:szCs w:val="18"/>
              </w:rPr>
              <w:t>35.3</w:t>
            </w:r>
          </w:p>
        </w:tc>
      </w:tr>
      <w:tr w:rsidR="006E243E" w:rsidRPr="00C81508" w14:paraId="130502B0" w14:textId="77777777" w:rsidTr="00B845B1">
        <w:trPr>
          <w:cnfStyle w:val="000000010000" w:firstRow="0" w:lastRow="0" w:firstColumn="0" w:lastColumn="0" w:oddVBand="0" w:evenVBand="0" w:oddHBand="0" w:evenHBand="1" w:firstRowFirstColumn="0" w:firstRowLastColumn="0" w:lastRowFirstColumn="0" w:lastRowLastColumn="0"/>
        </w:trPr>
        <w:tc>
          <w:tcPr>
            <w:tcW w:w="0" w:type="auto"/>
            <w:hideMark/>
          </w:tcPr>
          <w:p w14:paraId="563BE03B" w14:textId="77777777" w:rsidR="006E243E" w:rsidRPr="00C81508" w:rsidRDefault="006E243E">
            <w:pPr>
              <w:pStyle w:val="NormalWeb"/>
              <w:rPr>
                <w:sz w:val="18"/>
                <w:szCs w:val="18"/>
              </w:rPr>
            </w:pPr>
            <w:r w:rsidRPr="00C81508">
              <w:rPr>
                <w:sz w:val="18"/>
                <w:szCs w:val="18"/>
              </w:rPr>
              <w:t>1–5 days</w:t>
            </w:r>
          </w:p>
        </w:tc>
        <w:tc>
          <w:tcPr>
            <w:tcW w:w="1154" w:type="dxa"/>
            <w:hideMark/>
          </w:tcPr>
          <w:p w14:paraId="52161BD6" w14:textId="77777777" w:rsidR="006E243E" w:rsidRPr="00C81508" w:rsidRDefault="006E243E" w:rsidP="000C0672">
            <w:pPr>
              <w:pStyle w:val="NormalWeb"/>
              <w:jc w:val="center"/>
              <w:rPr>
                <w:sz w:val="18"/>
                <w:szCs w:val="18"/>
              </w:rPr>
            </w:pPr>
            <w:r w:rsidRPr="00C81508">
              <w:rPr>
                <w:sz w:val="18"/>
                <w:szCs w:val="18"/>
              </w:rPr>
              <w:t>54.4</w:t>
            </w:r>
          </w:p>
        </w:tc>
        <w:tc>
          <w:tcPr>
            <w:tcW w:w="1155" w:type="dxa"/>
            <w:hideMark/>
          </w:tcPr>
          <w:p w14:paraId="3536C9DE" w14:textId="77777777" w:rsidR="006E243E" w:rsidRPr="00C81508" w:rsidRDefault="006E243E" w:rsidP="000C0672">
            <w:pPr>
              <w:pStyle w:val="NormalWeb"/>
              <w:jc w:val="center"/>
              <w:rPr>
                <w:sz w:val="18"/>
                <w:szCs w:val="18"/>
              </w:rPr>
            </w:pPr>
            <w:r w:rsidRPr="00C81508">
              <w:rPr>
                <w:sz w:val="18"/>
                <w:szCs w:val="18"/>
              </w:rPr>
              <w:t>54.3</w:t>
            </w:r>
          </w:p>
        </w:tc>
        <w:tc>
          <w:tcPr>
            <w:tcW w:w="1154" w:type="dxa"/>
            <w:hideMark/>
          </w:tcPr>
          <w:p w14:paraId="11EB1D6C" w14:textId="77777777" w:rsidR="006E243E" w:rsidRPr="00C81508" w:rsidRDefault="006E243E" w:rsidP="000C0672">
            <w:pPr>
              <w:pStyle w:val="NormalWeb"/>
              <w:jc w:val="center"/>
              <w:rPr>
                <w:sz w:val="18"/>
                <w:szCs w:val="18"/>
              </w:rPr>
            </w:pPr>
            <w:r w:rsidRPr="00C81508">
              <w:rPr>
                <w:sz w:val="18"/>
                <w:szCs w:val="18"/>
              </w:rPr>
              <w:t>33.8</w:t>
            </w:r>
          </w:p>
        </w:tc>
        <w:tc>
          <w:tcPr>
            <w:tcW w:w="1155" w:type="dxa"/>
            <w:hideMark/>
          </w:tcPr>
          <w:p w14:paraId="03D46E90" w14:textId="77777777" w:rsidR="006E243E" w:rsidRPr="00C81508" w:rsidRDefault="006E243E" w:rsidP="000C0672">
            <w:pPr>
              <w:pStyle w:val="NormalWeb"/>
              <w:jc w:val="center"/>
              <w:rPr>
                <w:sz w:val="18"/>
                <w:szCs w:val="18"/>
              </w:rPr>
            </w:pPr>
            <w:r w:rsidRPr="00C81508">
              <w:rPr>
                <w:sz w:val="18"/>
                <w:szCs w:val="18"/>
              </w:rPr>
              <w:t>27.6</w:t>
            </w:r>
          </w:p>
        </w:tc>
        <w:tc>
          <w:tcPr>
            <w:tcW w:w="1154" w:type="dxa"/>
            <w:hideMark/>
          </w:tcPr>
          <w:p w14:paraId="07A231E1" w14:textId="77777777" w:rsidR="006E243E" w:rsidRPr="00C81508" w:rsidRDefault="006E243E" w:rsidP="000C0672">
            <w:pPr>
              <w:pStyle w:val="NormalWeb"/>
              <w:jc w:val="center"/>
              <w:rPr>
                <w:sz w:val="18"/>
                <w:szCs w:val="18"/>
              </w:rPr>
            </w:pPr>
            <w:r w:rsidRPr="00C81508">
              <w:rPr>
                <w:sz w:val="18"/>
                <w:szCs w:val="18"/>
              </w:rPr>
              <w:t>47.8</w:t>
            </w:r>
          </w:p>
        </w:tc>
        <w:tc>
          <w:tcPr>
            <w:tcW w:w="1155" w:type="dxa"/>
            <w:hideMark/>
          </w:tcPr>
          <w:p w14:paraId="7460349D" w14:textId="77777777" w:rsidR="006E243E" w:rsidRPr="00C81508" w:rsidRDefault="006E243E" w:rsidP="000C0672">
            <w:pPr>
              <w:pStyle w:val="NormalWeb"/>
              <w:jc w:val="center"/>
              <w:rPr>
                <w:sz w:val="18"/>
                <w:szCs w:val="18"/>
              </w:rPr>
            </w:pPr>
            <w:r w:rsidRPr="00C81508">
              <w:rPr>
                <w:sz w:val="18"/>
                <w:szCs w:val="18"/>
              </w:rPr>
              <w:t>48.8</w:t>
            </w:r>
          </w:p>
        </w:tc>
        <w:tc>
          <w:tcPr>
            <w:tcW w:w="1154" w:type="dxa"/>
            <w:hideMark/>
          </w:tcPr>
          <w:p w14:paraId="29CF6DDD" w14:textId="77777777" w:rsidR="006E243E" w:rsidRPr="00C81508" w:rsidRDefault="006E243E" w:rsidP="000C0672">
            <w:pPr>
              <w:pStyle w:val="NormalWeb"/>
              <w:jc w:val="center"/>
              <w:rPr>
                <w:sz w:val="18"/>
                <w:szCs w:val="18"/>
              </w:rPr>
            </w:pPr>
            <w:r w:rsidRPr="00C81508">
              <w:rPr>
                <w:sz w:val="18"/>
                <w:szCs w:val="18"/>
              </w:rPr>
              <w:t>50.2</w:t>
            </w:r>
          </w:p>
        </w:tc>
        <w:tc>
          <w:tcPr>
            <w:tcW w:w="1155" w:type="dxa"/>
            <w:hideMark/>
          </w:tcPr>
          <w:p w14:paraId="15B67075" w14:textId="77777777" w:rsidR="006E243E" w:rsidRPr="00C81508" w:rsidRDefault="006E243E" w:rsidP="000C0672">
            <w:pPr>
              <w:pStyle w:val="NormalWeb"/>
              <w:jc w:val="center"/>
              <w:rPr>
                <w:sz w:val="18"/>
                <w:szCs w:val="18"/>
              </w:rPr>
            </w:pPr>
            <w:r w:rsidRPr="00C81508">
              <w:rPr>
                <w:sz w:val="18"/>
                <w:szCs w:val="18"/>
              </w:rPr>
              <w:t>48.8</w:t>
            </w:r>
          </w:p>
        </w:tc>
      </w:tr>
      <w:tr w:rsidR="006E243E" w:rsidRPr="00C81508" w14:paraId="4C1965E3" w14:textId="77777777" w:rsidTr="00B845B1">
        <w:tc>
          <w:tcPr>
            <w:tcW w:w="0" w:type="auto"/>
            <w:hideMark/>
          </w:tcPr>
          <w:p w14:paraId="4244C6AB" w14:textId="77777777" w:rsidR="006E243E" w:rsidRPr="00C81508" w:rsidRDefault="006E243E">
            <w:pPr>
              <w:pStyle w:val="NormalWeb"/>
              <w:rPr>
                <w:sz w:val="18"/>
                <w:szCs w:val="18"/>
              </w:rPr>
            </w:pPr>
            <w:r w:rsidRPr="00C81508">
              <w:rPr>
                <w:sz w:val="18"/>
                <w:szCs w:val="18"/>
              </w:rPr>
              <w:t>&gt; 5 days</w:t>
            </w:r>
          </w:p>
        </w:tc>
        <w:tc>
          <w:tcPr>
            <w:tcW w:w="1154" w:type="dxa"/>
            <w:hideMark/>
          </w:tcPr>
          <w:p w14:paraId="638678D1" w14:textId="77777777" w:rsidR="006E243E" w:rsidRPr="00C81508" w:rsidRDefault="006E243E" w:rsidP="000C0672">
            <w:pPr>
              <w:pStyle w:val="NormalWeb"/>
              <w:jc w:val="center"/>
              <w:rPr>
                <w:sz w:val="18"/>
                <w:szCs w:val="18"/>
              </w:rPr>
            </w:pPr>
            <w:r w:rsidRPr="00C81508">
              <w:rPr>
                <w:sz w:val="18"/>
                <w:szCs w:val="18"/>
              </w:rPr>
              <w:t>12.0</w:t>
            </w:r>
          </w:p>
        </w:tc>
        <w:tc>
          <w:tcPr>
            <w:tcW w:w="1155" w:type="dxa"/>
            <w:hideMark/>
          </w:tcPr>
          <w:p w14:paraId="38D5DCF1" w14:textId="77777777" w:rsidR="006E243E" w:rsidRPr="00C81508" w:rsidRDefault="006E243E" w:rsidP="000C0672">
            <w:pPr>
              <w:pStyle w:val="NormalWeb"/>
              <w:jc w:val="center"/>
              <w:rPr>
                <w:sz w:val="18"/>
                <w:szCs w:val="18"/>
              </w:rPr>
            </w:pPr>
            <w:r w:rsidRPr="00C81508">
              <w:rPr>
                <w:sz w:val="18"/>
                <w:szCs w:val="18"/>
              </w:rPr>
              <w:t>13.2</w:t>
            </w:r>
          </w:p>
        </w:tc>
        <w:tc>
          <w:tcPr>
            <w:tcW w:w="1154" w:type="dxa"/>
            <w:hideMark/>
          </w:tcPr>
          <w:p w14:paraId="7F89DC6B" w14:textId="77777777" w:rsidR="006E243E" w:rsidRPr="00C81508" w:rsidRDefault="006E243E" w:rsidP="000C0672">
            <w:pPr>
              <w:pStyle w:val="NormalWeb"/>
              <w:jc w:val="center"/>
              <w:rPr>
                <w:sz w:val="18"/>
                <w:szCs w:val="18"/>
              </w:rPr>
            </w:pPr>
            <w:r w:rsidRPr="00C81508">
              <w:rPr>
                <w:sz w:val="18"/>
                <w:szCs w:val="18"/>
              </w:rPr>
              <w:t>4.6</w:t>
            </w:r>
          </w:p>
        </w:tc>
        <w:tc>
          <w:tcPr>
            <w:tcW w:w="1155" w:type="dxa"/>
            <w:hideMark/>
          </w:tcPr>
          <w:p w14:paraId="66D9F106" w14:textId="77777777" w:rsidR="006E243E" w:rsidRPr="00C81508" w:rsidRDefault="006E243E" w:rsidP="000C0672">
            <w:pPr>
              <w:pStyle w:val="NormalWeb"/>
              <w:jc w:val="center"/>
              <w:rPr>
                <w:sz w:val="18"/>
                <w:szCs w:val="18"/>
              </w:rPr>
            </w:pPr>
            <w:r w:rsidRPr="00C81508">
              <w:rPr>
                <w:sz w:val="18"/>
                <w:szCs w:val="18"/>
              </w:rPr>
              <w:t>2.9</w:t>
            </w:r>
          </w:p>
        </w:tc>
        <w:tc>
          <w:tcPr>
            <w:tcW w:w="1154" w:type="dxa"/>
            <w:hideMark/>
          </w:tcPr>
          <w:p w14:paraId="520072A2" w14:textId="77777777" w:rsidR="006E243E" w:rsidRPr="00C81508" w:rsidRDefault="006E243E" w:rsidP="000C0672">
            <w:pPr>
              <w:pStyle w:val="NormalWeb"/>
              <w:jc w:val="center"/>
              <w:rPr>
                <w:sz w:val="18"/>
                <w:szCs w:val="18"/>
              </w:rPr>
            </w:pPr>
            <w:r w:rsidRPr="00C81508">
              <w:rPr>
                <w:sz w:val="18"/>
                <w:szCs w:val="18"/>
              </w:rPr>
              <w:t>18.3</w:t>
            </w:r>
          </w:p>
        </w:tc>
        <w:tc>
          <w:tcPr>
            <w:tcW w:w="1155" w:type="dxa"/>
            <w:hideMark/>
          </w:tcPr>
          <w:p w14:paraId="763A8990" w14:textId="77777777" w:rsidR="006E243E" w:rsidRPr="00C81508" w:rsidRDefault="006E243E" w:rsidP="000C0672">
            <w:pPr>
              <w:pStyle w:val="NormalWeb"/>
              <w:jc w:val="center"/>
              <w:rPr>
                <w:sz w:val="18"/>
                <w:szCs w:val="18"/>
              </w:rPr>
            </w:pPr>
            <w:r w:rsidRPr="00C81508">
              <w:rPr>
                <w:sz w:val="18"/>
                <w:szCs w:val="18"/>
              </w:rPr>
              <w:t>15.9</w:t>
            </w:r>
          </w:p>
        </w:tc>
        <w:tc>
          <w:tcPr>
            <w:tcW w:w="1154" w:type="dxa"/>
            <w:hideMark/>
          </w:tcPr>
          <w:p w14:paraId="3EBC5BEA" w14:textId="77777777" w:rsidR="006E243E" w:rsidRPr="00C81508" w:rsidRDefault="006E243E" w:rsidP="000C0672">
            <w:pPr>
              <w:pStyle w:val="NormalWeb"/>
              <w:jc w:val="center"/>
              <w:rPr>
                <w:sz w:val="18"/>
                <w:szCs w:val="18"/>
              </w:rPr>
            </w:pPr>
            <w:r w:rsidRPr="00C81508">
              <w:rPr>
                <w:sz w:val="18"/>
                <w:szCs w:val="18"/>
              </w:rPr>
              <w:t>14.9</w:t>
            </w:r>
          </w:p>
        </w:tc>
        <w:tc>
          <w:tcPr>
            <w:tcW w:w="1155" w:type="dxa"/>
            <w:hideMark/>
          </w:tcPr>
          <w:p w14:paraId="5B1EEA8F" w14:textId="77777777" w:rsidR="006E243E" w:rsidRPr="00C81508" w:rsidRDefault="006E243E" w:rsidP="000C0672">
            <w:pPr>
              <w:pStyle w:val="NormalWeb"/>
              <w:jc w:val="center"/>
              <w:rPr>
                <w:sz w:val="18"/>
                <w:szCs w:val="18"/>
              </w:rPr>
            </w:pPr>
            <w:r w:rsidRPr="00C81508">
              <w:rPr>
                <w:sz w:val="18"/>
                <w:szCs w:val="18"/>
              </w:rPr>
              <w:t>15.9</w:t>
            </w:r>
          </w:p>
        </w:tc>
      </w:tr>
      <w:tr w:rsidR="006E243E" w:rsidRPr="002B5FF3" w14:paraId="3634AE11" w14:textId="77777777" w:rsidTr="006321A5">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05668B90" w14:textId="77777777" w:rsidR="006E243E" w:rsidRPr="002B5FF3" w:rsidRDefault="006E243E">
            <w:pPr>
              <w:pStyle w:val="NormalWeb"/>
              <w:rPr>
                <w:b/>
                <w:sz w:val="18"/>
                <w:szCs w:val="18"/>
              </w:rPr>
            </w:pPr>
            <w:r w:rsidRPr="002B5FF3">
              <w:rPr>
                <w:b/>
                <w:sz w:val="18"/>
                <w:szCs w:val="18"/>
              </w:rPr>
              <w:t>Cases</w:t>
            </w:r>
          </w:p>
        </w:tc>
        <w:tc>
          <w:tcPr>
            <w:tcW w:w="1154" w:type="dxa"/>
            <w:shd w:val="clear" w:color="auto" w:fill="FDE9D9" w:themeFill="accent6" w:themeFillTint="33"/>
            <w:hideMark/>
          </w:tcPr>
          <w:p w14:paraId="4A04BB79" w14:textId="77777777" w:rsidR="006E243E" w:rsidRPr="002B5FF3" w:rsidRDefault="006E243E" w:rsidP="000C0672">
            <w:pPr>
              <w:pStyle w:val="NormalWeb"/>
              <w:jc w:val="center"/>
              <w:rPr>
                <w:b/>
                <w:sz w:val="18"/>
                <w:szCs w:val="18"/>
              </w:rPr>
            </w:pPr>
            <w:r w:rsidRPr="002B5FF3">
              <w:rPr>
                <w:b/>
                <w:sz w:val="18"/>
                <w:szCs w:val="18"/>
              </w:rPr>
              <w:t>23,808</w:t>
            </w:r>
          </w:p>
        </w:tc>
        <w:tc>
          <w:tcPr>
            <w:tcW w:w="1155" w:type="dxa"/>
            <w:shd w:val="clear" w:color="auto" w:fill="FDE9D9" w:themeFill="accent6" w:themeFillTint="33"/>
            <w:hideMark/>
          </w:tcPr>
          <w:p w14:paraId="3298F896" w14:textId="77777777" w:rsidR="006E243E" w:rsidRPr="002B5FF3" w:rsidRDefault="006E243E" w:rsidP="000C0672">
            <w:pPr>
              <w:pStyle w:val="NormalWeb"/>
              <w:jc w:val="center"/>
              <w:rPr>
                <w:b/>
                <w:sz w:val="18"/>
                <w:szCs w:val="18"/>
              </w:rPr>
            </w:pPr>
            <w:r w:rsidRPr="002B5FF3">
              <w:rPr>
                <w:b/>
                <w:sz w:val="18"/>
                <w:szCs w:val="18"/>
              </w:rPr>
              <w:t>25,261</w:t>
            </w:r>
          </w:p>
        </w:tc>
        <w:tc>
          <w:tcPr>
            <w:tcW w:w="1154" w:type="dxa"/>
            <w:shd w:val="clear" w:color="auto" w:fill="FDE9D9" w:themeFill="accent6" w:themeFillTint="33"/>
            <w:hideMark/>
          </w:tcPr>
          <w:p w14:paraId="31854DFD" w14:textId="77777777" w:rsidR="006E243E" w:rsidRPr="002B5FF3" w:rsidRDefault="006E243E" w:rsidP="000C0672">
            <w:pPr>
              <w:pStyle w:val="NormalWeb"/>
              <w:jc w:val="center"/>
              <w:rPr>
                <w:b/>
                <w:sz w:val="18"/>
                <w:szCs w:val="18"/>
              </w:rPr>
            </w:pPr>
            <w:r w:rsidRPr="002B5FF3">
              <w:rPr>
                <w:b/>
                <w:sz w:val="18"/>
                <w:szCs w:val="18"/>
              </w:rPr>
              <w:t>2,233</w:t>
            </w:r>
          </w:p>
        </w:tc>
        <w:tc>
          <w:tcPr>
            <w:tcW w:w="1155" w:type="dxa"/>
            <w:shd w:val="clear" w:color="auto" w:fill="FDE9D9" w:themeFill="accent6" w:themeFillTint="33"/>
            <w:hideMark/>
          </w:tcPr>
          <w:p w14:paraId="620D9EED" w14:textId="77777777" w:rsidR="006E243E" w:rsidRPr="002B5FF3" w:rsidRDefault="006E243E" w:rsidP="000C0672">
            <w:pPr>
              <w:pStyle w:val="NormalWeb"/>
              <w:jc w:val="center"/>
              <w:rPr>
                <w:b/>
                <w:sz w:val="18"/>
                <w:szCs w:val="18"/>
              </w:rPr>
            </w:pPr>
            <w:r w:rsidRPr="002B5FF3">
              <w:rPr>
                <w:b/>
                <w:sz w:val="18"/>
                <w:szCs w:val="18"/>
              </w:rPr>
              <w:t>1,757</w:t>
            </w:r>
          </w:p>
        </w:tc>
        <w:tc>
          <w:tcPr>
            <w:tcW w:w="1154" w:type="dxa"/>
            <w:shd w:val="clear" w:color="auto" w:fill="FDE9D9" w:themeFill="accent6" w:themeFillTint="33"/>
            <w:hideMark/>
          </w:tcPr>
          <w:p w14:paraId="3F96D6E5" w14:textId="77777777" w:rsidR="006E243E" w:rsidRPr="002B5FF3" w:rsidRDefault="006E243E" w:rsidP="000C0672">
            <w:pPr>
              <w:pStyle w:val="NormalWeb"/>
              <w:jc w:val="center"/>
              <w:rPr>
                <w:b/>
                <w:sz w:val="18"/>
                <w:szCs w:val="18"/>
              </w:rPr>
            </w:pPr>
            <w:r w:rsidRPr="002B5FF3">
              <w:rPr>
                <w:b/>
                <w:sz w:val="18"/>
                <w:szCs w:val="18"/>
              </w:rPr>
              <w:t>27,052</w:t>
            </w:r>
          </w:p>
        </w:tc>
        <w:tc>
          <w:tcPr>
            <w:tcW w:w="1155" w:type="dxa"/>
            <w:shd w:val="clear" w:color="auto" w:fill="FDE9D9" w:themeFill="accent6" w:themeFillTint="33"/>
            <w:hideMark/>
          </w:tcPr>
          <w:p w14:paraId="18BEDF25" w14:textId="77777777" w:rsidR="006E243E" w:rsidRPr="002B5FF3" w:rsidRDefault="006E243E" w:rsidP="000C0672">
            <w:pPr>
              <w:pStyle w:val="NormalWeb"/>
              <w:jc w:val="center"/>
              <w:rPr>
                <w:b/>
                <w:sz w:val="18"/>
                <w:szCs w:val="18"/>
              </w:rPr>
            </w:pPr>
            <w:r w:rsidRPr="002B5FF3">
              <w:rPr>
                <w:b/>
                <w:sz w:val="18"/>
                <w:szCs w:val="18"/>
              </w:rPr>
              <w:t>22,121</w:t>
            </w:r>
          </w:p>
        </w:tc>
        <w:tc>
          <w:tcPr>
            <w:tcW w:w="1154" w:type="dxa"/>
            <w:shd w:val="clear" w:color="auto" w:fill="FDE9D9" w:themeFill="accent6" w:themeFillTint="33"/>
            <w:hideMark/>
          </w:tcPr>
          <w:p w14:paraId="6D833AA6" w14:textId="77777777" w:rsidR="006E243E" w:rsidRPr="002B5FF3" w:rsidRDefault="006E243E" w:rsidP="000C0672">
            <w:pPr>
              <w:pStyle w:val="NormalWeb"/>
              <w:jc w:val="center"/>
              <w:rPr>
                <w:b/>
                <w:sz w:val="18"/>
                <w:szCs w:val="18"/>
              </w:rPr>
            </w:pPr>
            <w:r w:rsidRPr="002B5FF3">
              <w:rPr>
                <w:b/>
                <w:sz w:val="18"/>
                <w:szCs w:val="18"/>
              </w:rPr>
              <w:t>53,093</w:t>
            </w:r>
          </w:p>
        </w:tc>
        <w:tc>
          <w:tcPr>
            <w:tcW w:w="1155" w:type="dxa"/>
            <w:shd w:val="clear" w:color="auto" w:fill="FDE9D9" w:themeFill="accent6" w:themeFillTint="33"/>
            <w:hideMark/>
          </w:tcPr>
          <w:p w14:paraId="5E6DD296" w14:textId="77777777" w:rsidR="006E243E" w:rsidRPr="002B5FF3" w:rsidRDefault="006E243E" w:rsidP="000C0672">
            <w:pPr>
              <w:pStyle w:val="NormalWeb"/>
              <w:jc w:val="center"/>
              <w:rPr>
                <w:b/>
                <w:sz w:val="18"/>
                <w:szCs w:val="18"/>
              </w:rPr>
            </w:pPr>
            <w:r w:rsidRPr="002B5FF3">
              <w:rPr>
                <w:b/>
                <w:sz w:val="18"/>
                <w:szCs w:val="18"/>
              </w:rPr>
              <w:t>49,139</w:t>
            </w:r>
          </w:p>
        </w:tc>
      </w:tr>
    </w:tbl>
    <w:p w14:paraId="1E069965" w14:textId="77777777" w:rsidR="006E243E" w:rsidRDefault="006E243E" w:rsidP="008E5E12">
      <w:pPr>
        <w:pStyle w:val="CDIfootnotes"/>
      </w:pPr>
      <w:proofErr w:type="spellStart"/>
      <w:r>
        <w:t>a</w:t>
      </w:r>
      <w:proofErr w:type="spellEnd"/>
      <w:r>
        <w:tab/>
      </w:r>
      <w:proofErr w:type="gramStart"/>
      <w:r>
        <w:t>For</w:t>
      </w:r>
      <w:proofErr w:type="gramEnd"/>
      <w:r>
        <w:t xml:space="preserve"> cases included in the time-and-notifier-type analysis (n=102,927 cases)</w:t>
      </w:r>
    </w:p>
    <w:p w14:paraId="7E377BA6" w14:textId="77777777" w:rsidR="00846DEF" w:rsidRDefault="00846DEF">
      <w:pPr>
        <w:pStyle w:val="Heading2"/>
        <w:rPr>
          <w:rFonts w:eastAsia="Times New Roman"/>
        </w:rPr>
      </w:pPr>
    </w:p>
    <w:p w14:paraId="318F85D8" w14:textId="77777777" w:rsidR="006E243E" w:rsidRDefault="006E243E">
      <w:pPr>
        <w:pStyle w:val="Heading2"/>
        <w:rPr>
          <w:rFonts w:eastAsia="Times New Roman"/>
        </w:rPr>
      </w:pPr>
      <w:r>
        <w:rPr>
          <w:rFonts w:eastAsia="Times New Roman"/>
        </w:rPr>
        <w:t>Indigenous Status Reporting</w:t>
      </w:r>
    </w:p>
    <w:p w14:paraId="6A0E70BB" w14:textId="77777777" w:rsidR="0048582F" w:rsidRDefault="006E243E" w:rsidP="0048582F">
      <w:pPr>
        <w:pStyle w:val="NormalWeb"/>
        <w:sectPr w:rsidR="0048582F" w:rsidSect="00A30C37">
          <w:pgSz w:w="11906" w:h="16838"/>
          <w:pgMar w:top="720" w:right="720" w:bottom="1134" w:left="720" w:header="709" w:footer="284" w:gutter="0"/>
          <w:cols w:space="708"/>
          <w:titlePg/>
          <w:docGrid w:linePitch="360"/>
        </w:sectPr>
      </w:pPr>
      <w:r>
        <w:t xml:space="preserve">Indigenous status was more likely to be complete for cases in 2017 than 2016 (53.0% vs. 45.7%; RR 1.16 (95%CI: 1.15 – 1.17) </w:t>
      </w:r>
      <w:r w:rsidRPr="00684CC6">
        <w:rPr>
          <w:rStyle w:val="Emphasis"/>
          <w:b w:val="0"/>
        </w:rPr>
        <w:t>p</w:t>
      </w:r>
      <w:r>
        <w:t xml:space="preserve"> &lt;0.001). For cases included in the time-and-notifier-type analysis, Indigenous status was more likely to be complete in cases with a doctor notification (both dual and doctor-only) than laboratory-only cases (87.9% vs. 7.2%, RR 12.2 (95%CI: 11.8 – 12.6), </w:t>
      </w:r>
      <w:r w:rsidRPr="00684CC6">
        <w:rPr>
          <w:rStyle w:val="Emphasis"/>
          <w:b w:val="0"/>
        </w:rPr>
        <w:t>p&lt;0</w:t>
      </w:r>
      <w:r>
        <w:t xml:space="preserve"> .001) (Table 3). This difference was attenuated when limited to urgent cases; however, Indigenous status was still more likely to be reported in urgent doctor-notified cases than in laboratory-only cases (RR 1.18 (95%CI: 1.12 – 1.25), </w:t>
      </w:r>
      <w:r w:rsidRPr="00684CC6">
        <w:rPr>
          <w:rStyle w:val="Emphasis"/>
          <w:b w:val="0"/>
        </w:rPr>
        <w:t>P&lt;0</w:t>
      </w:r>
      <w:r>
        <w:t xml:space="preserve"> .001).</w:t>
      </w:r>
    </w:p>
    <w:p w14:paraId="470797CA" w14:textId="77777777" w:rsidR="006E243E" w:rsidRDefault="006E243E" w:rsidP="0048582F">
      <w:pPr>
        <w:pStyle w:val="CDIFigures"/>
      </w:pPr>
      <w:r>
        <w:lastRenderedPageBreak/>
        <w:t>Table 3. Indigenous status reporting completeness for case notifications by condition group and notifier, Victoria 2016 and 2017.</w:t>
      </w:r>
      <w:r w:rsidRPr="00567982">
        <w:rPr>
          <w:vertAlign w:val="superscript"/>
        </w:rPr>
        <w:t>a</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3 shows the number and per cent of cases with Indigenous status reporting complete for case notifications by condition group and notifier type in Victoria in 2016 and 2017 excluding notified cases of elevated blood lead levels &gt;5μg/dL, food and water-borne illnesses with two or more related cases, chlamydial infection, influenza with an event date between 31 July – 31 October 2017 and cases notified by only DHHS and other health departments. This table includes the relative risk, 95% CI and P-value for Indigenous status completeness for cases notified by a doctor (include both dual doctor and laboratory and doctor-only notified cases) vs. laboratory-only notified cases.&#10;"/>
      </w:tblPr>
      <w:tblGrid>
        <w:gridCol w:w="956"/>
        <w:gridCol w:w="752"/>
        <w:gridCol w:w="729"/>
        <w:gridCol w:w="820"/>
        <w:gridCol w:w="548"/>
        <w:gridCol w:w="729"/>
        <w:gridCol w:w="729"/>
        <w:gridCol w:w="548"/>
        <w:gridCol w:w="638"/>
        <w:gridCol w:w="729"/>
        <w:gridCol w:w="2587"/>
        <w:gridCol w:w="948"/>
        <w:gridCol w:w="2104"/>
        <w:gridCol w:w="2167"/>
      </w:tblGrid>
      <w:tr w:rsidR="0048582F" w:rsidRPr="0048582F" w14:paraId="7B7A596B" w14:textId="77777777" w:rsidTr="003522F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095702C4" w14:textId="77777777" w:rsidR="006E243E" w:rsidRPr="0048582F" w:rsidRDefault="006E243E">
            <w:pPr>
              <w:pStyle w:val="NormalWeb"/>
              <w:rPr>
                <w:color w:val="FFFFFF" w:themeColor="background1"/>
                <w:sz w:val="18"/>
                <w:szCs w:val="18"/>
              </w:rPr>
            </w:pPr>
            <w:r w:rsidRPr="0048582F">
              <w:rPr>
                <w:color w:val="FFFFFF" w:themeColor="background1"/>
                <w:sz w:val="18"/>
                <w:szCs w:val="18"/>
              </w:rPr>
              <w:t>Condition Urgency</w:t>
            </w:r>
          </w:p>
        </w:tc>
        <w:tc>
          <w:tcPr>
            <w:tcW w:w="769" w:type="dxa"/>
            <w:vMerge w:val="restart"/>
            <w:hideMark/>
          </w:tcPr>
          <w:p w14:paraId="6A11DFA2"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Year</w:t>
            </w:r>
          </w:p>
        </w:tc>
        <w:tc>
          <w:tcPr>
            <w:tcW w:w="7088" w:type="dxa"/>
            <w:gridSpan w:val="9"/>
            <w:hideMark/>
          </w:tcPr>
          <w:p w14:paraId="4ABD402A"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Indigenous Status Completeness</w:t>
            </w:r>
          </w:p>
        </w:tc>
        <w:tc>
          <w:tcPr>
            <w:tcW w:w="992" w:type="dxa"/>
            <w:vMerge w:val="restart"/>
            <w:hideMark/>
          </w:tcPr>
          <w:p w14:paraId="59535DD4" w14:textId="77777777" w:rsidR="006E243E" w:rsidRPr="0048582F" w:rsidRDefault="006E243E" w:rsidP="0048582F">
            <w:pPr>
              <w:pStyle w:val="NormalWeb"/>
              <w:jc w:val="center"/>
              <w:rPr>
                <w:color w:val="FFFFFF" w:themeColor="background1"/>
                <w:sz w:val="18"/>
                <w:szCs w:val="18"/>
              </w:rPr>
            </w:pPr>
            <w:proofErr w:type="spellStart"/>
            <w:r w:rsidRPr="0048582F">
              <w:rPr>
                <w:color w:val="FFFFFF" w:themeColor="background1"/>
                <w:sz w:val="18"/>
                <w:szCs w:val="18"/>
              </w:rPr>
              <w:t>RR</w:t>
            </w:r>
            <w:r w:rsidRPr="00201157">
              <w:rPr>
                <w:color w:val="FFFFFF" w:themeColor="background1"/>
                <w:sz w:val="18"/>
                <w:szCs w:val="18"/>
                <w:vertAlign w:val="superscript"/>
              </w:rPr>
              <w:t>c</w:t>
            </w:r>
            <w:proofErr w:type="spellEnd"/>
          </w:p>
        </w:tc>
        <w:tc>
          <w:tcPr>
            <w:tcW w:w="2268" w:type="dxa"/>
            <w:vMerge w:val="restart"/>
            <w:hideMark/>
          </w:tcPr>
          <w:p w14:paraId="6E436E4C"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(95% CI)</w:t>
            </w:r>
          </w:p>
        </w:tc>
        <w:tc>
          <w:tcPr>
            <w:tcW w:w="2324" w:type="dxa"/>
            <w:vMerge w:val="restart"/>
            <w:hideMark/>
          </w:tcPr>
          <w:p w14:paraId="2BEB431C" w14:textId="77777777" w:rsidR="006E243E" w:rsidRPr="0048582F" w:rsidRDefault="006E243E" w:rsidP="0048582F">
            <w:pPr>
              <w:pStyle w:val="NormalWeb"/>
              <w:jc w:val="center"/>
              <w:rPr>
                <w:color w:val="FFFFFF" w:themeColor="background1"/>
                <w:sz w:val="18"/>
                <w:szCs w:val="18"/>
              </w:rPr>
            </w:pPr>
            <w:r w:rsidRPr="00567982">
              <w:rPr>
                <w:i/>
                <w:color w:val="FFFFFF" w:themeColor="background1"/>
                <w:sz w:val="18"/>
                <w:szCs w:val="18"/>
              </w:rPr>
              <w:t>p</w:t>
            </w:r>
            <w:r w:rsidRPr="0048582F">
              <w:rPr>
                <w:color w:val="FFFFFF" w:themeColor="background1"/>
                <w:sz w:val="18"/>
                <w:szCs w:val="18"/>
              </w:rPr>
              <w:t>-value</w:t>
            </w:r>
          </w:p>
        </w:tc>
      </w:tr>
      <w:tr w:rsidR="0048582F" w:rsidRPr="0048582F" w14:paraId="6E3EC318" w14:textId="77777777" w:rsidTr="003522FA">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FC54C51" w14:textId="77777777" w:rsidR="006E243E" w:rsidRPr="0048582F" w:rsidRDefault="006E243E">
            <w:pPr>
              <w:rPr>
                <w:color w:val="FFFFFF" w:themeColor="background1"/>
                <w:sz w:val="18"/>
                <w:szCs w:val="18"/>
              </w:rPr>
            </w:pPr>
          </w:p>
        </w:tc>
        <w:tc>
          <w:tcPr>
            <w:tcW w:w="769" w:type="dxa"/>
            <w:vMerge/>
            <w:hideMark/>
          </w:tcPr>
          <w:p w14:paraId="6F0D8F5F" w14:textId="77777777" w:rsidR="006E243E" w:rsidRPr="0048582F" w:rsidRDefault="006E243E" w:rsidP="0048582F">
            <w:pPr>
              <w:jc w:val="center"/>
              <w:rPr>
                <w:color w:val="FFFFFF" w:themeColor="background1"/>
                <w:sz w:val="18"/>
                <w:szCs w:val="18"/>
              </w:rPr>
            </w:pPr>
          </w:p>
        </w:tc>
        <w:tc>
          <w:tcPr>
            <w:tcW w:w="1473" w:type="dxa"/>
            <w:gridSpan w:val="3"/>
            <w:hideMark/>
          </w:tcPr>
          <w:p w14:paraId="76422871"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 xml:space="preserve">All </w:t>
            </w:r>
            <w:proofErr w:type="spellStart"/>
            <w:r w:rsidRPr="0048582F">
              <w:rPr>
                <w:color w:val="FFFFFF" w:themeColor="background1"/>
                <w:sz w:val="18"/>
                <w:szCs w:val="18"/>
              </w:rPr>
              <w:t>Notifications</w:t>
            </w:r>
            <w:r w:rsidRPr="00201157">
              <w:rPr>
                <w:color w:val="FFFFFF" w:themeColor="background1"/>
                <w:sz w:val="18"/>
                <w:szCs w:val="18"/>
                <w:vertAlign w:val="superscript"/>
              </w:rPr>
              <w:t>a</w:t>
            </w:r>
            <w:proofErr w:type="spellEnd"/>
          </w:p>
        </w:tc>
        <w:tc>
          <w:tcPr>
            <w:tcW w:w="0" w:type="auto"/>
            <w:gridSpan w:val="3"/>
            <w:hideMark/>
          </w:tcPr>
          <w:p w14:paraId="63167DD8"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 xml:space="preserve">Doctor </w:t>
            </w:r>
            <w:proofErr w:type="spellStart"/>
            <w:r w:rsidRPr="0048582F">
              <w:rPr>
                <w:color w:val="FFFFFF" w:themeColor="background1"/>
                <w:sz w:val="18"/>
                <w:szCs w:val="18"/>
              </w:rPr>
              <w:t>Notified</w:t>
            </w:r>
            <w:r w:rsidRPr="00201157">
              <w:rPr>
                <w:color w:val="FFFFFF" w:themeColor="background1"/>
                <w:sz w:val="18"/>
                <w:szCs w:val="18"/>
                <w:vertAlign w:val="superscript"/>
              </w:rPr>
              <w:t>b</w:t>
            </w:r>
            <w:proofErr w:type="spellEnd"/>
          </w:p>
        </w:tc>
        <w:tc>
          <w:tcPr>
            <w:tcW w:w="3949" w:type="dxa"/>
            <w:gridSpan w:val="3"/>
            <w:hideMark/>
          </w:tcPr>
          <w:p w14:paraId="70E6BEFA"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Lab-Only Notified</w:t>
            </w:r>
          </w:p>
        </w:tc>
        <w:tc>
          <w:tcPr>
            <w:tcW w:w="992" w:type="dxa"/>
            <w:vMerge/>
            <w:hideMark/>
          </w:tcPr>
          <w:p w14:paraId="5F397228" w14:textId="77777777" w:rsidR="006E243E" w:rsidRPr="0048582F" w:rsidRDefault="006E243E" w:rsidP="0048582F">
            <w:pPr>
              <w:jc w:val="center"/>
              <w:rPr>
                <w:color w:val="FFFFFF" w:themeColor="background1"/>
                <w:sz w:val="18"/>
                <w:szCs w:val="18"/>
              </w:rPr>
            </w:pPr>
          </w:p>
        </w:tc>
        <w:tc>
          <w:tcPr>
            <w:tcW w:w="2268" w:type="dxa"/>
            <w:vMerge/>
            <w:hideMark/>
          </w:tcPr>
          <w:p w14:paraId="39DD53C1" w14:textId="77777777" w:rsidR="006E243E" w:rsidRPr="0048582F" w:rsidRDefault="006E243E" w:rsidP="0048582F">
            <w:pPr>
              <w:jc w:val="center"/>
              <w:rPr>
                <w:color w:val="FFFFFF" w:themeColor="background1"/>
                <w:sz w:val="18"/>
                <w:szCs w:val="18"/>
              </w:rPr>
            </w:pPr>
          </w:p>
        </w:tc>
        <w:tc>
          <w:tcPr>
            <w:tcW w:w="2324" w:type="dxa"/>
            <w:vMerge/>
            <w:hideMark/>
          </w:tcPr>
          <w:p w14:paraId="7AE2EA2D" w14:textId="77777777" w:rsidR="006E243E" w:rsidRPr="0048582F" w:rsidRDefault="006E243E" w:rsidP="0048582F">
            <w:pPr>
              <w:jc w:val="center"/>
              <w:rPr>
                <w:color w:val="FFFFFF" w:themeColor="background1"/>
                <w:sz w:val="18"/>
                <w:szCs w:val="18"/>
              </w:rPr>
            </w:pPr>
          </w:p>
        </w:tc>
      </w:tr>
      <w:tr w:rsidR="0048582F" w:rsidRPr="0048582F" w14:paraId="4506AEFF" w14:textId="77777777" w:rsidTr="003522FA">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78CF6E92" w14:textId="77777777" w:rsidR="006E243E" w:rsidRPr="0048582F" w:rsidRDefault="006E243E">
            <w:pPr>
              <w:rPr>
                <w:color w:val="FFFFFF" w:themeColor="background1"/>
                <w:sz w:val="18"/>
                <w:szCs w:val="18"/>
              </w:rPr>
            </w:pPr>
          </w:p>
        </w:tc>
        <w:tc>
          <w:tcPr>
            <w:tcW w:w="769" w:type="dxa"/>
            <w:vMerge/>
            <w:hideMark/>
          </w:tcPr>
          <w:p w14:paraId="48D1C4CF" w14:textId="77777777" w:rsidR="006E243E" w:rsidRPr="0048582F" w:rsidRDefault="006E243E" w:rsidP="0048582F">
            <w:pPr>
              <w:jc w:val="center"/>
              <w:rPr>
                <w:color w:val="FFFFFF" w:themeColor="background1"/>
                <w:sz w:val="18"/>
                <w:szCs w:val="18"/>
              </w:rPr>
            </w:pPr>
          </w:p>
        </w:tc>
        <w:tc>
          <w:tcPr>
            <w:tcW w:w="332" w:type="dxa"/>
            <w:hideMark/>
          </w:tcPr>
          <w:p w14:paraId="32781716"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0" w:type="auto"/>
            <w:hideMark/>
          </w:tcPr>
          <w:p w14:paraId="441A7152"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0" w:type="auto"/>
            <w:hideMark/>
          </w:tcPr>
          <w:p w14:paraId="457A37D2"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w:t>
            </w:r>
          </w:p>
        </w:tc>
        <w:tc>
          <w:tcPr>
            <w:tcW w:w="0" w:type="auto"/>
            <w:hideMark/>
          </w:tcPr>
          <w:p w14:paraId="7CBC55BE"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0" w:type="auto"/>
            <w:hideMark/>
          </w:tcPr>
          <w:p w14:paraId="60324DC9"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0" w:type="auto"/>
            <w:hideMark/>
          </w:tcPr>
          <w:p w14:paraId="04DF0A4A"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w:t>
            </w:r>
          </w:p>
        </w:tc>
        <w:tc>
          <w:tcPr>
            <w:tcW w:w="0" w:type="auto"/>
            <w:hideMark/>
          </w:tcPr>
          <w:p w14:paraId="7B9A6C6E"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0" w:type="auto"/>
            <w:hideMark/>
          </w:tcPr>
          <w:p w14:paraId="6E3EB6F6"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N</w:t>
            </w:r>
          </w:p>
        </w:tc>
        <w:tc>
          <w:tcPr>
            <w:tcW w:w="2809" w:type="dxa"/>
            <w:hideMark/>
          </w:tcPr>
          <w:p w14:paraId="76FDF712" w14:textId="77777777" w:rsidR="006E243E" w:rsidRPr="0048582F" w:rsidRDefault="006E243E" w:rsidP="0048582F">
            <w:pPr>
              <w:pStyle w:val="NormalWeb"/>
              <w:jc w:val="center"/>
              <w:rPr>
                <w:color w:val="FFFFFF" w:themeColor="background1"/>
                <w:sz w:val="18"/>
                <w:szCs w:val="18"/>
              </w:rPr>
            </w:pPr>
            <w:r w:rsidRPr="0048582F">
              <w:rPr>
                <w:color w:val="FFFFFF" w:themeColor="background1"/>
                <w:sz w:val="18"/>
                <w:szCs w:val="18"/>
              </w:rPr>
              <w:t>%</w:t>
            </w:r>
          </w:p>
        </w:tc>
        <w:tc>
          <w:tcPr>
            <w:tcW w:w="992" w:type="dxa"/>
            <w:vMerge/>
            <w:hideMark/>
          </w:tcPr>
          <w:p w14:paraId="07FC698D" w14:textId="77777777" w:rsidR="006E243E" w:rsidRPr="0048582F" w:rsidRDefault="006E243E" w:rsidP="0048582F">
            <w:pPr>
              <w:jc w:val="center"/>
              <w:rPr>
                <w:color w:val="FFFFFF" w:themeColor="background1"/>
                <w:sz w:val="18"/>
                <w:szCs w:val="18"/>
              </w:rPr>
            </w:pPr>
          </w:p>
        </w:tc>
        <w:tc>
          <w:tcPr>
            <w:tcW w:w="2268" w:type="dxa"/>
            <w:vMerge/>
            <w:hideMark/>
          </w:tcPr>
          <w:p w14:paraId="7969EB02" w14:textId="77777777" w:rsidR="006E243E" w:rsidRPr="0048582F" w:rsidRDefault="006E243E" w:rsidP="0048582F">
            <w:pPr>
              <w:jc w:val="center"/>
              <w:rPr>
                <w:color w:val="FFFFFF" w:themeColor="background1"/>
                <w:sz w:val="18"/>
                <w:szCs w:val="18"/>
              </w:rPr>
            </w:pPr>
          </w:p>
        </w:tc>
        <w:tc>
          <w:tcPr>
            <w:tcW w:w="2324" w:type="dxa"/>
            <w:vMerge/>
            <w:hideMark/>
          </w:tcPr>
          <w:p w14:paraId="6F69B30B" w14:textId="77777777" w:rsidR="006E243E" w:rsidRPr="0048582F" w:rsidRDefault="006E243E" w:rsidP="0048582F">
            <w:pPr>
              <w:jc w:val="center"/>
              <w:rPr>
                <w:color w:val="FFFFFF" w:themeColor="background1"/>
                <w:sz w:val="18"/>
                <w:szCs w:val="18"/>
              </w:rPr>
            </w:pPr>
          </w:p>
        </w:tc>
      </w:tr>
      <w:tr w:rsidR="000C71C9" w:rsidRPr="00416455" w14:paraId="2FABB6A2" w14:textId="77777777" w:rsidTr="003522FA">
        <w:tc>
          <w:tcPr>
            <w:tcW w:w="0" w:type="auto"/>
            <w:vMerge w:val="restart"/>
            <w:shd w:val="clear" w:color="auto" w:fill="FFFFFF" w:themeFill="background1"/>
            <w:hideMark/>
          </w:tcPr>
          <w:p w14:paraId="2C744C2C" w14:textId="77777777" w:rsidR="006E243E" w:rsidRPr="00416455" w:rsidRDefault="006E243E">
            <w:pPr>
              <w:pStyle w:val="NormalWeb"/>
              <w:rPr>
                <w:sz w:val="18"/>
                <w:szCs w:val="18"/>
              </w:rPr>
            </w:pPr>
            <w:r w:rsidRPr="00416455">
              <w:rPr>
                <w:sz w:val="18"/>
                <w:szCs w:val="18"/>
              </w:rPr>
              <w:t>Urgent</w:t>
            </w:r>
          </w:p>
        </w:tc>
        <w:tc>
          <w:tcPr>
            <w:tcW w:w="769" w:type="dxa"/>
            <w:shd w:val="clear" w:color="auto" w:fill="FFFFFF" w:themeFill="background1"/>
            <w:hideMark/>
          </w:tcPr>
          <w:p w14:paraId="049AFE2B" w14:textId="77777777" w:rsidR="006E243E" w:rsidRPr="00416455" w:rsidRDefault="006E243E" w:rsidP="0048582F">
            <w:pPr>
              <w:pStyle w:val="NormalWeb"/>
              <w:jc w:val="center"/>
              <w:rPr>
                <w:sz w:val="18"/>
                <w:szCs w:val="18"/>
              </w:rPr>
            </w:pPr>
            <w:r w:rsidRPr="00416455">
              <w:rPr>
                <w:sz w:val="18"/>
                <w:szCs w:val="18"/>
              </w:rPr>
              <w:t>2016</w:t>
            </w:r>
          </w:p>
        </w:tc>
        <w:tc>
          <w:tcPr>
            <w:tcW w:w="332" w:type="dxa"/>
            <w:shd w:val="clear" w:color="auto" w:fill="FFFFFF" w:themeFill="background1"/>
            <w:hideMark/>
          </w:tcPr>
          <w:p w14:paraId="4915645A" w14:textId="77777777" w:rsidR="006E243E" w:rsidRPr="00416455" w:rsidRDefault="006E243E" w:rsidP="0048582F">
            <w:pPr>
              <w:pStyle w:val="NormalWeb"/>
              <w:jc w:val="center"/>
              <w:rPr>
                <w:sz w:val="18"/>
                <w:szCs w:val="18"/>
              </w:rPr>
            </w:pPr>
            <w:r w:rsidRPr="00416455">
              <w:rPr>
                <w:sz w:val="18"/>
                <w:szCs w:val="18"/>
              </w:rPr>
              <w:t>309</w:t>
            </w:r>
          </w:p>
        </w:tc>
        <w:tc>
          <w:tcPr>
            <w:tcW w:w="0" w:type="auto"/>
            <w:shd w:val="clear" w:color="auto" w:fill="FFFFFF" w:themeFill="background1"/>
            <w:hideMark/>
          </w:tcPr>
          <w:p w14:paraId="54B7BB64" w14:textId="77777777" w:rsidR="006E243E" w:rsidRPr="00416455" w:rsidRDefault="006E243E" w:rsidP="0048582F">
            <w:pPr>
              <w:pStyle w:val="NormalWeb"/>
              <w:jc w:val="center"/>
              <w:rPr>
                <w:sz w:val="18"/>
                <w:szCs w:val="18"/>
              </w:rPr>
            </w:pPr>
            <w:r w:rsidRPr="00416455">
              <w:rPr>
                <w:sz w:val="18"/>
                <w:szCs w:val="18"/>
              </w:rPr>
              <w:t>341</w:t>
            </w:r>
          </w:p>
        </w:tc>
        <w:tc>
          <w:tcPr>
            <w:tcW w:w="0" w:type="auto"/>
            <w:shd w:val="clear" w:color="auto" w:fill="FFFFFF" w:themeFill="background1"/>
            <w:hideMark/>
          </w:tcPr>
          <w:p w14:paraId="279CDE58" w14:textId="77777777" w:rsidR="006E243E" w:rsidRPr="00416455" w:rsidRDefault="006E243E" w:rsidP="0048582F">
            <w:pPr>
              <w:pStyle w:val="NormalWeb"/>
              <w:jc w:val="center"/>
              <w:rPr>
                <w:sz w:val="18"/>
                <w:szCs w:val="18"/>
              </w:rPr>
            </w:pPr>
            <w:r w:rsidRPr="00416455">
              <w:rPr>
                <w:sz w:val="18"/>
                <w:szCs w:val="18"/>
              </w:rPr>
              <w:t>90.6</w:t>
            </w:r>
          </w:p>
        </w:tc>
        <w:tc>
          <w:tcPr>
            <w:tcW w:w="0" w:type="auto"/>
            <w:shd w:val="clear" w:color="auto" w:fill="FFFFFF" w:themeFill="background1"/>
            <w:hideMark/>
          </w:tcPr>
          <w:p w14:paraId="480AA8D7" w14:textId="77777777" w:rsidR="006E243E" w:rsidRPr="00416455" w:rsidRDefault="006E243E" w:rsidP="0048582F">
            <w:pPr>
              <w:pStyle w:val="NormalWeb"/>
              <w:jc w:val="center"/>
              <w:rPr>
                <w:sz w:val="18"/>
                <w:szCs w:val="18"/>
              </w:rPr>
            </w:pPr>
            <w:r w:rsidRPr="00416455">
              <w:rPr>
                <w:sz w:val="18"/>
                <w:szCs w:val="18"/>
              </w:rPr>
              <w:t>178</w:t>
            </w:r>
          </w:p>
        </w:tc>
        <w:tc>
          <w:tcPr>
            <w:tcW w:w="0" w:type="auto"/>
            <w:shd w:val="clear" w:color="auto" w:fill="FFFFFF" w:themeFill="background1"/>
            <w:hideMark/>
          </w:tcPr>
          <w:p w14:paraId="5BFC15E6" w14:textId="77777777" w:rsidR="006E243E" w:rsidRPr="00416455" w:rsidRDefault="006E243E" w:rsidP="0048582F">
            <w:pPr>
              <w:pStyle w:val="NormalWeb"/>
              <w:jc w:val="center"/>
              <w:rPr>
                <w:sz w:val="18"/>
                <w:szCs w:val="18"/>
              </w:rPr>
            </w:pPr>
            <w:r w:rsidRPr="00416455">
              <w:rPr>
                <w:sz w:val="18"/>
                <w:szCs w:val="18"/>
              </w:rPr>
              <w:t>184</w:t>
            </w:r>
          </w:p>
        </w:tc>
        <w:tc>
          <w:tcPr>
            <w:tcW w:w="0" w:type="auto"/>
            <w:shd w:val="clear" w:color="auto" w:fill="FFFFFF" w:themeFill="background1"/>
            <w:hideMark/>
          </w:tcPr>
          <w:p w14:paraId="70E0F191" w14:textId="77777777" w:rsidR="006E243E" w:rsidRPr="00416455" w:rsidRDefault="006E243E" w:rsidP="0048582F">
            <w:pPr>
              <w:pStyle w:val="NormalWeb"/>
              <w:jc w:val="center"/>
              <w:rPr>
                <w:sz w:val="18"/>
                <w:szCs w:val="18"/>
              </w:rPr>
            </w:pPr>
            <w:r w:rsidRPr="00416455">
              <w:rPr>
                <w:sz w:val="18"/>
                <w:szCs w:val="18"/>
              </w:rPr>
              <w:t>96.7</w:t>
            </w:r>
          </w:p>
        </w:tc>
        <w:tc>
          <w:tcPr>
            <w:tcW w:w="0" w:type="auto"/>
            <w:shd w:val="clear" w:color="auto" w:fill="FFFFFF" w:themeFill="background1"/>
            <w:hideMark/>
          </w:tcPr>
          <w:p w14:paraId="00A03FCA" w14:textId="77777777" w:rsidR="006E243E" w:rsidRPr="00416455" w:rsidRDefault="006E243E" w:rsidP="0048582F">
            <w:pPr>
              <w:pStyle w:val="NormalWeb"/>
              <w:jc w:val="center"/>
              <w:rPr>
                <w:sz w:val="18"/>
                <w:szCs w:val="18"/>
              </w:rPr>
            </w:pPr>
            <w:r w:rsidRPr="00416455">
              <w:rPr>
                <w:sz w:val="18"/>
                <w:szCs w:val="18"/>
              </w:rPr>
              <w:t>131</w:t>
            </w:r>
          </w:p>
        </w:tc>
        <w:tc>
          <w:tcPr>
            <w:tcW w:w="0" w:type="auto"/>
            <w:shd w:val="clear" w:color="auto" w:fill="FFFFFF" w:themeFill="background1"/>
            <w:hideMark/>
          </w:tcPr>
          <w:p w14:paraId="1EBBE274" w14:textId="77777777" w:rsidR="006E243E" w:rsidRPr="00416455" w:rsidRDefault="006E243E" w:rsidP="0048582F">
            <w:pPr>
              <w:pStyle w:val="NormalWeb"/>
              <w:jc w:val="center"/>
              <w:rPr>
                <w:sz w:val="18"/>
                <w:szCs w:val="18"/>
              </w:rPr>
            </w:pPr>
            <w:r w:rsidRPr="00416455">
              <w:rPr>
                <w:sz w:val="18"/>
                <w:szCs w:val="18"/>
              </w:rPr>
              <w:t>157</w:t>
            </w:r>
          </w:p>
        </w:tc>
        <w:tc>
          <w:tcPr>
            <w:tcW w:w="2809" w:type="dxa"/>
            <w:shd w:val="clear" w:color="auto" w:fill="FFFFFF" w:themeFill="background1"/>
            <w:hideMark/>
          </w:tcPr>
          <w:p w14:paraId="28EB4D37" w14:textId="77777777" w:rsidR="006E243E" w:rsidRPr="00416455" w:rsidRDefault="006E243E" w:rsidP="0048582F">
            <w:pPr>
              <w:pStyle w:val="NormalWeb"/>
              <w:jc w:val="center"/>
              <w:rPr>
                <w:sz w:val="18"/>
                <w:szCs w:val="18"/>
              </w:rPr>
            </w:pPr>
            <w:r w:rsidRPr="00416455">
              <w:rPr>
                <w:sz w:val="18"/>
                <w:szCs w:val="18"/>
              </w:rPr>
              <w:t>83.4</w:t>
            </w:r>
          </w:p>
        </w:tc>
        <w:tc>
          <w:tcPr>
            <w:tcW w:w="992" w:type="dxa"/>
            <w:shd w:val="clear" w:color="auto" w:fill="FFFFFF" w:themeFill="background1"/>
            <w:hideMark/>
          </w:tcPr>
          <w:p w14:paraId="65FE0A7C" w14:textId="77777777" w:rsidR="006E243E" w:rsidRPr="00416455" w:rsidRDefault="006E243E" w:rsidP="0048582F">
            <w:pPr>
              <w:pStyle w:val="NormalWeb"/>
              <w:jc w:val="center"/>
              <w:rPr>
                <w:sz w:val="18"/>
                <w:szCs w:val="18"/>
              </w:rPr>
            </w:pPr>
            <w:r w:rsidRPr="00416455">
              <w:rPr>
                <w:sz w:val="18"/>
                <w:szCs w:val="18"/>
              </w:rPr>
              <w:t>1.16</w:t>
            </w:r>
          </w:p>
        </w:tc>
        <w:tc>
          <w:tcPr>
            <w:tcW w:w="2268" w:type="dxa"/>
            <w:shd w:val="clear" w:color="auto" w:fill="FFFFFF" w:themeFill="background1"/>
            <w:hideMark/>
          </w:tcPr>
          <w:p w14:paraId="5DE534E3" w14:textId="77777777" w:rsidR="006E243E" w:rsidRPr="00416455" w:rsidRDefault="006E243E" w:rsidP="0048582F">
            <w:pPr>
              <w:pStyle w:val="NormalWeb"/>
              <w:jc w:val="center"/>
              <w:rPr>
                <w:sz w:val="18"/>
                <w:szCs w:val="18"/>
              </w:rPr>
            </w:pPr>
            <w:r w:rsidRPr="00416455">
              <w:rPr>
                <w:sz w:val="18"/>
                <w:szCs w:val="18"/>
              </w:rPr>
              <w:t>1.08 – 1.25</w:t>
            </w:r>
          </w:p>
        </w:tc>
        <w:tc>
          <w:tcPr>
            <w:tcW w:w="2324" w:type="dxa"/>
            <w:shd w:val="clear" w:color="auto" w:fill="FFFFFF" w:themeFill="background1"/>
            <w:hideMark/>
          </w:tcPr>
          <w:p w14:paraId="3D2AD7F5" w14:textId="77777777" w:rsidR="006E243E" w:rsidRPr="00416455" w:rsidRDefault="006E243E" w:rsidP="0048582F">
            <w:pPr>
              <w:pStyle w:val="NormalWeb"/>
              <w:jc w:val="center"/>
              <w:rPr>
                <w:sz w:val="18"/>
                <w:szCs w:val="18"/>
              </w:rPr>
            </w:pPr>
            <w:r w:rsidRPr="00416455">
              <w:rPr>
                <w:sz w:val="18"/>
                <w:szCs w:val="18"/>
              </w:rPr>
              <w:t>&lt;0.001</w:t>
            </w:r>
          </w:p>
        </w:tc>
      </w:tr>
      <w:tr w:rsidR="00201157" w:rsidRPr="00416455" w14:paraId="142B3D8B" w14:textId="77777777" w:rsidTr="003522FA">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698A3C84" w14:textId="77777777" w:rsidR="006E243E" w:rsidRPr="00416455" w:rsidRDefault="006E243E">
            <w:pPr>
              <w:rPr>
                <w:sz w:val="18"/>
                <w:szCs w:val="18"/>
              </w:rPr>
            </w:pPr>
          </w:p>
        </w:tc>
        <w:tc>
          <w:tcPr>
            <w:tcW w:w="769" w:type="dxa"/>
            <w:shd w:val="clear" w:color="auto" w:fill="FFFFFF" w:themeFill="background1"/>
            <w:hideMark/>
          </w:tcPr>
          <w:p w14:paraId="774081B8" w14:textId="77777777" w:rsidR="006E243E" w:rsidRPr="00416455" w:rsidRDefault="006E243E" w:rsidP="0048582F">
            <w:pPr>
              <w:pStyle w:val="NormalWeb"/>
              <w:jc w:val="center"/>
              <w:rPr>
                <w:sz w:val="18"/>
                <w:szCs w:val="18"/>
              </w:rPr>
            </w:pPr>
            <w:r w:rsidRPr="00416455">
              <w:rPr>
                <w:sz w:val="18"/>
                <w:szCs w:val="18"/>
              </w:rPr>
              <w:t>2017</w:t>
            </w:r>
          </w:p>
        </w:tc>
        <w:tc>
          <w:tcPr>
            <w:tcW w:w="332" w:type="dxa"/>
            <w:shd w:val="clear" w:color="auto" w:fill="FFFFFF" w:themeFill="background1"/>
            <w:hideMark/>
          </w:tcPr>
          <w:p w14:paraId="00BD7405" w14:textId="77777777" w:rsidR="006E243E" w:rsidRPr="00416455" w:rsidRDefault="006E243E" w:rsidP="0048582F">
            <w:pPr>
              <w:pStyle w:val="NormalWeb"/>
              <w:jc w:val="center"/>
              <w:rPr>
                <w:sz w:val="18"/>
                <w:szCs w:val="18"/>
              </w:rPr>
            </w:pPr>
            <w:r w:rsidRPr="00416455">
              <w:rPr>
                <w:sz w:val="18"/>
                <w:szCs w:val="18"/>
              </w:rPr>
              <w:t>348</w:t>
            </w:r>
          </w:p>
        </w:tc>
        <w:tc>
          <w:tcPr>
            <w:tcW w:w="0" w:type="auto"/>
            <w:shd w:val="clear" w:color="auto" w:fill="FFFFFF" w:themeFill="background1"/>
            <w:hideMark/>
          </w:tcPr>
          <w:p w14:paraId="7F18A72C" w14:textId="77777777" w:rsidR="006E243E" w:rsidRPr="00416455" w:rsidRDefault="006E243E" w:rsidP="0048582F">
            <w:pPr>
              <w:pStyle w:val="NormalWeb"/>
              <w:jc w:val="center"/>
              <w:rPr>
                <w:sz w:val="18"/>
                <w:szCs w:val="18"/>
              </w:rPr>
            </w:pPr>
            <w:r w:rsidRPr="00416455">
              <w:rPr>
                <w:sz w:val="18"/>
                <w:szCs w:val="18"/>
              </w:rPr>
              <w:t>397</w:t>
            </w:r>
          </w:p>
        </w:tc>
        <w:tc>
          <w:tcPr>
            <w:tcW w:w="0" w:type="auto"/>
            <w:shd w:val="clear" w:color="auto" w:fill="FFFFFF" w:themeFill="background1"/>
            <w:hideMark/>
          </w:tcPr>
          <w:p w14:paraId="6FD24E80" w14:textId="77777777" w:rsidR="006E243E" w:rsidRPr="00416455" w:rsidRDefault="006E243E" w:rsidP="0048582F">
            <w:pPr>
              <w:pStyle w:val="NormalWeb"/>
              <w:jc w:val="center"/>
              <w:rPr>
                <w:sz w:val="18"/>
                <w:szCs w:val="18"/>
              </w:rPr>
            </w:pPr>
            <w:r w:rsidRPr="00416455">
              <w:rPr>
                <w:sz w:val="18"/>
                <w:szCs w:val="18"/>
              </w:rPr>
              <w:t>87.7</w:t>
            </w:r>
          </w:p>
        </w:tc>
        <w:tc>
          <w:tcPr>
            <w:tcW w:w="0" w:type="auto"/>
            <w:shd w:val="clear" w:color="auto" w:fill="FFFFFF" w:themeFill="background1"/>
            <w:hideMark/>
          </w:tcPr>
          <w:p w14:paraId="721A721E" w14:textId="77777777" w:rsidR="006E243E" w:rsidRPr="00416455" w:rsidRDefault="006E243E" w:rsidP="0048582F">
            <w:pPr>
              <w:pStyle w:val="NormalWeb"/>
              <w:jc w:val="center"/>
              <w:rPr>
                <w:sz w:val="18"/>
                <w:szCs w:val="18"/>
              </w:rPr>
            </w:pPr>
            <w:r w:rsidRPr="00416455">
              <w:rPr>
                <w:sz w:val="18"/>
                <w:szCs w:val="18"/>
              </w:rPr>
              <w:t>215</w:t>
            </w:r>
          </w:p>
        </w:tc>
        <w:tc>
          <w:tcPr>
            <w:tcW w:w="0" w:type="auto"/>
            <w:shd w:val="clear" w:color="auto" w:fill="FFFFFF" w:themeFill="background1"/>
            <w:hideMark/>
          </w:tcPr>
          <w:p w14:paraId="7B98DF35" w14:textId="77777777" w:rsidR="006E243E" w:rsidRPr="00416455" w:rsidRDefault="006E243E" w:rsidP="0048582F">
            <w:pPr>
              <w:pStyle w:val="NormalWeb"/>
              <w:jc w:val="center"/>
              <w:rPr>
                <w:sz w:val="18"/>
                <w:szCs w:val="18"/>
              </w:rPr>
            </w:pPr>
            <w:r w:rsidRPr="00416455">
              <w:rPr>
                <w:sz w:val="18"/>
                <w:szCs w:val="18"/>
              </w:rPr>
              <w:t>227</w:t>
            </w:r>
          </w:p>
        </w:tc>
        <w:tc>
          <w:tcPr>
            <w:tcW w:w="0" w:type="auto"/>
            <w:shd w:val="clear" w:color="auto" w:fill="FFFFFF" w:themeFill="background1"/>
            <w:hideMark/>
          </w:tcPr>
          <w:p w14:paraId="32B7ED44" w14:textId="77777777" w:rsidR="006E243E" w:rsidRPr="00416455" w:rsidRDefault="006E243E" w:rsidP="0048582F">
            <w:pPr>
              <w:pStyle w:val="NormalWeb"/>
              <w:jc w:val="center"/>
              <w:rPr>
                <w:sz w:val="18"/>
                <w:szCs w:val="18"/>
              </w:rPr>
            </w:pPr>
            <w:r w:rsidRPr="00416455">
              <w:rPr>
                <w:sz w:val="18"/>
                <w:szCs w:val="18"/>
              </w:rPr>
              <w:t>94.7</w:t>
            </w:r>
          </w:p>
        </w:tc>
        <w:tc>
          <w:tcPr>
            <w:tcW w:w="0" w:type="auto"/>
            <w:shd w:val="clear" w:color="auto" w:fill="FFFFFF" w:themeFill="background1"/>
            <w:hideMark/>
          </w:tcPr>
          <w:p w14:paraId="55160AAA" w14:textId="77777777" w:rsidR="006E243E" w:rsidRPr="00416455" w:rsidRDefault="006E243E" w:rsidP="0048582F">
            <w:pPr>
              <w:pStyle w:val="NormalWeb"/>
              <w:jc w:val="center"/>
              <w:rPr>
                <w:sz w:val="18"/>
                <w:szCs w:val="18"/>
              </w:rPr>
            </w:pPr>
            <w:r w:rsidRPr="00416455">
              <w:rPr>
                <w:sz w:val="18"/>
                <w:szCs w:val="18"/>
              </w:rPr>
              <w:t>133</w:t>
            </w:r>
          </w:p>
        </w:tc>
        <w:tc>
          <w:tcPr>
            <w:tcW w:w="0" w:type="auto"/>
            <w:shd w:val="clear" w:color="auto" w:fill="FFFFFF" w:themeFill="background1"/>
            <w:hideMark/>
          </w:tcPr>
          <w:p w14:paraId="49A4081B" w14:textId="77777777" w:rsidR="006E243E" w:rsidRPr="00416455" w:rsidRDefault="006E243E" w:rsidP="0048582F">
            <w:pPr>
              <w:pStyle w:val="NormalWeb"/>
              <w:jc w:val="center"/>
              <w:rPr>
                <w:sz w:val="18"/>
                <w:szCs w:val="18"/>
              </w:rPr>
            </w:pPr>
            <w:r w:rsidRPr="00416455">
              <w:rPr>
                <w:sz w:val="18"/>
                <w:szCs w:val="18"/>
              </w:rPr>
              <w:t>170</w:t>
            </w:r>
          </w:p>
        </w:tc>
        <w:tc>
          <w:tcPr>
            <w:tcW w:w="2809" w:type="dxa"/>
            <w:shd w:val="clear" w:color="auto" w:fill="FFFFFF" w:themeFill="background1"/>
            <w:hideMark/>
          </w:tcPr>
          <w:p w14:paraId="34D7C050" w14:textId="77777777" w:rsidR="006E243E" w:rsidRPr="00416455" w:rsidRDefault="006E243E" w:rsidP="0048582F">
            <w:pPr>
              <w:pStyle w:val="NormalWeb"/>
              <w:jc w:val="center"/>
              <w:rPr>
                <w:sz w:val="18"/>
                <w:szCs w:val="18"/>
              </w:rPr>
            </w:pPr>
            <w:r w:rsidRPr="00416455">
              <w:rPr>
                <w:sz w:val="18"/>
                <w:szCs w:val="18"/>
              </w:rPr>
              <w:t>78.2</w:t>
            </w:r>
          </w:p>
        </w:tc>
        <w:tc>
          <w:tcPr>
            <w:tcW w:w="992" w:type="dxa"/>
            <w:shd w:val="clear" w:color="auto" w:fill="FFFFFF" w:themeFill="background1"/>
            <w:hideMark/>
          </w:tcPr>
          <w:p w14:paraId="53F981FF" w14:textId="77777777" w:rsidR="006E243E" w:rsidRPr="00416455" w:rsidRDefault="006E243E" w:rsidP="0048582F">
            <w:pPr>
              <w:pStyle w:val="NormalWeb"/>
              <w:jc w:val="center"/>
              <w:rPr>
                <w:sz w:val="18"/>
                <w:szCs w:val="18"/>
              </w:rPr>
            </w:pPr>
            <w:r w:rsidRPr="00416455">
              <w:rPr>
                <w:sz w:val="18"/>
                <w:szCs w:val="18"/>
              </w:rPr>
              <w:t>1.21</w:t>
            </w:r>
          </w:p>
        </w:tc>
        <w:tc>
          <w:tcPr>
            <w:tcW w:w="2268" w:type="dxa"/>
            <w:shd w:val="clear" w:color="auto" w:fill="FFFFFF" w:themeFill="background1"/>
            <w:hideMark/>
          </w:tcPr>
          <w:p w14:paraId="25FCF1AC" w14:textId="77777777" w:rsidR="006E243E" w:rsidRPr="00416455" w:rsidRDefault="006E243E" w:rsidP="0048582F">
            <w:pPr>
              <w:pStyle w:val="NormalWeb"/>
              <w:jc w:val="center"/>
              <w:rPr>
                <w:sz w:val="18"/>
                <w:szCs w:val="18"/>
              </w:rPr>
            </w:pPr>
            <w:r w:rsidRPr="00416455">
              <w:rPr>
                <w:sz w:val="18"/>
                <w:szCs w:val="18"/>
              </w:rPr>
              <w:t>1.11 - 1.31</w:t>
            </w:r>
          </w:p>
        </w:tc>
        <w:tc>
          <w:tcPr>
            <w:tcW w:w="2324" w:type="dxa"/>
            <w:shd w:val="clear" w:color="auto" w:fill="FFFFFF" w:themeFill="background1"/>
            <w:hideMark/>
          </w:tcPr>
          <w:p w14:paraId="73D02BBF" w14:textId="77777777" w:rsidR="006E243E" w:rsidRPr="00416455" w:rsidRDefault="006E243E" w:rsidP="0048582F">
            <w:pPr>
              <w:pStyle w:val="NormalWeb"/>
              <w:jc w:val="center"/>
              <w:rPr>
                <w:sz w:val="18"/>
                <w:szCs w:val="18"/>
              </w:rPr>
            </w:pPr>
            <w:r w:rsidRPr="00416455">
              <w:rPr>
                <w:sz w:val="18"/>
                <w:szCs w:val="18"/>
              </w:rPr>
              <w:t>&lt;0.001</w:t>
            </w:r>
          </w:p>
        </w:tc>
      </w:tr>
      <w:tr w:rsidR="000C71C9" w:rsidRPr="00416455" w14:paraId="2C6B00AD" w14:textId="77777777" w:rsidTr="003522FA">
        <w:tc>
          <w:tcPr>
            <w:tcW w:w="0" w:type="auto"/>
            <w:vMerge/>
            <w:shd w:val="clear" w:color="auto" w:fill="FFFFFF" w:themeFill="background1"/>
            <w:hideMark/>
          </w:tcPr>
          <w:p w14:paraId="59E4BA69" w14:textId="77777777" w:rsidR="006E243E" w:rsidRPr="00416455" w:rsidRDefault="006E243E">
            <w:pPr>
              <w:rPr>
                <w:sz w:val="18"/>
                <w:szCs w:val="18"/>
              </w:rPr>
            </w:pPr>
          </w:p>
        </w:tc>
        <w:tc>
          <w:tcPr>
            <w:tcW w:w="769" w:type="dxa"/>
            <w:shd w:val="clear" w:color="auto" w:fill="FFFFFF" w:themeFill="background1"/>
            <w:hideMark/>
          </w:tcPr>
          <w:p w14:paraId="36D041D6" w14:textId="77777777" w:rsidR="006E243E" w:rsidRPr="00416455" w:rsidRDefault="006E243E" w:rsidP="0048582F">
            <w:pPr>
              <w:pStyle w:val="NormalWeb"/>
              <w:jc w:val="center"/>
              <w:rPr>
                <w:sz w:val="18"/>
                <w:szCs w:val="18"/>
              </w:rPr>
            </w:pPr>
            <w:r w:rsidRPr="00416455">
              <w:rPr>
                <w:sz w:val="18"/>
                <w:szCs w:val="18"/>
              </w:rPr>
              <w:t>Total</w:t>
            </w:r>
          </w:p>
        </w:tc>
        <w:tc>
          <w:tcPr>
            <w:tcW w:w="332" w:type="dxa"/>
            <w:shd w:val="clear" w:color="auto" w:fill="FFFFFF" w:themeFill="background1"/>
            <w:hideMark/>
          </w:tcPr>
          <w:p w14:paraId="6E7A7399" w14:textId="77777777" w:rsidR="006E243E" w:rsidRPr="00416455" w:rsidRDefault="006E243E" w:rsidP="0048582F">
            <w:pPr>
              <w:pStyle w:val="NormalWeb"/>
              <w:jc w:val="center"/>
              <w:rPr>
                <w:sz w:val="18"/>
                <w:szCs w:val="18"/>
              </w:rPr>
            </w:pPr>
            <w:r w:rsidRPr="00416455">
              <w:rPr>
                <w:sz w:val="18"/>
                <w:szCs w:val="18"/>
              </w:rPr>
              <w:t>657</w:t>
            </w:r>
          </w:p>
        </w:tc>
        <w:tc>
          <w:tcPr>
            <w:tcW w:w="0" w:type="auto"/>
            <w:shd w:val="clear" w:color="auto" w:fill="FFFFFF" w:themeFill="background1"/>
            <w:hideMark/>
          </w:tcPr>
          <w:p w14:paraId="6AB1B202" w14:textId="77777777" w:rsidR="006E243E" w:rsidRPr="00416455" w:rsidRDefault="006E243E" w:rsidP="0048582F">
            <w:pPr>
              <w:pStyle w:val="NormalWeb"/>
              <w:jc w:val="center"/>
              <w:rPr>
                <w:sz w:val="18"/>
                <w:szCs w:val="18"/>
              </w:rPr>
            </w:pPr>
            <w:r w:rsidRPr="00416455">
              <w:rPr>
                <w:sz w:val="18"/>
                <w:szCs w:val="18"/>
              </w:rPr>
              <w:t>738</w:t>
            </w:r>
          </w:p>
        </w:tc>
        <w:tc>
          <w:tcPr>
            <w:tcW w:w="0" w:type="auto"/>
            <w:shd w:val="clear" w:color="auto" w:fill="FFFFFF" w:themeFill="background1"/>
            <w:hideMark/>
          </w:tcPr>
          <w:p w14:paraId="3E06F9A0" w14:textId="77777777" w:rsidR="006E243E" w:rsidRPr="00416455" w:rsidRDefault="006E243E" w:rsidP="0048582F">
            <w:pPr>
              <w:pStyle w:val="NormalWeb"/>
              <w:jc w:val="center"/>
              <w:rPr>
                <w:sz w:val="18"/>
                <w:szCs w:val="18"/>
              </w:rPr>
            </w:pPr>
            <w:r w:rsidRPr="00416455">
              <w:rPr>
                <w:sz w:val="18"/>
                <w:szCs w:val="18"/>
              </w:rPr>
              <w:t>89.0</w:t>
            </w:r>
          </w:p>
        </w:tc>
        <w:tc>
          <w:tcPr>
            <w:tcW w:w="0" w:type="auto"/>
            <w:shd w:val="clear" w:color="auto" w:fill="FFFFFF" w:themeFill="background1"/>
            <w:hideMark/>
          </w:tcPr>
          <w:p w14:paraId="2CA3557B" w14:textId="77777777" w:rsidR="006E243E" w:rsidRPr="00416455" w:rsidRDefault="006E243E" w:rsidP="0048582F">
            <w:pPr>
              <w:pStyle w:val="NormalWeb"/>
              <w:jc w:val="center"/>
              <w:rPr>
                <w:sz w:val="18"/>
                <w:szCs w:val="18"/>
              </w:rPr>
            </w:pPr>
            <w:r w:rsidRPr="00416455">
              <w:rPr>
                <w:sz w:val="18"/>
                <w:szCs w:val="18"/>
              </w:rPr>
              <w:t>393</w:t>
            </w:r>
          </w:p>
        </w:tc>
        <w:tc>
          <w:tcPr>
            <w:tcW w:w="0" w:type="auto"/>
            <w:shd w:val="clear" w:color="auto" w:fill="FFFFFF" w:themeFill="background1"/>
            <w:hideMark/>
          </w:tcPr>
          <w:p w14:paraId="111307CF" w14:textId="77777777" w:rsidR="006E243E" w:rsidRPr="00416455" w:rsidRDefault="006E243E" w:rsidP="0048582F">
            <w:pPr>
              <w:pStyle w:val="NormalWeb"/>
              <w:jc w:val="center"/>
              <w:rPr>
                <w:sz w:val="18"/>
                <w:szCs w:val="18"/>
              </w:rPr>
            </w:pPr>
            <w:r w:rsidRPr="00416455">
              <w:rPr>
                <w:sz w:val="18"/>
                <w:szCs w:val="18"/>
              </w:rPr>
              <w:t>411</w:t>
            </w:r>
          </w:p>
        </w:tc>
        <w:tc>
          <w:tcPr>
            <w:tcW w:w="0" w:type="auto"/>
            <w:shd w:val="clear" w:color="auto" w:fill="FFFFFF" w:themeFill="background1"/>
            <w:hideMark/>
          </w:tcPr>
          <w:p w14:paraId="221F458D" w14:textId="77777777" w:rsidR="006E243E" w:rsidRPr="00416455" w:rsidRDefault="006E243E" w:rsidP="0048582F">
            <w:pPr>
              <w:pStyle w:val="NormalWeb"/>
              <w:jc w:val="center"/>
              <w:rPr>
                <w:sz w:val="18"/>
                <w:szCs w:val="18"/>
              </w:rPr>
            </w:pPr>
            <w:r w:rsidRPr="00416455">
              <w:rPr>
                <w:sz w:val="18"/>
                <w:szCs w:val="18"/>
              </w:rPr>
              <w:t>95.6</w:t>
            </w:r>
          </w:p>
        </w:tc>
        <w:tc>
          <w:tcPr>
            <w:tcW w:w="0" w:type="auto"/>
            <w:shd w:val="clear" w:color="auto" w:fill="FFFFFF" w:themeFill="background1"/>
            <w:hideMark/>
          </w:tcPr>
          <w:p w14:paraId="24BBF24A" w14:textId="77777777" w:rsidR="006E243E" w:rsidRPr="00416455" w:rsidRDefault="006E243E" w:rsidP="0048582F">
            <w:pPr>
              <w:pStyle w:val="NormalWeb"/>
              <w:jc w:val="center"/>
              <w:rPr>
                <w:sz w:val="18"/>
                <w:szCs w:val="18"/>
              </w:rPr>
            </w:pPr>
            <w:r w:rsidRPr="00416455">
              <w:rPr>
                <w:sz w:val="18"/>
                <w:szCs w:val="18"/>
              </w:rPr>
              <w:t>264</w:t>
            </w:r>
          </w:p>
        </w:tc>
        <w:tc>
          <w:tcPr>
            <w:tcW w:w="0" w:type="auto"/>
            <w:shd w:val="clear" w:color="auto" w:fill="FFFFFF" w:themeFill="background1"/>
            <w:hideMark/>
          </w:tcPr>
          <w:p w14:paraId="594ABFF9" w14:textId="77777777" w:rsidR="006E243E" w:rsidRPr="00416455" w:rsidRDefault="006E243E" w:rsidP="0048582F">
            <w:pPr>
              <w:pStyle w:val="NormalWeb"/>
              <w:jc w:val="center"/>
              <w:rPr>
                <w:sz w:val="18"/>
                <w:szCs w:val="18"/>
              </w:rPr>
            </w:pPr>
            <w:r w:rsidRPr="00416455">
              <w:rPr>
                <w:sz w:val="18"/>
                <w:szCs w:val="18"/>
              </w:rPr>
              <w:t>327</w:t>
            </w:r>
          </w:p>
        </w:tc>
        <w:tc>
          <w:tcPr>
            <w:tcW w:w="2809" w:type="dxa"/>
            <w:shd w:val="clear" w:color="auto" w:fill="FFFFFF" w:themeFill="background1"/>
            <w:hideMark/>
          </w:tcPr>
          <w:p w14:paraId="23B38B0D" w14:textId="77777777" w:rsidR="006E243E" w:rsidRPr="00416455" w:rsidRDefault="006E243E" w:rsidP="0048582F">
            <w:pPr>
              <w:pStyle w:val="NormalWeb"/>
              <w:jc w:val="center"/>
              <w:rPr>
                <w:sz w:val="18"/>
                <w:szCs w:val="18"/>
              </w:rPr>
            </w:pPr>
            <w:r w:rsidRPr="00416455">
              <w:rPr>
                <w:sz w:val="18"/>
                <w:szCs w:val="18"/>
              </w:rPr>
              <w:t>80.7</w:t>
            </w:r>
          </w:p>
        </w:tc>
        <w:tc>
          <w:tcPr>
            <w:tcW w:w="992" w:type="dxa"/>
            <w:shd w:val="clear" w:color="auto" w:fill="FFFFFF" w:themeFill="background1"/>
            <w:hideMark/>
          </w:tcPr>
          <w:p w14:paraId="39EA3229" w14:textId="77777777" w:rsidR="006E243E" w:rsidRPr="00416455" w:rsidRDefault="006E243E" w:rsidP="0048582F">
            <w:pPr>
              <w:pStyle w:val="NormalWeb"/>
              <w:jc w:val="center"/>
              <w:rPr>
                <w:sz w:val="18"/>
                <w:szCs w:val="18"/>
              </w:rPr>
            </w:pPr>
            <w:r w:rsidRPr="00416455">
              <w:rPr>
                <w:sz w:val="18"/>
                <w:szCs w:val="18"/>
              </w:rPr>
              <w:t>1.18</w:t>
            </w:r>
          </w:p>
        </w:tc>
        <w:tc>
          <w:tcPr>
            <w:tcW w:w="2268" w:type="dxa"/>
            <w:shd w:val="clear" w:color="auto" w:fill="FFFFFF" w:themeFill="background1"/>
            <w:hideMark/>
          </w:tcPr>
          <w:p w14:paraId="689330D3" w14:textId="77777777" w:rsidR="006E243E" w:rsidRPr="00416455" w:rsidRDefault="006E243E" w:rsidP="0048582F">
            <w:pPr>
              <w:pStyle w:val="NormalWeb"/>
              <w:jc w:val="center"/>
              <w:rPr>
                <w:sz w:val="18"/>
                <w:szCs w:val="18"/>
              </w:rPr>
            </w:pPr>
            <w:r w:rsidRPr="00416455">
              <w:rPr>
                <w:sz w:val="18"/>
                <w:szCs w:val="18"/>
              </w:rPr>
              <w:t>1.12 – 1.25</w:t>
            </w:r>
          </w:p>
        </w:tc>
        <w:tc>
          <w:tcPr>
            <w:tcW w:w="2324" w:type="dxa"/>
            <w:shd w:val="clear" w:color="auto" w:fill="FFFFFF" w:themeFill="background1"/>
            <w:hideMark/>
          </w:tcPr>
          <w:p w14:paraId="71C4F800" w14:textId="77777777" w:rsidR="006E243E" w:rsidRPr="00416455" w:rsidRDefault="006E243E" w:rsidP="0048582F">
            <w:pPr>
              <w:pStyle w:val="NormalWeb"/>
              <w:jc w:val="center"/>
              <w:rPr>
                <w:sz w:val="18"/>
                <w:szCs w:val="18"/>
              </w:rPr>
            </w:pPr>
            <w:r w:rsidRPr="00416455">
              <w:rPr>
                <w:sz w:val="18"/>
                <w:szCs w:val="18"/>
              </w:rPr>
              <w:t>&lt;0.001</w:t>
            </w:r>
          </w:p>
        </w:tc>
      </w:tr>
      <w:tr w:rsidR="00201157" w:rsidRPr="00416455" w14:paraId="39CD90FF" w14:textId="77777777" w:rsidTr="003522FA">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FFFFFF" w:themeFill="background1"/>
            <w:hideMark/>
          </w:tcPr>
          <w:p w14:paraId="2005BD3F" w14:textId="77777777" w:rsidR="006E243E" w:rsidRPr="00416455" w:rsidRDefault="006E243E">
            <w:pPr>
              <w:pStyle w:val="NormalWeb"/>
              <w:rPr>
                <w:sz w:val="18"/>
                <w:szCs w:val="18"/>
              </w:rPr>
            </w:pPr>
            <w:r w:rsidRPr="00416455">
              <w:rPr>
                <w:sz w:val="18"/>
                <w:szCs w:val="18"/>
              </w:rPr>
              <w:t>Routine</w:t>
            </w:r>
          </w:p>
        </w:tc>
        <w:tc>
          <w:tcPr>
            <w:tcW w:w="769" w:type="dxa"/>
            <w:shd w:val="clear" w:color="auto" w:fill="FFFFFF" w:themeFill="background1"/>
            <w:hideMark/>
          </w:tcPr>
          <w:p w14:paraId="1739EFE8" w14:textId="77777777" w:rsidR="006E243E" w:rsidRPr="00416455" w:rsidRDefault="006E243E" w:rsidP="0048582F">
            <w:pPr>
              <w:pStyle w:val="NormalWeb"/>
              <w:jc w:val="center"/>
              <w:rPr>
                <w:sz w:val="18"/>
                <w:szCs w:val="18"/>
              </w:rPr>
            </w:pPr>
            <w:r w:rsidRPr="00416455">
              <w:rPr>
                <w:sz w:val="18"/>
                <w:szCs w:val="18"/>
              </w:rPr>
              <w:t>2016</w:t>
            </w:r>
          </w:p>
        </w:tc>
        <w:tc>
          <w:tcPr>
            <w:tcW w:w="332" w:type="dxa"/>
            <w:shd w:val="clear" w:color="auto" w:fill="FFFFFF" w:themeFill="background1"/>
            <w:hideMark/>
          </w:tcPr>
          <w:p w14:paraId="24B55ED7" w14:textId="77777777" w:rsidR="006E243E" w:rsidRPr="00416455" w:rsidRDefault="006E243E" w:rsidP="0048582F">
            <w:pPr>
              <w:pStyle w:val="NormalWeb"/>
              <w:jc w:val="center"/>
              <w:rPr>
                <w:sz w:val="18"/>
                <w:szCs w:val="18"/>
              </w:rPr>
            </w:pPr>
            <w:r w:rsidRPr="00416455">
              <w:rPr>
                <w:sz w:val="18"/>
                <w:szCs w:val="18"/>
              </w:rPr>
              <w:t>24,337</w:t>
            </w:r>
          </w:p>
        </w:tc>
        <w:tc>
          <w:tcPr>
            <w:tcW w:w="0" w:type="auto"/>
            <w:shd w:val="clear" w:color="auto" w:fill="FFFFFF" w:themeFill="background1"/>
            <w:hideMark/>
          </w:tcPr>
          <w:p w14:paraId="5D04237D" w14:textId="77777777" w:rsidR="006E243E" w:rsidRPr="00416455" w:rsidRDefault="006E243E" w:rsidP="0048582F">
            <w:pPr>
              <w:pStyle w:val="NormalWeb"/>
              <w:jc w:val="center"/>
              <w:rPr>
                <w:sz w:val="18"/>
                <w:szCs w:val="18"/>
              </w:rPr>
            </w:pPr>
            <w:r w:rsidRPr="00416455">
              <w:rPr>
                <w:sz w:val="18"/>
                <w:szCs w:val="18"/>
              </w:rPr>
              <w:t>53,681</w:t>
            </w:r>
          </w:p>
        </w:tc>
        <w:tc>
          <w:tcPr>
            <w:tcW w:w="0" w:type="auto"/>
            <w:shd w:val="clear" w:color="auto" w:fill="FFFFFF" w:themeFill="background1"/>
            <w:hideMark/>
          </w:tcPr>
          <w:p w14:paraId="02D253E5" w14:textId="77777777" w:rsidR="006E243E" w:rsidRPr="00416455" w:rsidRDefault="006E243E" w:rsidP="0048582F">
            <w:pPr>
              <w:pStyle w:val="NormalWeb"/>
              <w:jc w:val="center"/>
              <w:rPr>
                <w:sz w:val="18"/>
                <w:szCs w:val="18"/>
              </w:rPr>
            </w:pPr>
            <w:r w:rsidRPr="00416455">
              <w:rPr>
                <w:sz w:val="18"/>
                <w:szCs w:val="18"/>
              </w:rPr>
              <w:t>45.3</w:t>
            </w:r>
          </w:p>
        </w:tc>
        <w:tc>
          <w:tcPr>
            <w:tcW w:w="0" w:type="auto"/>
            <w:shd w:val="clear" w:color="auto" w:fill="FFFFFF" w:themeFill="background1"/>
            <w:hideMark/>
          </w:tcPr>
          <w:p w14:paraId="59E937BB" w14:textId="77777777" w:rsidR="006E243E" w:rsidRPr="00416455" w:rsidRDefault="006E243E" w:rsidP="0048582F">
            <w:pPr>
              <w:pStyle w:val="NormalWeb"/>
              <w:jc w:val="center"/>
              <w:rPr>
                <w:sz w:val="18"/>
                <w:szCs w:val="18"/>
              </w:rPr>
            </w:pPr>
            <w:r w:rsidRPr="00416455">
              <w:rPr>
                <w:sz w:val="18"/>
                <w:szCs w:val="18"/>
              </w:rPr>
              <w:t>22,684</w:t>
            </w:r>
          </w:p>
        </w:tc>
        <w:tc>
          <w:tcPr>
            <w:tcW w:w="0" w:type="auto"/>
            <w:shd w:val="clear" w:color="auto" w:fill="FFFFFF" w:themeFill="background1"/>
            <w:hideMark/>
          </w:tcPr>
          <w:p w14:paraId="630BDBF9" w14:textId="77777777" w:rsidR="006E243E" w:rsidRPr="00416455" w:rsidRDefault="006E243E" w:rsidP="0048582F">
            <w:pPr>
              <w:pStyle w:val="NormalWeb"/>
              <w:jc w:val="center"/>
              <w:rPr>
                <w:sz w:val="18"/>
                <w:szCs w:val="18"/>
              </w:rPr>
            </w:pPr>
            <w:r w:rsidRPr="00416455">
              <w:rPr>
                <w:sz w:val="18"/>
                <w:szCs w:val="18"/>
              </w:rPr>
              <w:t>26,386</w:t>
            </w:r>
          </w:p>
        </w:tc>
        <w:tc>
          <w:tcPr>
            <w:tcW w:w="0" w:type="auto"/>
            <w:shd w:val="clear" w:color="auto" w:fill="FFFFFF" w:themeFill="background1"/>
            <w:hideMark/>
          </w:tcPr>
          <w:p w14:paraId="5902C489" w14:textId="77777777" w:rsidR="006E243E" w:rsidRPr="00416455" w:rsidRDefault="006E243E" w:rsidP="0048582F">
            <w:pPr>
              <w:pStyle w:val="NormalWeb"/>
              <w:jc w:val="center"/>
              <w:rPr>
                <w:sz w:val="18"/>
                <w:szCs w:val="18"/>
              </w:rPr>
            </w:pPr>
            <w:r w:rsidRPr="00416455">
              <w:rPr>
                <w:sz w:val="18"/>
                <w:szCs w:val="18"/>
              </w:rPr>
              <w:t>86.0</w:t>
            </w:r>
          </w:p>
        </w:tc>
        <w:tc>
          <w:tcPr>
            <w:tcW w:w="0" w:type="auto"/>
            <w:shd w:val="clear" w:color="auto" w:fill="FFFFFF" w:themeFill="background1"/>
            <w:hideMark/>
          </w:tcPr>
          <w:p w14:paraId="5A3A96E2" w14:textId="77777777" w:rsidR="006E243E" w:rsidRPr="00416455" w:rsidRDefault="006E243E" w:rsidP="0048582F">
            <w:pPr>
              <w:pStyle w:val="NormalWeb"/>
              <w:jc w:val="center"/>
              <w:rPr>
                <w:sz w:val="18"/>
                <w:szCs w:val="18"/>
              </w:rPr>
            </w:pPr>
            <w:r w:rsidRPr="00416455">
              <w:rPr>
                <w:sz w:val="18"/>
                <w:szCs w:val="18"/>
              </w:rPr>
              <w:t>1,653</w:t>
            </w:r>
          </w:p>
        </w:tc>
        <w:tc>
          <w:tcPr>
            <w:tcW w:w="0" w:type="auto"/>
            <w:shd w:val="clear" w:color="auto" w:fill="FFFFFF" w:themeFill="background1"/>
            <w:hideMark/>
          </w:tcPr>
          <w:p w14:paraId="14BB3126" w14:textId="77777777" w:rsidR="006E243E" w:rsidRPr="00416455" w:rsidRDefault="006E243E" w:rsidP="0048582F">
            <w:pPr>
              <w:pStyle w:val="NormalWeb"/>
              <w:jc w:val="center"/>
              <w:rPr>
                <w:sz w:val="18"/>
                <w:szCs w:val="18"/>
              </w:rPr>
            </w:pPr>
            <w:r w:rsidRPr="00416455">
              <w:rPr>
                <w:sz w:val="18"/>
                <w:szCs w:val="18"/>
              </w:rPr>
              <w:t>27,295</w:t>
            </w:r>
          </w:p>
        </w:tc>
        <w:tc>
          <w:tcPr>
            <w:tcW w:w="2809" w:type="dxa"/>
            <w:shd w:val="clear" w:color="auto" w:fill="FFFFFF" w:themeFill="background1"/>
            <w:hideMark/>
          </w:tcPr>
          <w:p w14:paraId="6C59387F" w14:textId="77777777" w:rsidR="006E243E" w:rsidRPr="00416455" w:rsidRDefault="006E243E" w:rsidP="0048582F">
            <w:pPr>
              <w:pStyle w:val="NormalWeb"/>
              <w:jc w:val="center"/>
              <w:rPr>
                <w:sz w:val="18"/>
                <w:szCs w:val="18"/>
              </w:rPr>
            </w:pPr>
            <w:r w:rsidRPr="00416455">
              <w:rPr>
                <w:sz w:val="18"/>
                <w:szCs w:val="18"/>
              </w:rPr>
              <w:t>6.1</w:t>
            </w:r>
          </w:p>
        </w:tc>
        <w:tc>
          <w:tcPr>
            <w:tcW w:w="992" w:type="dxa"/>
            <w:shd w:val="clear" w:color="auto" w:fill="FFFFFF" w:themeFill="background1"/>
            <w:hideMark/>
          </w:tcPr>
          <w:p w14:paraId="35D95B18" w14:textId="77777777" w:rsidR="006E243E" w:rsidRPr="00416455" w:rsidRDefault="006E243E" w:rsidP="0048582F">
            <w:pPr>
              <w:pStyle w:val="NormalWeb"/>
              <w:jc w:val="center"/>
              <w:rPr>
                <w:sz w:val="18"/>
                <w:szCs w:val="18"/>
              </w:rPr>
            </w:pPr>
            <w:r w:rsidRPr="00416455">
              <w:rPr>
                <w:sz w:val="18"/>
                <w:szCs w:val="18"/>
              </w:rPr>
              <w:t>14.2</w:t>
            </w:r>
          </w:p>
        </w:tc>
        <w:tc>
          <w:tcPr>
            <w:tcW w:w="2268" w:type="dxa"/>
            <w:shd w:val="clear" w:color="auto" w:fill="FFFFFF" w:themeFill="background1"/>
            <w:hideMark/>
          </w:tcPr>
          <w:p w14:paraId="6E888467" w14:textId="77777777" w:rsidR="006E243E" w:rsidRPr="00416455" w:rsidRDefault="006E243E" w:rsidP="0048582F">
            <w:pPr>
              <w:pStyle w:val="NormalWeb"/>
              <w:jc w:val="center"/>
              <w:rPr>
                <w:sz w:val="18"/>
                <w:szCs w:val="18"/>
              </w:rPr>
            </w:pPr>
            <w:r w:rsidRPr="00416455">
              <w:rPr>
                <w:sz w:val="18"/>
                <w:szCs w:val="18"/>
              </w:rPr>
              <w:t>13.5 – 14.9</w:t>
            </w:r>
          </w:p>
        </w:tc>
        <w:tc>
          <w:tcPr>
            <w:tcW w:w="2324" w:type="dxa"/>
            <w:shd w:val="clear" w:color="auto" w:fill="FFFFFF" w:themeFill="background1"/>
            <w:hideMark/>
          </w:tcPr>
          <w:p w14:paraId="064C57B6" w14:textId="77777777" w:rsidR="006E243E" w:rsidRPr="00416455" w:rsidRDefault="006E243E" w:rsidP="0048582F">
            <w:pPr>
              <w:pStyle w:val="NormalWeb"/>
              <w:jc w:val="center"/>
              <w:rPr>
                <w:sz w:val="18"/>
                <w:szCs w:val="18"/>
              </w:rPr>
            </w:pPr>
            <w:r w:rsidRPr="00416455">
              <w:rPr>
                <w:sz w:val="18"/>
                <w:szCs w:val="18"/>
              </w:rPr>
              <w:t>&lt;0.001</w:t>
            </w:r>
          </w:p>
        </w:tc>
      </w:tr>
      <w:tr w:rsidR="000C71C9" w:rsidRPr="00416455" w14:paraId="6A953FAD" w14:textId="77777777" w:rsidTr="003522FA">
        <w:tc>
          <w:tcPr>
            <w:tcW w:w="0" w:type="auto"/>
            <w:vMerge/>
            <w:shd w:val="clear" w:color="auto" w:fill="FFFFFF" w:themeFill="background1"/>
            <w:hideMark/>
          </w:tcPr>
          <w:p w14:paraId="1E40631A" w14:textId="77777777" w:rsidR="006E243E" w:rsidRPr="00416455" w:rsidRDefault="006E243E">
            <w:pPr>
              <w:rPr>
                <w:sz w:val="18"/>
                <w:szCs w:val="18"/>
              </w:rPr>
            </w:pPr>
          </w:p>
        </w:tc>
        <w:tc>
          <w:tcPr>
            <w:tcW w:w="769" w:type="dxa"/>
            <w:shd w:val="clear" w:color="auto" w:fill="FFFFFF" w:themeFill="background1"/>
            <w:hideMark/>
          </w:tcPr>
          <w:p w14:paraId="27269578" w14:textId="77777777" w:rsidR="006E243E" w:rsidRPr="00416455" w:rsidRDefault="006E243E" w:rsidP="0048582F">
            <w:pPr>
              <w:pStyle w:val="NormalWeb"/>
              <w:jc w:val="center"/>
              <w:rPr>
                <w:sz w:val="18"/>
                <w:szCs w:val="18"/>
              </w:rPr>
            </w:pPr>
            <w:r w:rsidRPr="00416455">
              <w:rPr>
                <w:sz w:val="18"/>
                <w:szCs w:val="18"/>
              </w:rPr>
              <w:t>2017</w:t>
            </w:r>
          </w:p>
        </w:tc>
        <w:tc>
          <w:tcPr>
            <w:tcW w:w="332" w:type="dxa"/>
            <w:shd w:val="clear" w:color="auto" w:fill="FFFFFF" w:themeFill="background1"/>
            <w:hideMark/>
          </w:tcPr>
          <w:p w14:paraId="0E40D8D7" w14:textId="77777777" w:rsidR="006E243E" w:rsidRPr="00416455" w:rsidRDefault="006E243E" w:rsidP="0048582F">
            <w:pPr>
              <w:pStyle w:val="NormalWeb"/>
              <w:jc w:val="center"/>
              <w:rPr>
                <w:sz w:val="18"/>
                <w:szCs w:val="18"/>
              </w:rPr>
            </w:pPr>
            <w:r w:rsidRPr="00416455">
              <w:rPr>
                <w:sz w:val="18"/>
                <w:szCs w:val="18"/>
              </w:rPr>
              <w:t>26,175</w:t>
            </w:r>
          </w:p>
        </w:tc>
        <w:tc>
          <w:tcPr>
            <w:tcW w:w="0" w:type="auto"/>
            <w:shd w:val="clear" w:color="auto" w:fill="FFFFFF" w:themeFill="background1"/>
            <w:hideMark/>
          </w:tcPr>
          <w:p w14:paraId="68CB6514" w14:textId="77777777" w:rsidR="006E243E" w:rsidRPr="00416455" w:rsidRDefault="006E243E" w:rsidP="0048582F">
            <w:pPr>
              <w:pStyle w:val="NormalWeb"/>
              <w:jc w:val="center"/>
              <w:rPr>
                <w:sz w:val="18"/>
                <w:szCs w:val="18"/>
              </w:rPr>
            </w:pPr>
            <w:r w:rsidRPr="00416455">
              <w:rPr>
                <w:sz w:val="18"/>
                <w:szCs w:val="18"/>
              </w:rPr>
              <w:t>49,626</w:t>
            </w:r>
          </w:p>
        </w:tc>
        <w:tc>
          <w:tcPr>
            <w:tcW w:w="0" w:type="auto"/>
            <w:shd w:val="clear" w:color="auto" w:fill="FFFFFF" w:themeFill="background1"/>
            <w:hideMark/>
          </w:tcPr>
          <w:p w14:paraId="5DF19A36" w14:textId="77777777" w:rsidR="006E243E" w:rsidRPr="00416455" w:rsidRDefault="006E243E" w:rsidP="0048582F">
            <w:pPr>
              <w:pStyle w:val="NormalWeb"/>
              <w:jc w:val="center"/>
              <w:rPr>
                <w:sz w:val="18"/>
                <w:szCs w:val="18"/>
              </w:rPr>
            </w:pPr>
            <w:r w:rsidRPr="00416455">
              <w:rPr>
                <w:sz w:val="18"/>
                <w:szCs w:val="18"/>
              </w:rPr>
              <w:t>52.7</w:t>
            </w:r>
          </w:p>
        </w:tc>
        <w:tc>
          <w:tcPr>
            <w:tcW w:w="0" w:type="auto"/>
            <w:shd w:val="clear" w:color="auto" w:fill="FFFFFF" w:themeFill="background1"/>
            <w:hideMark/>
          </w:tcPr>
          <w:p w14:paraId="18B603AE" w14:textId="77777777" w:rsidR="006E243E" w:rsidRPr="00416455" w:rsidRDefault="006E243E" w:rsidP="0048582F">
            <w:pPr>
              <w:pStyle w:val="NormalWeb"/>
              <w:jc w:val="center"/>
              <w:rPr>
                <w:sz w:val="18"/>
                <w:szCs w:val="18"/>
              </w:rPr>
            </w:pPr>
            <w:r w:rsidRPr="00416455">
              <w:rPr>
                <w:sz w:val="18"/>
                <w:szCs w:val="18"/>
              </w:rPr>
              <w:t>24,493</w:t>
            </w:r>
          </w:p>
        </w:tc>
        <w:tc>
          <w:tcPr>
            <w:tcW w:w="0" w:type="auto"/>
            <w:shd w:val="clear" w:color="auto" w:fill="FFFFFF" w:themeFill="background1"/>
            <w:hideMark/>
          </w:tcPr>
          <w:p w14:paraId="19B7D991" w14:textId="77777777" w:rsidR="006E243E" w:rsidRPr="00416455" w:rsidRDefault="006E243E" w:rsidP="0048582F">
            <w:pPr>
              <w:pStyle w:val="NormalWeb"/>
              <w:jc w:val="center"/>
              <w:rPr>
                <w:sz w:val="18"/>
                <w:szCs w:val="18"/>
              </w:rPr>
            </w:pPr>
            <w:r w:rsidRPr="00416455">
              <w:rPr>
                <w:sz w:val="18"/>
                <w:szCs w:val="18"/>
              </w:rPr>
              <w:t>27,315</w:t>
            </w:r>
          </w:p>
        </w:tc>
        <w:tc>
          <w:tcPr>
            <w:tcW w:w="0" w:type="auto"/>
            <w:shd w:val="clear" w:color="auto" w:fill="FFFFFF" w:themeFill="background1"/>
            <w:hideMark/>
          </w:tcPr>
          <w:p w14:paraId="3D2261B9" w14:textId="77777777" w:rsidR="006E243E" w:rsidRPr="00416455" w:rsidRDefault="006E243E" w:rsidP="0048582F">
            <w:pPr>
              <w:pStyle w:val="NormalWeb"/>
              <w:jc w:val="center"/>
              <w:rPr>
                <w:sz w:val="18"/>
                <w:szCs w:val="18"/>
              </w:rPr>
            </w:pPr>
            <w:r w:rsidRPr="00416455">
              <w:rPr>
                <w:sz w:val="18"/>
                <w:szCs w:val="18"/>
              </w:rPr>
              <w:t>89.7</w:t>
            </w:r>
          </w:p>
        </w:tc>
        <w:tc>
          <w:tcPr>
            <w:tcW w:w="0" w:type="auto"/>
            <w:shd w:val="clear" w:color="auto" w:fill="FFFFFF" w:themeFill="background1"/>
            <w:hideMark/>
          </w:tcPr>
          <w:p w14:paraId="6B0BCC13" w14:textId="77777777" w:rsidR="006E243E" w:rsidRPr="00416455" w:rsidRDefault="006E243E" w:rsidP="0048582F">
            <w:pPr>
              <w:pStyle w:val="NormalWeb"/>
              <w:jc w:val="center"/>
              <w:rPr>
                <w:sz w:val="18"/>
                <w:szCs w:val="18"/>
              </w:rPr>
            </w:pPr>
            <w:r w:rsidRPr="00416455">
              <w:rPr>
                <w:sz w:val="18"/>
                <w:szCs w:val="18"/>
              </w:rPr>
              <w:t>1,682</w:t>
            </w:r>
          </w:p>
        </w:tc>
        <w:tc>
          <w:tcPr>
            <w:tcW w:w="0" w:type="auto"/>
            <w:shd w:val="clear" w:color="auto" w:fill="FFFFFF" w:themeFill="background1"/>
            <w:hideMark/>
          </w:tcPr>
          <w:p w14:paraId="3EA0D4E3" w14:textId="77777777" w:rsidR="006E243E" w:rsidRPr="00416455" w:rsidRDefault="006E243E" w:rsidP="0048582F">
            <w:pPr>
              <w:pStyle w:val="NormalWeb"/>
              <w:jc w:val="center"/>
              <w:rPr>
                <w:sz w:val="18"/>
                <w:szCs w:val="18"/>
              </w:rPr>
            </w:pPr>
            <w:r w:rsidRPr="00416455">
              <w:rPr>
                <w:sz w:val="18"/>
                <w:szCs w:val="18"/>
              </w:rPr>
              <w:t>22,311</w:t>
            </w:r>
          </w:p>
        </w:tc>
        <w:tc>
          <w:tcPr>
            <w:tcW w:w="2809" w:type="dxa"/>
            <w:shd w:val="clear" w:color="auto" w:fill="FFFFFF" w:themeFill="background1"/>
            <w:hideMark/>
          </w:tcPr>
          <w:p w14:paraId="3B13D62B" w14:textId="77777777" w:rsidR="006E243E" w:rsidRPr="00416455" w:rsidRDefault="006E243E" w:rsidP="0048582F">
            <w:pPr>
              <w:pStyle w:val="NormalWeb"/>
              <w:jc w:val="center"/>
              <w:rPr>
                <w:sz w:val="18"/>
                <w:szCs w:val="18"/>
              </w:rPr>
            </w:pPr>
            <w:r w:rsidRPr="00416455">
              <w:rPr>
                <w:sz w:val="18"/>
                <w:szCs w:val="18"/>
              </w:rPr>
              <w:t>7.5</w:t>
            </w:r>
          </w:p>
        </w:tc>
        <w:tc>
          <w:tcPr>
            <w:tcW w:w="992" w:type="dxa"/>
            <w:shd w:val="clear" w:color="auto" w:fill="FFFFFF" w:themeFill="background1"/>
            <w:hideMark/>
          </w:tcPr>
          <w:p w14:paraId="030BF0F6" w14:textId="77777777" w:rsidR="006E243E" w:rsidRPr="00416455" w:rsidRDefault="006E243E" w:rsidP="0048582F">
            <w:pPr>
              <w:pStyle w:val="NormalWeb"/>
              <w:jc w:val="center"/>
              <w:rPr>
                <w:sz w:val="18"/>
                <w:szCs w:val="18"/>
              </w:rPr>
            </w:pPr>
            <w:r w:rsidRPr="00416455">
              <w:rPr>
                <w:sz w:val="18"/>
                <w:szCs w:val="18"/>
              </w:rPr>
              <w:t>11.9</w:t>
            </w:r>
          </w:p>
        </w:tc>
        <w:tc>
          <w:tcPr>
            <w:tcW w:w="2268" w:type="dxa"/>
            <w:shd w:val="clear" w:color="auto" w:fill="FFFFFF" w:themeFill="background1"/>
            <w:hideMark/>
          </w:tcPr>
          <w:p w14:paraId="7C27CFD3" w14:textId="77777777" w:rsidR="006E243E" w:rsidRPr="00416455" w:rsidRDefault="006E243E" w:rsidP="0048582F">
            <w:pPr>
              <w:pStyle w:val="NormalWeb"/>
              <w:jc w:val="center"/>
              <w:rPr>
                <w:sz w:val="18"/>
                <w:szCs w:val="18"/>
              </w:rPr>
            </w:pPr>
            <w:r w:rsidRPr="00416455">
              <w:rPr>
                <w:sz w:val="18"/>
                <w:szCs w:val="18"/>
              </w:rPr>
              <w:t>11.4 – 12.5</w:t>
            </w:r>
          </w:p>
        </w:tc>
        <w:tc>
          <w:tcPr>
            <w:tcW w:w="2324" w:type="dxa"/>
            <w:shd w:val="clear" w:color="auto" w:fill="FFFFFF" w:themeFill="background1"/>
            <w:hideMark/>
          </w:tcPr>
          <w:p w14:paraId="1E5CD648" w14:textId="77777777" w:rsidR="006E243E" w:rsidRPr="00416455" w:rsidRDefault="006E243E" w:rsidP="0048582F">
            <w:pPr>
              <w:pStyle w:val="NormalWeb"/>
              <w:jc w:val="center"/>
              <w:rPr>
                <w:sz w:val="18"/>
                <w:szCs w:val="18"/>
              </w:rPr>
            </w:pPr>
            <w:r w:rsidRPr="00416455">
              <w:rPr>
                <w:sz w:val="18"/>
                <w:szCs w:val="18"/>
              </w:rPr>
              <w:t>&lt;0.001</w:t>
            </w:r>
          </w:p>
        </w:tc>
      </w:tr>
      <w:tr w:rsidR="00201157" w:rsidRPr="00416455" w14:paraId="3759CEE8" w14:textId="77777777" w:rsidTr="003522FA">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7AB8C089" w14:textId="77777777" w:rsidR="006E243E" w:rsidRPr="00416455" w:rsidRDefault="006E243E">
            <w:pPr>
              <w:rPr>
                <w:sz w:val="18"/>
                <w:szCs w:val="18"/>
              </w:rPr>
            </w:pPr>
          </w:p>
        </w:tc>
        <w:tc>
          <w:tcPr>
            <w:tcW w:w="769" w:type="dxa"/>
            <w:shd w:val="clear" w:color="auto" w:fill="FFFFFF" w:themeFill="background1"/>
            <w:hideMark/>
          </w:tcPr>
          <w:p w14:paraId="1CBF4F2B" w14:textId="77777777" w:rsidR="006E243E" w:rsidRPr="00416455" w:rsidRDefault="006E243E" w:rsidP="0048582F">
            <w:pPr>
              <w:pStyle w:val="NormalWeb"/>
              <w:jc w:val="center"/>
              <w:rPr>
                <w:sz w:val="18"/>
                <w:szCs w:val="18"/>
              </w:rPr>
            </w:pPr>
            <w:r w:rsidRPr="00416455">
              <w:rPr>
                <w:sz w:val="18"/>
                <w:szCs w:val="18"/>
              </w:rPr>
              <w:t>Total</w:t>
            </w:r>
          </w:p>
        </w:tc>
        <w:tc>
          <w:tcPr>
            <w:tcW w:w="332" w:type="dxa"/>
            <w:shd w:val="clear" w:color="auto" w:fill="FFFFFF" w:themeFill="background1"/>
            <w:hideMark/>
          </w:tcPr>
          <w:p w14:paraId="724CE0C9" w14:textId="77777777" w:rsidR="006E243E" w:rsidRPr="00416455" w:rsidRDefault="006E243E" w:rsidP="0048582F">
            <w:pPr>
              <w:pStyle w:val="NormalWeb"/>
              <w:jc w:val="center"/>
              <w:rPr>
                <w:sz w:val="18"/>
                <w:szCs w:val="18"/>
              </w:rPr>
            </w:pPr>
            <w:r w:rsidRPr="00416455">
              <w:rPr>
                <w:sz w:val="18"/>
                <w:szCs w:val="18"/>
              </w:rPr>
              <w:t>50,512</w:t>
            </w:r>
          </w:p>
        </w:tc>
        <w:tc>
          <w:tcPr>
            <w:tcW w:w="0" w:type="auto"/>
            <w:shd w:val="clear" w:color="auto" w:fill="FFFFFF" w:themeFill="background1"/>
            <w:hideMark/>
          </w:tcPr>
          <w:p w14:paraId="0A5879C1" w14:textId="77777777" w:rsidR="006E243E" w:rsidRPr="00416455" w:rsidRDefault="006E243E" w:rsidP="0048582F">
            <w:pPr>
              <w:pStyle w:val="NormalWeb"/>
              <w:jc w:val="center"/>
              <w:rPr>
                <w:sz w:val="18"/>
                <w:szCs w:val="18"/>
              </w:rPr>
            </w:pPr>
            <w:r w:rsidRPr="00416455">
              <w:rPr>
                <w:sz w:val="18"/>
                <w:szCs w:val="18"/>
              </w:rPr>
              <w:t>103,307</w:t>
            </w:r>
          </w:p>
        </w:tc>
        <w:tc>
          <w:tcPr>
            <w:tcW w:w="0" w:type="auto"/>
            <w:shd w:val="clear" w:color="auto" w:fill="FFFFFF" w:themeFill="background1"/>
            <w:hideMark/>
          </w:tcPr>
          <w:p w14:paraId="7F43A8F7" w14:textId="77777777" w:rsidR="006E243E" w:rsidRPr="00416455" w:rsidRDefault="006E243E" w:rsidP="0048582F">
            <w:pPr>
              <w:pStyle w:val="NormalWeb"/>
              <w:jc w:val="center"/>
              <w:rPr>
                <w:sz w:val="18"/>
                <w:szCs w:val="18"/>
              </w:rPr>
            </w:pPr>
            <w:r w:rsidRPr="00416455">
              <w:rPr>
                <w:sz w:val="18"/>
                <w:szCs w:val="18"/>
              </w:rPr>
              <w:t>48.9</w:t>
            </w:r>
          </w:p>
        </w:tc>
        <w:tc>
          <w:tcPr>
            <w:tcW w:w="0" w:type="auto"/>
            <w:shd w:val="clear" w:color="auto" w:fill="FFFFFF" w:themeFill="background1"/>
            <w:hideMark/>
          </w:tcPr>
          <w:p w14:paraId="61B61359" w14:textId="77777777" w:rsidR="006E243E" w:rsidRPr="00416455" w:rsidRDefault="006E243E" w:rsidP="0048582F">
            <w:pPr>
              <w:pStyle w:val="NormalWeb"/>
              <w:jc w:val="center"/>
              <w:rPr>
                <w:sz w:val="18"/>
                <w:szCs w:val="18"/>
              </w:rPr>
            </w:pPr>
            <w:r w:rsidRPr="00416455">
              <w:rPr>
                <w:sz w:val="18"/>
                <w:szCs w:val="18"/>
              </w:rPr>
              <w:t>47,177</w:t>
            </w:r>
          </w:p>
        </w:tc>
        <w:tc>
          <w:tcPr>
            <w:tcW w:w="0" w:type="auto"/>
            <w:shd w:val="clear" w:color="auto" w:fill="FFFFFF" w:themeFill="background1"/>
            <w:hideMark/>
          </w:tcPr>
          <w:p w14:paraId="211134D8" w14:textId="77777777" w:rsidR="006E243E" w:rsidRPr="00416455" w:rsidRDefault="006E243E" w:rsidP="0048582F">
            <w:pPr>
              <w:pStyle w:val="NormalWeb"/>
              <w:jc w:val="center"/>
              <w:rPr>
                <w:sz w:val="18"/>
                <w:szCs w:val="18"/>
              </w:rPr>
            </w:pPr>
            <w:r w:rsidRPr="00416455">
              <w:rPr>
                <w:sz w:val="18"/>
                <w:szCs w:val="18"/>
              </w:rPr>
              <w:t>53,701</w:t>
            </w:r>
          </w:p>
        </w:tc>
        <w:tc>
          <w:tcPr>
            <w:tcW w:w="0" w:type="auto"/>
            <w:shd w:val="clear" w:color="auto" w:fill="FFFFFF" w:themeFill="background1"/>
            <w:hideMark/>
          </w:tcPr>
          <w:p w14:paraId="2C251172" w14:textId="77777777" w:rsidR="006E243E" w:rsidRPr="00416455" w:rsidRDefault="006E243E" w:rsidP="0048582F">
            <w:pPr>
              <w:pStyle w:val="NormalWeb"/>
              <w:jc w:val="center"/>
              <w:rPr>
                <w:sz w:val="18"/>
                <w:szCs w:val="18"/>
              </w:rPr>
            </w:pPr>
            <w:r w:rsidRPr="00416455">
              <w:rPr>
                <w:sz w:val="18"/>
                <w:szCs w:val="18"/>
              </w:rPr>
              <w:t>87.9</w:t>
            </w:r>
          </w:p>
        </w:tc>
        <w:tc>
          <w:tcPr>
            <w:tcW w:w="0" w:type="auto"/>
            <w:shd w:val="clear" w:color="auto" w:fill="FFFFFF" w:themeFill="background1"/>
            <w:hideMark/>
          </w:tcPr>
          <w:p w14:paraId="251B0720" w14:textId="77777777" w:rsidR="006E243E" w:rsidRPr="00416455" w:rsidRDefault="006E243E" w:rsidP="0048582F">
            <w:pPr>
              <w:pStyle w:val="NormalWeb"/>
              <w:jc w:val="center"/>
              <w:rPr>
                <w:sz w:val="18"/>
                <w:szCs w:val="18"/>
              </w:rPr>
            </w:pPr>
            <w:r w:rsidRPr="00416455">
              <w:rPr>
                <w:sz w:val="18"/>
                <w:szCs w:val="18"/>
              </w:rPr>
              <w:t>3,335</w:t>
            </w:r>
          </w:p>
        </w:tc>
        <w:tc>
          <w:tcPr>
            <w:tcW w:w="0" w:type="auto"/>
            <w:shd w:val="clear" w:color="auto" w:fill="FFFFFF" w:themeFill="background1"/>
            <w:hideMark/>
          </w:tcPr>
          <w:p w14:paraId="18ED1FC2" w14:textId="77777777" w:rsidR="006E243E" w:rsidRPr="00416455" w:rsidRDefault="006E243E" w:rsidP="0048582F">
            <w:pPr>
              <w:pStyle w:val="NormalWeb"/>
              <w:jc w:val="center"/>
              <w:rPr>
                <w:sz w:val="18"/>
                <w:szCs w:val="18"/>
              </w:rPr>
            </w:pPr>
            <w:r w:rsidRPr="00416455">
              <w:rPr>
                <w:sz w:val="18"/>
                <w:szCs w:val="18"/>
              </w:rPr>
              <w:t>49,606</w:t>
            </w:r>
          </w:p>
        </w:tc>
        <w:tc>
          <w:tcPr>
            <w:tcW w:w="2809" w:type="dxa"/>
            <w:shd w:val="clear" w:color="auto" w:fill="FFFFFF" w:themeFill="background1"/>
            <w:hideMark/>
          </w:tcPr>
          <w:p w14:paraId="5BE813BE" w14:textId="77777777" w:rsidR="006E243E" w:rsidRPr="00416455" w:rsidRDefault="006E243E" w:rsidP="0048582F">
            <w:pPr>
              <w:pStyle w:val="NormalWeb"/>
              <w:jc w:val="center"/>
              <w:rPr>
                <w:sz w:val="18"/>
                <w:szCs w:val="18"/>
              </w:rPr>
            </w:pPr>
            <w:r w:rsidRPr="00416455">
              <w:rPr>
                <w:sz w:val="18"/>
                <w:szCs w:val="18"/>
              </w:rPr>
              <w:t>6.7</w:t>
            </w:r>
          </w:p>
        </w:tc>
        <w:tc>
          <w:tcPr>
            <w:tcW w:w="992" w:type="dxa"/>
            <w:shd w:val="clear" w:color="auto" w:fill="FFFFFF" w:themeFill="background1"/>
            <w:hideMark/>
          </w:tcPr>
          <w:p w14:paraId="714A37B0" w14:textId="77777777" w:rsidR="006E243E" w:rsidRPr="00416455" w:rsidRDefault="006E243E" w:rsidP="0048582F">
            <w:pPr>
              <w:pStyle w:val="NormalWeb"/>
              <w:jc w:val="center"/>
              <w:rPr>
                <w:sz w:val="18"/>
                <w:szCs w:val="18"/>
              </w:rPr>
            </w:pPr>
            <w:r w:rsidRPr="00416455">
              <w:rPr>
                <w:sz w:val="18"/>
                <w:szCs w:val="18"/>
              </w:rPr>
              <w:t>13.1</w:t>
            </w:r>
          </w:p>
        </w:tc>
        <w:tc>
          <w:tcPr>
            <w:tcW w:w="2268" w:type="dxa"/>
            <w:shd w:val="clear" w:color="auto" w:fill="FFFFFF" w:themeFill="background1"/>
            <w:hideMark/>
          </w:tcPr>
          <w:p w14:paraId="474748B5" w14:textId="77777777" w:rsidR="006E243E" w:rsidRPr="00416455" w:rsidRDefault="006E243E" w:rsidP="0048582F">
            <w:pPr>
              <w:pStyle w:val="NormalWeb"/>
              <w:jc w:val="center"/>
              <w:rPr>
                <w:sz w:val="18"/>
                <w:szCs w:val="18"/>
              </w:rPr>
            </w:pPr>
            <w:r w:rsidRPr="00416455">
              <w:rPr>
                <w:sz w:val="18"/>
                <w:szCs w:val="18"/>
              </w:rPr>
              <w:t>12.6 – 13.5</w:t>
            </w:r>
          </w:p>
        </w:tc>
        <w:tc>
          <w:tcPr>
            <w:tcW w:w="2324" w:type="dxa"/>
            <w:shd w:val="clear" w:color="auto" w:fill="FFFFFF" w:themeFill="background1"/>
            <w:hideMark/>
          </w:tcPr>
          <w:p w14:paraId="14BD25A4" w14:textId="77777777" w:rsidR="006E243E" w:rsidRPr="00416455" w:rsidRDefault="006E243E" w:rsidP="0048582F">
            <w:pPr>
              <w:pStyle w:val="NormalWeb"/>
              <w:jc w:val="center"/>
              <w:rPr>
                <w:sz w:val="18"/>
                <w:szCs w:val="18"/>
              </w:rPr>
            </w:pPr>
            <w:r w:rsidRPr="00416455">
              <w:rPr>
                <w:sz w:val="18"/>
                <w:szCs w:val="18"/>
              </w:rPr>
              <w:t>&lt;0.001</w:t>
            </w:r>
          </w:p>
        </w:tc>
      </w:tr>
      <w:tr w:rsidR="00AF5EBE" w:rsidRPr="002B5FF3" w14:paraId="3E02E26B" w14:textId="77777777" w:rsidTr="003522FA">
        <w:tc>
          <w:tcPr>
            <w:tcW w:w="2268" w:type="dxa"/>
            <w:gridSpan w:val="2"/>
            <w:shd w:val="clear" w:color="auto" w:fill="FDE9D9" w:themeFill="accent6" w:themeFillTint="33"/>
            <w:hideMark/>
          </w:tcPr>
          <w:p w14:paraId="0B637B51" w14:textId="77777777" w:rsidR="006E243E" w:rsidRPr="002B5FF3" w:rsidRDefault="006E243E" w:rsidP="0048582F">
            <w:pPr>
              <w:pStyle w:val="NormalWeb"/>
              <w:rPr>
                <w:b/>
                <w:sz w:val="18"/>
                <w:szCs w:val="18"/>
              </w:rPr>
            </w:pPr>
            <w:r w:rsidRPr="002B5FF3">
              <w:rPr>
                <w:b/>
                <w:sz w:val="18"/>
                <w:szCs w:val="18"/>
              </w:rPr>
              <w:t>Total Combined</w:t>
            </w:r>
          </w:p>
        </w:tc>
        <w:tc>
          <w:tcPr>
            <w:tcW w:w="332" w:type="dxa"/>
            <w:shd w:val="clear" w:color="auto" w:fill="FDE9D9" w:themeFill="accent6" w:themeFillTint="33"/>
            <w:hideMark/>
          </w:tcPr>
          <w:p w14:paraId="027E8E86" w14:textId="77777777" w:rsidR="006E243E" w:rsidRPr="002B5FF3" w:rsidRDefault="006E243E" w:rsidP="0048582F">
            <w:pPr>
              <w:pStyle w:val="NormalWeb"/>
              <w:jc w:val="center"/>
              <w:rPr>
                <w:b/>
                <w:sz w:val="18"/>
                <w:szCs w:val="18"/>
              </w:rPr>
            </w:pPr>
            <w:r w:rsidRPr="002B5FF3">
              <w:rPr>
                <w:b/>
                <w:sz w:val="18"/>
                <w:szCs w:val="18"/>
              </w:rPr>
              <w:t>51,169</w:t>
            </w:r>
          </w:p>
        </w:tc>
        <w:tc>
          <w:tcPr>
            <w:tcW w:w="0" w:type="auto"/>
            <w:shd w:val="clear" w:color="auto" w:fill="FDE9D9" w:themeFill="accent6" w:themeFillTint="33"/>
            <w:hideMark/>
          </w:tcPr>
          <w:p w14:paraId="4C2E51B8" w14:textId="77777777" w:rsidR="006E243E" w:rsidRPr="002B5FF3" w:rsidRDefault="006E243E" w:rsidP="0048582F">
            <w:pPr>
              <w:pStyle w:val="NormalWeb"/>
              <w:jc w:val="center"/>
              <w:rPr>
                <w:b/>
                <w:sz w:val="18"/>
                <w:szCs w:val="18"/>
              </w:rPr>
            </w:pPr>
            <w:r w:rsidRPr="002B5FF3">
              <w:rPr>
                <w:b/>
                <w:sz w:val="18"/>
                <w:szCs w:val="18"/>
              </w:rPr>
              <w:t>104,045</w:t>
            </w:r>
          </w:p>
        </w:tc>
        <w:tc>
          <w:tcPr>
            <w:tcW w:w="0" w:type="auto"/>
            <w:shd w:val="clear" w:color="auto" w:fill="FDE9D9" w:themeFill="accent6" w:themeFillTint="33"/>
            <w:hideMark/>
          </w:tcPr>
          <w:p w14:paraId="2801CBAD" w14:textId="77777777" w:rsidR="006E243E" w:rsidRPr="002B5FF3" w:rsidRDefault="006E243E" w:rsidP="0048582F">
            <w:pPr>
              <w:pStyle w:val="NormalWeb"/>
              <w:jc w:val="center"/>
              <w:rPr>
                <w:b/>
                <w:sz w:val="18"/>
                <w:szCs w:val="18"/>
              </w:rPr>
            </w:pPr>
            <w:r w:rsidRPr="002B5FF3">
              <w:rPr>
                <w:b/>
                <w:sz w:val="18"/>
                <w:szCs w:val="18"/>
              </w:rPr>
              <w:t>49.2</w:t>
            </w:r>
          </w:p>
        </w:tc>
        <w:tc>
          <w:tcPr>
            <w:tcW w:w="0" w:type="auto"/>
            <w:shd w:val="clear" w:color="auto" w:fill="FDE9D9" w:themeFill="accent6" w:themeFillTint="33"/>
            <w:hideMark/>
          </w:tcPr>
          <w:p w14:paraId="67EF6F6E" w14:textId="77777777" w:rsidR="006E243E" w:rsidRPr="002B5FF3" w:rsidRDefault="006E243E" w:rsidP="0048582F">
            <w:pPr>
              <w:pStyle w:val="NormalWeb"/>
              <w:jc w:val="center"/>
              <w:rPr>
                <w:b/>
                <w:sz w:val="18"/>
                <w:szCs w:val="18"/>
              </w:rPr>
            </w:pPr>
            <w:r w:rsidRPr="002B5FF3">
              <w:rPr>
                <w:b/>
                <w:sz w:val="18"/>
                <w:szCs w:val="18"/>
              </w:rPr>
              <w:t>47,570</w:t>
            </w:r>
          </w:p>
        </w:tc>
        <w:tc>
          <w:tcPr>
            <w:tcW w:w="0" w:type="auto"/>
            <w:shd w:val="clear" w:color="auto" w:fill="FDE9D9" w:themeFill="accent6" w:themeFillTint="33"/>
            <w:hideMark/>
          </w:tcPr>
          <w:p w14:paraId="6792C904" w14:textId="77777777" w:rsidR="006E243E" w:rsidRPr="002B5FF3" w:rsidRDefault="006E243E" w:rsidP="0048582F">
            <w:pPr>
              <w:pStyle w:val="NormalWeb"/>
              <w:jc w:val="center"/>
              <w:rPr>
                <w:b/>
                <w:sz w:val="18"/>
                <w:szCs w:val="18"/>
              </w:rPr>
            </w:pPr>
            <w:r w:rsidRPr="002B5FF3">
              <w:rPr>
                <w:b/>
                <w:sz w:val="18"/>
                <w:szCs w:val="18"/>
              </w:rPr>
              <w:t>54,112</w:t>
            </w:r>
          </w:p>
        </w:tc>
        <w:tc>
          <w:tcPr>
            <w:tcW w:w="0" w:type="auto"/>
            <w:shd w:val="clear" w:color="auto" w:fill="FDE9D9" w:themeFill="accent6" w:themeFillTint="33"/>
            <w:hideMark/>
          </w:tcPr>
          <w:p w14:paraId="05369A8A" w14:textId="77777777" w:rsidR="006E243E" w:rsidRPr="002B5FF3" w:rsidRDefault="006E243E" w:rsidP="0048582F">
            <w:pPr>
              <w:pStyle w:val="NormalWeb"/>
              <w:jc w:val="center"/>
              <w:rPr>
                <w:b/>
                <w:sz w:val="18"/>
                <w:szCs w:val="18"/>
              </w:rPr>
            </w:pPr>
            <w:r w:rsidRPr="002B5FF3">
              <w:rPr>
                <w:b/>
                <w:sz w:val="18"/>
                <w:szCs w:val="18"/>
              </w:rPr>
              <w:t>87.9</w:t>
            </w:r>
          </w:p>
        </w:tc>
        <w:tc>
          <w:tcPr>
            <w:tcW w:w="0" w:type="auto"/>
            <w:shd w:val="clear" w:color="auto" w:fill="FDE9D9" w:themeFill="accent6" w:themeFillTint="33"/>
            <w:hideMark/>
          </w:tcPr>
          <w:p w14:paraId="1AD34BD2" w14:textId="77777777" w:rsidR="006E243E" w:rsidRPr="002B5FF3" w:rsidRDefault="006E243E" w:rsidP="0048582F">
            <w:pPr>
              <w:pStyle w:val="NormalWeb"/>
              <w:jc w:val="center"/>
              <w:rPr>
                <w:b/>
                <w:sz w:val="18"/>
                <w:szCs w:val="18"/>
              </w:rPr>
            </w:pPr>
            <w:r w:rsidRPr="002B5FF3">
              <w:rPr>
                <w:b/>
                <w:sz w:val="18"/>
                <w:szCs w:val="18"/>
              </w:rPr>
              <w:t>3,599</w:t>
            </w:r>
          </w:p>
        </w:tc>
        <w:tc>
          <w:tcPr>
            <w:tcW w:w="0" w:type="auto"/>
            <w:shd w:val="clear" w:color="auto" w:fill="FDE9D9" w:themeFill="accent6" w:themeFillTint="33"/>
            <w:hideMark/>
          </w:tcPr>
          <w:p w14:paraId="371066CB" w14:textId="77777777" w:rsidR="006E243E" w:rsidRPr="002B5FF3" w:rsidRDefault="006E243E" w:rsidP="0048582F">
            <w:pPr>
              <w:pStyle w:val="NormalWeb"/>
              <w:jc w:val="center"/>
              <w:rPr>
                <w:b/>
                <w:sz w:val="18"/>
                <w:szCs w:val="18"/>
              </w:rPr>
            </w:pPr>
            <w:r w:rsidRPr="002B5FF3">
              <w:rPr>
                <w:b/>
                <w:sz w:val="18"/>
                <w:szCs w:val="18"/>
              </w:rPr>
              <w:t>49,933</w:t>
            </w:r>
          </w:p>
        </w:tc>
        <w:tc>
          <w:tcPr>
            <w:tcW w:w="2809" w:type="dxa"/>
            <w:shd w:val="clear" w:color="auto" w:fill="FDE9D9" w:themeFill="accent6" w:themeFillTint="33"/>
            <w:hideMark/>
          </w:tcPr>
          <w:p w14:paraId="0B4459BC" w14:textId="77777777" w:rsidR="006E243E" w:rsidRPr="002B5FF3" w:rsidRDefault="006E243E" w:rsidP="0048582F">
            <w:pPr>
              <w:pStyle w:val="NormalWeb"/>
              <w:jc w:val="center"/>
              <w:rPr>
                <w:b/>
                <w:sz w:val="18"/>
                <w:szCs w:val="18"/>
              </w:rPr>
            </w:pPr>
            <w:r w:rsidRPr="002B5FF3">
              <w:rPr>
                <w:b/>
                <w:sz w:val="18"/>
                <w:szCs w:val="18"/>
              </w:rPr>
              <w:t>7.2</w:t>
            </w:r>
          </w:p>
        </w:tc>
        <w:tc>
          <w:tcPr>
            <w:tcW w:w="992" w:type="dxa"/>
            <w:shd w:val="clear" w:color="auto" w:fill="FDE9D9" w:themeFill="accent6" w:themeFillTint="33"/>
            <w:hideMark/>
          </w:tcPr>
          <w:p w14:paraId="5833288F" w14:textId="77777777" w:rsidR="006E243E" w:rsidRPr="002B5FF3" w:rsidRDefault="006E243E" w:rsidP="0048582F">
            <w:pPr>
              <w:pStyle w:val="NormalWeb"/>
              <w:jc w:val="center"/>
              <w:rPr>
                <w:b/>
                <w:sz w:val="18"/>
                <w:szCs w:val="18"/>
              </w:rPr>
            </w:pPr>
            <w:r w:rsidRPr="002B5FF3">
              <w:rPr>
                <w:b/>
                <w:sz w:val="18"/>
                <w:szCs w:val="18"/>
              </w:rPr>
              <w:t>12.2</w:t>
            </w:r>
          </w:p>
        </w:tc>
        <w:tc>
          <w:tcPr>
            <w:tcW w:w="2268" w:type="dxa"/>
            <w:shd w:val="clear" w:color="auto" w:fill="FDE9D9" w:themeFill="accent6" w:themeFillTint="33"/>
            <w:hideMark/>
          </w:tcPr>
          <w:p w14:paraId="3DA7D6AF" w14:textId="77777777" w:rsidR="006E243E" w:rsidRPr="002B5FF3" w:rsidRDefault="006E243E" w:rsidP="0048582F">
            <w:pPr>
              <w:pStyle w:val="NormalWeb"/>
              <w:jc w:val="center"/>
              <w:rPr>
                <w:b/>
                <w:sz w:val="18"/>
                <w:szCs w:val="18"/>
              </w:rPr>
            </w:pPr>
            <w:r w:rsidRPr="002B5FF3">
              <w:rPr>
                <w:b/>
                <w:sz w:val="18"/>
                <w:szCs w:val="18"/>
              </w:rPr>
              <w:t>11.8 – 12.6</w:t>
            </w:r>
          </w:p>
        </w:tc>
        <w:tc>
          <w:tcPr>
            <w:tcW w:w="2324" w:type="dxa"/>
            <w:shd w:val="clear" w:color="auto" w:fill="FDE9D9" w:themeFill="accent6" w:themeFillTint="33"/>
            <w:hideMark/>
          </w:tcPr>
          <w:p w14:paraId="6AE3BE28" w14:textId="77777777" w:rsidR="006E243E" w:rsidRPr="002B5FF3" w:rsidRDefault="006E243E" w:rsidP="0048582F">
            <w:pPr>
              <w:pStyle w:val="NormalWeb"/>
              <w:jc w:val="center"/>
              <w:rPr>
                <w:b/>
                <w:sz w:val="18"/>
                <w:szCs w:val="18"/>
              </w:rPr>
            </w:pPr>
            <w:r w:rsidRPr="002B5FF3">
              <w:rPr>
                <w:b/>
                <w:sz w:val="18"/>
                <w:szCs w:val="18"/>
              </w:rPr>
              <w:t>&lt;0.001</w:t>
            </w:r>
          </w:p>
        </w:tc>
      </w:tr>
    </w:tbl>
    <w:p w14:paraId="0FB4ED47" w14:textId="77777777" w:rsidR="006E243E" w:rsidRPr="000F206D" w:rsidRDefault="006E243E" w:rsidP="000F206D">
      <w:pPr>
        <w:pStyle w:val="CDIfootnotes"/>
      </w:pPr>
      <w:r w:rsidRPr="000F206D">
        <w:t>a</w:t>
      </w:r>
      <w:r w:rsidRPr="000F206D">
        <w:tab/>
        <w:t>Excluding notified cases of elevated blood lead levels &gt; 5μg/dL, food and water-borne illnesses with two or more related cases, chlamydial infection, influenza with an event date between 31 July – 31 October 2017 and cases notified by only DHHS and other health departments</w:t>
      </w:r>
    </w:p>
    <w:p w14:paraId="2AFF7E6F" w14:textId="77777777" w:rsidR="006E243E" w:rsidRPr="000F206D" w:rsidRDefault="006E243E" w:rsidP="000F206D">
      <w:pPr>
        <w:pStyle w:val="CDIfootnotes"/>
      </w:pPr>
      <w:r w:rsidRPr="000F206D">
        <w:t>b</w:t>
      </w:r>
      <w:r w:rsidRPr="000F206D">
        <w:tab/>
        <w:t>Doctor-notified cases include both dual (doctor and laboratory) and doctor-only notified cases</w:t>
      </w:r>
    </w:p>
    <w:p w14:paraId="26A2204C" w14:textId="77777777" w:rsidR="006E243E" w:rsidRPr="000F206D" w:rsidRDefault="006E243E" w:rsidP="000F206D">
      <w:pPr>
        <w:pStyle w:val="CDIfootnotes"/>
      </w:pPr>
      <w:r w:rsidRPr="000F206D">
        <w:t>c</w:t>
      </w:r>
      <w:r w:rsidRPr="000F206D">
        <w:tab/>
        <w:t>The relative risk for Indigenous status reporting complete if a case was notified by a doctor vs. laboratory-only notified cases.</w:t>
      </w:r>
    </w:p>
    <w:p w14:paraId="34BDD163" w14:textId="77777777" w:rsidR="0048582F" w:rsidRDefault="0048582F">
      <w:pPr>
        <w:pStyle w:val="NormalWeb"/>
        <w:sectPr w:rsidR="0048582F" w:rsidSect="0048582F">
          <w:pgSz w:w="16838" w:h="11906" w:orient="landscape"/>
          <w:pgMar w:top="720" w:right="720" w:bottom="720" w:left="1134" w:header="709" w:footer="284" w:gutter="0"/>
          <w:cols w:space="708"/>
          <w:titlePg/>
          <w:docGrid w:linePitch="360"/>
        </w:sectPr>
      </w:pPr>
    </w:p>
    <w:p w14:paraId="71168B45" w14:textId="77777777" w:rsidR="006E243E" w:rsidRDefault="006E243E">
      <w:pPr>
        <w:pStyle w:val="NormalWeb"/>
      </w:pPr>
      <w:r>
        <w:lastRenderedPageBreak/>
        <w:t>In both 2016 and 2017, notifications were received for 15 of the 18 CDNA priority conditions for Indigenous status reporting (Table 4).</w:t>
      </w:r>
      <w:r>
        <w:rPr>
          <w:vertAlign w:val="superscript"/>
        </w:rPr>
        <w:t>4</w:t>
      </w:r>
      <w:r>
        <w:t xml:space="preserve"> Indigenous status was more likely to be complete for priority vs. non-priority conditions (75.0% vs. 43.0%; RR 1.74 (95%CI: 1.72 – 1.76)</w:t>
      </w:r>
      <w:r w:rsidR="00846DEF">
        <w:t>,</w:t>
      </w:r>
      <w:r>
        <w:t xml:space="preserve"> </w:t>
      </w:r>
      <w:r w:rsidRPr="00684CC6">
        <w:rPr>
          <w:rStyle w:val="Emphasis"/>
          <w:b w:val="0"/>
        </w:rPr>
        <w:t>p&lt;0</w:t>
      </w:r>
      <w:r>
        <w:t xml:space="preserve"> .001). Indigenous status reporting was more likely to be complete in 2017 vs. 2016 for both priority (80.3% vs. 69.0%; RR 1.16 (95%CI: 1.14 – 1.18)</w:t>
      </w:r>
      <w:r w:rsidR="00846DEF">
        <w:t>,</w:t>
      </w:r>
      <w:r>
        <w:t xml:space="preserve"> </w:t>
      </w:r>
      <w:r w:rsidRPr="00684CC6">
        <w:rPr>
          <w:rStyle w:val="Emphasis"/>
          <w:b w:val="0"/>
        </w:rPr>
        <w:t>p&lt;0</w:t>
      </w:r>
      <w:r>
        <w:t xml:space="preserve"> .001) and non-priority conditions (45.6% vs. 40.7%; RR 1.12 (95%CI: 1.10 – 1.14), </w:t>
      </w:r>
      <w:r w:rsidRPr="00684CC6">
        <w:rPr>
          <w:rStyle w:val="Emphasis"/>
          <w:b w:val="0"/>
        </w:rPr>
        <w:t>p&lt;0</w:t>
      </w:r>
      <w:r>
        <w:t xml:space="preserve"> .001).</w:t>
      </w:r>
    </w:p>
    <w:p w14:paraId="08E9BAC6" w14:textId="77777777" w:rsidR="00846DEF" w:rsidRDefault="00846DEF">
      <w:pPr>
        <w:pStyle w:val="NormalWeb"/>
      </w:pPr>
    </w:p>
    <w:p w14:paraId="09AEF634" w14:textId="77777777" w:rsidR="006E243E" w:rsidRDefault="006E243E" w:rsidP="00645857">
      <w:pPr>
        <w:pStyle w:val="CDIFigures"/>
      </w:pPr>
      <w:r>
        <w:t>Table 4. Indigenous status reporting completeness for eighteen priority conditions and all non-priority notifiable conditions for cases notified in Victoria, 2016 and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hows Indigenous status reporting completeness for eighteen priority conditions with a target of ≥ 95% complete and non-priority notifiable conditions for cases notified in Victoria in 2016 and 2017.&#10;"/>
      </w:tblPr>
      <w:tblGrid>
        <w:gridCol w:w="2649"/>
        <w:gridCol w:w="1782"/>
        <w:gridCol w:w="1783"/>
        <w:gridCol w:w="1782"/>
        <w:gridCol w:w="1783"/>
      </w:tblGrid>
      <w:tr w:rsidR="006E243E" w:rsidRPr="008165BC" w14:paraId="347E1439" w14:textId="77777777" w:rsidTr="003655A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1827EC2E" w14:textId="77777777" w:rsidR="006E243E" w:rsidRPr="008165BC" w:rsidRDefault="006E243E">
            <w:pPr>
              <w:pStyle w:val="NormalWeb"/>
              <w:rPr>
                <w:color w:val="FFFFFF" w:themeColor="background1"/>
                <w:sz w:val="18"/>
                <w:szCs w:val="18"/>
              </w:rPr>
            </w:pPr>
            <w:r w:rsidRPr="008165BC">
              <w:rPr>
                <w:color w:val="FFFFFF" w:themeColor="background1"/>
                <w:sz w:val="18"/>
                <w:szCs w:val="18"/>
              </w:rPr>
              <w:t>Priority Condition</w:t>
            </w:r>
          </w:p>
        </w:tc>
        <w:tc>
          <w:tcPr>
            <w:tcW w:w="3565" w:type="dxa"/>
            <w:gridSpan w:val="2"/>
            <w:hideMark/>
          </w:tcPr>
          <w:p w14:paraId="4E9C5888"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2016</w:t>
            </w:r>
          </w:p>
        </w:tc>
        <w:tc>
          <w:tcPr>
            <w:tcW w:w="3565" w:type="dxa"/>
            <w:gridSpan w:val="2"/>
            <w:hideMark/>
          </w:tcPr>
          <w:p w14:paraId="5EFD3F9B"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2017</w:t>
            </w:r>
          </w:p>
        </w:tc>
      </w:tr>
      <w:tr w:rsidR="006E243E" w:rsidRPr="008165BC" w14:paraId="5F2046E2" w14:textId="77777777" w:rsidTr="003655AE">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3DA8C4C" w14:textId="77777777" w:rsidR="006E243E" w:rsidRPr="008165BC" w:rsidRDefault="006E243E">
            <w:pPr>
              <w:rPr>
                <w:color w:val="FFFFFF" w:themeColor="background1"/>
                <w:sz w:val="18"/>
                <w:szCs w:val="18"/>
              </w:rPr>
            </w:pPr>
          </w:p>
        </w:tc>
        <w:tc>
          <w:tcPr>
            <w:tcW w:w="1782" w:type="dxa"/>
            <w:hideMark/>
          </w:tcPr>
          <w:p w14:paraId="52452549"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Cases Notified</w:t>
            </w:r>
          </w:p>
        </w:tc>
        <w:tc>
          <w:tcPr>
            <w:tcW w:w="1783" w:type="dxa"/>
            <w:hideMark/>
          </w:tcPr>
          <w:p w14:paraId="41B44E04"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 Indigenous Status Complete</w:t>
            </w:r>
          </w:p>
        </w:tc>
        <w:tc>
          <w:tcPr>
            <w:tcW w:w="1782" w:type="dxa"/>
            <w:hideMark/>
          </w:tcPr>
          <w:p w14:paraId="3D21C9E4"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Cases Notified</w:t>
            </w:r>
          </w:p>
        </w:tc>
        <w:tc>
          <w:tcPr>
            <w:tcW w:w="1783" w:type="dxa"/>
            <w:hideMark/>
          </w:tcPr>
          <w:p w14:paraId="544B12E2" w14:textId="77777777" w:rsidR="006E243E" w:rsidRPr="008165BC" w:rsidRDefault="006E243E" w:rsidP="003655AE">
            <w:pPr>
              <w:pStyle w:val="NormalWeb"/>
              <w:jc w:val="center"/>
              <w:rPr>
                <w:color w:val="FFFFFF" w:themeColor="background1"/>
                <w:sz w:val="18"/>
                <w:szCs w:val="18"/>
              </w:rPr>
            </w:pPr>
            <w:r w:rsidRPr="008165BC">
              <w:rPr>
                <w:color w:val="FFFFFF" w:themeColor="background1"/>
                <w:sz w:val="18"/>
                <w:szCs w:val="18"/>
              </w:rPr>
              <w:t>% Indigenous Status Complete</w:t>
            </w:r>
          </w:p>
        </w:tc>
      </w:tr>
      <w:tr w:rsidR="006E243E" w:rsidRPr="008165BC" w14:paraId="3868232E" w14:textId="77777777" w:rsidTr="003655AE">
        <w:tc>
          <w:tcPr>
            <w:tcW w:w="0" w:type="auto"/>
            <w:hideMark/>
          </w:tcPr>
          <w:p w14:paraId="744C43AF" w14:textId="77777777" w:rsidR="006E243E" w:rsidRPr="008165BC" w:rsidRDefault="006E243E">
            <w:pPr>
              <w:pStyle w:val="NormalWeb"/>
              <w:rPr>
                <w:sz w:val="18"/>
                <w:szCs w:val="18"/>
              </w:rPr>
            </w:pPr>
            <w:r w:rsidRPr="008165BC">
              <w:rPr>
                <w:sz w:val="18"/>
                <w:szCs w:val="18"/>
              </w:rPr>
              <w:t>Dengue virus infe</w:t>
            </w:r>
            <w:r w:rsidR="00CD687F">
              <w:rPr>
                <w:sz w:val="18"/>
                <w:szCs w:val="18"/>
              </w:rPr>
              <w:t>ction</w:t>
            </w:r>
            <w:r w:rsidR="00CD687F">
              <w:rPr>
                <w:sz w:val="18"/>
                <w:szCs w:val="18"/>
              </w:rPr>
              <w:br/>
            </w:r>
            <w:r w:rsidRPr="008165BC">
              <w:rPr>
                <w:sz w:val="18"/>
                <w:szCs w:val="18"/>
              </w:rPr>
              <w:t>(locally-</w:t>
            </w:r>
            <w:proofErr w:type="spellStart"/>
            <w:r w:rsidRPr="008165BC">
              <w:rPr>
                <w:sz w:val="18"/>
                <w:szCs w:val="18"/>
              </w:rPr>
              <w:t>acquired</w:t>
            </w:r>
            <w:r w:rsidRPr="00CD687F">
              <w:rPr>
                <w:sz w:val="18"/>
                <w:szCs w:val="18"/>
                <w:vertAlign w:val="superscript"/>
              </w:rPr>
              <w:t>b</w:t>
            </w:r>
            <w:proofErr w:type="spellEnd"/>
            <w:r w:rsidRPr="008165BC">
              <w:rPr>
                <w:sz w:val="18"/>
                <w:szCs w:val="18"/>
              </w:rPr>
              <w:t>)</w:t>
            </w:r>
          </w:p>
        </w:tc>
        <w:tc>
          <w:tcPr>
            <w:tcW w:w="1782" w:type="dxa"/>
            <w:hideMark/>
          </w:tcPr>
          <w:p w14:paraId="2CCD8CE2"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64A27AC3" w14:textId="77777777" w:rsidR="006E243E" w:rsidRPr="008165BC" w:rsidRDefault="006E243E" w:rsidP="003655AE">
            <w:pPr>
              <w:pStyle w:val="NormalWeb"/>
              <w:jc w:val="center"/>
              <w:rPr>
                <w:sz w:val="18"/>
                <w:szCs w:val="18"/>
              </w:rPr>
            </w:pPr>
            <w:r w:rsidRPr="008165BC">
              <w:rPr>
                <w:sz w:val="18"/>
                <w:szCs w:val="18"/>
              </w:rPr>
              <w:t>-</w:t>
            </w:r>
          </w:p>
        </w:tc>
        <w:tc>
          <w:tcPr>
            <w:tcW w:w="1782" w:type="dxa"/>
            <w:hideMark/>
          </w:tcPr>
          <w:p w14:paraId="484C81AD"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3A17A6D6" w14:textId="77777777" w:rsidR="006E243E" w:rsidRPr="008165BC" w:rsidRDefault="006E243E" w:rsidP="003655AE">
            <w:pPr>
              <w:pStyle w:val="NormalWeb"/>
              <w:jc w:val="center"/>
              <w:rPr>
                <w:sz w:val="18"/>
                <w:szCs w:val="18"/>
              </w:rPr>
            </w:pPr>
            <w:r w:rsidRPr="008165BC">
              <w:rPr>
                <w:sz w:val="18"/>
                <w:szCs w:val="18"/>
              </w:rPr>
              <w:t>-</w:t>
            </w:r>
          </w:p>
        </w:tc>
      </w:tr>
      <w:tr w:rsidR="006E243E" w:rsidRPr="008165BC" w14:paraId="41F6499D"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0E1A6179" w14:textId="77777777" w:rsidR="006E243E" w:rsidRPr="008165BC" w:rsidRDefault="006E243E">
            <w:pPr>
              <w:pStyle w:val="NormalWeb"/>
              <w:rPr>
                <w:sz w:val="18"/>
                <w:szCs w:val="18"/>
              </w:rPr>
            </w:pPr>
            <w:r w:rsidRPr="008165BC">
              <w:rPr>
                <w:sz w:val="18"/>
                <w:szCs w:val="18"/>
              </w:rPr>
              <w:t>Donovanosis</w:t>
            </w:r>
          </w:p>
        </w:tc>
        <w:tc>
          <w:tcPr>
            <w:tcW w:w="1782" w:type="dxa"/>
            <w:hideMark/>
          </w:tcPr>
          <w:p w14:paraId="251A168E"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74E016E1" w14:textId="77777777" w:rsidR="006E243E" w:rsidRPr="008165BC" w:rsidRDefault="006E243E" w:rsidP="003655AE">
            <w:pPr>
              <w:pStyle w:val="NormalWeb"/>
              <w:jc w:val="center"/>
              <w:rPr>
                <w:sz w:val="18"/>
                <w:szCs w:val="18"/>
              </w:rPr>
            </w:pPr>
            <w:r w:rsidRPr="008165BC">
              <w:rPr>
                <w:sz w:val="18"/>
                <w:szCs w:val="18"/>
              </w:rPr>
              <w:t>-</w:t>
            </w:r>
          </w:p>
        </w:tc>
        <w:tc>
          <w:tcPr>
            <w:tcW w:w="1782" w:type="dxa"/>
            <w:hideMark/>
          </w:tcPr>
          <w:p w14:paraId="53DAB903"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08F88AED" w14:textId="77777777" w:rsidR="006E243E" w:rsidRPr="008165BC" w:rsidRDefault="006E243E" w:rsidP="003655AE">
            <w:pPr>
              <w:pStyle w:val="NormalWeb"/>
              <w:jc w:val="center"/>
              <w:rPr>
                <w:sz w:val="18"/>
                <w:szCs w:val="18"/>
              </w:rPr>
            </w:pPr>
            <w:r w:rsidRPr="008165BC">
              <w:rPr>
                <w:sz w:val="18"/>
                <w:szCs w:val="18"/>
              </w:rPr>
              <w:t>-</w:t>
            </w:r>
          </w:p>
        </w:tc>
      </w:tr>
      <w:tr w:rsidR="006E243E" w:rsidRPr="008165BC" w14:paraId="790AC097" w14:textId="77777777" w:rsidTr="003655AE">
        <w:tc>
          <w:tcPr>
            <w:tcW w:w="0" w:type="auto"/>
            <w:hideMark/>
          </w:tcPr>
          <w:p w14:paraId="2072E99F" w14:textId="77777777" w:rsidR="006E243E" w:rsidRPr="008165BC" w:rsidRDefault="006E243E">
            <w:pPr>
              <w:pStyle w:val="NormalWeb"/>
              <w:rPr>
                <w:sz w:val="18"/>
                <w:szCs w:val="18"/>
              </w:rPr>
            </w:pPr>
            <w:r w:rsidRPr="008165BC">
              <w:rPr>
                <w:sz w:val="18"/>
                <w:szCs w:val="18"/>
              </w:rPr>
              <w:t>Gonococcal infection</w:t>
            </w:r>
          </w:p>
        </w:tc>
        <w:tc>
          <w:tcPr>
            <w:tcW w:w="1782" w:type="dxa"/>
            <w:hideMark/>
          </w:tcPr>
          <w:p w14:paraId="73794D94" w14:textId="77777777" w:rsidR="006E243E" w:rsidRPr="008165BC" w:rsidRDefault="006E243E" w:rsidP="003655AE">
            <w:pPr>
              <w:pStyle w:val="NormalWeb"/>
              <w:jc w:val="center"/>
              <w:rPr>
                <w:sz w:val="18"/>
                <w:szCs w:val="18"/>
              </w:rPr>
            </w:pPr>
            <w:r w:rsidRPr="008165BC">
              <w:rPr>
                <w:sz w:val="18"/>
                <w:szCs w:val="18"/>
              </w:rPr>
              <w:t>6,269</w:t>
            </w:r>
          </w:p>
        </w:tc>
        <w:tc>
          <w:tcPr>
            <w:tcW w:w="1783" w:type="dxa"/>
            <w:hideMark/>
          </w:tcPr>
          <w:p w14:paraId="0FA21849" w14:textId="77777777" w:rsidR="006E243E" w:rsidRPr="008165BC" w:rsidRDefault="006E243E" w:rsidP="003655AE">
            <w:pPr>
              <w:pStyle w:val="NormalWeb"/>
              <w:jc w:val="center"/>
              <w:rPr>
                <w:sz w:val="18"/>
                <w:szCs w:val="18"/>
              </w:rPr>
            </w:pPr>
            <w:r w:rsidRPr="008165BC">
              <w:rPr>
                <w:sz w:val="18"/>
                <w:szCs w:val="18"/>
              </w:rPr>
              <w:t>57.7</w:t>
            </w:r>
          </w:p>
        </w:tc>
        <w:tc>
          <w:tcPr>
            <w:tcW w:w="1782" w:type="dxa"/>
            <w:hideMark/>
          </w:tcPr>
          <w:p w14:paraId="588A6330" w14:textId="77777777" w:rsidR="006E243E" w:rsidRPr="008165BC" w:rsidRDefault="006E243E" w:rsidP="003655AE">
            <w:pPr>
              <w:pStyle w:val="NormalWeb"/>
              <w:jc w:val="center"/>
              <w:rPr>
                <w:sz w:val="18"/>
                <w:szCs w:val="18"/>
              </w:rPr>
            </w:pPr>
            <w:r w:rsidRPr="008165BC">
              <w:rPr>
                <w:sz w:val="18"/>
                <w:szCs w:val="18"/>
              </w:rPr>
              <w:t>7,281</w:t>
            </w:r>
          </w:p>
        </w:tc>
        <w:tc>
          <w:tcPr>
            <w:tcW w:w="1783" w:type="dxa"/>
            <w:hideMark/>
          </w:tcPr>
          <w:p w14:paraId="500C0AE5" w14:textId="77777777" w:rsidR="006E243E" w:rsidRPr="008165BC" w:rsidRDefault="006E243E" w:rsidP="003655AE">
            <w:pPr>
              <w:pStyle w:val="NormalWeb"/>
              <w:jc w:val="center"/>
              <w:rPr>
                <w:sz w:val="18"/>
                <w:szCs w:val="18"/>
              </w:rPr>
            </w:pPr>
            <w:r w:rsidRPr="008165BC">
              <w:rPr>
                <w:sz w:val="18"/>
                <w:szCs w:val="18"/>
              </w:rPr>
              <w:t>74.4</w:t>
            </w:r>
          </w:p>
        </w:tc>
      </w:tr>
      <w:tr w:rsidR="006E243E" w:rsidRPr="008165BC" w14:paraId="36B7C82B"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2C8B530C" w14:textId="77777777" w:rsidR="006E243E" w:rsidRPr="008165BC" w:rsidRDefault="006E243E">
            <w:pPr>
              <w:pStyle w:val="NormalWeb"/>
              <w:rPr>
                <w:sz w:val="18"/>
                <w:szCs w:val="18"/>
              </w:rPr>
            </w:pPr>
            <w:r w:rsidRPr="008165BC">
              <w:rPr>
                <w:sz w:val="18"/>
                <w:szCs w:val="18"/>
              </w:rPr>
              <w:t>Haemophilus influenzae type b</w:t>
            </w:r>
          </w:p>
        </w:tc>
        <w:tc>
          <w:tcPr>
            <w:tcW w:w="1782" w:type="dxa"/>
            <w:hideMark/>
          </w:tcPr>
          <w:p w14:paraId="77FDC64D" w14:textId="77777777" w:rsidR="006E243E" w:rsidRPr="008165BC" w:rsidRDefault="006E243E" w:rsidP="003655AE">
            <w:pPr>
              <w:pStyle w:val="NormalWeb"/>
              <w:jc w:val="center"/>
              <w:rPr>
                <w:sz w:val="18"/>
                <w:szCs w:val="18"/>
              </w:rPr>
            </w:pPr>
            <w:r w:rsidRPr="008165BC">
              <w:rPr>
                <w:sz w:val="18"/>
                <w:szCs w:val="18"/>
              </w:rPr>
              <w:t>4</w:t>
            </w:r>
          </w:p>
        </w:tc>
        <w:tc>
          <w:tcPr>
            <w:tcW w:w="1783" w:type="dxa"/>
            <w:hideMark/>
          </w:tcPr>
          <w:p w14:paraId="5DAD7B18" w14:textId="77777777" w:rsidR="006E243E" w:rsidRPr="008165BC" w:rsidRDefault="006E243E" w:rsidP="003655AE">
            <w:pPr>
              <w:pStyle w:val="NormalWeb"/>
              <w:jc w:val="center"/>
              <w:rPr>
                <w:sz w:val="18"/>
                <w:szCs w:val="18"/>
              </w:rPr>
            </w:pPr>
            <w:r w:rsidRPr="008165BC">
              <w:rPr>
                <w:sz w:val="18"/>
                <w:szCs w:val="18"/>
              </w:rPr>
              <w:t>100</w:t>
            </w:r>
            <w:r w:rsidRPr="001E13E5">
              <w:rPr>
                <w:sz w:val="18"/>
                <w:szCs w:val="18"/>
                <w:vertAlign w:val="superscript"/>
              </w:rPr>
              <w:t>a</w:t>
            </w:r>
          </w:p>
        </w:tc>
        <w:tc>
          <w:tcPr>
            <w:tcW w:w="1782" w:type="dxa"/>
            <w:hideMark/>
          </w:tcPr>
          <w:p w14:paraId="63584320" w14:textId="77777777" w:rsidR="006E243E" w:rsidRPr="008165BC" w:rsidRDefault="006E243E" w:rsidP="003655AE">
            <w:pPr>
              <w:pStyle w:val="NormalWeb"/>
              <w:jc w:val="center"/>
              <w:rPr>
                <w:sz w:val="18"/>
                <w:szCs w:val="18"/>
              </w:rPr>
            </w:pPr>
            <w:r w:rsidRPr="008165BC">
              <w:rPr>
                <w:sz w:val="18"/>
                <w:szCs w:val="18"/>
              </w:rPr>
              <w:t>2</w:t>
            </w:r>
          </w:p>
        </w:tc>
        <w:tc>
          <w:tcPr>
            <w:tcW w:w="1783" w:type="dxa"/>
            <w:hideMark/>
          </w:tcPr>
          <w:p w14:paraId="4C1402AF" w14:textId="77777777" w:rsidR="006E243E" w:rsidRPr="008165BC" w:rsidRDefault="006E243E" w:rsidP="003655AE">
            <w:pPr>
              <w:pStyle w:val="NormalWeb"/>
              <w:jc w:val="center"/>
              <w:rPr>
                <w:sz w:val="18"/>
                <w:szCs w:val="18"/>
              </w:rPr>
            </w:pPr>
            <w:r w:rsidRPr="008165BC">
              <w:rPr>
                <w:sz w:val="18"/>
                <w:szCs w:val="18"/>
              </w:rPr>
              <w:t>100</w:t>
            </w:r>
            <w:r w:rsidRPr="00CE5897">
              <w:rPr>
                <w:sz w:val="18"/>
                <w:szCs w:val="18"/>
                <w:vertAlign w:val="superscript"/>
              </w:rPr>
              <w:t>a</w:t>
            </w:r>
          </w:p>
        </w:tc>
      </w:tr>
      <w:tr w:rsidR="006E243E" w:rsidRPr="008165BC" w14:paraId="6311ACC9" w14:textId="77777777" w:rsidTr="003655AE">
        <w:tc>
          <w:tcPr>
            <w:tcW w:w="0" w:type="auto"/>
            <w:hideMark/>
          </w:tcPr>
          <w:p w14:paraId="4386F63C" w14:textId="77777777" w:rsidR="006E243E" w:rsidRPr="008165BC" w:rsidRDefault="006E243E">
            <w:pPr>
              <w:pStyle w:val="NormalWeb"/>
              <w:rPr>
                <w:sz w:val="18"/>
                <w:szCs w:val="18"/>
              </w:rPr>
            </w:pPr>
            <w:r w:rsidRPr="008165BC">
              <w:rPr>
                <w:sz w:val="18"/>
                <w:szCs w:val="18"/>
              </w:rPr>
              <w:t>Hepatitis A</w:t>
            </w:r>
          </w:p>
        </w:tc>
        <w:tc>
          <w:tcPr>
            <w:tcW w:w="1782" w:type="dxa"/>
            <w:hideMark/>
          </w:tcPr>
          <w:p w14:paraId="2BA122C1" w14:textId="77777777" w:rsidR="006E243E" w:rsidRPr="008165BC" w:rsidRDefault="006E243E" w:rsidP="003655AE">
            <w:pPr>
              <w:pStyle w:val="NormalWeb"/>
              <w:jc w:val="center"/>
              <w:rPr>
                <w:sz w:val="18"/>
                <w:szCs w:val="18"/>
              </w:rPr>
            </w:pPr>
            <w:r w:rsidRPr="008165BC">
              <w:rPr>
                <w:sz w:val="18"/>
                <w:szCs w:val="18"/>
              </w:rPr>
              <w:t>46</w:t>
            </w:r>
          </w:p>
        </w:tc>
        <w:tc>
          <w:tcPr>
            <w:tcW w:w="1783" w:type="dxa"/>
            <w:hideMark/>
          </w:tcPr>
          <w:p w14:paraId="5FBF207A" w14:textId="77777777" w:rsidR="006E243E" w:rsidRPr="008165BC" w:rsidRDefault="006E243E" w:rsidP="003655AE">
            <w:pPr>
              <w:pStyle w:val="NormalWeb"/>
              <w:jc w:val="center"/>
              <w:rPr>
                <w:sz w:val="18"/>
                <w:szCs w:val="18"/>
              </w:rPr>
            </w:pPr>
            <w:r w:rsidRPr="008165BC">
              <w:rPr>
                <w:sz w:val="18"/>
                <w:szCs w:val="18"/>
              </w:rPr>
              <w:t>93.5</w:t>
            </w:r>
          </w:p>
        </w:tc>
        <w:tc>
          <w:tcPr>
            <w:tcW w:w="1782" w:type="dxa"/>
            <w:hideMark/>
          </w:tcPr>
          <w:p w14:paraId="424DC468" w14:textId="77777777" w:rsidR="006E243E" w:rsidRPr="008165BC" w:rsidRDefault="006E243E" w:rsidP="003655AE">
            <w:pPr>
              <w:pStyle w:val="NormalWeb"/>
              <w:jc w:val="center"/>
              <w:rPr>
                <w:sz w:val="18"/>
                <w:szCs w:val="18"/>
              </w:rPr>
            </w:pPr>
            <w:r w:rsidRPr="008165BC">
              <w:rPr>
                <w:sz w:val="18"/>
                <w:szCs w:val="18"/>
              </w:rPr>
              <w:t>78</w:t>
            </w:r>
          </w:p>
        </w:tc>
        <w:tc>
          <w:tcPr>
            <w:tcW w:w="1783" w:type="dxa"/>
            <w:hideMark/>
          </w:tcPr>
          <w:p w14:paraId="3C74ACB0" w14:textId="77777777" w:rsidR="006E243E" w:rsidRPr="008165BC" w:rsidRDefault="006E243E" w:rsidP="003655AE">
            <w:pPr>
              <w:pStyle w:val="NormalWeb"/>
              <w:jc w:val="center"/>
              <w:rPr>
                <w:sz w:val="18"/>
                <w:szCs w:val="18"/>
              </w:rPr>
            </w:pPr>
            <w:r w:rsidRPr="008165BC">
              <w:rPr>
                <w:sz w:val="18"/>
                <w:szCs w:val="18"/>
              </w:rPr>
              <w:t>83.3</w:t>
            </w:r>
          </w:p>
        </w:tc>
      </w:tr>
      <w:tr w:rsidR="006E243E" w:rsidRPr="008165BC" w14:paraId="0EE86626"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381E747C" w14:textId="77777777" w:rsidR="006E243E" w:rsidRPr="008165BC" w:rsidRDefault="006E243E">
            <w:pPr>
              <w:pStyle w:val="NormalWeb"/>
              <w:rPr>
                <w:sz w:val="18"/>
                <w:szCs w:val="18"/>
              </w:rPr>
            </w:pPr>
            <w:r w:rsidRPr="008165BC">
              <w:rPr>
                <w:sz w:val="18"/>
                <w:szCs w:val="18"/>
              </w:rPr>
              <w:t>Hepatitis B - Newly acquired</w:t>
            </w:r>
          </w:p>
        </w:tc>
        <w:tc>
          <w:tcPr>
            <w:tcW w:w="1782" w:type="dxa"/>
            <w:hideMark/>
          </w:tcPr>
          <w:p w14:paraId="03678E3F" w14:textId="77777777" w:rsidR="006E243E" w:rsidRPr="008165BC" w:rsidRDefault="006E243E" w:rsidP="003655AE">
            <w:pPr>
              <w:pStyle w:val="NormalWeb"/>
              <w:jc w:val="center"/>
              <w:rPr>
                <w:sz w:val="18"/>
                <w:szCs w:val="18"/>
              </w:rPr>
            </w:pPr>
            <w:r w:rsidRPr="008165BC">
              <w:rPr>
                <w:sz w:val="18"/>
                <w:szCs w:val="18"/>
              </w:rPr>
              <w:t>58</w:t>
            </w:r>
          </w:p>
        </w:tc>
        <w:tc>
          <w:tcPr>
            <w:tcW w:w="1783" w:type="dxa"/>
            <w:hideMark/>
          </w:tcPr>
          <w:p w14:paraId="36C8A828" w14:textId="77777777" w:rsidR="006E243E" w:rsidRPr="008165BC" w:rsidRDefault="006E243E" w:rsidP="003655AE">
            <w:pPr>
              <w:pStyle w:val="NormalWeb"/>
              <w:jc w:val="center"/>
              <w:rPr>
                <w:sz w:val="18"/>
                <w:szCs w:val="18"/>
              </w:rPr>
            </w:pPr>
            <w:r w:rsidRPr="008165BC">
              <w:rPr>
                <w:sz w:val="18"/>
                <w:szCs w:val="18"/>
              </w:rPr>
              <w:t>89.7</w:t>
            </w:r>
          </w:p>
        </w:tc>
        <w:tc>
          <w:tcPr>
            <w:tcW w:w="1782" w:type="dxa"/>
            <w:hideMark/>
          </w:tcPr>
          <w:p w14:paraId="4AE7D2E2" w14:textId="77777777" w:rsidR="006E243E" w:rsidRPr="008165BC" w:rsidRDefault="006E243E" w:rsidP="003655AE">
            <w:pPr>
              <w:pStyle w:val="NormalWeb"/>
              <w:jc w:val="center"/>
              <w:rPr>
                <w:sz w:val="18"/>
                <w:szCs w:val="18"/>
              </w:rPr>
            </w:pPr>
            <w:r w:rsidRPr="008165BC">
              <w:rPr>
                <w:sz w:val="18"/>
                <w:szCs w:val="18"/>
              </w:rPr>
              <w:t>44</w:t>
            </w:r>
          </w:p>
        </w:tc>
        <w:tc>
          <w:tcPr>
            <w:tcW w:w="1783" w:type="dxa"/>
            <w:hideMark/>
          </w:tcPr>
          <w:p w14:paraId="3A920576" w14:textId="77777777" w:rsidR="006E243E" w:rsidRPr="008165BC" w:rsidRDefault="006E243E" w:rsidP="003655AE">
            <w:pPr>
              <w:pStyle w:val="NormalWeb"/>
              <w:jc w:val="center"/>
              <w:rPr>
                <w:sz w:val="18"/>
                <w:szCs w:val="18"/>
              </w:rPr>
            </w:pPr>
            <w:r w:rsidRPr="008165BC">
              <w:rPr>
                <w:sz w:val="18"/>
                <w:szCs w:val="18"/>
              </w:rPr>
              <w:t>93.2</w:t>
            </w:r>
          </w:p>
        </w:tc>
      </w:tr>
      <w:tr w:rsidR="006E243E" w:rsidRPr="008165BC" w14:paraId="0FE47491" w14:textId="77777777" w:rsidTr="003655AE">
        <w:tc>
          <w:tcPr>
            <w:tcW w:w="0" w:type="auto"/>
            <w:hideMark/>
          </w:tcPr>
          <w:p w14:paraId="04A370F6" w14:textId="77777777" w:rsidR="006E243E" w:rsidRPr="008165BC" w:rsidRDefault="006E243E">
            <w:pPr>
              <w:pStyle w:val="NormalWeb"/>
              <w:rPr>
                <w:sz w:val="18"/>
                <w:szCs w:val="18"/>
              </w:rPr>
            </w:pPr>
            <w:r w:rsidRPr="008165BC">
              <w:rPr>
                <w:sz w:val="18"/>
                <w:szCs w:val="18"/>
              </w:rPr>
              <w:t>Hepatitis C - Newly acquired</w:t>
            </w:r>
          </w:p>
        </w:tc>
        <w:tc>
          <w:tcPr>
            <w:tcW w:w="1782" w:type="dxa"/>
            <w:hideMark/>
          </w:tcPr>
          <w:p w14:paraId="0D3146D7" w14:textId="77777777" w:rsidR="006E243E" w:rsidRPr="008165BC" w:rsidRDefault="006E243E" w:rsidP="003655AE">
            <w:pPr>
              <w:pStyle w:val="NormalWeb"/>
              <w:jc w:val="center"/>
              <w:rPr>
                <w:sz w:val="18"/>
                <w:szCs w:val="18"/>
              </w:rPr>
            </w:pPr>
            <w:r w:rsidRPr="008165BC">
              <w:rPr>
                <w:sz w:val="18"/>
                <w:szCs w:val="18"/>
              </w:rPr>
              <w:t>123</w:t>
            </w:r>
          </w:p>
        </w:tc>
        <w:tc>
          <w:tcPr>
            <w:tcW w:w="1783" w:type="dxa"/>
            <w:hideMark/>
          </w:tcPr>
          <w:p w14:paraId="367765CC" w14:textId="77777777" w:rsidR="006E243E" w:rsidRPr="008165BC" w:rsidRDefault="006E243E" w:rsidP="003655AE">
            <w:pPr>
              <w:pStyle w:val="NormalWeb"/>
              <w:jc w:val="center"/>
              <w:rPr>
                <w:sz w:val="18"/>
                <w:szCs w:val="18"/>
              </w:rPr>
            </w:pPr>
            <w:r w:rsidRPr="008165BC">
              <w:rPr>
                <w:sz w:val="18"/>
                <w:szCs w:val="18"/>
              </w:rPr>
              <w:t>84.6</w:t>
            </w:r>
          </w:p>
        </w:tc>
        <w:tc>
          <w:tcPr>
            <w:tcW w:w="1782" w:type="dxa"/>
            <w:hideMark/>
          </w:tcPr>
          <w:p w14:paraId="1D8905B9" w14:textId="77777777" w:rsidR="006E243E" w:rsidRPr="008165BC" w:rsidRDefault="006E243E" w:rsidP="003655AE">
            <w:pPr>
              <w:pStyle w:val="NormalWeb"/>
              <w:jc w:val="center"/>
              <w:rPr>
                <w:sz w:val="18"/>
                <w:szCs w:val="18"/>
              </w:rPr>
            </w:pPr>
            <w:r w:rsidRPr="008165BC">
              <w:rPr>
                <w:sz w:val="18"/>
                <w:szCs w:val="18"/>
              </w:rPr>
              <w:t>89</w:t>
            </w:r>
          </w:p>
        </w:tc>
        <w:tc>
          <w:tcPr>
            <w:tcW w:w="1783" w:type="dxa"/>
            <w:hideMark/>
          </w:tcPr>
          <w:p w14:paraId="2CAD500B" w14:textId="77777777" w:rsidR="006E243E" w:rsidRPr="008165BC" w:rsidRDefault="006E243E" w:rsidP="003655AE">
            <w:pPr>
              <w:pStyle w:val="NormalWeb"/>
              <w:jc w:val="center"/>
              <w:rPr>
                <w:sz w:val="18"/>
                <w:szCs w:val="18"/>
              </w:rPr>
            </w:pPr>
            <w:r w:rsidRPr="008165BC">
              <w:rPr>
                <w:sz w:val="18"/>
                <w:szCs w:val="18"/>
              </w:rPr>
              <w:t>89.9</w:t>
            </w:r>
          </w:p>
        </w:tc>
      </w:tr>
      <w:tr w:rsidR="006E243E" w:rsidRPr="008165BC" w14:paraId="2EAFBBEC"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4A58857D" w14:textId="77777777" w:rsidR="006E243E" w:rsidRPr="008165BC" w:rsidRDefault="006E243E">
            <w:pPr>
              <w:pStyle w:val="NormalWeb"/>
              <w:rPr>
                <w:sz w:val="18"/>
                <w:szCs w:val="18"/>
              </w:rPr>
            </w:pPr>
            <w:proofErr w:type="spellStart"/>
            <w:r w:rsidRPr="008165BC">
              <w:rPr>
                <w:sz w:val="18"/>
                <w:szCs w:val="18"/>
              </w:rPr>
              <w:t>HIV</w:t>
            </w:r>
            <w:r w:rsidRPr="00B75615">
              <w:rPr>
                <w:sz w:val="18"/>
                <w:szCs w:val="18"/>
                <w:vertAlign w:val="superscript"/>
              </w:rPr>
              <w:t>c</w:t>
            </w:r>
            <w:proofErr w:type="spellEnd"/>
          </w:p>
        </w:tc>
        <w:tc>
          <w:tcPr>
            <w:tcW w:w="1782" w:type="dxa"/>
            <w:hideMark/>
          </w:tcPr>
          <w:p w14:paraId="4105E9B2" w14:textId="77777777" w:rsidR="006E243E" w:rsidRPr="008165BC" w:rsidRDefault="006E243E" w:rsidP="003655AE">
            <w:pPr>
              <w:pStyle w:val="NormalWeb"/>
              <w:jc w:val="center"/>
              <w:rPr>
                <w:sz w:val="18"/>
                <w:szCs w:val="18"/>
              </w:rPr>
            </w:pPr>
            <w:r w:rsidRPr="008165BC">
              <w:rPr>
                <w:sz w:val="18"/>
                <w:szCs w:val="18"/>
              </w:rPr>
              <w:t>359</w:t>
            </w:r>
          </w:p>
        </w:tc>
        <w:tc>
          <w:tcPr>
            <w:tcW w:w="1783" w:type="dxa"/>
            <w:hideMark/>
          </w:tcPr>
          <w:p w14:paraId="1AE330FA" w14:textId="77777777" w:rsidR="006E243E" w:rsidRPr="008165BC" w:rsidRDefault="006E243E" w:rsidP="003655AE">
            <w:pPr>
              <w:pStyle w:val="NormalWeb"/>
              <w:jc w:val="center"/>
              <w:rPr>
                <w:sz w:val="18"/>
                <w:szCs w:val="18"/>
              </w:rPr>
            </w:pPr>
            <w:r w:rsidRPr="008165BC">
              <w:rPr>
                <w:sz w:val="18"/>
                <w:szCs w:val="18"/>
              </w:rPr>
              <w:t>99.2</w:t>
            </w:r>
            <w:r w:rsidRPr="001E13E5">
              <w:rPr>
                <w:sz w:val="18"/>
                <w:szCs w:val="18"/>
                <w:vertAlign w:val="superscript"/>
              </w:rPr>
              <w:t>a</w:t>
            </w:r>
          </w:p>
        </w:tc>
        <w:tc>
          <w:tcPr>
            <w:tcW w:w="1782" w:type="dxa"/>
            <w:hideMark/>
          </w:tcPr>
          <w:p w14:paraId="18DA9C19" w14:textId="77777777" w:rsidR="006E243E" w:rsidRPr="008165BC" w:rsidRDefault="006E243E" w:rsidP="003655AE">
            <w:pPr>
              <w:pStyle w:val="NormalWeb"/>
              <w:jc w:val="center"/>
              <w:rPr>
                <w:sz w:val="18"/>
                <w:szCs w:val="18"/>
              </w:rPr>
            </w:pPr>
            <w:r w:rsidRPr="008165BC">
              <w:rPr>
                <w:sz w:val="18"/>
                <w:szCs w:val="18"/>
              </w:rPr>
              <w:t>326</w:t>
            </w:r>
          </w:p>
        </w:tc>
        <w:tc>
          <w:tcPr>
            <w:tcW w:w="1783" w:type="dxa"/>
            <w:hideMark/>
          </w:tcPr>
          <w:p w14:paraId="15A3242E" w14:textId="77777777" w:rsidR="006E243E" w:rsidRPr="008165BC" w:rsidRDefault="006E243E" w:rsidP="003655AE">
            <w:pPr>
              <w:pStyle w:val="NormalWeb"/>
              <w:jc w:val="center"/>
              <w:rPr>
                <w:sz w:val="18"/>
                <w:szCs w:val="18"/>
              </w:rPr>
            </w:pPr>
            <w:r w:rsidRPr="008165BC">
              <w:rPr>
                <w:sz w:val="18"/>
                <w:szCs w:val="18"/>
              </w:rPr>
              <w:t>97.6</w:t>
            </w:r>
            <w:r w:rsidRPr="001E13E5">
              <w:rPr>
                <w:sz w:val="18"/>
                <w:szCs w:val="18"/>
                <w:vertAlign w:val="superscript"/>
              </w:rPr>
              <w:t>a</w:t>
            </w:r>
          </w:p>
        </w:tc>
      </w:tr>
      <w:tr w:rsidR="006E243E" w:rsidRPr="008165BC" w14:paraId="22D7795F" w14:textId="77777777" w:rsidTr="003655AE">
        <w:tc>
          <w:tcPr>
            <w:tcW w:w="0" w:type="auto"/>
            <w:hideMark/>
          </w:tcPr>
          <w:p w14:paraId="26C923F4" w14:textId="77777777" w:rsidR="006E243E" w:rsidRPr="008165BC" w:rsidRDefault="006E243E">
            <w:pPr>
              <w:pStyle w:val="NormalWeb"/>
              <w:rPr>
                <w:sz w:val="18"/>
                <w:szCs w:val="18"/>
              </w:rPr>
            </w:pPr>
            <w:r w:rsidRPr="008165BC">
              <w:rPr>
                <w:sz w:val="18"/>
                <w:szCs w:val="18"/>
              </w:rPr>
              <w:t>Leprosy</w:t>
            </w:r>
          </w:p>
        </w:tc>
        <w:tc>
          <w:tcPr>
            <w:tcW w:w="1782" w:type="dxa"/>
            <w:hideMark/>
          </w:tcPr>
          <w:p w14:paraId="0D750B9B" w14:textId="77777777" w:rsidR="006E243E" w:rsidRPr="008165BC" w:rsidRDefault="006E243E" w:rsidP="003655AE">
            <w:pPr>
              <w:pStyle w:val="NormalWeb"/>
              <w:jc w:val="center"/>
              <w:rPr>
                <w:sz w:val="18"/>
                <w:szCs w:val="18"/>
              </w:rPr>
            </w:pPr>
            <w:r w:rsidRPr="008165BC">
              <w:rPr>
                <w:sz w:val="18"/>
                <w:szCs w:val="18"/>
              </w:rPr>
              <w:t>2</w:t>
            </w:r>
          </w:p>
        </w:tc>
        <w:tc>
          <w:tcPr>
            <w:tcW w:w="1783" w:type="dxa"/>
            <w:hideMark/>
          </w:tcPr>
          <w:p w14:paraId="5E4AE31E" w14:textId="77777777" w:rsidR="006E243E" w:rsidRPr="008165BC" w:rsidRDefault="006E243E" w:rsidP="003655AE">
            <w:pPr>
              <w:pStyle w:val="NormalWeb"/>
              <w:jc w:val="center"/>
              <w:rPr>
                <w:sz w:val="18"/>
                <w:szCs w:val="18"/>
              </w:rPr>
            </w:pPr>
            <w:r w:rsidRPr="008165BC">
              <w:rPr>
                <w:sz w:val="18"/>
                <w:szCs w:val="18"/>
              </w:rPr>
              <w:t>100</w:t>
            </w:r>
            <w:r w:rsidRPr="001E2424">
              <w:rPr>
                <w:sz w:val="18"/>
                <w:szCs w:val="18"/>
                <w:vertAlign w:val="superscript"/>
              </w:rPr>
              <w:t>a</w:t>
            </w:r>
          </w:p>
        </w:tc>
        <w:tc>
          <w:tcPr>
            <w:tcW w:w="1782" w:type="dxa"/>
            <w:hideMark/>
          </w:tcPr>
          <w:p w14:paraId="79F7DD5F"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34F47FCC" w14:textId="77777777" w:rsidR="006E243E" w:rsidRPr="008165BC" w:rsidRDefault="006E243E" w:rsidP="003655AE">
            <w:pPr>
              <w:pStyle w:val="NormalWeb"/>
              <w:jc w:val="center"/>
              <w:rPr>
                <w:sz w:val="18"/>
                <w:szCs w:val="18"/>
              </w:rPr>
            </w:pPr>
            <w:r w:rsidRPr="008165BC">
              <w:rPr>
                <w:sz w:val="18"/>
                <w:szCs w:val="18"/>
              </w:rPr>
              <w:t>-</w:t>
            </w:r>
          </w:p>
        </w:tc>
      </w:tr>
      <w:tr w:rsidR="006E243E" w:rsidRPr="008165BC" w14:paraId="27EF2171"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3F57F732" w14:textId="77777777" w:rsidR="006E243E" w:rsidRPr="008165BC" w:rsidRDefault="006E243E">
            <w:pPr>
              <w:pStyle w:val="NormalWeb"/>
              <w:rPr>
                <w:sz w:val="18"/>
                <w:szCs w:val="18"/>
              </w:rPr>
            </w:pPr>
            <w:r w:rsidRPr="008165BC">
              <w:rPr>
                <w:sz w:val="18"/>
                <w:szCs w:val="18"/>
              </w:rPr>
              <w:t>Measles</w:t>
            </w:r>
          </w:p>
        </w:tc>
        <w:tc>
          <w:tcPr>
            <w:tcW w:w="1782" w:type="dxa"/>
            <w:hideMark/>
          </w:tcPr>
          <w:p w14:paraId="2CB31028" w14:textId="77777777" w:rsidR="006E243E" w:rsidRPr="008165BC" w:rsidRDefault="006E243E" w:rsidP="003655AE">
            <w:pPr>
              <w:pStyle w:val="NormalWeb"/>
              <w:jc w:val="center"/>
              <w:rPr>
                <w:sz w:val="18"/>
                <w:szCs w:val="18"/>
              </w:rPr>
            </w:pPr>
            <w:r w:rsidRPr="008165BC">
              <w:rPr>
                <w:sz w:val="18"/>
                <w:szCs w:val="18"/>
              </w:rPr>
              <w:t>38</w:t>
            </w:r>
          </w:p>
        </w:tc>
        <w:tc>
          <w:tcPr>
            <w:tcW w:w="1783" w:type="dxa"/>
            <w:hideMark/>
          </w:tcPr>
          <w:p w14:paraId="6C7FA3F2" w14:textId="77777777" w:rsidR="006E243E" w:rsidRPr="008165BC" w:rsidRDefault="006E243E" w:rsidP="003655AE">
            <w:pPr>
              <w:pStyle w:val="NormalWeb"/>
              <w:jc w:val="center"/>
              <w:rPr>
                <w:sz w:val="18"/>
                <w:szCs w:val="18"/>
              </w:rPr>
            </w:pPr>
            <w:r w:rsidRPr="008165BC">
              <w:rPr>
                <w:sz w:val="18"/>
                <w:szCs w:val="18"/>
              </w:rPr>
              <w:t>92.1</w:t>
            </w:r>
          </w:p>
        </w:tc>
        <w:tc>
          <w:tcPr>
            <w:tcW w:w="1782" w:type="dxa"/>
            <w:hideMark/>
          </w:tcPr>
          <w:p w14:paraId="77C17DD0" w14:textId="77777777" w:rsidR="006E243E" w:rsidRPr="008165BC" w:rsidRDefault="006E243E" w:rsidP="003655AE">
            <w:pPr>
              <w:pStyle w:val="NormalWeb"/>
              <w:jc w:val="center"/>
              <w:rPr>
                <w:sz w:val="18"/>
                <w:szCs w:val="18"/>
              </w:rPr>
            </w:pPr>
            <w:r w:rsidRPr="008165BC">
              <w:rPr>
                <w:sz w:val="18"/>
                <w:szCs w:val="18"/>
              </w:rPr>
              <w:t>22</w:t>
            </w:r>
          </w:p>
        </w:tc>
        <w:tc>
          <w:tcPr>
            <w:tcW w:w="1783" w:type="dxa"/>
            <w:hideMark/>
          </w:tcPr>
          <w:p w14:paraId="55047AFD" w14:textId="77777777" w:rsidR="006E243E" w:rsidRPr="008165BC" w:rsidRDefault="006E243E" w:rsidP="003655AE">
            <w:pPr>
              <w:pStyle w:val="NormalWeb"/>
              <w:jc w:val="center"/>
              <w:rPr>
                <w:sz w:val="18"/>
                <w:szCs w:val="18"/>
              </w:rPr>
            </w:pPr>
            <w:r w:rsidRPr="008165BC">
              <w:rPr>
                <w:sz w:val="18"/>
                <w:szCs w:val="18"/>
              </w:rPr>
              <w:t>100</w:t>
            </w:r>
            <w:r w:rsidRPr="001E13E5">
              <w:rPr>
                <w:sz w:val="18"/>
                <w:szCs w:val="18"/>
                <w:vertAlign w:val="superscript"/>
              </w:rPr>
              <w:t>a</w:t>
            </w:r>
          </w:p>
        </w:tc>
      </w:tr>
      <w:tr w:rsidR="006E243E" w:rsidRPr="008165BC" w14:paraId="213D4018" w14:textId="77777777" w:rsidTr="003655AE">
        <w:tc>
          <w:tcPr>
            <w:tcW w:w="0" w:type="auto"/>
            <w:hideMark/>
          </w:tcPr>
          <w:p w14:paraId="1BE2A440" w14:textId="77777777" w:rsidR="006E243E" w:rsidRPr="008165BC" w:rsidRDefault="006E243E">
            <w:pPr>
              <w:pStyle w:val="NormalWeb"/>
              <w:rPr>
                <w:sz w:val="18"/>
                <w:szCs w:val="18"/>
              </w:rPr>
            </w:pPr>
            <w:r w:rsidRPr="008165BC">
              <w:rPr>
                <w:sz w:val="18"/>
                <w:szCs w:val="18"/>
              </w:rPr>
              <w:t>Meningococcal infection</w:t>
            </w:r>
          </w:p>
        </w:tc>
        <w:tc>
          <w:tcPr>
            <w:tcW w:w="1782" w:type="dxa"/>
            <w:hideMark/>
          </w:tcPr>
          <w:p w14:paraId="60C3E791" w14:textId="77777777" w:rsidR="006E243E" w:rsidRPr="008165BC" w:rsidRDefault="006E243E" w:rsidP="003655AE">
            <w:pPr>
              <w:pStyle w:val="NormalWeb"/>
              <w:jc w:val="center"/>
              <w:rPr>
                <w:sz w:val="18"/>
                <w:szCs w:val="18"/>
              </w:rPr>
            </w:pPr>
            <w:r w:rsidRPr="008165BC">
              <w:rPr>
                <w:sz w:val="18"/>
                <w:szCs w:val="18"/>
              </w:rPr>
              <w:t>78</w:t>
            </w:r>
          </w:p>
        </w:tc>
        <w:tc>
          <w:tcPr>
            <w:tcW w:w="1783" w:type="dxa"/>
            <w:hideMark/>
          </w:tcPr>
          <w:p w14:paraId="569787FB" w14:textId="77777777" w:rsidR="006E243E" w:rsidRPr="008165BC" w:rsidRDefault="006E243E" w:rsidP="003655AE">
            <w:pPr>
              <w:pStyle w:val="NormalWeb"/>
              <w:jc w:val="center"/>
              <w:rPr>
                <w:sz w:val="18"/>
                <w:szCs w:val="18"/>
              </w:rPr>
            </w:pPr>
            <w:r w:rsidRPr="008165BC">
              <w:rPr>
                <w:sz w:val="18"/>
                <w:szCs w:val="18"/>
              </w:rPr>
              <w:t>100</w:t>
            </w:r>
            <w:r w:rsidRPr="001E2424">
              <w:rPr>
                <w:sz w:val="18"/>
                <w:szCs w:val="18"/>
                <w:vertAlign w:val="superscript"/>
              </w:rPr>
              <w:t>a</w:t>
            </w:r>
          </w:p>
        </w:tc>
        <w:tc>
          <w:tcPr>
            <w:tcW w:w="1782" w:type="dxa"/>
            <w:hideMark/>
          </w:tcPr>
          <w:p w14:paraId="0E488E04" w14:textId="77777777" w:rsidR="006E243E" w:rsidRPr="008165BC" w:rsidRDefault="006E243E" w:rsidP="003655AE">
            <w:pPr>
              <w:pStyle w:val="NormalWeb"/>
              <w:jc w:val="center"/>
              <w:rPr>
                <w:sz w:val="18"/>
                <w:szCs w:val="18"/>
              </w:rPr>
            </w:pPr>
            <w:r w:rsidRPr="008165BC">
              <w:rPr>
                <w:sz w:val="18"/>
                <w:szCs w:val="18"/>
              </w:rPr>
              <w:t>89</w:t>
            </w:r>
          </w:p>
        </w:tc>
        <w:tc>
          <w:tcPr>
            <w:tcW w:w="1783" w:type="dxa"/>
            <w:hideMark/>
          </w:tcPr>
          <w:p w14:paraId="107CDD2A" w14:textId="77777777" w:rsidR="006E243E" w:rsidRPr="008165BC" w:rsidRDefault="006E243E" w:rsidP="003655AE">
            <w:pPr>
              <w:pStyle w:val="NormalWeb"/>
              <w:jc w:val="center"/>
              <w:rPr>
                <w:sz w:val="18"/>
                <w:szCs w:val="18"/>
              </w:rPr>
            </w:pPr>
            <w:r w:rsidRPr="008165BC">
              <w:rPr>
                <w:sz w:val="18"/>
                <w:szCs w:val="18"/>
              </w:rPr>
              <w:t>95.5</w:t>
            </w:r>
            <w:r w:rsidRPr="001E13E5">
              <w:rPr>
                <w:sz w:val="18"/>
                <w:szCs w:val="18"/>
                <w:vertAlign w:val="superscript"/>
              </w:rPr>
              <w:t>a</w:t>
            </w:r>
          </w:p>
        </w:tc>
      </w:tr>
      <w:tr w:rsidR="006E243E" w:rsidRPr="008165BC" w14:paraId="1C0EED81"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45D09629" w14:textId="77777777" w:rsidR="006E243E" w:rsidRPr="008165BC" w:rsidRDefault="006E243E">
            <w:pPr>
              <w:pStyle w:val="NormalWeb"/>
              <w:rPr>
                <w:sz w:val="18"/>
                <w:szCs w:val="18"/>
              </w:rPr>
            </w:pPr>
            <w:r w:rsidRPr="008165BC">
              <w:rPr>
                <w:sz w:val="18"/>
                <w:szCs w:val="18"/>
              </w:rPr>
              <w:t>Pertussis &lt; 5 years</w:t>
            </w:r>
          </w:p>
        </w:tc>
        <w:tc>
          <w:tcPr>
            <w:tcW w:w="1782" w:type="dxa"/>
            <w:hideMark/>
          </w:tcPr>
          <w:p w14:paraId="6E1D7AA2" w14:textId="77777777" w:rsidR="006E243E" w:rsidRPr="008165BC" w:rsidRDefault="006E243E" w:rsidP="003655AE">
            <w:pPr>
              <w:pStyle w:val="NormalWeb"/>
              <w:jc w:val="center"/>
              <w:rPr>
                <w:sz w:val="18"/>
                <w:szCs w:val="18"/>
              </w:rPr>
            </w:pPr>
            <w:r w:rsidRPr="008165BC">
              <w:rPr>
                <w:sz w:val="18"/>
                <w:szCs w:val="18"/>
              </w:rPr>
              <w:t>221</w:t>
            </w:r>
          </w:p>
        </w:tc>
        <w:tc>
          <w:tcPr>
            <w:tcW w:w="1783" w:type="dxa"/>
            <w:hideMark/>
          </w:tcPr>
          <w:p w14:paraId="7BF68D96" w14:textId="77777777" w:rsidR="006E243E" w:rsidRPr="008165BC" w:rsidRDefault="006E243E" w:rsidP="003655AE">
            <w:pPr>
              <w:pStyle w:val="NormalWeb"/>
              <w:jc w:val="center"/>
              <w:rPr>
                <w:sz w:val="18"/>
                <w:szCs w:val="18"/>
              </w:rPr>
            </w:pPr>
            <w:r w:rsidRPr="008165BC">
              <w:rPr>
                <w:sz w:val="18"/>
                <w:szCs w:val="18"/>
              </w:rPr>
              <w:t>73.8</w:t>
            </w:r>
          </w:p>
        </w:tc>
        <w:tc>
          <w:tcPr>
            <w:tcW w:w="1782" w:type="dxa"/>
            <w:hideMark/>
          </w:tcPr>
          <w:p w14:paraId="3CA2B3B2" w14:textId="77777777" w:rsidR="006E243E" w:rsidRPr="008165BC" w:rsidRDefault="006E243E" w:rsidP="003655AE">
            <w:pPr>
              <w:pStyle w:val="NormalWeb"/>
              <w:jc w:val="center"/>
              <w:rPr>
                <w:sz w:val="18"/>
                <w:szCs w:val="18"/>
              </w:rPr>
            </w:pPr>
            <w:r w:rsidRPr="008165BC">
              <w:rPr>
                <w:sz w:val="18"/>
                <w:szCs w:val="18"/>
              </w:rPr>
              <w:t>125</w:t>
            </w:r>
          </w:p>
        </w:tc>
        <w:tc>
          <w:tcPr>
            <w:tcW w:w="1783" w:type="dxa"/>
            <w:hideMark/>
          </w:tcPr>
          <w:p w14:paraId="48D48569" w14:textId="77777777" w:rsidR="006E243E" w:rsidRPr="008165BC" w:rsidRDefault="006E243E" w:rsidP="003655AE">
            <w:pPr>
              <w:pStyle w:val="NormalWeb"/>
              <w:jc w:val="center"/>
              <w:rPr>
                <w:sz w:val="18"/>
                <w:szCs w:val="18"/>
              </w:rPr>
            </w:pPr>
            <w:r w:rsidRPr="008165BC">
              <w:rPr>
                <w:sz w:val="18"/>
                <w:szCs w:val="18"/>
              </w:rPr>
              <w:t>73.6</w:t>
            </w:r>
          </w:p>
        </w:tc>
      </w:tr>
      <w:tr w:rsidR="006E243E" w:rsidRPr="008165BC" w14:paraId="29EDA44B" w14:textId="77777777" w:rsidTr="003655AE">
        <w:tc>
          <w:tcPr>
            <w:tcW w:w="0" w:type="auto"/>
            <w:hideMark/>
          </w:tcPr>
          <w:p w14:paraId="03BA37F9" w14:textId="77777777" w:rsidR="006E243E" w:rsidRPr="008165BC" w:rsidRDefault="006E243E">
            <w:pPr>
              <w:pStyle w:val="NormalWeb"/>
              <w:rPr>
                <w:sz w:val="18"/>
                <w:szCs w:val="18"/>
              </w:rPr>
            </w:pPr>
            <w:r w:rsidRPr="008165BC">
              <w:rPr>
                <w:sz w:val="18"/>
                <w:szCs w:val="18"/>
              </w:rPr>
              <w:t>Pneumococcal infection &lt; 5 years</w:t>
            </w:r>
          </w:p>
        </w:tc>
        <w:tc>
          <w:tcPr>
            <w:tcW w:w="1782" w:type="dxa"/>
            <w:hideMark/>
          </w:tcPr>
          <w:p w14:paraId="1A01F139" w14:textId="77777777" w:rsidR="006E243E" w:rsidRPr="008165BC" w:rsidRDefault="006E243E" w:rsidP="003655AE">
            <w:pPr>
              <w:pStyle w:val="NormalWeb"/>
              <w:jc w:val="center"/>
              <w:rPr>
                <w:sz w:val="18"/>
                <w:szCs w:val="18"/>
              </w:rPr>
            </w:pPr>
            <w:r w:rsidRPr="008165BC">
              <w:rPr>
                <w:sz w:val="18"/>
                <w:szCs w:val="18"/>
              </w:rPr>
              <w:t>50</w:t>
            </w:r>
          </w:p>
        </w:tc>
        <w:tc>
          <w:tcPr>
            <w:tcW w:w="1783" w:type="dxa"/>
            <w:hideMark/>
          </w:tcPr>
          <w:p w14:paraId="578FE029" w14:textId="77777777" w:rsidR="006E243E" w:rsidRPr="008165BC" w:rsidRDefault="006E243E" w:rsidP="003655AE">
            <w:pPr>
              <w:pStyle w:val="NormalWeb"/>
              <w:jc w:val="center"/>
              <w:rPr>
                <w:sz w:val="18"/>
                <w:szCs w:val="18"/>
              </w:rPr>
            </w:pPr>
            <w:r w:rsidRPr="008165BC">
              <w:rPr>
                <w:sz w:val="18"/>
                <w:szCs w:val="18"/>
              </w:rPr>
              <w:t>100</w:t>
            </w:r>
            <w:r w:rsidRPr="001E2424">
              <w:rPr>
                <w:sz w:val="18"/>
                <w:szCs w:val="18"/>
                <w:vertAlign w:val="superscript"/>
              </w:rPr>
              <w:t>a</w:t>
            </w:r>
          </w:p>
        </w:tc>
        <w:tc>
          <w:tcPr>
            <w:tcW w:w="1782" w:type="dxa"/>
            <w:hideMark/>
          </w:tcPr>
          <w:p w14:paraId="45977789" w14:textId="77777777" w:rsidR="006E243E" w:rsidRPr="008165BC" w:rsidRDefault="006E243E" w:rsidP="003655AE">
            <w:pPr>
              <w:pStyle w:val="NormalWeb"/>
              <w:jc w:val="center"/>
              <w:rPr>
                <w:sz w:val="18"/>
                <w:szCs w:val="18"/>
              </w:rPr>
            </w:pPr>
            <w:r w:rsidRPr="008165BC">
              <w:rPr>
                <w:sz w:val="18"/>
                <w:szCs w:val="18"/>
              </w:rPr>
              <w:t>62</w:t>
            </w:r>
          </w:p>
        </w:tc>
        <w:tc>
          <w:tcPr>
            <w:tcW w:w="1783" w:type="dxa"/>
            <w:hideMark/>
          </w:tcPr>
          <w:p w14:paraId="5ED19929" w14:textId="77777777" w:rsidR="006E243E" w:rsidRPr="008165BC" w:rsidRDefault="006E243E" w:rsidP="003655AE">
            <w:pPr>
              <w:pStyle w:val="NormalWeb"/>
              <w:jc w:val="center"/>
              <w:rPr>
                <w:sz w:val="18"/>
                <w:szCs w:val="18"/>
              </w:rPr>
            </w:pPr>
            <w:r w:rsidRPr="008165BC">
              <w:rPr>
                <w:sz w:val="18"/>
                <w:szCs w:val="18"/>
              </w:rPr>
              <w:t>93.6</w:t>
            </w:r>
          </w:p>
        </w:tc>
      </w:tr>
      <w:tr w:rsidR="006E243E" w:rsidRPr="008165BC" w14:paraId="1DA517BE"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1CC4A864" w14:textId="77777777" w:rsidR="006E243E" w:rsidRPr="008165BC" w:rsidRDefault="006E243E">
            <w:pPr>
              <w:pStyle w:val="NormalWeb"/>
              <w:rPr>
                <w:sz w:val="18"/>
                <w:szCs w:val="18"/>
              </w:rPr>
            </w:pPr>
            <w:r w:rsidRPr="008165BC">
              <w:rPr>
                <w:sz w:val="18"/>
                <w:szCs w:val="18"/>
              </w:rPr>
              <w:t>Pneumococcal infection ≥ 50 years</w:t>
            </w:r>
          </w:p>
        </w:tc>
        <w:tc>
          <w:tcPr>
            <w:tcW w:w="1782" w:type="dxa"/>
            <w:hideMark/>
          </w:tcPr>
          <w:p w14:paraId="3F7CC152" w14:textId="77777777" w:rsidR="006E243E" w:rsidRPr="008165BC" w:rsidRDefault="006E243E" w:rsidP="003655AE">
            <w:pPr>
              <w:pStyle w:val="NormalWeb"/>
              <w:jc w:val="center"/>
              <w:rPr>
                <w:sz w:val="18"/>
                <w:szCs w:val="18"/>
              </w:rPr>
            </w:pPr>
            <w:r w:rsidRPr="008165BC">
              <w:rPr>
                <w:sz w:val="18"/>
                <w:szCs w:val="18"/>
              </w:rPr>
              <w:t>259</w:t>
            </w:r>
          </w:p>
        </w:tc>
        <w:tc>
          <w:tcPr>
            <w:tcW w:w="1783" w:type="dxa"/>
            <w:hideMark/>
          </w:tcPr>
          <w:p w14:paraId="30113B16" w14:textId="77777777" w:rsidR="006E243E" w:rsidRPr="008165BC" w:rsidRDefault="006E243E" w:rsidP="003655AE">
            <w:pPr>
              <w:pStyle w:val="NormalWeb"/>
              <w:jc w:val="center"/>
              <w:rPr>
                <w:sz w:val="18"/>
                <w:szCs w:val="18"/>
              </w:rPr>
            </w:pPr>
            <w:r w:rsidRPr="008165BC">
              <w:rPr>
                <w:sz w:val="18"/>
                <w:szCs w:val="18"/>
              </w:rPr>
              <w:t>96.1</w:t>
            </w:r>
            <w:r w:rsidRPr="001E13E5">
              <w:rPr>
                <w:sz w:val="18"/>
                <w:szCs w:val="18"/>
                <w:vertAlign w:val="superscript"/>
              </w:rPr>
              <w:t>a</w:t>
            </w:r>
          </w:p>
        </w:tc>
        <w:tc>
          <w:tcPr>
            <w:tcW w:w="1782" w:type="dxa"/>
            <w:hideMark/>
          </w:tcPr>
          <w:p w14:paraId="20147BBC" w14:textId="77777777" w:rsidR="006E243E" w:rsidRPr="008165BC" w:rsidRDefault="006E243E" w:rsidP="003655AE">
            <w:pPr>
              <w:pStyle w:val="NormalWeb"/>
              <w:jc w:val="center"/>
              <w:rPr>
                <w:sz w:val="18"/>
                <w:szCs w:val="18"/>
              </w:rPr>
            </w:pPr>
            <w:r w:rsidRPr="008165BC">
              <w:rPr>
                <w:sz w:val="18"/>
                <w:szCs w:val="18"/>
              </w:rPr>
              <w:t>320</w:t>
            </w:r>
          </w:p>
        </w:tc>
        <w:tc>
          <w:tcPr>
            <w:tcW w:w="1783" w:type="dxa"/>
            <w:hideMark/>
          </w:tcPr>
          <w:p w14:paraId="4CDB8C60" w14:textId="77777777" w:rsidR="006E243E" w:rsidRPr="008165BC" w:rsidRDefault="006E243E" w:rsidP="003655AE">
            <w:pPr>
              <w:pStyle w:val="NormalWeb"/>
              <w:jc w:val="center"/>
              <w:rPr>
                <w:sz w:val="18"/>
                <w:szCs w:val="18"/>
              </w:rPr>
            </w:pPr>
            <w:r w:rsidRPr="008165BC">
              <w:rPr>
                <w:sz w:val="18"/>
                <w:szCs w:val="18"/>
              </w:rPr>
              <w:t>89.1</w:t>
            </w:r>
          </w:p>
        </w:tc>
      </w:tr>
      <w:tr w:rsidR="006E243E" w:rsidRPr="008165BC" w14:paraId="200C601C" w14:textId="77777777" w:rsidTr="003655AE">
        <w:tc>
          <w:tcPr>
            <w:tcW w:w="0" w:type="auto"/>
            <w:hideMark/>
          </w:tcPr>
          <w:p w14:paraId="618C97D5" w14:textId="77777777" w:rsidR="006E243E" w:rsidRPr="008165BC" w:rsidRDefault="006E243E">
            <w:pPr>
              <w:pStyle w:val="NormalWeb"/>
              <w:rPr>
                <w:sz w:val="18"/>
                <w:szCs w:val="18"/>
              </w:rPr>
            </w:pPr>
            <w:r w:rsidRPr="008165BC">
              <w:rPr>
                <w:sz w:val="18"/>
                <w:szCs w:val="18"/>
              </w:rPr>
              <w:t>Shigellosis</w:t>
            </w:r>
          </w:p>
        </w:tc>
        <w:tc>
          <w:tcPr>
            <w:tcW w:w="1782" w:type="dxa"/>
            <w:hideMark/>
          </w:tcPr>
          <w:p w14:paraId="69A9AEFA" w14:textId="77777777" w:rsidR="006E243E" w:rsidRPr="008165BC" w:rsidRDefault="006E243E" w:rsidP="003655AE">
            <w:pPr>
              <w:pStyle w:val="NormalWeb"/>
              <w:jc w:val="center"/>
              <w:rPr>
                <w:sz w:val="18"/>
                <w:szCs w:val="18"/>
              </w:rPr>
            </w:pPr>
            <w:r w:rsidRPr="008165BC">
              <w:rPr>
                <w:sz w:val="18"/>
                <w:szCs w:val="18"/>
              </w:rPr>
              <w:t>600</w:t>
            </w:r>
          </w:p>
        </w:tc>
        <w:tc>
          <w:tcPr>
            <w:tcW w:w="1783" w:type="dxa"/>
            <w:hideMark/>
          </w:tcPr>
          <w:p w14:paraId="2DAA9C8A" w14:textId="77777777" w:rsidR="006E243E" w:rsidRPr="008165BC" w:rsidRDefault="006E243E" w:rsidP="003655AE">
            <w:pPr>
              <w:pStyle w:val="NormalWeb"/>
              <w:jc w:val="center"/>
              <w:rPr>
                <w:sz w:val="18"/>
                <w:szCs w:val="18"/>
              </w:rPr>
            </w:pPr>
            <w:r w:rsidRPr="008165BC">
              <w:rPr>
                <w:sz w:val="18"/>
                <w:szCs w:val="18"/>
              </w:rPr>
              <w:t>89.0</w:t>
            </w:r>
          </w:p>
        </w:tc>
        <w:tc>
          <w:tcPr>
            <w:tcW w:w="1782" w:type="dxa"/>
            <w:hideMark/>
          </w:tcPr>
          <w:p w14:paraId="05442D4F" w14:textId="77777777" w:rsidR="006E243E" w:rsidRPr="008165BC" w:rsidRDefault="006E243E" w:rsidP="003655AE">
            <w:pPr>
              <w:pStyle w:val="NormalWeb"/>
              <w:jc w:val="center"/>
              <w:rPr>
                <w:sz w:val="18"/>
                <w:szCs w:val="18"/>
              </w:rPr>
            </w:pPr>
            <w:r w:rsidRPr="008165BC">
              <w:rPr>
                <w:sz w:val="18"/>
                <w:szCs w:val="18"/>
              </w:rPr>
              <w:t>539</w:t>
            </w:r>
          </w:p>
        </w:tc>
        <w:tc>
          <w:tcPr>
            <w:tcW w:w="1783" w:type="dxa"/>
            <w:hideMark/>
          </w:tcPr>
          <w:p w14:paraId="238AD4A4" w14:textId="77777777" w:rsidR="006E243E" w:rsidRPr="008165BC" w:rsidRDefault="006E243E" w:rsidP="003655AE">
            <w:pPr>
              <w:pStyle w:val="NormalWeb"/>
              <w:jc w:val="center"/>
              <w:rPr>
                <w:sz w:val="18"/>
                <w:szCs w:val="18"/>
              </w:rPr>
            </w:pPr>
            <w:r w:rsidRPr="008165BC">
              <w:rPr>
                <w:sz w:val="18"/>
                <w:szCs w:val="18"/>
              </w:rPr>
              <w:t>89.2</w:t>
            </w:r>
          </w:p>
        </w:tc>
      </w:tr>
      <w:tr w:rsidR="006E243E" w:rsidRPr="008165BC" w14:paraId="0A0EA805"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15CFE56C" w14:textId="77777777" w:rsidR="006E243E" w:rsidRPr="008165BC" w:rsidRDefault="006E243E">
            <w:pPr>
              <w:pStyle w:val="NormalWeb"/>
              <w:rPr>
                <w:sz w:val="18"/>
                <w:szCs w:val="18"/>
              </w:rPr>
            </w:pPr>
            <w:r w:rsidRPr="008165BC">
              <w:rPr>
                <w:sz w:val="18"/>
                <w:szCs w:val="18"/>
              </w:rPr>
              <w:t>Syphilis - Congenital</w:t>
            </w:r>
          </w:p>
        </w:tc>
        <w:tc>
          <w:tcPr>
            <w:tcW w:w="1782" w:type="dxa"/>
            <w:hideMark/>
          </w:tcPr>
          <w:p w14:paraId="63A10C24" w14:textId="77777777" w:rsidR="006E243E" w:rsidRPr="008165BC" w:rsidRDefault="006E243E" w:rsidP="003655AE">
            <w:pPr>
              <w:pStyle w:val="NormalWeb"/>
              <w:jc w:val="center"/>
              <w:rPr>
                <w:sz w:val="18"/>
                <w:szCs w:val="18"/>
              </w:rPr>
            </w:pPr>
            <w:r w:rsidRPr="008165BC">
              <w:rPr>
                <w:sz w:val="18"/>
                <w:szCs w:val="18"/>
              </w:rPr>
              <w:t>0</w:t>
            </w:r>
          </w:p>
        </w:tc>
        <w:tc>
          <w:tcPr>
            <w:tcW w:w="1783" w:type="dxa"/>
            <w:hideMark/>
          </w:tcPr>
          <w:p w14:paraId="345BABDA" w14:textId="77777777" w:rsidR="006E243E" w:rsidRPr="008165BC" w:rsidRDefault="006E243E" w:rsidP="003655AE">
            <w:pPr>
              <w:pStyle w:val="NormalWeb"/>
              <w:jc w:val="center"/>
              <w:rPr>
                <w:sz w:val="18"/>
                <w:szCs w:val="18"/>
              </w:rPr>
            </w:pPr>
            <w:r w:rsidRPr="008165BC">
              <w:rPr>
                <w:sz w:val="18"/>
                <w:szCs w:val="18"/>
              </w:rPr>
              <w:t>-</w:t>
            </w:r>
          </w:p>
        </w:tc>
        <w:tc>
          <w:tcPr>
            <w:tcW w:w="1782" w:type="dxa"/>
            <w:hideMark/>
          </w:tcPr>
          <w:p w14:paraId="3BDC9DD1" w14:textId="77777777" w:rsidR="006E243E" w:rsidRPr="008165BC" w:rsidRDefault="006E243E" w:rsidP="003655AE">
            <w:pPr>
              <w:pStyle w:val="NormalWeb"/>
              <w:jc w:val="center"/>
              <w:rPr>
                <w:sz w:val="18"/>
                <w:szCs w:val="18"/>
              </w:rPr>
            </w:pPr>
            <w:r w:rsidRPr="008165BC">
              <w:rPr>
                <w:sz w:val="18"/>
                <w:szCs w:val="18"/>
              </w:rPr>
              <w:t>2</w:t>
            </w:r>
          </w:p>
        </w:tc>
        <w:tc>
          <w:tcPr>
            <w:tcW w:w="1783" w:type="dxa"/>
            <w:hideMark/>
          </w:tcPr>
          <w:p w14:paraId="199F29AE" w14:textId="77777777" w:rsidR="006E243E" w:rsidRPr="008165BC" w:rsidRDefault="006E243E" w:rsidP="003655AE">
            <w:pPr>
              <w:pStyle w:val="NormalWeb"/>
              <w:jc w:val="center"/>
              <w:rPr>
                <w:sz w:val="18"/>
                <w:szCs w:val="18"/>
              </w:rPr>
            </w:pPr>
            <w:r w:rsidRPr="008165BC">
              <w:rPr>
                <w:sz w:val="18"/>
                <w:szCs w:val="18"/>
              </w:rPr>
              <w:t>100</w:t>
            </w:r>
            <w:r w:rsidRPr="001E2424">
              <w:rPr>
                <w:sz w:val="18"/>
                <w:szCs w:val="18"/>
                <w:vertAlign w:val="superscript"/>
              </w:rPr>
              <w:t>a</w:t>
            </w:r>
          </w:p>
        </w:tc>
      </w:tr>
      <w:tr w:rsidR="006E243E" w:rsidRPr="008165BC" w14:paraId="647E6EC1" w14:textId="77777777" w:rsidTr="003655AE">
        <w:tc>
          <w:tcPr>
            <w:tcW w:w="0" w:type="auto"/>
            <w:hideMark/>
          </w:tcPr>
          <w:p w14:paraId="6F5076F2" w14:textId="77777777" w:rsidR="006E243E" w:rsidRPr="008165BC" w:rsidRDefault="006E243E">
            <w:pPr>
              <w:pStyle w:val="NormalWeb"/>
              <w:rPr>
                <w:sz w:val="18"/>
                <w:szCs w:val="18"/>
              </w:rPr>
            </w:pPr>
            <w:r w:rsidRPr="008165BC">
              <w:rPr>
                <w:sz w:val="18"/>
                <w:szCs w:val="18"/>
              </w:rPr>
              <w:t>Syphilis - Infectious</w:t>
            </w:r>
          </w:p>
        </w:tc>
        <w:tc>
          <w:tcPr>
            <w:tcW w:w="1782" w:type="dxa"/>
            <w:hideMark/>
          </w:tcPr>
          <w:p w14:paraId="7CF0056A" w14:textId="77777777" w:rsidR="006E243E" w:rsidRPr="008165BC" w:rsidRDefault="006E243E" w:rsidP="003655AE">
            <w:pPr>
              <w:pStyle w:val="NormalWeb"/>
              <w:jc w:val="center"/>
              <w:rPr>
                <w:sz w:val="18"/>
                <w:szCs w:val="18"/>
              </w:rPr>
            </w:pPr>
            <w:r w:rsidRPr="008165BC">
              <w:rPr>
                <w:sz w:val="18"/>
                <w:szCs w:val="18"/>
              </w:rPr>
              <w:t>1,131</w:t>
            </w:r>
          </w:p>
        </w:tc>
        <w:tc>
          <w:tcPr>
            <w:tcW w:w="1783" w:type="dxa"/>
            <w:hideMark/>
          </w:tcPr>
          <w:p w14:paraId="1F0CBC1B" w14:textId="77777777" w:rsidR="006E243E" w:rsidRPr="008165BC" w:rsidRDefault="006E243E" w:rsidP="003655AE">
            <w:pPr>
              <w:pStyle w:val="NormalWeb"/>
              <w:jc w:val="center"/>
              <w:rPr>
                <w:sz w:val="18"/>
                <w:szCs w:val="18"/>
              </w:rPr>
            </w:pPr>
            <w:r w:rsidRPr="008165BC">
              <w:rPr>
                <w:sz w:val="18"/>
                <w:szCs w:val="18"/>
              </w:rPr>
              <w:t>85.9</w:t>
            </w:r>
          </w:p>
        </w:tc>
        <w:tc>
          <w:tcPr>
            <w:tcW w:w="1782" w:type="dxa"/>
            <w:hideMark/>
          </w:tcPr>
          <w:p w14:paraId="46991061" w14:textId="77777777" w:rsidR="006E243E" w:rsidRPr="008165BC" w:rsidRDefault="006E243E" w:rsidP="003655AE">
            <w:pPr>
              <w:pStyle w:val="NormalWeb"/>
              <w:jc w:val="center"/>
              <w:rPr>
                <w:sz w:val="18"/>
                <w:szCs w:val="18"/>
              </w:rPr>
            </w:pPr>
            <w:r w:rsidRPr="008165BC">
              <w:rPr>
                <w:sz w:val="18"/>
                <w:szCs w:val="18"/>
              </w:rPr>
              <w:t>1,346</w:t>
            </w:r>
          </w:p>
        </w:tc>
        <w:tc>
          <w:tcPr>
            <w:tcW w:w="1783" w:type="dxa"/>
            <w:hideMark/>
          </w:tcPr>
          <w:p w14:paraId="79163865" w14:textId="77777777" w:rsidR="006E243E" w:rsidRPr="008165BC" w:rsidRDefault="006E243E" w:rsidP="003655AE">
            <w:pPr>
              <w:pStyle w:val="NormalWeb"/>
              <w:jc w:val="center"/>
              <w:rPr>
                <w:sz w:val="18"/>
                <w:szCs w:val="18"/>
              </w:rPr>
            </w:pPr>
            <w:r w:rsidRPr="008165BC">
              <w:rPr>
                <w:sz w:val="18"/>
                <w:szCs w:val="18"/>
              </w:rPr>
              <w:t>93.1</w:t>
            </w:r>
          </w:p>
        </w:tc>
      </w:tr>
      <w:tr w:rsidR="006E243E" w:rsidRPr="008165BC" w14:paraId="688E0C41"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616BC9E3" w14:textId="77777777" w:rsidR="006E243E" w:rsidRPr="008165BC" w:rsidRDefault="006E243E">
            <w:pPr>
              <w:pStyle w:val="NormalWeb"/>
              <w:rPr>
                <w:sz w:val="18"/>
                <w:szCs w:val="18"/>
              </w:rPr>
            </w:pPr>
            <w:r w:rsidRPr="008165BC">
              <w:rPr>
                <w:sz w:val="18"/>
                <w:szCs w:val="18"/>
              </w:rPr>
              <w:t>Tuberculosis</w:t>
            </w:r>
          </w:p>
        </w:tc>
        <w:tc>
          <w:tcPr>
            <w:tcW w:w="1782" w:type="dxa"/>
            <w:hideMark/>
          </w:tcPr>
          <w:p w14:paraId="7F2CF941" w14:textId="77777777" w:rsidR="006E243E" w:rsidRPr="008165BC" w:rsidRDefault="006E243E" w:rsidP="003655AE">
            <w:pPr>
              <w:pStyle w:val="NormalWeb"/>
              <w:jc w:val="center"/>
              <w:rPr>
                <w:sz w:val="18"/>
                <w:szCs w:val="18"/>
              </w:rPr>
            </w:pPr>
            <w:r w:rsidRPr="008165BC">
              <w:rPr>
                <w:sz w:val="18"/>
                <w:szCs w:val="18"/>
              </w:rPr>
              <w:t>366</w:t>
            </w:r>
          </w:p>
        </w:tc>
        <w:tc>
          <w:tcPr>
            <w:tcW w:w="1783" w:type="dxa"/>
            <w:hideMark/>
          </w:tcPr>
          <w:p w14:paraId="7B63331D" w14:textId="77777777" w:rsidR="006E243E" w:rsidRPr="008165BC" w:rsidRDefault="006E243E" w:rsidP="003655AE">
            <w:pPr>
              <w:pStyle w:val="NormalWeb"/>
              <w:jc w:val="center"/>
              <w:rPr>
                <w:sz w:val="18"/>
                <w:szCs w:val="18"/>
              </w:rPr>
            </w:pPr>
            <w:r w:rsidRPr="008165BC">
              <w:rPr>
                <w:sz w:val="18"/>
                <w:szCs w:val="18"/>
              </w:rPr>
              <w:t>100</w:t>
            </w:r>
            <w:r w:rsidRPr="001E13E5">
              <w:rPr>
                <w:sz w:val="18"/>
                <w:szCs w:val="18"/>
                <w:vertAlign w:val="superscript"/>
              </w:rPr>
              <w:t>a</w:t>
            </w:r>
          </w:p>
        </w:tc>
        <w:tc>
          <w:tcPr>
            <w:tcW w:w="1782" w:type="dxa"/>
            <w:hideMark/>
          </w:tcPr>
          <w:p w14:paraId="27ACCD28" w14:textId="77777777" w:rsidR="006E243E" w:rsidRPr="008165BC" w:rsidRDefault="006E243E" w:rsidP="003655AE">
            <w:pPr>
              <w:pStyle w:val="NormalWeb"/>
              <w:jc w:val="center"/>
              <w:rPr>
                <w:sz w:val="18"/>
                <w:szCs w:val="18"/>
              </w:rPr>
            </w:pPr>
            <w:r w:rsidRPr="008165BC">
              <w:rPr>
                <w:sz w:val="18"/>
                <w:szCs w:val="18"/>
              </w:rPr>
              <w:t>444</w:t>
            </w:r>
          </w:p>
        </w:tc>
        <w:tc>
          <w:tcPr>
            <w:tcW w:w="1783" w:type="dxa"/>
            <w:hideMark/>
          </w:tcPr>
          <w:p w14:paraId="2B47477B" w14:textId="77777777" w:rsidR="006E243E" w:rsidRPr="008165BC" w:rsidRDefault="006E243E" w:rsidP="003655AE">
            <w:pPr>
              <w:pStyle w:val="NormalWeb"/>
              <w:jc w:val="center"/>
              <w:rPr>
                <w:sz w:val="18"/>
                <w:szCs w:val="18"/>
              </w:rPr>
            </w:pPr>
            <w:r w:rsidRPr="008165BC">
              <w:rPr>
                <w:sz w:val="18"/>
                <w:szCs w:val="18"/>
              </w:rPr>
              <w:t>100</w:t>
            </w:r>
            <w:r w:rsidRPr="001E2424">
              <w:rPr>
                <w:sz w:val="18"/>
                <w:szCs w:val="18"/>
                <w:vertAlign w:val="superscript"/>
              </w:rPr>
              <w:t>a</w:t>
            </w:r>
          </w:p>
        </w:tc>
      </w:tr>
      <w:tr w:rsidR="006E243E" w:rsidRPr="008165BC" w14:paraId="1B56C118" w14:textId="77777777" w:rsidTr="003655AE">
        <w:tc>
          <w:tcPr>
            <w:tcW w:w="0" w:type="auto"/>
            <w:hideMark/>
          </w:tcPr>
          <w:p w14:paraId="2C78F9E6" w14:textId="77777777" w:rsidR="006E243E" w:rsidRPr="008165BC" w:rsidRDefault="006E243E">
            <w:pPr>
              <w:pStyle w:val="NormalWeb"/>
              <w:rPr>
                <w:sz w:val="18"/>
                <w:szCs w:val="18"/>
              </w:rPr>
            </w:pPr>
            <w:r w:rsidRPr="008165BC">
              <w:rPr>
                <w:sz w:val="18"/>
                <w:szCs w:val="18"/>
              </w:rPr>
              <w:t>All priority conditions</w:t>
            </w:r>
          </w:p>
        </w:tc>
        <w:tc>
          <w:tcPr>
            <w:tcW w:w="1782" w:type="dxa"/>
            <w:hideMark/>
          </w:tcPr>
          <w:p w14:paraId="3817AFB1" w14:textId="77777777" w:rsidR="006E243E" w:rsidRPr="008165BC" w:rsidRDefault="006E243E" w:rsidP="003655AE">
            <w:pPr>
              <w:pStyle w:val="NormalWeb"/>
              <w:jc w:val="center"/>
              <w:rPr>
                <w:sz w:val="18"/>
                <w:szCs w:val="18"/>
              </w:rPr>
            </w:pPr>
            <w:r w:rsidRPr="008165BC">
              <w:rPr>
                <w:sz w:val="18"/>
                <w:szCs w:val="18"/>
              </w:rPr>
              <w:t>9,604</w:t>
            </w:r>
          </w:p>
        </w:tc>
        <w:tc>
          <w:tcPr>
            <w:tcW w:w="1783" w:type="dxa"/>
            <w:hideMark/>
          </w:tcPr>
          <w:p w14:paraId="7FBBE98C" w14:textId="77777777" w:rsidR="006E243E" w:rsidRPr="008165BC" w:rsidRDefault="006E243E" w:rsidP="003655AE">
            <w:pPr>
              <w:pStyle w:val="NormalWeb"/>
              <w:jc w:val="center"/>
              <w:rPr>
                <w:sz w:val="18"/>
                <w:szCs w:val="18"/>
              </w:rPr>
            </w:pPr>
            <w:r w:rsidRPr="008165BC">
              <w:rPr>
                <w:sz w:val="18"/>
                <w:szCs w:val="18"/>
              </w:rPr>
              <w:t>69.0</w:t>
            </w:r>
          </w:p>
        </w:tc>
        <w:tc>
          <w:tcPr>
            <w:tcW w:w="1782" w:type="dxa"/>
            <w:hideMark/>
          </w:tcPr>
          <w:p w14:paraId="66FB8E4D" w14:textId="77777777" w:rsidR="006E243E" w:rsidRPr="008165BC" w:rsidRDefault="006E243E" w:rsidP="003655AE">
            <w:pPr>
              <w:pStyle w:val="NormalWeb"/>
              <w:jc w:val="center"/>
              <w:rPr>
                <w:sz w:val="18"/>
                <w:szCs w:val="18"/>
              </w:rPr>
            </w:pPr>
            <w:r w:rsidRPr="008165BC">
              <w:rPr>
                <w:sz w:val="18"/>
                <w:szCs w:val="18"/>
              </w:rPr>
              <w:t>10,769</w:t>
            </w:r>
          </w:p>
        </w:tc>
        <w:tc>
          <w:tcPr>
            <w:tcW w:w="1783" w:type="dxa"/>
            <w:hideMark/>
          </w:tcPr>
          <w:p w14:paraId="5B8F1648" w14:textId="77777777" w:rsidR="006E243E" w:rsidRPr="008165BC" w:rsidRDefault="006E243E" w:rsidP="003655AE">
            <w:pPr>
              <w:pStyle w:val="NormalWeb"/>
              <w:jc w:val="center"/>
              <w:rPr>
                <w:sz w:val="18"/>
                <w:szCs w:val="18"/>
              </w:rPr>
            </w:pPr>
            <w:r w:rsidRPr="008165BC">
              <w:rPr>
                <w:sz w:val="18"/>
                <w:szCs w:val="18"/>
              </w:rPr>
              <w:t>80.3</w:t>
            </w:r>
          </w:p>
        </w:tc>
      </w:tr>
      <w:tr w:rsidR="006E243E" w:rsidRPr="008165BC" w14:paraId="1F068A40" w14:textId="77777777" w:rsidTr="003655AE">
        <w:trPr>
          <w:cnfStyle w:val="000000010000" w:firstRow="0" w:lastRow="0" w:firstColumn="0" w:lastColumn="0" w:oddVBand="0" w:evenVBand="0" w:oddHBand="0" w:evenHBand="1" w:firstRowFirstColumn="0" w:firstRowLastColumn="0" w:lastRowFirstColumn="0" w:lastRowLastColumn="0"/>
        </w:trPr>
        <w:tc>
          <w:tcPr>
            <w:tcW w:w="0" w:type="auto"/>
            <w:hideMark/>
          </w:tcPr>
          <w:p w14:paraId="6A3A6FA3" w14:textId="77777777" w:rsidR="006E243E" w:rsidRPr="008165BC" w:rsidRDefault="006E243E">
            <w:pPr>
              <w:pStyle w:val="NormalWeb"/>
              <w:rPr>
                <w:sz w:val="18"/>
                <w:szCs w:val="18"/>
              </w:rPr>
            </w:pPr>
            <w:r w:rsidRPr="008165BC">
              <w:rPr>
                <w:sz w:val="18"/>
                <w:szCs w:val="18"/>
              </w:rPr>
              <w:t xml:space="preserve">All non-priority </w:t>
            </w:r>
            <w:proofErr w:type="spellStart"/>
            <w:r w:rsidRPr="008165BC">
              <w:rPr>
                <w:sz w:val="18"/>
                <w:szCs w:val="18"/>
              </w:rPr>
              <w:t>conditions</w:t>
            </w:r>
            <w:r w:rsidRPr="003655AE">
              <w:rPr>
                <w:sz w:val="18"/>
                <w:szCs w:val="18"/>
                <w:vertAlign w:val="superscript"/>
              </w:rPr>
              <w:t>d</w:t>
            </w:r>
            <w:proofErr w:type="spellEnd"/>
          </w:p>
        </w:tc>
        <w:tc>
          <w:tcPr>
            <w:tcW w:w="1782" w:type="dxa"/>
            <w:hideMark/>
          </w:tcPr>
          <w:p w14:paraId="5ED9A9B6" w14:textId="77777777" w:rsidR="006E243E" w:rsidRPr="008165BC" w:rsidRDefault="006E243E" w:rsidP="003655AE">
            <w:pPr>
              <w:pStyle w:val="NormalWeb"/>
              <w:jc w:val="center"/>
              <w:rPr>
                <w:sz w:val="18"/>
                <w:szCs w:val="18"/>
              </w:rPr>
            </w:pPr>
            <w:r w:rsidRPr="008165BC">
              <w:rPr>
                <w:sz w:val="18"/>
                <w:szCs w:val="18"/>
              </w:rPr>
              <w:t>44,553</w:t>
            </w:r>
          </w:p>
        </w:tc>
        <w:tc>
          <w:tcPr>
            <w:tcW w:w="1783" w:type="dxa"/>
            <w:hideMark/>
          </w:tcPr>
          <w:p w14:paraId="5F50A1BA" w14:textId="77777777" w:rsidR="006E243E" w:rsidRPr="008165BC" w:rsidRDefault="006E243E" w:rsidP="003655AE">
            <w:pPr>
              <w:pStyle w:val="NormalWeb"/>
              <w:jc w:val="center"/>
              <w:rPr>
                <w:sz w:val="18"/>
                <w:szCs w:val="18"/>
              </w:rPr>
            </w:pPr>
            <w:r w:rsidRPr="008165BC">
              <w:rPr>
                <w:sz w:val="18"/>
                <w:szCs w:val="18"/>
              </w:rPr>
              <w:t>40.7</w:t>
            </w:r>
          </w:p>
        </w:tc>
        <w:tc>
          <w:tcPr>
            <w:tcW w:w="1782" w:type="dxa"/>
            <w:hideMark/>
          </w:tcPr>
          <w:p w14:paraId="33594B04" w14:textId="77777777" w:rsidR="006E243E" w:rsidRPr="008165BC" w:rsidRDefault="006E243E" w:rsidP="003655AE">
            <w:pPr>
              <w:pStyle w:val="NormalWeb"/>
              <w:jc w:val="center"/>
              <w:rPr>
                <w:sz w:val="18"/>
                <w:szCs w:val="18"/>
              </w:rPr>
            </w:pPr>
            <w:r w:rsidRPr="008165BC">
              <w:rPr>
                <w:sz w:val="18"/>
                <w:szCs w:val="18"/>
              </w:rPr>
              <w:t>39,344</w:t>
            </w:r>
          </w:p>
        </w:tc>
        <w:tc>
          <w:tcPr>
            <w:tcW w:w="1783" w:type="dxa"/>
            <w:hideMark/>
          </w:tcPr>
          <w:p w14:paraId="039FA841" w14:textId="77777777" w:rsidR="006E243E" w:rsidRPr="008165BC" w:rsidRDefault="006E243E" w:rsidP="003655AE">
            <w:pPr>
              <w:pStyle w:val="NormalWeb"/>
              <w:jc w:val="center"/>
              <w:rPr>
                <w:sz w:val="18"/>
                <w:szCs w:val="18"/>
              </w:rPr>
            </w:pPr>
            <w:r w:rsidRPr="008165BC">
              <w:rPr>
                <w:sz w:val="18"/>
                <w:szCs w:val="18"/>
              </w:rPr>
              <w:t>45.6</w:t>
            </w:r>
          </w:p>
        </w:tc>
      </w:tr>
      <w:tr w:rsidR="006E243E" w:rsidRPr="00EB3FF7" w14:paraId="4C5A6EDD" w14:textId="77777777" w:rsidTr="00EB3FF7">
        <w:tc>
          <w:tcPr>
            <w:tcW w:w="0" w:type="auto"/>
            <w:shd w:val="clear" w:color="auto" w:fill="FDE9D9" w:themeFill="accent6" w:themeFillTint="33"/>
            <w:hideMark/>
          </w:tcPr>
          <w:p w14:paraId="58F27B69" w14:textId="77777777" w:rsidR="006E243E" w:rsidRPr="00EB3FF7" w:rsidRDefault="006E243E">
            <w:pPr>
              <w:pStyle w:val="NormalWeb"/>
              <w:rPr>
                <w:b/>
                <w:sz w:val="18"/>
                <w:szCs w:val="18"/>
              </w:rPr>
            </w:pPr>
            <w:r w:rsidRPr="00EB3FF7">
              <w:rPr>
                <w:b/>
                <w:sz w:val="18"/>
                <w:szCs w:val="18"/>
              </w:rPr>
              <w:t>Total</w:t>
            </w:r>
          </w:p>
        </w:tc>
        <w:tc>
          <w:tcPr>
            <w:tcW w:w="1782" w:type="dxa"/>
            <w:shd w:val="clear" w:color="auto" w:fill="FDE9D9" w:themeFill="accent6" w:themeFillTint="33"/>
            <w:hideMark/>
          </w:tcPr>
          <w:p w14:paraId="697553E4" w14:textId="77777777" w:rsidR="006E243E" w:rsidRPr="00EB3FF7" w:rsidRDefault="006E243E" w:rsidP="003655AE">
            <w:pPr>
              <w:pStyle w:val="NormalWeb"/>
              <w:jc w:val="center"/>
              <w:rPr>
                <w:b/>
                <w:sz w:val="18"/>
                <w:szCs w:val="18"/>
              </w:rPr>
            </w:pPr>
            <w:r w:rsidRPr="00EB3FF7">
              <w:rPr>
                <w:b/>
                <w:sz w:val="18"/>
                <w:szCs w:val="18"/>
              </w:rPr>
              <w:t>54,157</w:t>
            </w:r>
          </w:p>
        </w:tc>
        <w:tc>
          <w:tcPr>
            <w:tcW w:w="1783" w:type="dxa"/>
            <w:shd w:val="clear" w:color="auto" w:fill="FDE9D9" w:themeFill="accent6" w:themeFillTint="33"/>
            <w:hideMark/>
          </w:tcPr>
          <w:p w14:paraId="55204F7B" w14:textId="77777777" w:rsidR="006E243E" w:rsidRPr="00EB3FF7" w:rsidRDefault="006E243E" w:rsidP="003655AE">
            <w:pPr>
              <w:pStyle w:val="NormalWeb"/>
              <w:jc w:val="center"/>
              <w:rPr>
                <w:b/>
                <w:sz w:val="18"/>
                <w:szCs w:val="18"/>
              </w:rPr>
            </w:pPr>
            <w:r w:rsidRPr="00EB3FF7">
              <w:rPr>
                <w:b/>
                <w:sz w:val="18"/>
                <w:szCs w:val="18"/>
              </w:rPr>
              <w:t>45.7</w:t>
            </w:r>
          </w:p>
        </w:tc>
        <w:tc>
          <w:tcPr>
            <w:tcW w:w="1782" w:type="dxa"/>
            <w:shd w:val="clear" w:color="auto" w:fill="FDE9D9" w:themeFill="accent6" w:themeFillTint="33"/>
            <w:hideMark/>
          </w:tcPr>
          <w:p w14:paraId="539612F9" w14:textId="77777777" w:rsidR="006E243E" w:rsidRPr="00EB3FF7" w:rsidRDefault="006E243E" w:rsidP="003655AE">
            <w:pPr>
              <w:pStyle w:val="NormalWeb"/>
              <w:jc w:val="center"/>
              <w:rPr>
                <w:b/>
                <w:sz w:val="18"/>
                <w:szCs w:val="18"/>
              </w:rPr>
            </w:pPr>
            <w:r w:rsidRPr="00EB3FF7">
              <w:rPr>
                <w:b/>
                <w:sz w:val="18"/>
                <w:szCs w:val="18"/>
              </w:rPr>
              <w:t>50,113</w:t>
            </w:r>
          </w:p>
        </w:tc>
        <w:tc>
          <w:tcPr>
            <w:tcW w:w="1783" w:type="dxa"/>
            <w:shd w:val="clear" w:color="auto" w:fill="FDE9D9" w:themeFill="accent6" w:themeFillTint="33"/>
            <w:hideMark/>
          </w:tcPr>
          <w:p w14:paraId="3F62CCDF" w14:textId="77777777" w:rsidR="006E243E" w:rsidRPr="00EB3FF7" w:rsidRDefault="006E243E" w:rsidP="003655AE">
            <w:pPr>
              <w:pStyle w:val="NormalWeb"/>
              <w:jc w:val="center"/>
              <w:rPr>
                <w:b/>
                <w:sz w:val="18"/>
                <w:szCs w:val="18"/>
              </w:rPr>
            </w:pPr>
            <w:r w:rsidRPr="00EB3FF7">
              <w:rPr>
                <w:b/>
                <w:sz w:val="18"/>
                <w:szCs w:val="18"/>
              </w:rPr>
              <w:t>53.0</w:t>
            </w:r>
          </w:p>
        </w:tc>
      </w:tr>
    </w:tbl>
    <w:p w14:paraId="445BE4AF" w14:textId="77777777" w:rsidR="006E243E" w:rsidRDefault="006E243E" w:rsidP="00645857">
      <w:pPr>
        <w:pStyle w:val="CDIfootnotes"/>
      </w:pPr>
      <w:r>
        <w:t>a</w:t>
      </w:r>
      <w:r>
        <w:tab/>
        <w:t>Target of ≥ 95% Indigenous status reporting completeness achieved</w:t>
      </w:r>
    </w:p>
    <w:p w14:paraId="1460E398" w14:textId="77777777" w:rsidR="006E243E" w:rsidRDefault="006E243E" w:rsidP="00645857">
      <w:pPr>
        <w:pStyle w:val="CDIfootnotes"/>
      </w:pPr>
      <w:r>
        <w:t>b</w:t>
      </w:r>
      <w:r>
        <w:tab/>
        <w:t>Locally-acquired is defined as cases of dengue virus infection acquired in Australia</w:t>
      </w:r>
    </w:p>
    <w:p w14:paraId="640805C6" w14:textId="77777777" w:rsidR="006E243E" w:rsidRDefault="006E243E" w:rsidP="00645857">
      <w:pPr>
        <w:pStyle w:val="CDIfootnotes"/>
      </w:pPr>
      <w:r>
        <w:t>c</w:t>
      </w:r>
      <w:r>
        <w:tab/>
        <w:t>HIV is inclusive of HIV infections that are newly acquired, unspecified and AIDS</w:t>
      </w:r>
    </w:p>
    <w:p w14:paraId="22D268AE" w14:textId="77777777" w:rsidR="006E243E" w:rsidRDefault="006E243E" w:rsidP="00645857">
      <w:pPr>
        <w:pStyle w:val="CDIfootnotes"/>
      </w:pPr>
      <w:r>
        <w:t>d</w:t>
      </w:r>
      <w:r>
        <w:tab/>
        <w:t xml:space="preserve">Excluding notified cases from the following conditions: elevated blood lead levels &gt;5 </w:t>
      </w:r>
      <w:proofErr w:type="spellStart"/>
      <w:r>
        <w:t>μg</w:t>
      </w:r>
      <w:proofErr w:type="spellEnd"/>
      <w:r>
        <w:t xml:space="preserve">/dL, </w:t>
      </w:r>
      <w:proofErr w:type="gramStart"/>
      <w:r>
        <w:t>food</w:t>
      </w:r>
      <w:proofErr w:type="gramEnd"/>
      <w:r>
        <w:t xml:space="preserve"> and water-borne illnesses with two or more related cases, chlamydial infection and influenza with an event date between 31 July – 31 October 2017</w:t>
      </w:r>
    </w:p>
    <w:p w14:paraId="7D069653" w14:textId="77777777" w:rsidR="00846DEF" w:rsidRDefault="00846DEF">
      <w:pPr>
        <w:rPr>
          <w:rFonts w:asciiTheme="majorHAnsi" w:eastAsia="Times New Roman" w:hAnsiTheme="majorHAnsi" w:cstheme="majorBidi"/>
          <w:b/>
          <w:bCs/>
          <w:sz w:val="26"/>
          <w:szCs w:val="26"/>
        </w:rPr>
      </w:pPr>
      <w:r>
        <w:rPr>
          <w:rFonts w:eastAsia="Times New Roman"/>
        </w:rPr>
        <w:br w:type="page"/>
      </w:r>
    </w:p>
    <w:p w14:paraId="00C1FA6C" w14:textId="77777777" w:rsidR="006E243E" w:rsidRDefault="006E243E">
      <w:pPr>
        <w:pStyle w:val="Heading2"/>
        <w:rPr>
          <w:rFonts w:eastAsia="Times New Roman"/>
        </w:rPr>
      </w:pPr>
      <w:r>
        <w:rPr>
          <w:rFonts w:eastAsia="Times New Roman"/>
        </w:rPr>
        <w:lastRenderedPageBreak/>
        <w:t>Impact of Enhanced Surveillance Programs on Data Completeness</w:t>
      </w:r>
    </w:p>
    <w:p w14:paraId="2CB0B5E9" w14:textId="77777777" w:rsidR="006E243E" w:rsidRDefault="006E243E">
      <w:pPr>
        <w:pStyle w:val="NormalWeb"/>
      </w:pPr>
      <w:r>
        <w:t>After the introduction of an ESP for gonococcal infection on 1 January 2017, Indigenous status was more likely to be complete vs. in 2016 (74.4% vs. 57.7%; RR 1.29 (95%CI 1.26 – 1.32)</w:t>
      </w:r>
      <w:r w:rsidR="00957A93">
        <w:t>,</w:t>
      </w:r>
      <w:r>
        <w:t xml:space="preserve"> </w:t>
      </w:r>
      <w:r w:rsidRPr="00684CC6">
        <w:rPr>
          <w:rStyle w:val="Emphasis"/>
          <w:b w:val="0"/>
        </w:rPr>
        <w:t>p</w:t>
      </w:r>
      <w:r>
        <w:t xml:space="preserve"> &lt;0.001) (Table 5). For all unspecified hepatitis B and C notified cases, Indigenous status was more likely to be completed after the introduction of the ESP on 1 July 2016 compared with the preceding 6 months (61.6% vs. 32.3%; RR 1.91 (95%CI 1.79 – 2.03), </w:t>
      </w:r>
      <w:r w:rsidRPr="00684CC6">
        <w:rPr>
          <w:rStyle w:val="Emphasis"/>
          <w:b w:val="0"/>
        </w:rPr>
        <w:t>p&lt;0</w:t>
      </w:r>
      <w:r>
        <w:t xml:space="preserve"> .001).</w:t>
      </w:r>
    </w:p>
    <w:p w14:paraId="123F79B9" w14:textId="77777777" w:rsidR="006E243E" w:rsidRDefault="006E243E" w:rsidP="00645857">
      <w:pPr>
        <w:pStyle w:val="CDIFigures"/>
      </w:pPr>
      <w:r>
        <w:t xml:space="preserve">Table 5. Completeness of Indigenous status and country of birth reporting for cases notified before and after enhanced surveillance programs commenced for hepatitis B and C and gonococcal infection in </w:t>
      </w:r>
      <w:proofErr w:type="spellStart"/>
      <w:r>
        <w:t>Victoria</w:t>
      </w:r>
      <w:r w:rsidRPr="00867FD5">
        <w:t>.</w:t>
      </w:r>
      <w:r w:rsidRPr="00B944FD">
        <w:rPr>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per cent completeness of Indigenous status and country of birth reporting for case notifications before and after enhanced surveillance programs commenced for hepatitis B and C and gonococcal infection in Victoria. In addition, the relative risk, 95% CI and P-value are reported for each condition.&#10;"/>
      </w:tblPr>
      <w:tblGrid>
        <w:gridCol w:w="1616"/>
        <w:gridCol w:w="1908"/>
        <w:gridCol w:w="1332"/>
        <w:gridCol w:w="1150"/>
        <w:gridCol w:w="436"/>
        <w:gridCol w:w="929"/>
        <w:gridCol w:w="3017"/>
      </w:tblGrid>
      <w:tr w:rsidR="006E243E" w:rsidRPr="00F335CE" w14:paraId="4798DBE6" w14:textId="77777777" w:rsidTr="00375CB7">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282D7787" w14:textId="77777777" w:rsidR="006E243E" w:rsidRPr="00F335CE" w:rsidRDefault="006E243E">
            <w:pPr>
              <w:pStyle w:val="NormalWeb"/>
              <w:rPr>
                <w:color w:val="FFFFFF" w:themeColor="background1"/>
                <w:sz w:val="18"/>
                <w:szCs w:val="18"/>
              </w:rPr>
            </w:pPr>
            <w:r w:rsidRPr="00F335CE">
              <w:rPr>
                <w:color w:val="FFFFFF" w:themeColor="background1"/>
                <w:sz w:val="18"/>
                <w:szCs w:val="18"/>
              </w:rPr>
              <w:t>Reporting Complete</w:t>
            </w:r>
          </w:p>
        </w:tc>
        <w:tc>
          <w:tcPr>
            <w:tcW w:w="0" w:type="auto"/>
            <w:hideMark/>
          </w:tcPr>
          <w:p w14:paraId="734F328B" w14:textId="77777777" w:rsidR="006E243E" w:rsidRPr="00F335CE" w:rsidRDefault="006E243E" w:rsidP="00F335CE">
            <w:pPr>
              <w:pStyle w:val="NormalWeb"/>
              <w:jc w:val="center"/>
              <w:rPr>
                <w:color w:val="FFFFFF" w:themeColor="background1"/>
                <w:sz w:val="18"/>
                <w:szCs w:val="18"/>
              </w:rPr>
            </w:pPr>
            <w:r w:rsidRPr="00F335CE">
              <w:rPr>
                <w:color w:val="FFFFFF" w:themeColor="background1"/>
                <w:sz w:val="18"/>
                <w:szCs w:val="18"/>
              </w:rPr>
              <w:t>Condition</w:t>
            </w:r>
          </w:p>
        </w:tc>
        <w:tc>
          <w:tcPr>
            <w:tcW w:w="0" w:type="auto"/>
            <w:hideMark/>
          </w:tcPr>
          <w:p w14:paraId="40530568" w14:textId="77777777" w:rsidR="006E243E" w:rsidRPr="00F335CE" w:rsidRDefault="006E243E" w:rsidP="00F335CE">
            <w:pPr>
              <w:pStyle w:val="NormalWeb"/>
              <w:jc w:val="center"/>
              <w:rPr>
                <w:color w:val="FFFFFF" w:themeColor="background1"/>
                <w:sz w:val="18"/>
                <w:szCs w:val="18"/>
              </w:rPr>
            </w:pPr>
            <w:r w:rsidRPr="00F335CE">
              <w:rPr>
                <w:color w:val="FFFFFF" w:themeColor="background1"/>
                <w:sz w:val="18"/>
                <w:szCs w:val="18"/>
              </w:rPr>
              <w:t xml:space="preserve">Prior to </w:t>
            </w:r>
            <w:proofErr w:type="spellStart"/>
            <w:r w:rsidRPr="00F335CE">
              <w:rPr>
                <w:color w:val="FFFFFF" w:themeColor="background1"/>
                <w:sz w:val="18"/>
                <w:szCs w:val="18"/>
              </w:rPr>
              <w:t>ESP</w:t>
            </w:r>
            <w:r w:rsidRPr="00567982">
              <w:rPr>
                <w:color w:val="FFFFFF" w:themeColor="background1"/>
                <w:sz w:val="18"/>
                <w:szCs w:val="18"/>
                <w:vertAlign w:val="superscript"/>
              </w:rPr>
              <w:t>a</w:t>
            </w:r>
            <w:proofErr w:type="spellEnd"/>
            <w:r w:rsidRPr="00F335CE">
              <w:rPr>
                <w:color w:val="FFFFFF" w:themeColor="background1"/>
                <w:sz w:val="18"/>
                <w:szCs w:val="18"/>
              </w:rPr>
              <w:t xml:space="preserve"> (%)</w:t>
            </w:r>
          </w:p>
        </w:tc>
        <w:tc>
          <w:tcPr>
            <w:tcW w:w="0" w:type="auto"/>
            <w:hideMark/>
          </w:tcPr>
          <w:p w14:paraId="4C032F3D" w14:textId="77777777" w:rsidR="006E243E" w:rsidRPr="00F335CE" w:rsidRDefault="006E243E" w:rsidP="00F335CE">
            <w:pPr>
              <w:pStyle w:val="NormalWeb"/>
              <w:jc w:val="center"/>
              <w:rPr>
                <w:color w:val="FFFFFF" w:themeColor="background1"/>
                <w:sz w:val="18"/>
                <w:szCs w:val="18"/>
              </w:rPr>
            </w:pPr>
            <w:r w:rsidRPr="00F335CE">
              <w:rPr>
                <w:color w:val="FFFFFF" w:themeColor="background1"/>
                <w:sz w:val="18"/>
                <w:szCs w:val="18"/>
              </w:rPr>
              <w:t xml:space="preserve">After </w:t>
            </w:r>
            <w:proofErr w:type="spellStart"/>
            <w:r w:rsidRPr="00F335CE">
              <w:rPr>
                <w:color w:val="FFFFFF" w:themeColor="background1"/>
                <w:sz w:val="18"/>
                <w:szCs w:val="18"/>
              </w:rPr>
              <w:t>ESP</w:t>
            </w:r>
            <w:r w:rsidRPr="00567982">
              <w:rPr>
                <w:color w:val="FFFFFF" w:themeColor="background1"/>
                <w:sz w:val="18"/>
                <w:szCs w:val="18"/>
                <w:vertAlign w:val="superscript"/>
              </w:rPr>
              <w:t>a</w:t>
            </w:r>
            <w:proofErr w:type="spellEnd"/>
            <w:r w:rsidRPr="00F335CE">
              <w:rPr>
                <w:color w:val="FFFFFF" w:themeColor="background1"/>
                <w:sz w:val="18"/>
                <w:szCs w:val="18"/>
              </w:rPr>
              <w:t xml:space="preserve"> (%)</w:t>
            </w:r>
          </w:p>
        </w:tc>
        <w:tc>
          <w:tcPr>
            <w:tcW w:w="0" w:type="auto"/>
            <w:hideMark/>
          </w:tcPr>
          <w:p w14:paraId="31380370" w14:textId="77777777" w:rsidR="006E243E" w:rsidRPr="00F335CE" w:rsidRDefault="006E243E" w:rsidP="00F335CE">
            <w:pPr>
              <w:pStyle w:val="NormalWeb"/>
              <w:jc w:val="center"/>
              <w:rPr>
                <w:color w:val="FFFFFF" w:themeColor="background1"/>
                <w:sz w:val="18"/>
                <w:szCs w:val="18"/>
              </w:rPr>
            </w:pPr>
            <w:r w:rsidRPr="00F335CE">
              <w:rPr>
                <w:color w:val="FFFFFF" w:themeColor="background1"/>
                <w:sz w:val="18"/>
                <w:szCs w:val="18"/>
              </w:rPr>
              <w:t>RR</w:t>
            </w:r>
          </w:p>
        </w:tc>
        <w:tc>
          <w:tcPr>
            <w:tcW w:w="0" w:type="auto"/>
            <w:hideMark/>
          </w:tcPr>
          <w:p w14:paraId="4CE8B614" w14:textId="77777777" w:rsidR="006E243E" w:rsidRPr="00F335CE" w:rsidRDefault="006E243E" w:rsidP="00F335CE">
            <w:pPr>
              <w:pStyle w:val="NormalWeb"/>
              <w:jc w:val="center"/>
              <w:rPr>
                <w:color w:val="FFFFFF" w:themeColor="background1"/>
                <w:sz w:val="18"/>
                <w:szCs w:val="18"/>
              </w:rPr>
            </w:pPr>
            <w:r w:rsidRPr="00F335CE">
              <w:rPr>
                <w:color w:val="FFFFFF" w:themeColor="background1"/>
                <w:sz w:val="18"/>
                <w:szCs w:val="18"/>
              </w:rPr>
              <w:t>(95% CI)</w:t>
            </w:r>
          </w:p>
        </w:tc>
        <w:tc>
          <w:tcPr>
            <w:tcW w:w="3017" w:type="dxa"/>
            <w:hideMark/>
          </w:tcPr>
          <w:p w14:paraId="169E07AB" w14:textId="77777777" w:rsidR="006E243E" w:rsidRPr="00F335CE" w:rsidRDefault="006E243E" w:rsidP="00F335CE">
            <w:pPr>
              <w:pStyle w:val="NormalWeb"/>
              <w:jc w:val="center"/>
              <w:rPr>
                <w:color w:val="FFFFFF" w:themeColor="background1"/>
                <w:sz w:val="18"/>
                <w:szCs w:val="18"/>
              </w:rPr>
            </w:pPr>
            <w:r w:rsidRPr="00567982">
              <w:rPr>
                <w:i/>
                <w:color w:val="FFFFFF" w:themeColor="background1"/>
                <w:sz w:val="18"/>
                <w:szCs w:val="18"/>
              </w:rPr>
              <w:t>p</w:t>
            </w:r>
            <w:r w:rsidRPr="00F335CE">
              <w:rPr>
                <w:color w:val="FFFFFF" w:themeColor="background1"/>
                <w:sz w:val="18"/>
                <w:szCs w:val="18"/>
              </w:rPr>
              <w:t>-value</w:t>
            </w:r>
          </w:p>
        </w:tc>
      </w:tr>
      <w:tr w:rsidR="006E243E" w:rsidRPr="00F335CE" w14:paraId="6E2089EC" w14:textId="77777777" w:rsidTr="00375CB7">
        <w:tc>
          <w:tcPr>
            <w:tcW w:w="0" w:type="auto"/>
            <w:vMerge w:val="restart"/>
            <w:shd w:val="clear" w:color="auto" w:fill="A6A6A6" w:themeFill="background1" w:themeFillShade="A6"/>
            <w:hideMark/>
          </w:tcPr>
          <w:p w14:paraId="4E38E9E9" w14:textId="77777777" w:rsidR="006E243E" w:rsidRPr="00375CB7" w:rsidRDefault="006E243E">
            <w:pPr>
              <w:pStyle w:val="NormalWeb"/>
              <w:rPr>
                <w:b/>
                <w:color w:val="FFFFFF" w:themeColor="background1"/>
                <w:sz w:val="18"/>
                <w:szCs w:val="18"/>
              </w:rPr>
            </w:pPr>
            <w:r w:rsidRPr="00375CB7">
              <w:rPr>
                <w:b/>
                <w:color w:val="FFFFFF" w:themeColor="background1"/>
                <w:sz w:val="18"/>
                <w:szCs w:val="18"/>
              </w:rPr>
              <w:t>Indigenous Status</w:t>
            </w:r>
          </w:p>
        </w:tc>
        <w:tc>
          <w:tcPr>
            <w:tcW w:w="0" w:type="auto"/>
            <w:shd w:val="clear" w:color="auto" w:fill="FFFFFF" w:themeFill="background1"/>
            <w:hideMark/>
          </w:tcPr>
          <w:p w14:paraId="787263F0" w14:textId="77777777" w:rsidR="006E243E" w:rsidRPr="00F335CE" w:rsidRDefault="006E243E" w:rsidP="00F335CE">
            <w:pPr>
              <w:pStyle w:val="NormalWeb"/>
              <w:jc w:val="center"/>
              <w:rPr>
                <w:sz w:val="18"/>
                <w:szCs w:val="18"/>
              </w:rPr>
            </w:pPr>
            <w:r w:rsidRPr="00F335CE">
              <w:rPr>
                <w:sz w:val="18"/>
                <w:szCs w:val="18"/>
              </w:rPr>
              <w:t>Gonococcal Infection</w:t>
            </w:r>
          </w:p>
        </w:tc>
        <w:tc>
          <w:tcPr>
            <w:tcW w:w="0" w:type="auto"/>
            <w:shd w:val="clear" w:color="auto" w:fill="FFFFFF" w:themeFill="background1"/>
            <w:hideMark/>
          </w:tcPr>
          <w:p w14:paraId="5770D54A" w14:textId="77777777" w:rsidR="006E243E" w:rsidRPr="00F335CE" w:rsidRDefault="006E243E" w:rsidP="00F335CE">
            <w:pPr>
              <w:pStyle w:val="NormalWeb"/>
              <w:jc w:val="center"/>
              <w:rPr>
                <w:sz w:val="18"/>
                <w:szCs w:val="18"/>
              </w:rPr>
            </w:pPr>
            <w:r w:rsidRPr="00F335CE">
              <w:rPr>
                <w:sz w:val="18"/>
                <w:szCs w:val="18"/>
              </w:rPr>
              <w:t>57.7</w:t>
            </w:r>
          </w:p>
        </w:tc>
        <w:tc>
          <w:tcPr>
            <w:tcW w:w="0" w:type="auto"/>
            <w:shd w:val="clear" w:color="auto" w:fill="FFFFFF" w:themeFill="background1"/>
            <w:hideMark/>
          </w:tcPr>
          <w:p w14:paraId="1EB34F54" w14:textId="77777777" w:rsidR="006E243E" w:rsidRPr="00F335CE" w:rsidRDefault="006E243E" w:rsidP="00F335CE">
            <w:pPr>
              <w:pStyle w:val="NormalWeb"/>
              <w:jc w:val="center"/>
              <w:rPr>
                <w:sz w:val="18"/>
                <w:szCs w:val="18"/>
              </w:rPr>
            </w:pPr>
            <w:r w:rsidRPr="00F335CE">
              <w:rPr>
                <w:sz w:val="18"/>
                <w:szCs w:val="18"/>
              </w:rPr>
              <w:t>74.4</w:t>
            </w:r>
          </w:p>
        </w:tc>
        <w:tc>
          <w:tcPr>
            <w:tcW w:w="0" w:type="auto"/>
            <w:shd w:val="clear" w:color="auto" w:fill="FFFFFF" w:themeFill="background1"/>
            <w:hideMark/>
          </w:tcPr>
          <w:p w14:paraId="5FF6FC04" w14:textId="77777777" w:rsidR="006E243E" w:rsidRPr="00F335CE" w:rsidRDefault="006E243E" w:rsidP="00F335CE">
            <w:pPr>
              <w:pStyle w:val="NormalWeb"/>
              <w:jc w:val="center"/>
              <w:rPr>
                <w:sz w:val="18"/>
                <w:szCs w:val="18"/>
              </w:rPr>
            </w:pPr>
            <w:r w:rsidRPr="00F335CE">
              <w:rPr>
                <w:sz w:val="18"/>
                <w:szCs w:val="18"/>
              </w:rPr>
              <w:t>1.29</w:t>
            </w:r>
          </w:p>
        </w:tc>
        <w:tc>
          <w:tcPr>
            <w:tcW w:w="0" w:type="auto"/>
            <w:shd w:val="clear" w:color="auto" w:fill="FFFFFF" w:themeFill="background1"/>
            <w:hideMark/>
          </w:tcPr>
          <w:p w14:paraId="212F0FA1" w14:textId="77777777" w:rsidR="006E243E" w:rsidRPr="00F335CE" w:rsidRDefault="006E243E" w:rsidP="00F335CE">
            <w:pPr>
              <w:pStyle w:val="NormalWeb"/>
              <w:jc w:val="center"/>
              <w:rPr>
                <w:sz w:val="18"/>
                <w:szCs w:val="18"/>
              </w:rPr>
            </w:pPr>
            <w:r w:rsidRPr="00F335CE">
              <w:rPr>
                <w:sz w:val="18"/>
                <w:szCs w:val="18"/>
              </w:rPr>
              <w:t>1.26 – 1.32</w:t>
            </w:r>
          </w:p>
        </w:tc>
        <w:tc>
          <w:tcPr>
            <w:tcW w:w="3017" w:type="dxa"/>
            <w:shd w:val="clear" w:color="auto" w:fill="FFFFFF" w:themeFill="background1"/>
            <w:hideMark/>
          </w:tcPr>
          <w:p w14:paraId="257755BA" w14:textId="77777777" w:rsidR="006E243E" w:rsidRPr="00F335CE" w:rsidRDefault="006E243E" w:rsidP="00F335CE">
            <w:pPr>
              <w:pStyle w:val="NormalWeb"/>
              <w:jc w:val="center"/>
              <w:rPr>
                <w:sz w:val="18"/>
                <w:szCs w:val="18"/>
              </w:rPr>
            </w:pPr>
            <w:r w:rsidRPr="00F335CE">
              <w:rPr>
                <w:sz w:val="18"/>
                <w:szCs w:val="18"/>
              </w:rPr>
              <w:t>&lt;0.001</w:t>
            </w:r>
          </w:p>
        </w:tc>
      </w:tr>
      <w:tr w:rsidR="006E243E" w:rsidRPr="00F335CE" w14:paraId="670FC027" w14:textId="77777777" w:rsidTr="00375CB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6A6A6" w:themeFill="background1" w:themeFillShade="A6"/>
            <w:hideMark/>
          </w:tcPr>
          <w:p w14:paraId="71581C44" w14:textId="77777777" w:rsidR="006E243E" w:rsidRPr="00375CB7" w:rsidRDefault="006E243E">
            <w:pPr>
              <w:rPr>
                <w:b/>
                <w:color w:val="FFFFFF" w:themeColor="background1"/>
                <w:sz w:val="18"/>
                <w:szCs w:val="18"/>
              </w:rPr>
            </w:pPr>
          </w:p>
        </w:tc>
        <w:tc>
          <w:tcPr>
            <w:tcW w:w="0" w:type="auto"/>
            <w:shd w:val="clear" w:color="auto" w:fill="FFFFFF" w:themeFill="background1"/>
            <w:hideMark/>
          </w:tcPr>
          <w:p w14:paraId="5C414E85" w14:textId="77777777" w:rsidR="006E243E" w:rsidRPr="00F335CE" w:rsidRDefault="006E243E" w:rsidP="00F335CE">
            <w:pPr>
              <w:pStyle w:val="NormalWeb"/>
              <w:jc w:val="center"/>
              <w:rPr>
                <w:sz w:val="18"/>
                <w:szCs w:val="18"/>
              </w:rPr>
            </w:pPr>
            <w:r w:rsidRPr="00F335CE">
              <w:rPr>
                <w:sz w:val="18"/>
                <w:szCs w:val="18"/>
              </w:rPr>
              <w:t>Hepatitis B - Unspecified</w:t>
            </w:r>
          </w:p>
        </w:tc>
        <w:tc>
          <w:tcPr>
            <w:tcW w:w="0" w:type="auto"/>
            <w:shd w:val="clear" w:color="auto" w:fill="FFFFFF" w:themeFill="background1"/>
            <w:hideMark/>
          </w:tcPr>
          <w:p w14:paraId="506E1ADC" w14:textId="77777777" w:rsidR="006E243E" w:rsidRPr="00F335CE" w:rsidRDefault="006E243E" w:rsidP="00F335CE">
            <w:pPr>
              <w:pStyle w:val="NormalWeb"/>
              <w:jc w:val="center"/>
              <w:rPr>
                <w:sz w:val="18"/>
                <w:szCs w:val="18"/>
              </w:rPr>
            </w:pPr>
            <w:r w:rsidRPr="00F335CE">
              <w:rPr>
                <w:sz w:val="18"/>
                <w:szCs w:val="18"/>
              </w:rPr>
              <w:t>42.3</w:t>
            </w:r>
          </w:p>
        </w:tc>
        <w:tc>
          <w:tcPr>
            <w:tcW w:w="0" w:type="auto"/>
            <w:shd w:val="clear" w:color="auto" w:fill="FFFFFF" w:themeFill="background1"/>
            <w:hideMark/>
          </w:tcPr>
          <w:p w14:paraId="2B093BE5" w14:textId="77777777" w:rsidR="006E243E" w:rsidRPr="00F335CE" w:rsidRDefault="006E243E" w:rsidP="00F335CE">
            <w:pPr>
              <w:pStyle w:val="NormalWeb"/>
              <w:jc w:val="center"/>
              <w:rPr>
                <w:sz w:val="18"/>
                <w:szCs w:val="18"/>
              </w:rPr>
            </w:pPr>
            <w:r w:rsidRPr="00F335CE">
              <w:rPr>
                <w:sz w:val="18"/>
                <w:szCs w:val="18"/>
              </w:rPr>
              <w:t>67.1</w:t>
            </w:r>
          </w:p>
        </w:tc>
        <w:tc>
          <w:tcPr>
            <w:tcW w:w="0" w:type="auto"/>
            <w:shd w:val="clear" w:color="auto" w:fill="FFFFFF" w:themeFill="background1"/>
            <w:hideMark/>
          </w:tcPr>
          <w:p w14:paraId="1C4B8F18" w14:textId="77777777" w:rsidR="006E243E" w:rsidRPr="00F335CE" w:rsidRDefault="006E243E" w:rsidP="00F335CE">
            <w:pPr>
              <w:pStyle w:val="NormalWeb"/>
              <w:jc w:val="center"/>
              <w:rPr>
                <w:sz w:val="18"/>
                <w:szCs w:val="18"/>
              </w:rPr>
            </w:pPr>
            <w:r w:rsidRPr="00F335CE">
              <w:rPr>
                <w:sz w:val="18"/>
                <w:szCs w:val="18"/>
              </w:rPr>
              <w:t>1.59</w:t>
            </w:r>
          </w:p>
        </w:tc>
        <w:tc>
          <w:tcPr>
            <w:tcW w:w="0" w:type="auto"/>
            <w:shd w:val="clear" w:color="auto" w:fill="FFFFFF" w:themeFill="background1"/>
            <w:hideMark/>
          </w:tcPr>
          <w:p w14:paraId="19BD4976" w14:textId="77777777" w:rsidR="006E243E" w:rsidRPr="00F335CE" w:rsidRDefault="006E243E" w:rsidP="00F335CE">
            <w:pPr>
              <w:pStyle w:val="NormalWeb"/>
              <w:jc w:val="center"/>
              <w:rPr>
                <w:sz w:val="18"/>
                <w:szCs w:val="18"/>
              </w:rPr>
            </w:pPr>
            <w:r w:rsidRPr="00F335CE">
              <w:rPr>
                <w:sz w:val="18"/>
                <w:szCs w:val="18"/>
              </w:rPr>
              <w:t>1.47 – 1.72</w:t>
            </w:r>
          </w:p>
        </w:tc>
        <w:tc>
          <w:tcPr>
            <w:tcW w:w="3017" w:type="dxa"/>
            <w:shd w:val="clear" w:color="auto" w:fill="FFFFFF" w:themeFill="background1"/>
            <w:hideMark/>
          </w:tcPr>
          <w:p w14:paraId="0DB8011F" w14:textId="77777777" w:rsidR="006E243E" w:rsidRPr="00F335CE" w:rsidRDefault="006E243E" w:rsidP="00F335CE">
            <w:pPr>
              <w:pStyle w:val="NormalWeb"/>
              <w:jc w:val="center"/>
              <w:rPr>
                <w:sz w:val="18"/>
                <w:szCs w:val="18"/>
              </w:rPr>
            </w:pPr>
            <w:r w:rsidRPr="00F335CE">
              <w:rPr>
                <w:sz w:val="18"/>
                <w:szCs w:val="18"/>
              </w:rPr>
              <w:t>&lt;0.001</w:t>
            </w:r>
          </w:p>
        </w:tc>
      </w:tr>
      <w:tr w:rsidR="006E243E" w:rsidRPr="00F335CE" w14:paraId="3AAFB814" w14:textId="77777777" w:rsidTr="00375CB7">
        <w:tc>
          <w:tcPr>
            <w:tcW w:w="0" w:type="auto"/>
            <w:vMerge/>
            <w:shd w:val="clear" w:color="auto" w:fill="A6A6A6" w:themeFill="background1" w:themeFillShade="A6"/>
            <w:hideMark/>
          </w:tcPr>
          <w:p w14:paraId="624B735B" w14:textId="77777777" w:rsidR="006E243E" w:rsidRPr="00375CB7" w:rsidRDefault="006E243E">
            <w:pPr>
              <w:rPr>
                <w:b/>
                <w:color w:val="FFFFFF" w:themeColor="background1"/>
                <w:sz w:val="18"/>
                <w:szCs w:val="18"/>
              </w:rPr>
            </w:pPr>
          </w:p>
        </w:tc>
        <w:tc>
          <w:tcPr>
            <w:tcW w:w="0" w:type="auto"/>
            <w:shd w:val="clear" w:color="auto" w:fill="FFFFFF" w:themeFill="background1"/>
            <w:hideMark/>
          </w:tcPr>
          <w:p w14:paraId="03954613" w14:textId="77777777" w:rsidR="006E243E" w:rsidRPr="00F335CE" w:rsidRDefault="006E243E" w:rsidP="00F335CE">
            <w:pPr>
              <w:pStyle w:val="NormalWeb"/>
              <w:jc w:val="center"/>
              <w:rPr>
                <w:sz w:val="18"/>
                <w:szCs w:val="18"/>
              </w:rPr>
            </w:pPr>
            <w:r w:rsidRPr="00F335CE">
              <w:rPr>
                <w:sz w:val="18"/>
                <w:szCs w:val="18"/>
              </w:rPr>
              <w:t>Hepatitis C - Unspecified</w:t>
            </w:r>
          </w:p>
        </w:tc>
        <w:tc>
          <w:tcPr>
            <w:tcW w:w="0" w:type="auto"/>
            <w:shd w:val="clear" w:color="auto" w:fill="FFFFFF" w:themeFill="background1"/>
            <w:hideMark/>
          </w:tcPr>
          <w:p w14:paraId="10ADFC7B" w14:textId="77777777" w:rsidR="006E243E" w:rsidRPr="00F335CE" w:rsidRDefault="006E243E" w:rsidP="00F335CE">
            <w:pPr>
              <w:pStyle w:val="NormalWeb"/>
              <w:jc w:val="center"/>
              <w:rPr>
                <w:sz w:val="18"/>
                <w:szCs w:val="18"/>
              </w:rPr>
            </w:pPr>
            <w:r w:rsidRPr="00F335CE">
              <w:rPr>
                <w:sz w:val="18"/>
                <w:szCs w:val="18"/>
              </w:rPr>
              <w:t>24.3</w:t>
            </w:r>
          </w:p>
        </w:tc>
        <w:tc>
          <w:tcPr>
            <w:tcW w:w="0" w:type="auto"/>
            <w:shd w:val="clear" w:color="auto" w:fill="FFFFFF" w:themeFill="background1"/>
            <w:hideMark/>
          </w:tcPr>
          <w:p w14:paraId="7DBBA949" w14:textId="77777777" w:rsidR="006E243E" w:rsidRPr="00F335CE" w:rsidRDefault="006E243E" w:rsidP="00F335CE">
            <w:pPr>
              <w:pStyle w:val="NormalWeb"/>
              <w:jc w:val="center"/>
              <w:rPr>
                <w:sz w:val="18"/>
                <w:szCs w:val="18"/>
              </w:rPr>
            </w:pPr>
            <w:r w:rsidRPr="00F335CE">
              <w:rPr>
                <w:sz w:val="18"/>
                <w:szCs w:val="18"/>
              </w:rPr>
              <w:t>56.9</w:t>
            </w:r>
          </w:p>
        </w:tc>
        <w:tc>
          <w:tcPr>
            <w:tcW w:w="0" w:type="auto"/>
            <w:shd w:val="clear" w:color="auto" w:fill="FFFFFF" w:themeFill="background1"/>
            <w:hideMark/>
          </w:tcPr>
          <w:p w14:paraId="235A54FA" w14:textId="77777777" w:rsidR="006E243E" w:rsidRPr="00F335CE" w:rsidRDefault="006E243E" w:rsidP="00F335CE">
            <w:pPr>
              <w:pStyle w:val="NormalWeb"/>
              <w:jc w:val="center"/>
              <w:rPr>
                <w:sz w:val="18"/>
                <w:szCs w:val="18"/>
              </w:rPr>
            </w:pPr>
            <w:r w:rsidRPr="00F335CE">
              <w:rPr>
                <w:sz w:val="18"/>
                <w:szCs w:val="18"/>
              </w:rPr>
              <w:t>2.34</w:t>
            </w:r>
          </w:p>
        </w:tc>
        <w:tc>
          <w:tcPr>
            <w:tcW w:w="0" w:type="auto"/>
            <w:shd w:val="clear" w:color="auto" w:fill="FFFFFF" w:themeFill="background1"/>
            <w:hideMark/>
          </w:tcPr>
          <w:p w14:paraId="5B7AAD3F" w14:textId="77777777" w:rsidR="006E243E" w:rsidRPr="00F335CE" w:rsidRDefault="006E243E" w:rsidP="00F335CE">
            <w:pPr>
              <w:pStyle w:val="NormalWeb"/>
              <w:jc w:val="center"/>
              <w:rPr>
                <w:sz w:val="18"/>
                <w:szCs w:val="18"/>
              </w:rPr>
            </w:pPr>
            <w:r w:rsidRPr="00F335CE">
              <w:rPr>
                <w:sz w:val="18"/>
                <w:szCs w:val="18"/>
              </w:rPr>
              <w:t>2.11 – 2.59</w:t>
            </w:r>
          </w:p>
        </w:tc>
        <w:tc>
          <w:tcPr>
            <w:tcW w:w="3017" w:type="dxa"/>
            <w:shd w:val="clear" w:color="auto" w:fill="FFFFFF" w:themeFill="background1"/>
            <w:hideMark/>
          </w:tcPr>
          <w:p w14:paraId="0C552D18" w14:textId="77777777" w:rsidR="006E243E" w:rsidRPr="00F335CE" w:rsidRDefault="006E243E" w:rsidP="00F335CE">
            <w:pPr>
              <w:pStyle w:val="NormalWeb"/>
              <w:jc w:val="center"/>
              <w:rPr>
                <w:sz w:val="18"/>
                <w:szCs w:val="18"/>
              </w:rPr>
            </w:pPr>
            <w:r w:rsidRPr="00F335CE">
              <w:rPr>
                <w:sz w:val="18"/>
                <w:szCs w:val="18"/>
              </w:rPr>
              <w:t>&lt;0.001</w:t>
            </w:r>
          </w:p>
        </w:tc>
      </w:tr>
      <w:tr w:rsidR="00375CB7" w:rsidRPr="00F335CE" w14:paraId="7B38B459" w14:textId="77777777" w:rsidTr="00375CB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6A6A6" w:themeFill="background1" w:themeFillShade="A6"/>
            <w:hideMark/>
          </w:tcPr>
          <w:p w14:paraId="0235A040" w14:textId="77777777" w:rsidR="006E243E" w:rsidRPr="00375CB7" w:rsidRDefault="006E243E">
            <w:pPr>
              <w:rPr>
                <w:b/>
                <w:color w:val="FFFFFF" w:themeColor="background1"/>
                <w:sz w:val="18"/>
                <w:szCs w:val="18"/>
              </w:rPr>
            </w:pPr>
          </w:p>
        </w:tc>
        <w:tc>
          <w:tcPr>
            <w:tcW w:w="0" w:type="auto"/>
            <w:shd w:val="clear" w:color="auto" w:fill="A6A6A6" w:themeFill="background1" w:themeFillShade="A6"/>
            <w:hideMark/>
          </w:tcPr>
          <w:p w14:paraId="5E516794"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All Combined</w:t>
            </w:r>
          </w:p>
        </w:tc>
        <w:tc>
          <w:tcPr>
            <w:tcW w:w="0" w:type="auto"/>
            <w:shd w:val="clear" w:color="auto" w:fill="A6A6A6" w:themeFill="background1" w:themeFillShade="A6"/>
            <w:hideMark/>
          </w:tcPr>
          <w:p w14:paraId="73FF78AC"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51.1</w:t>
            </w:r>
          </w:p>
        </w:tc>
        <w:tc>
          <w:tcPr>
            <w:tcW w:w="0" w:type="auto"/>
            <w:shd w:val="clear" w:color="auto" w:fill="A6A6A6" w:themeFill="background1" w:themeFillShade="A6"/>
            <w:hideMark/>
          </w:tcPr>
          <w:p w14:paraId="2AC56282"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68.8</w:t>
            </w:r>
          </w:p>
        </w:tc>
        <w:tc>
          <w:tcPr>
            <w:tcW w:w="0" w:type="auto"/>
            <w:shd w:val="clear" w:color="auto" w:fill="A6A6A6" w:themeFill="background1" w:themeFillShade="A6"/>
            <w:hideMark/>
          </w:tcPr>
          <w:p w14:paraId="7160F129"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1.35</w:t>
            </w:r>
          </w:p>
        </w:tc>
        <w:tc>
          <w:tcPr>
            <w:tcW w:w="0" w:type="auto"/>
            <w:shd w:val="clear" w:color="auto" w:fill="A6A6A6" w:themeFill="background1" w:themeFillShade="A6"/>
            <w:hideMark/>
          </w:tcPr>
          <w:p w14:paraId="2F10AD3A"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1.31 – 1.38</w:t>
            </w:r>
          </w:p>
        </w:tc>
        <w:tc>
          <w:tcPr>
            <w:tcW w:w="3017" w:type="dxa"/>
            <w:shd w:val="clear" w:color="auto" w:fill="A6A6A6" w:themeFill="background1" w:themeFillShade="A6"/>
            <w:hideMark/>
          </w:tcPr>
          <w:p w14:paraId="2DD26350"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&lt;0.001</w:t>
            </w:r>
          </w:p>
        </w:tc>
      </w:tr>
      <w:tr w:rsidR="006E243E" w:rsidRPr="00F335CE" w14:paraId="7024D1CB" w14:textId="77777777" w:rsidTr="00375CB7">
        <w:tc>
          <w:tcPr>
            <w:tcW w:w="0" w:type="auto"/>
            <w:vMerge w:val="restart"/>
            <w:shd w:val="clear" w:color="auto" w:fill="A6A6A6" w:themeFill="background1" w:themeFillShade="A6"/>
            <w:hideMark/>
          </w:tcPr>
          <w:p w14:paraId="496BB4B1" w14:textId="77777777" w:rsidR="006E243E" w:rsidRPr="00375CB7" w:rsidRDefault="006E243E">
            <w:pPr>
              <w:pStyle w:val="NormalWeb"/>
              <w:rPr>
                <w:b/>
                <w:color w:val="FFFFFF" w:themeColor="background1"/>
                <w:sz w:val="18"/>
                <w:szCs w:val="18"/>
              </w:rPr>
            </w:pPr>
            <w:r w:rsidRPr="00375CB7">
              <w:rPr>
                <w:b/>
                <w:color w:val="FFFFFF" w:themeColor="background1"/>
                <w:sz w:val="18"/>
                <w:szCs w:val="18"/>
              </w:rPr>
              <w:t>Country of Birth</w:t>
            </w:r>
          </w:p>
        </w:tc>
        <w:tc>
          <w:tcPr>
            <w:tcW w:w="0" w:type="auto"/>
            <w:shd w:val="clear" w:color="auto" w:fill="FFFFFF" w:themeFill="background1"/>
            <w:hideMark/>
          </w:tcPr>
          <w:p w14:paraId="43FFB59B" w14:textId="77777777" w:rsidR="006E243E" w:rsidRPr="00F335CE" w:rsidRDefault="006E243E" w:rsidP="00F335CE">
            <w:pPr>
              <w:pStyle w:val="NormalWeb"/>
              <w:jc w:val="center"/>
              <w:rPr>
                <w:sz w:val="18"/>
                <w:szCs w:val="18"/>
              </w:rPr>
            </w:pPr>
            <w:r w:rsidRPr="00F335CE">
              <w:rPr>
                <w:sz w:val="18"/>
                <w:szCs w:val="18"/>
              </w:rPr>
              <w:t>Gonococcal Infection</w:t>
            </w:r>
          </w:p>
        </w:tc>
        <w:tc>
          <w:tcPr>
            <w:tcW w:w="0" w:type="auto"/>
            <w:shd w:val="clear" w:color="auto" w:fill="FFFFFF" w:themeFill="background1"/>
            <w:hideMark/>
          </w:tcPr>
          <w:p w14:paraId="43E6C3D7" w14:textId="77777777" w:rsidR="006E243E" w:rsidRPr="00F335CE" w:rsidRDefault="006E243E" w:rsidP="00F335CE">
            <w:pPr>
              <w:pStyle w:val="NormalWeb"/>
              <w:jc w:val="center"/>
              <w:rPr>
                <w:sz w:val="18"/>
                <w:szCs w:val="18"/>
              </w:rPr>
            </w:pPr>
            <w:r w:rsidRPr="00F335CE">
              <w:rPr>
                <w:sz w:val="18"/>
                <w:szCs w:val="18"/>
              </w:rPr>
              <w:t>56.9</w:t>
            </w:r>
          </w:p>
        </w:tc>
        <w:tc>
          <w:tcPr>
            <w:tcW w:w="0" w:type="auto"/>
            <w:shd w:val="clear" w:color="auto" w:fill="FFFFFF" w:themeFill="background1"/>
            <w:hideMark/>
          </w:tcPr>
          <w:p w14:paraId="06F3E25B" w14:textId="77777777" w:rsidR="006E243E" w:rsidRPr="00F335CE" w:rsidRDefault="006E243E" w:rsidP="00F335CE">
            <w:pPr>
              <w:pStyle w:val="NormalWeb"/>
              <w:jc w:val="center"/>
              <w:rPr>
                <w:sz w:val="18"/>
                <w:szCs w:val="18"/>
              </w:rPr>
            </w:pPr>
            <w:r w:rsidRPr="00F335CE">
              <w:rPr>
                <w:sz w:val="18"/>
                <w:szCs w:val="18"/>
              </w:rPr>
              <w:t>72.2</w:t>
            </w:r>
          </w:p>
        </w:tc>
        <w:tc>
          <w:tcPr>
            <w:tcW w:w="0" w:type="auto"/>
            <w:shd w:val="clear" w:color="auto" w:fill="FFFFFF" w:themeFill="background1"/>
            <w:hideMark/>
          </w:tcPr>
          <w:p w14:paraId="553F68F7" w14:textId="77777777" w:rsidR="006E243E" w:rsidRPr="00F335CE" w:rsidRDefault="006E243E" w:rsidP="00F335CE">
            <w:pPr>
              <w:pStyle w:val="NormalWeb"/>
              <w:jc w:val="center"/>
              <w:rPr>
                <w:sz w:val="18"/>
                <w:szCs w:val="18"/>
              </w:rPr>
            </w:pPr>
            <w:r w:rsidRPr="00F335CE">
              <w:rPr>
                <w:sz w:val="18"/>
                <w:szCs w:val="18"/>
              </w:rPr>
              <w:t>1.27</w:t>
            </w:r>
          </w:p>
        </w:tc>
        <w:tc>
          <w:tcPr>
            <w:tcW w:w="0" w:type="auto"/>
            <w:shd w:val="clear" w:color="auto" w:fill="FFFFFF" w:themeFill="background1"/>
            <w:hideMark/>
          </w:tcPr>
          <w:p w14:paraId="7CAAB680" w14:textId="77777777" w:rsidR="006E243E" w:rsidRPr="00F335CE" w:rsidRDefault="006E243E" w:rsidP="00F335CE">
            <w:pPr>
              <w:pStyle w:val="NormalWeb"/>
              <w:jc w:val="center"/>
              <w:rPr>
                <w:sz w:val="18"/>
                <w:szCs w:val="18"/>
              </w:rPr>
            </w:pPr>
            <w:r w:rsidRPr="00F335CE">
              <w:rPr>
                <w:sz w:val="18"/>
                <w:szCs w:val="18"/>
              </w:rPr>
              <w:t>1.24 – 1.30</w:t>
            </w:r>
          </w:p>
        </w:tc>
        <w:tc>
          <w:tcPr>
            <w:tcW w:w="3017" w:type="dxa"/>
            <w:shd w:val="clear" w:color="auto" w:fill="FFFFFF" w:themeFill="background1"/>
            <w:hideMark/>
          </w:tcPr>
          <w:p w14:paraId="3C28467C" w14:textId="77777777" w:rsidR="006E243E" w:rsidRPr="00F335CE" w:rsidRDefault="006E243E" w:rsidP="00F335CE">
            <w:pPr>
              <w:pStyle w:val="NormalWeb"/>
              <w:jc w:val="center"/>
              <w:rPr>
                <w:sz w:val="18"/>
                <w:szCs w:val="18"/>
              </w:rPr>
            </w:pPr>
            <w:r w:rsidRPr="00F335CE">
              <w:rPr>
                <w:sz w:val="18"/>
                <w:szCs w:val="18"/>
              </w:rPr>
              <w:t>&lt;0.001</w:t>
            </w:r>
          </w:p>
        </w:tc>
      </w:tr>
      <w:tr w:rsidR="006E243E" w:rsidRPr="00F335CE" w14:paraId="37F8DD6B" w14:textId="77777777" w:rsidTr="00375CB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6A6A6" w:themeFill="background1" w:themeFillShade="A6"/>
            <w:hideMark/>
          </w:tcPr>
          <w:p w14:paraId="4F915547" w14:textId="77777777" w:rsidR="006E243E" w:rsidRPr="00F335CE" w:rsidRDefault="006E243E">
            <w:pPr>
              <w:rPr>
                <w:sz w:val="18"/>
                <w:szCs w:val="18"/>
              </w:rPr>
            </w:pPr>
          </w:p>
        </w:tc>
        <w:tc>
          <w:tcPr>
            <w:tcW w:w="0" w:type="auto"/>
            <w:shd w:val="clear" w:color="auto" w:fill="FFFFFF" w:themeFill="background1"/>
            <w:hideMark/>
          </w:tcPr>
          <w:p w14:paraId="15815A70" w14:textId="77777777" w:rsidR="006E243E" w:rsidRPr="00F335CE" w:rsidRDefault="006E243E" w:rsidP="00F335CE">
            <w:pPr>
              <w:pStyle w:val="NormalWeb"/>
              <w:jc w:val="center"/>
              <w:rPr>
                <w:sz w:val="18"/>
                <w:szCs w:val="18"/>
              </w:rPr>
            </w:pPr>
            <w:r w:rsidRPr="00F335CE">
              <w:rPr>
                <w:sz w:val="18"/>
                <w:szCs w:val="18"/>
              </w:rPr>
              <w:t>Hepatitis B - Unspecified</w:t>
            </w:r>
          </w:p>
        </w:tc>
        <w:tc>
          <w:tcPr>
            <w:tcW w:w="0" w:type="auto"/>
            <w:shd w:val="clear" w:color="auto" w:fill="FFFFFF" w:themeFill="background1"/>
            <w:hideMark/>
          </w:tcPr>
          <w:p w14:paraId="1E7745C5" w14:textId="77777777" w:rsidR="006E243E" w:rsidRPr="00F335CE" w:rsidRDefault="006E243E" w:rsidP="00F335CE">
            <w:pPr>
              <w:pStyle w:val="NormalWeb"/>
              <w:jc w:val="center"/>
              <w:rPr>
                <w:sz w:val="18"/>
                <w:szCs w:val="18"/>
              </w:rPr>
            </w:pPr>
            <w:r w:rsidRPr="00F335CE">
              <w:rPr>
                <w:sz w:val="18"/>
                <w:szCs w:val="18"/>
              </w:rPr>
              <w:t>25.4</w:t>
            </w:r>
          </w:p>
        </w:tc>
        <w:tc>
          <w:tcPr>
            <w:tcW w:w="0" w:type="auto"/>
            <w:shd w:val="clear" w:color="auto" w:fill="FFFFFF" w:themeFill="background1"/>
            <w:hideMark/>
          </w:tcPr>
          <w:p w14:paraId="60BC4A31" w14:textId="77777777" w:rsidR="006E243E" w:rsidRPr="00F335CE" w:rsidRDefault="006E243E" w:rsidP="00F335CE">
            <w:pPr>
              <w:pStyle w:val="NormalWeb"/>
              <w:jc w:val="center"/>
              <w:rPr>
                <w:sz w:val="18"/>
                <w:szCs w:val="18"/>
              </w:rPr>
            </w:pPr>
            <w:r w:rsidRPr="00F335CE">
              <w:rPr>
                <w:sz w:val="18"/>
                <w:szCs w:val="18"/>
              </w:rPr>
              <w:t>61.3</w:t>
            </w:r>
          </w:p>
        </w:tc>
        <w:tc>
          <w:tcPr>
            <w:tcW w:w="0" w:type="auto"/>
            <w:shd w:val="clear" w:color="auto" w:fill="FFFFFF" w:themeFill="background1"/>
            <w:hideMark/>
          </w:tcPr>
          <w:p w14:paraId="32771969" w14:textId="77777777" w:rsidR="006E243E" w:rsidRPr="00F335CE" w:rsidRDefault="006E243E" w:rsidP="00F335CE">
            <w:pPr>
              <w:pStyle w:val="NormalWeb"/>
              <w:jc w:val="center"/>
              <w:rPr>
                <w:sz w:val="18"/>
                <w:szCs w:val="18"/>
              </w:rPr>
            </w:pPr>
            <w:r w:rsidRPr="00F335CE">
              <w:rPr>
                <w:sz w:val="18"/>
                <w:szCs w:val="18"/>
              </w:rPr>
              <w:t>2.42</w:t>
            </w:r>
          </w:p>
        </w:tc>
        <w:tc>
          <w:tcPr>
            <w:tcW w:w="0" w:type="auto"/>
            <w:shd w:val="clear" w:color="auto" w:fill="FFFFFF" w:themeFill="background1"/>
            <w:hideMark/>
          </w:tcPr>
          <w:p w14:paraId="1E16A24B" w14:textId="77777777" w:rsidR="006E243E" w:rsidRPr="00F335CE" w:rsidRDefault="006E243E" w:rsidP="00F335CE">
            <w:pPr>
              <w:pStyle w:val="NormalWeb"/>
              <w:jc w:val="center"/>
              <w:rPr>
                <w:sz w:val="18"/>
                <w:szCs w:val="18"/>
              </w:rPr>
            </w:pPr>
            <w:r w:rsidRPr="00F335CE">
              <w:rPr>
                <w:sz w:val="18"/>
                <w:szCs w:val="18"/>
              </w:rPr>
              <w:t>2.16 – 2.70</w:t>
            </w:r>
          </w:p>
        </w:tc>
        <w:tc>
          <w:tcPr>
            <w:tcW w:w="3017" w:type="dxa"/>
            <w:shd w:val="clear" w:color="auto" w:fill="FFFFFF" w:themeFill="background1"/>
            <w:hideMark/>
          </w:tcPr>
          <w:p w14:paraId="655CE638" w14:textId="77777777" w:rsidR="006E243E" w:rsidRPr="00F335CE" w:rsidRDefault="006E243E" w:rsidP="00F335CE">
            <w:pPr>
              <w:pStyle w:val="NormalWeb"/>
              <w:jc w:val="center"/>
              <w:rPr>
                <w:sz w:val="18"/>
                <w:szCs w:val="18"/>
              </w:rPr>
            </w:pPr>
            <w:r w:rsidRPr="00F335CE">
              <w:rPr>
                <w:sz w:val="18"/>
                <w:szCs w:val="18"/>
              </w:rPr>
              <w:t>&lt;0.001</w:t>
            </w:r>
          </w:p>
        </w:tc>
      </w:tr>
      <w:tr w:rsidR="006E243E" w:rsidRPr="00F335CE" w14:paraId="1E984B7C" w14:textId="77777777" w:rsidTr="00375CB7">
        <w:tc>
          <w:tcPr>
            <w:tcW w:w="0" w:type="auto"/>
            <w:vMerge/>
            <w:shd w:val="clear" w:color="auto" w:fill="A6A6A6" w:themeFill="background1" w:themeFillShade="A6"/>
            <w:hideMark/>
          </w:tcPr>
          <w:p w14:paraId="61531B00" w14:textId="77777777" w:rsidR="006E243E" w:rsidRPr="00F335CE" w:rsidRDefault="006E243E">
            <w:pPr>
              <w:rPr>
                <w:sz w:val="18"/>
                <w:szCs w:val="18"/>
              </w:rPr>
            </w:pPr>
          </w:p>
        </w:tc>
        <w:tc>
          <w:tcPr>
            <w:tcW w:w="0" w:type="auto"/>
            <w:shd w:val="clear" w:color="auto" w:fill="FFFFFF" w:themeFill="background1"/>
            <w:hideMark/>
          </w:tcPr>
          <w:p w14:paraId="4C3FB3A1" w14:textId="77777777" w:rsidR="006E243E" w:rsidRPr="00F335CE" w:rsidRDefault="006E243E" w:rsidP="00F335CE">
            <w:pPr>
              <w:pStyle w:val="NormalWeb"/>
              <w:jc w:val="center"/>
              <w:rPr>
                <w:sz w:val="18"/>
                <w:szCs w:val="18"/>
              </w:rPr>
            </w:pPr>
            <w:r w:rsidRPr="00F335CE">
              <w:rPr>
                <w:sz w:val="18"/>
                <w:szCs w:val="18"/>
              </w:rPr>
              <w:t>Hepatitis C - Unspecified</w:t>
            </w:r>
          </w:p>
        </w:tc>
        <w:tc>
          <w:tcPr>
            <w:tcW w:w="0" w:type="auto"/>
            <w:shd w:val="clear" w:color="auto" w:fill="FFFFFF" w:themeFill="background1"/>
            <w:hideMark/>
          </w:tcPr>
          <w:p w14:paraId="42DAFF28" w14:textId="77777777" w:rsidR="006E243E" w:rsidRPr="00F335CE" w:rsidRDefault="006E243E" w:rsidP="00F335CE">
            <w:pPr>
              <w:pStyle w:val="NormalWeb"/>
              <w:jc w:val="center"/>
              <w:rPr>
                <w:sz w:val="18"/>
                <w:szCs w:val="18"/>
              </w:rPr>
            </w:pPr>
            <w:r w:rsidRPr="00F335CE">
              <w:rPr>
                <w:sz w:val="18"/>
                <w:szCs w:val="18"/>
              </w:rPr>
              <w:t>18.9</w:t>
            </w:r>
          </w:p>
        </w:tc>
        <w:tc>
          <w:tcPr>
            <w:tcW w:w="0" w:type="auto"/>
            <w:shd w:val="clear" w:color="auto" w:fill="FFFFFF" w:themeFill="background1"/>
            <w:hideMark/>
          </w:tcPr>
          <w:p w14:paraId="667B68F0" w14:textId="77777777" w:rsidR="006E243E" w:rsidRPr="00F335CE" w:rsidRDefault="006E243E" w:rsidP="00F335CE">
            <w:pPr>
              <w:pStyle w:val="NormalWeb"/>
              <w:jc w:val="center"/>
              <w:rPr>
                <w:sz w:val="18"/>
                <w:szCs w:val="18"/>
              </w:rPr>
            </w:pPr>
            <w:r w:rsidRPr="00F335CE">
              <w:rPr>
                <w:sz w:val="18"/>
                <w:szCs w:val="18"/>
              </w:rPr>
              <w:t>51.4</w:t>
            </w:r>
          </w:p>
        </w:tc>
        <w:tc>
          <w:tcPr>
            <w:tcW w:w="0" w:type="auto"/>
            <w:shd w:val="clear" w:color="auto" w:fill="FFFFFF" w:themeFill="background1"/>
            <w:hideMark/>
          </w:tcPr>
          <w:p w14:paraId="27759D00" w14:textId="77777777" w:rsidR="006E243E" w:rsidRPr="00F335CE" w:rsidRDefault="006E243E" w:rsidP="00F335CE">
            <w:pPr>
              <w:pStyle w:val="NormalWeb"/>
              <w:jc w:val="center"/>
              <w:rPr>
                <w:sz w:val="18"/>
                <w:szCs w:val="18"/>
              </w:rPr>
            </w:pPr>
            <w:r w:rsidRPr="00F335CE">
              <w:rPr>
                <w:sz w:val="18"/>
                <w:szCs w:val="18"/>
              </w:rPr>
              <w:t>2.72</w:t>
            </w:r>
          </w:p>
        </w:tc>
        <w:tc>
          <w:tcPr>
            <w:tcW w:w="0" w:type="auto"/>
            <w:shd w:val="clear" w:color="auto" w:fill="FFFFFF" w:themeFill="background1"/>
            <w:hideMark/>
          </w:tcPr>
          <w:p w14:paraId="6614CC5C" w14:textId="77777777" w:rsidR="006E243E" w:rsidRPr="00F335CE" w:rsidRDefault="006E243E" w:rsidP="00F335CE">
            <w:pPr>
              <w:pStyle w:val="NormalWeb"/>
              <w:jc w:val="center"/>
              <w:rPr>
                <w:sz w:val="18"/>
                <w:szCs w:val="18"/>
              </w:rPr>
            </w:pPr>
            <w:r w:rsidRPr="00F335CE">
              <w:rPr>
                <w:sz w:val="18"/>
                <w:szCs w:val="18"/>
              </w:rPr>
              <w:t>2.40 – 3.07</w:t>
            </w:r>
          </w:p>
        </w:tc>
        <w:tc>
          <w:tcPr>
            <w:tcW w:w="3017" w:type="dxa"/>
            <w:shd w:val="clear" w:color="auto" w:fill="FFFFFF" w:themeFill="background1"/>
            <w:hideMark/>
          </w:tcPr>
          <w:p w14:paraId="46F0CA93" w14:textId="77777777" w:rsidR="006E243E" w:rsidRPr="00F335CE" w:rsidRDefault="006E243E" w:rsidP="00F335CE">
            <w:pPr>
              <w:pStyle w:val="NormalWeb"/>
              <w:jc w:val="center"/>
              <w:rPr>
                <w:sz w:val="18"/>
                <w:szCs w:val="18"/>
              </w:rPr>
            </w:pPr>
            <w:r w:rsidRPr="00F335CE">
              <w:rPr>
                <w:sz w:val="18"/>
                <w:szCs w:val="18"/>
              </w:rPr>
              <w:t>&lt;0.001</w:t>
            </w:r>
          </w:p>
        </w:tc>
      </w:tr>
      <w:tr w:rsidR="00375CB7" w:rsidRPr="00F335CE" w14:paraId="7F021C2D" w14:textId="77777777" w:rsidTr="00375CB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6A6A6" w:themeFill="background1" w:themeFillShade="A6"/>
            <w:hideMark/>
          </w:tcPr>
          <w:p w14:paraId="5394A4F8" w14:textId="77777777" w:rsidR="006E243E" w:rsidRPr="00F335CE" w:rsidRDefault="006E243E">
            <w:pPr>
              <w:rPr>
                <w:sz w:val="18"/>
                <w:szCs w:val="18"/>
              </w:rPr>
            </w:pPr>
          </w:p>
        </w:tc>
        <w:tc>
          <w:tcPr>
            <w:tcW w:w="0" w:type="auto"/>
            <w:shd w:val="clear" w:color="auto" w:fill="A6A6A6" w:themeFill="background1" w:themeFillShade="A6"/>
            <w:hideMark/>
          </w:tcPr>
          <w:p w14:paraId="08899E88"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All Combined</w:t>
            </w:r>
          </w:p>
        </w:tc>
        <w:tc>
          <w:tcPr>
            <w:tcW w:w="0" w:type="auto"/>
            <w:shd w:val="clear" w:color="auto" w:fill="A6A6A6" w:themeFill="background1" w:themeFillShade="A6"/>
            <w:hideMark/>
          </w:tcPr>
          <w:p w14:paraId="2293721E"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47.8</w:t>
            </w:r>
          </w:p>
        </w:tc>
        <w:tc>
          <w:tcPr>
            <w:tcW w:w="0" w:type="auto"/>
            <w:shd w:val="clear" w:color="auto" w:fill="A6A6A6" w:themeFill="background1" w:themeFillShade="A6"/>
            <w:hideMark/>
          </w:tcPr>
          <w:p w14:paraId="0D8DB0E8"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65.1</w:t>
            </w:r>
          </w:p>
        </w:tc>
        <w:tc>
          <w:tcPr>
            <w:tcW w:w="0" w:type="auto"/>
            <w:shd w:val="clear" w:color="auto" w:fill="A6A6A6" w:themeFill="background1" w:themeFillShade="A6"/>
            <w:hideMark/>
          </w:tcPr>
          <w:p w14:paraId="0FC87D1D"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1.36</w:t>
            </w:r>
          </w:p>
        </w:tc>
        <w:tc>
          <w:tcPr>
            <w:tcW w:w="0" w:type="auto"/>
            <w:shd w:val="clear" w:color="auto" w:fill="A6A6A6" w:themeFill="background1" w:themeFillShade="A6"/>
            <w:hideMark/>
          </w:tcPr>
          <w:p w14:paraId="19748A4B"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1.33 – 1.40</w:t>
            </w:r>
          </w:p>
        </w:tc>
        <w:tc>
          <w:tcPr>
            <w:tcW w:w="3017" w:type="dxa"/>
            <w:shd w:val="clear" w:color="auto" w:fill="A6A6A6" w:themeFill="background1" w:themeFillShade="A6"/>
            <w:hideMark/>
          </w:tcPr>
          <w:p w14:paraId="26EA2109" w14:textId="77777777" w:rsidR="006E243E" w:rsidRPr="00375CB7" w:rsidRDefault="006E243E" w:rsidP="00F335CE">
            <w:pPr>
              <w:pStyle w:val="NormalWeb"/>
              <w:jc w:val="center"/>
              <w:rPr>
                <w:b/>
                <w:color w:val="FFFFFF" w:themeColor="background1"/>
                <w:sz w:val="18"/>
                <w:szCs w:val="18"/>
              </w:rPr>
            </w:pPr>
            <w:r w:rsidRPr="00375CB7">
              <w:rPr>
                <w:b/>
                <w:color w:val="FFFFFF" w:themeColor="background1"/>
                <w:sz w:val="18"/>
                <w:szCs w:val="18"/>
              </w:rPr>
              <w:t>&lt;0.001</w:t>
            </w:r>
          </w:p>
        </w:tc>
      </w:tr>
    </w:tbl>
    <w:p w14:paraId="0EFFD63F" w14:textId="77777777" w:rsidR="006E243E" w:rsidRDefault="006E243E" w:rsidP="00645857">
      <w:pPr>
        <w:pStyle w:val="CDIfootnotes"/>
      </w:pPr>
      <w:proofErr w:type="spellStart"/>
      <w:r>
        <w:t>a</w:t>
      </w:r>
      <w:proofErr w:type="spellEnd"/>
      <w:r>
        <w:tab/>
      </w:r>
      <w:proofErr w:type="gramStart"/>
      <w:r>
        <w:t>For</w:t>
      </w:r>
      <w:proofErr w:type="gramEnd"/>
      <w:r>
        <w:t xml:space="preserve"> hepatitis B and C, the enhanced surveillance program commenced 1 July 2016; enhanced surveillance for gonococcal infection commenced 1 January 2017.</w:t>
      </w:r>
    </w:p>
    <w:p w14:paraId="07CAF7F2" w14:textId="77777777" w:rsidR="006E243E" w:rsidRDefault="006E243E">
      <w:pPr>
        <w:pStyle w:val="Heading2"/>
        <w:rPr>
          <w:rFonts w:eastAsia="Times New Roman"/>
        </w:rPr>
      </w:pPr>
      <w:r>
        <w:rPr>
          <w:rFonts w:eastAsia="Times New Roman"/>
        </w:rPr>
        <w:t>Conditions with Changing Notification Requirements</w:t>
      </w:r>
    </w:p>
    <w:p w14:paraId="1096B637" w14:textId="77777777" w:rsidR="00CD7D29" w:rsidRDefault="006E243E" w:rsidP="00CD7D29">
      <w:pPr>
        <w:pStyle w:val="NormalWeb"/>
        <w:sectPr w:rsidR="00CD7D29" w:rsidSect="00A30C37">
          <w:pgSz w:w="11906" w:h="16838"/>
          <w:pgMar w:top="720" w:right="720" w:bottom="1134" w:left="720" w:header="709" w:footer="284" w:gutter="0"/>
          <w:cols w:space="708"/>
          <w:titlePg/>
          <w:docGrid w:linePitch="360"/>
        </w:sectPr>
      </w:pPr>
      <w:r>
        <w:t>For conditions included in the notifier-type analysis and no longer requiring doctor notification from 1 September 2018, the proportion of cases notified by a doctor in 2016 and 2017 ranged from 31.8% for psittacosis to 59.1% for Ross River virus infection (Table 6). The proportion of cases with Indigenous status complete for these conditions ranged from 30.4% (Barmah Forest virus inf</w:t>
      </w:r>
      <w:r w:rsidR="00CD7D29">
        <w:t>ection) to 100% (leptospirosis)</w:t>
      </w:r>
    </w:p>
    <w:p w14:paraId="00D91169" w14:textId="77777777" w:rsidR="006E243E" w:rsidRDefault="006E243E" w:rsidP="00645857">
      <w:pPr>
        <w:pStyle w:val="CDIFigures"/>
      </w:pPr>
      <w:r>
        <w:lastRenderedPageBreak/>
        <w:t>Table 6. Cases notified in 2016 and 2017 for conditions undergoing legislative changes to notification requirements as at 1 September 2018 in Victoria, excluding notified cases of elevated blood lead levels &gt; 5</w:t>
      </w:r>
      <w:r w:rsidR="00957A93">
        <w:t xml:space="preserve"> </w:t>
      </w:r>
      <w:proofErr w:type="spellStart"/>
      <w:r>
        <w:t>μg</w:t>
      </w:r>
      <w:proofErr w:type="spellEnd"/>
      <w:r>
        <w:t>/dL and chlamydial infection.</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Table 6 shows the number of cases notified in 2016 and 2017 for conditions undergoing changes to changes to notification requirements in effect 1 September 2018 in Victoria, excluding notified cases of elevated blood lead levels &gt;5μg/dL and chlamydial infection. In addition, the per cent of cases by notifier type, days to notification and Indigenous status complete are included for each condition.&#10;"/>
      </w:tblPr>
      <w:tblGrid>
        <w:gridCol w:w="2616"/>
        <w:gridCol w:w="2874"/>
        <w:gridCol w:w="1274"/>
        <w:gridCol w:w="1323"/>
        <w:gridCol w:w="650"/>
        <w:gridCol w:w="650"/>
        <w:gridCol w:w="650"/>
        <w:gridCol w:w="2493"/>
        <w:gridCol w:w="902"/>
        <w:gridCol w:w="902"/>
      </w:tblGrid>
      <w:tr w:rsidR="006E243E" w:rsidRPr="00A75B3A" w14:paraId="75F11BEB" w14:textId="77777777" w:rsidTr="00FB278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227D89D1" w14:textId="77777777" w:rsidR="006E243E" w:rsidRPr="00A75B3A" w:rsidRDefault="006E243E" w:rsidP="00CD7D29">
            <w:pPr>
              <w:pStyle w:val="NormalWeb"/>
              <w:rPr>
                <w:color w:val="FFFFFF" w:themeColor="background1"/>
                <w:sz w:val="18"/>
                <w:szCs w:val="18"/>
              </w:rPr>
            </w:pPr>
            <w:r w:rsidRPr="00A75B3A">
              <w:rPr>
                <w:color w:val="FFFFFF" w:themeColor="background1"/>
                <w:sz w:val="18"/>
                <w:szCs w:val="18"/>
              </w:rPr>
              <w:t>Notification Requirement Change</w:t>
            </w:r>
          </w:p>
        </w:tc>
        <w:tc>
          <w:tcPr>
            <w:tcW w:w="0" w:type="auto"/>
            <w:vMerge w:val="restart"/>
            <w:hideMark/>
          </w:tcPr>
          <w:p w14:paraId="451CD1E5" w14:textId="77777777" w:rsidR="006E243E" w:rsidRPr="00A75B3A" w:rsidRDefault="006E243E" w:rsidP="00D25E6E">
            <w:pPr>
              <w:pStyle w:val="NormalWeb"/>
              <w:rPr>
                <w:color w:val="FFFFFF" w:themeColor="background1"/>
                <w:sz w:val="18"/>
                <w:szCs w:val="18"/>
              </w:rPr>
            </w:pPr>
            <w:r w:rsidRPr="00A75B3A">
              <w:rPr>
                <w:color w:val="FFFFFF" w:themeColor="background1"/>
                <w:sz w:val="18"/>
                <w:szCs w:val="18"/>
              </w:rPr>
              <w:t>Condition</w:t>
            </w:r>
          </w:p>
        </w:tc>
        <w:tc>
          <w:tcPr>
            <w:tcW w:w="0" w:type="auto"/>
            <w:gridSpan w:val="8"/>
            <w:hideMark/>
          </w:tcPr>
          <w:p w14:paraId="7DAD21A8"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2016 and 2017 Cases</w:t>
            </w:r>
          </w:p>
        </w:tc>
      </w:tr>
      <w:tr w:rsidR="00D25E6E" w:rsidRPr="00A75B3A" w14:paraId="747566EB" w14:textId="77777777" w:rsidTr="00FB2781">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DC90A2C" w14:textId="77777777" w:rsidR="006E243E" w:rsidRPr="00A75B3A" w:rsidRDefault="006E243E">
            <w:pPr>
              <w:rPr>
                <w:color w:val="FFFFFF" w:themeColor="background1"/>
                <w:sz w:val="18"/>
                <w:szCs w:val="18"/>
              </w:rPr>
            </w:pPr>
          </w:p>
        </w:tc>
        <w:tc>
          <w:tcPr>
            <w:tcW w:w="0" w:type="auto"/>
            <w:vMerge/>
            <w:hideMark/>
          </w:tcPr>
          <w:p w14:paraId="649800F1" w14:textId="77777777" w:rsidR="006E243E" w:rsidRPr="00A75B3A" w:rsidRDefault="006E243E" w:rsidP="00D25E6E">
            <w:pPr>
              <w:rPr>
                <w:color w:val="FFFFFF" w:themeColor="background1"/>
                <w:sz w:val="18"/>
                <w:szCs w:val="18"/>
              </w:rPr>
            </w:pPr>
          </w:p>
        </w:tc>
        <w:tc>
          <w:tcPr>
            <w:tcW w:w="0" w:type="auto"/>
            <w:gridSpan w:val="2"/>
            <w:hideMark/>
          </w:tcPr>
          <w:p w14:paraId="3668F7EA" w14:textId="501625CA" w:rsidR="006E243E" w:rsidRPr="00A75B3A" w:rsidRDefault="006E243E" w:rsidP="00957A93">
            <w:pPr>
              <w:pStyle w:val="NormalWeb"/>
              <w:jc w:val="center"/>
              <w:rPr>
                <w:color w:val="FFFFFF" w:themeColor="background1"/>
                <w:sz w:val="18"/>
                <w:szCs w:val="18"/>
              </w:rPr>
            </w:pPr>
            <w:r w:rsidRPr="00A75B3A">
              <w:rPr>
                <w:color w:val="FFFFFF" w:themeColor="background1"/>
                <w:sz w:val="18"/>
                <w:szCs w:val="18"/>
              </w:rPr>
              <w:t>Notifier Type (%)</w:t>
            </w:r>
            <w:r w:rsidR="00957A93">
              <w:rPr>
                <w:color w:val="FFFFFF" w:themeColor="background1"/>
                <w:sz w:val="18"/>
                <w:szCs w:val="18"/>
                <w:vertAlign w:val="superscript"/>
              </w:rPr>
              <w:t>a</w:t>
            </w:r>
          </w:p>
        </w:tc>
        <w:tc>
          <w:tcPr>
            <w:tcW w:w="0" w:type="auto"/>
            <w:gridSpan w:val="3"/>
            <w:hideMark/>
          </w:tcPr>
          <w:p w14:paraId="73FBA818" w14:textId="7CB4A86C" w:rsidR="006E243E" w:rsidRPr="00A75B3A" w:rsidRDefault="006E243E" w:rsidP="00957A93">
            <w:pPr>
              <w:pStyle w:val="NormalWeb"/>
              <w:jc w:val="center"/>
              <w:rPr>
                <w:color w:val="FFFFFF" w:themeColor="background1"/>
                <w:sz w:val="18"/>
                <w:szCs w:val="18"/>
              </w:rPr>
            </w:pPr>
            <w:r w:rsidRPr="00A75B3A">
              <w:rPr>
                <w:color w:val="FFFFFF" w:themeColor="background1"/>
                <w:sz w:val="18"/>
                <w:szCs w:val="18"/>
              </w:rPr>
              <w:t>Days to Notification (%)</w:t>
            </w:r>
            <w:r w:rsidR="00957A93">
              <w:rPr>
                <w:color w:val="FFFFFF" w:themeColor="background1"/>
                <w:sz w:val="18"/>
                <w:szCs w:val="18"/>
                <w:vertAlign w:val="superscript"/>
              </w:rPr>
              <w:t>b</w:t>
            </w:r>
          </w:p>
        </w:tc>
        <w:tc>
          <w:tcPr>
            <w:tcW w:w="0" w:type="auto"/>
            <w:vMerge w:val="restart"/>
            <w:hideMark/>
          </w:tcPr>
          <w:p w14:paraId="186C83A0"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Indigenous Status Complete (%)</w:t>
            </w:r>
          </w:p>
        </w:tc>
        <w:tc>
          <w:tcPr>
            <w:tcW w:w="0" w:type="auto"/>
            <w:gridSpan w:val="2"/>
            <w:hideMark/>
          </w:tcPr>
          <w:p w14:paraId="160261FA"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Total Number of Cases</w:t>
            </w:r>
          </w:p>
        </w:tc>
      </w:tr>
      <w:tr w:rsidR="00A75B3A" w:rsidRPr="00A75B3A" w14:paraId="5F1F8D4F" w14:textId="77777777" w:rsidTr="00FB2781">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56FA40ED" w14:textId="77777777" w:rsidR="006E243E" w:rsidRPr="00A75B3A" w:rsidRDefault="006E243E">
            <w:pPr>
              <w:rPr>
                <w:color w:val="FFFFFF" w:themeColor="background1"/>
                <w:sz w:val="18"/>
                <w:szCs w:val="18"/>
              </w:rPr>
            </w:pPr>
          </w:p>
        </w:tc>
        <w:tc>
          <w:tcPr>
            <w:tcW w:w="0" w:type="auto"/>
            <w:vMerge/>
            <w:hideMark/>
          </w:tcPr>
          <w:p w14:paraId="5999B22B" w14:textId="77777777" w:rsidR="006E243E" w:rsidRPr="00A75B3A" w:rsidRDefault="006E243E" w:rsidP="00D25E6E">
            <w:pPr>
              <w:rPr>
                <w:color w:val="FFFFFF" w:themeColor="background1"/>
                <w:sz w:val="18"/>
                <w:szCs w:val="18"/>
              </w:rPr>
            </w:pPr>
          </w:p>
        </w:tc>
        <w:tc>
          <w:tcPr>
            <w:tcW w:w="0" w:type="auto"/>
            <w:hideMark/>
          </w:tcPr>
          <w:p w14:paraId="7854EEF0"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Doctor Notified</w:t>
            </w:r>
          </w:p>
        </w:tc>
        <w:tc>
          <w:tcPr>
            <w:tcW w:w="0" w:type="auto"/>
            <w:hideMark/>
          </w:tcPr>
          <w:p w14:paraId="6D5F6CCA"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Laboratory Only</w:t>
            </w:r>
          </w:p>
        </w:tc>
        <w:tc>
          <w:tcPr>
            <w:tcW w:w="0" w:type="auto"/>
            <w:hideMark/>
          </w:tcPr>
          <w:p w14:paraId="00DD681D"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0</w:t>
            </w:r>
          </w:p>
        </w:tc>
        <w:tc>
          <w:tcPr>
            <w:tcW w:w="0" w:type="auto"/>
            <w:hideMark/>
          </w:tcPr>
          <w:p w14:paraId="48EFD536"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1-5</w:t>
            </w:r>
          </w:p>
        </w:tc>
        <w:tc>
          <w:tcPr>
            <w:tcW w:w="0" w:type="auto"/>
            <w:hideMark/>
          </w:tcPr>
          <w:p w14:paraId="33D346B2"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&gt; 5</w:t>
            </w:r>
          </w:p>
        </w:tc>
        <w:tc>
          <w:tcPr>
            <w:tcW w:w="0" w:type="auto"/>
            <w:vMerge/>
            <w:hideMark/>
          </w:tcPr>
          <w:p w14:paraId="4B4BE3F2" w14:textId="77777777" w:rsidR="006E243E" w:rsidRPr="00A75B3A" w:rsidRDefault="006E243E" w:rsidP="00A75B3A">
            <w:pPr>
              <w:jc w:val="center"/>
              <w:rPr>
                <w:color w:val="FFFFFF" w:themeColor="background1"/>
                <w:sz w:val="18"/>
                <w:szCs w:val="18"/>
              </w:rPr>
            </w:pPr>
          </w:p>
        </w:tc>
        <w:tc>
          <w:tcPr>
            <w:tcW w:w="0" w:type="auto"/>
            <w:hideMark/>
          </w:tcPr>
          <w:p w14:paraId="3974871E"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2016</w:t>
            </w:r>
          </w:p>
        </w:tc>
        <w:tc>
          <w:tcPr>
            <w:tcW w:w="0" w:type="auto"/>
            <w:hideMark/>
          </w:tcPr>
          <w:p w14:paraId="46705953" w14:textId="77777777" w:rsidR="006E243E" w:rsidRPr="00A75B3A" w:rsidRDefault="006E243E" w:rsidP="00A75B3A">
            <w:pPr>
              <w:pStyle w:val="NormalWeb"/>
              <w:jc w:val="center"/>
              <w:rPr>
                <w:color w:val="FFFFFF" w:themeColor="background1"/>
                <w:sz w:val="18"/>
                <w:szCs w:val="18"/>
              </w:rPr>
            </w:pPr>
            <w:r w:rsidRPr="00A75B3A">
              <w:rPr>
                <w:color w:val="FFFFFF" w:themeColor="background1"/>
                <w:sz w:val="18"/>
                <w:szCs w:val="18"/>
              </w:rPr>
              <w:t>2017</w:t>
            </w:r>
          </w:p>
        </w:tc>
      </w:tr>
      <w:tr w:rsidR="00ED0F1A" w:rsidRPr="00A75B3A" w14:paraId="0A95A77F" w14:textId="77777777" w:rsidTr="00FB2781">
        <w:tc>
          <w:tcPr>
            <w:tcW w:w="0" w:type="auto"/>
            <w:vMerge w:val="restart"/>
            <w:shd w:val="clear" w:color="auto" w:fill="808080" w:themeFill="background1" w:themeFillShade="80"/>
            <w:textDirection w:val="btLr"/>
            <w:hideMark/>
          </w:tcPr>
          <w:p w14:paraId="587CE677" w14:textId="77777777" w:rsidR="006E243E" w:rsidRPr="00A32B0E" w:rsidRDefault="006E243E" w:rsidP="00D25E6E">
            <w:pPr>
              <w:pStyle w:val="NormalWeb"/>
              <w:ind w:left="113" w:right="113"/>
              <w:rPr>
                <w:b/>
                <w:color w:val="FFFFFF" w:themeColor="background1"/>
                <w:sz w:val="18"/>
                <w:szCs w:val="18"/>
              </w:rPr>
            </w:pPr>
            <w:r w:rsidRPr="00A32B0E">
              <w:rPr>
                <w:b/>
                <w:color w:val="FFFFFF" w:themeColor="background1"/>
                <w:sz w:val="18"/>
                <w:szCs w:val="18"/>
              </w:rPr>
              <w:t xml:space="preserve">No longer requires medical practitioner </w:t>
            </w:r>
            <w:proofErr w:type="spellStart"/>
            <w:r w:rsidRPr="00A32B0E">
              <w:rPr>
                <w:b/>
                <w:color w:val="FFFFFF" w:themeColor="background1"/>
                <w:sz w:val="18"/>
                <w:szCs w:val="18"/>
              </w:rPr>
              <w:t>notification</w:t>
            </w:r>
            <w:r w:rsidRPr="00A32B0E">
              <w:rPr>
                <w:b/>
                <w:color w:val="FFFFFF" w:themeColor="background1"/>
                <w:sz w:val="18"/>
                <w:szCs w:val="18"/>
                <w:vertAlign w:val="superscript"/>
              </w:rPr>
              <w:t>a</w:t>
            </w:r>
            <w:proofErr w:type="spellEnd"/>
          </w:p>
          <w:p w14:paraId="4AA24A1B" w14:textId="77777777" w:rsidR="006E243E" w:rsidRPr="00A32B0E" w:rsidRDefault="006E243E" w:rsidP="00D25E6E">
            <w:pPr>
              <w:pStyle w:val="NormalWeb"/>
              <w:ind w:left="113" w:right="113"/>
              <w:rPr>
                <w:b/>
                <w:color w:val="FFFFFF" w:themeColor="background1"/>
                <w:sz w:val="18"/>
                <w:szCs w:val="18"/>
              </w:rPr>
            </w:pPr>
            <w:r w:rsidRPr="00A32B0E">
              <w:rPr>
                <w:b/>
                <w:color w:val="FFFFFF" w:themeColor="background1"/>
                <w:sz w:val="18"/>
                <w:szCs w:val="18"/>
              </w:rPr>
              <w:t>(Laboratory notification requirements remain)</w:t>
            </w:r>
          </w:p>
        </w:tc>
        <w:tc>
          <w:tcPr>
            <w:tcW w:w="0" w:type="auto"/>
            <w:shd w:val="clear" w:color="auto" w:fill="808080" w:themeFill="background1" w:themeFillShade="80"/>
            <w:hideMark/>
          </w:tcPr>
          <w:p w14:paraId="4F01D6B5"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Barmah Forest virus infection</w:t>
            </w:r>
          </w:p>
        </w:tc>
        <w:tc>
          <w:tcPr>
            <w:tcW w:w="0" w:type="auto"/>
            <w:shd w:val="clear" w:color="auto" w:fill="FFFFFF" w:themeFill="background1"/>
            <w:hideMark/>
          </w:tcPr>
          <w:p w14:paraId="1496C2FC" w14:textId="77777777" w:rsidR="006E243E" w:rsidRPr="00A75B3A" w:rsidRDefault="006E243E" w:rsidP="00A75B3A">
            <w:pPr>
              <w:pStyle w:val="NormalWeb"/>
              <w:jc w:val="center"/>
              <w:rPr>
                <w:sz w:val="18"/>
                <w:szCs w:val="18"/>
              </w:rPr>
            </w:pPr>
            <w:r w:rsidRPr="00A75B3A">
              <w:rPr>
                <w:sz w:val="18"/>
                <w:szCs w:val="18"/>
              </w:rPr>
              <w:t>56.5</w:t>
            </w:r>
          </w:p>
        </w:tc>
        <w:tc>
          <w:tcPr>
            <w:tcW w:w="0" w:type="auto"/>
            <w:shd w:val="clear" w:color="auto" w:fill="FFFFFF" w:themeFill="background1"/>
            <w:hideMark/>
          </w:tcPr>
          <w:p w14:paraId="76C3003B" w14:textId="77777777" w:rsidR="006E243E" w:rsidRPr="00A75B3A" w:rsidRDefault="006E243E" w:rsidP="00A75B3A">
            <w:pPr>
              <w:pStyle w:val="NormalWeb"/>
              <w:jc w:val="center"/>
              <w:rPr>
                <w:sz w:val="18"/>
                <w:szCs w:val="18"/>
              </w:rPr>
            </w:pPr>
            <w:r w:rsidRPr="00A75B3A">
              <w:rPr>
                <w:sz w:val="18"/>
                <w:szCs w:val="18"/>
              </w:rPr>
              <w:t>43.5</w:t>
            </w:r>
          </w:p>
        </w:tc>
        <w:tc>
          <w:tcPr>
            <w:tcW w:w="0" w:type="auto"/>
            <w:shd w:val="clear" w:color="auto" w:fill="FFFFFF" w:themeFill="background1"/>
            <w:hideMark/>
          </w:tcPr>
          <w:p w14:paraId="31ECCA99" w14:textId="77777777" w:rsidR="006E243E" w:rsidRPr="00A75B3A" w:rsidRDefault="006E243E" w:rsidP="00A75B3A">
            <w:pPr>
              <w:pStyle w:val="NormalWeb"/>
              <w:jc w:val="center"/>
              <w:rPr>
                <w:sz w:val="18"/>
                <w:szCs w:val="18"/>
              </w:rPr>
            </w:pPr>
            <w:r w:rsidRPr="00A75B3A">
              <w:rPr>
                <w:sz w:val="18"/>
                <w:szCs w:val="18"/>
              </w:rPr>
              <w:t>27.3</w:t>
            </w:r>
          </w:p>
        </w:tc>
        <w:tc>
          <w:tcPr>
            <w:tcW w:w="0" w:type="auto"/>
            <w:shd w:val="clear" w:color="auto" w:fill="FFFFFF" w:themeFill="background1"/>
            <w:hideMark/>
          </w:tcPr>
          <w:p w14:paraId="64253076" w14:textId="77777777" w:rsidR="006E243E" w:rsidRPr="00A75B3A" w:rsidRDefault="006E243E" w:rsidP="00A75B3A">
            <w:pPr>
              <w:pStyle w:val="NormalWeb"/>
              <w:jc w:val="center"/>
              <w:rPr>
                <w:sz w:val="18"/>
                <w:szCs w:val="18"/>
              </w:rPr>
            </w:pPr>
            <w:r w:rsidRPr="00A75B3A">
              <w:rPr>
                <w:sz w:val="18"/>
                <w:szCs w:val="18"/>
              </w:rPr>
              <w:t>63.6</w:t>
            </w:r>
          </w:p>
        </w:tc>
        <w:tc>
          <w:tcPr>
            <w:tcW w:w="0" w:type="auto"/>
            <w:shd w:val="clear" w:color="auto" w:fill="FFFFFF" w:themeFill="background1"/>
            <w:hideMark/>
          </w:tcPr>
          <w:p w14:paraId="01C119C1" w14:textId="77777777" w:rsidR="006E243E" w:rsidRPr="00A75B3A" w:rsidRDefault="006E243E" w:rsidP="00A75B3A">
            <w:pPr>
              <w:pStyle w:val="NormalWeb"/>
              <w:jc w:val="center"/>
              <w:rPr>
                <w:sz w:val="18"/>
                <w:szCs w:val="18"/>
              </w:rPr>
            </w:pPr>
            <w:r w:rsidRPr="00A75B3A">
              <w:rPr>
                <w:sz w:val="18"/>
                <w:szCs w:val="18"/>
              </w:rPr>
              <w:t>9.1</w:t>
            </w:r>
          </w:p>
        </w:tc>
        <w:tc>
          <w:tcPr>
            <w:tcW w:w="0" w:type="auto"/>
            <w:shd w:val="clear" w:color="auto" w:fill="FFFFFF" w:themeFill="background1"/>
            <w:hideMark/>
          </w:tcPr>
          <w:p w14:paraId="6805B064" w14:textId="77777777" w:rsidR="006E243E" w:rsidRPr="00A75B3A" w:rsidRDefault="006E243E" w:rsidP="00A75B3A">
            <w:pPr>
              <w:pStyle w:val="NormalWeb"/>
              <w:jc w:val="center"/>
              <w:rPr>
                <w:sz w:val="18"/>
                <w:szCs w:val="18"/>
              </w:rPr>
            </w:pPr>
            <w:r w:rsidRPr="00A75B3A">
              <w:rPr>
                <w:sz w:val="18"/>
                <w:szCs w:val="18"/>
              </w:rPr>
              <w:t>30.4</w:t>
            </w:r>
          </w:p>
        </w:tc>
        <w:tc>
          <w:tcPr>
            <w:tcW w:w="0" w:type="auto"/>
            <w:shd w:val="clear" w:color="auto" w:fill="FFFFFF" w:themeFill="background1"/>
            <w:hideMark/>
          </w:tcPr>
          <w:p w14:paraId="3D4CDDC6" w14:textId="77777777" w:rsidR="006E243E" w:rsidRPr="00A75B3A" w:rsidRDefault="006E243E" w:rsidP="00A75B3A">
            <w:pPr>
              <w:pStyle w:val="NormalWeb"/>
              <w:jc w:val="center"/>
              <w:rPr>
                <w:sz w:val="18"/>
                <w:szCs w:val="18"/>
              </w:rPr>
            </w:pPr>
            <w:r w:rsidRPr="00A75B3A">
              <w:rPr>
                <w:sz w:val="18"/>
                <w:szCs w:val="18"/>
              </w:rPr>
              <w:t>4</w:t>
            </w:r>
          </w:p>
        </w:tc>
        <w:tc>
          <w:tcPr>
            <w:tcW w:w="0" w:type="auto"/>
            <w:shd w:val="clear" w:color="auto" w:fill="FFFFFF" w:themeFill="background1"/>
            <w:hideMark/>
          </w:tcPr>
          <w:p w14:paraId="48E4BF8F" w14:textId="77777777" w:rsidR="006E243E" w:rsidRPr="00A75B3A" w:rsidRDefault="006E243E" w:rsidP="00A75B3A">
            <w:pPr>
              <w:pStyle w:val="NormalWeb"/>
              <w:jc w:val="center"/>
              <w:rPr>
                <w:sz w:val="18"/>
                <w:szCs w:val="18"/>
              </w:rPr>
            </w:pPr>
            <w:r w:rsidRPr="00A75B3A">
              <w:rPr>
                <w:sz w:val="18"/>
                <w:szCs w:val="18"/>
              </w:rPr>
              <w:t>19</w:t>
            </w:r>
          </w:p>
        </w:tc>
      </w:tr>
      <w:tr w:rsidR="00CE58C9" w:rsidRPr="00A75B3A" w14:paraId="0717D5C3" w14:textId="77777777" w:rsidTr="00FB2781">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808080" w:themeFill="background1" w:themeFillShade="80"/>
            <w:hideMark/>
          </w:tcPr>
          <w:p w14:paraId="2A475EBF"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0F0A944A"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Ross River virus infection</w:t>
            </w:r>
          </w:p>
        </w:tc>
        <w:tc>
          <w:tcPr>
            <w:tcW w:w="0" w:type="auto"/>
            <w:shd w:val="clear" w:color="auto" w:fill="FFFFFF" w:themeFill="background1"/>
            <w:hideMark/>
          </w:tcPr>
          <w:p w14:paraId="23E798A0" w14:textId="77777777" w:rsidR="006E243E" w:rsidRPr="00A75B3A" w:rsidRDefault="006E243E" w:rsidP="00A75B3A">
            <w:pPr>
              <w:pStyle w:val="NormalWeb"/>
              <w:jc w:val="center"/>
              <w:rPr>
                <w:sz w:val="18"/>
                <w:szCs w:val="18"/>
              </w:rPr>
            </w:pPr>
            <w:r w:rsidRPr="00A75B3A">
              <w:rPr>
                <w:sz w:val="18"/>
                <w:szCs w:val="18"/>
              </w:rPr>
              <w:t>59.1</w:t>
            </w:r>
          </w:p>
        </w:tc>
        <w:tc>
          <w:tcPr>
            <w:tcW w:w="0" w:type="auto"/>
            <w:shd w:val="clear" w:color="auto" w:fill="FFFFFF" w:themeFill="background1"/>
            <w:hideMark/>
          </w:tcPr>
          <w:p w14:paraId="06D6FF61" w14:textId="77777777" w:rsidR="006E243E" w:rsidRPr="00A75B3A" w:rsidRDefault="006E243E" w:rsidP="00A75B3A">
            <w:pPr>
              <w:pStyle w:val="NormalWeb"/>
              <w:jc w:val="center"/>
              <w:rPr>
                <w:sz w:val="18"/>
                <w:szCs w:val="18"/>
              </w:rPr>
            </w:pPr>
            <w:r w:rsidRPr="00A75B3A">
              <w:rPr>
                <w:sz w:val="18"/>
                <w:szCs w:val="18"/>
              </w:rPr>
              <w:t>40.9</w:t>
            </w:r>
          </w:p>
        </w:tc>
        <w:tc>
          <w:tcPr>
            <w:tcW w:w="0" w:type="auto"/>
            <w:shd w:val="clear" w:color="auto" w:fill="FFFFFF" w:themeFill="background1"/>
            <w:hideMark/>
          </w:tcPr>
          <w:p w14:paraId="010FEA22" w14:textId="77777777" w:rsidR="006E243E" w:rsidRPr="00A75B3A" w:rsidRDefault="006E243E" w:rsidP="00A75B3A">
            <w:pPr>
              <w:pStyle w:val="NormalWeb"/>
              <w:jc w:val="center"/>
              <w:rPr>
                <w:sz w:val="18"/>
                <w:szCs w:val="18"/>
              </w:rPr>
            </w:pPr>
            <w:r w:rsidRPr="00A75B3A">
              <w:rPr>
                <w:sz w:val="18"/>
                <w:szCs w:val="18"/>
              </w:rPr>
              <w:t>35.2</w:t>
            </w:r>
          </w:p>
        </w:tc>
        <w:tc>
          <w:tcPr>
            <w:tcW w:w="0" w:type="auto"/>
            <w:shd w:val="clear" w:color="auto" w:fill="FFFFFF" w:themeFill="background1"/>
            <w:hideMark/>
          </w:tcPr>
          <w:p w14:paraId="5A95CF2D" w14:textId="77777777" w:rsidR="006E243E" w:rsidRPr="00A75B3A" w:rsidRDefault="006E243E" w:rsidP="00A75B3A">
            <w:pPr>
              <w:pStyle w:val="NormalWeb"/>
              <w:jc w:val="center"/>
              <w:rPr>
                <w:sz w:val="18"/>
                <w:szCs w:val="18"/>
              </w:rPr>
            </w:pPr>
            <w:r w:rsidRPr="00A75B3A">
              <w:rPr>
                <w:sz w:val="18"/>
                <w:szCs w:val="18"/>
              </w:rPr>
              <w:t>57.3</w:t>
            </w:r>
          </w:p>
        </w:tc>
        <w:tc>
          <w:tcPr>
            <w:tcW w:w="0" w:type="auto"/>
            <w:shd w:val="clear" w:color="auto" w:fill="FFFFFF" w:themeFill="background1"/>
            <w:hideMark/>
          </w:tcPr>
          <w:p w14:paraId="4039CD5C" w14:textId="77777777" w:rsidR="006E243E" w:rsidRPr="00A75B3A" w:rsidRDefault="006E243E" w:rsidP="00A75B3A">
            <w:pPr>
              <w:pStyle w:val="NormalWeb"/>
              <w:jc w:val="center"/>
              <w:rPr>
                <w:sz w:val="18"/>
                <w:szCs w:val="18"/>
              </w:rPr>
            </w:pPr>
            <w:r w:rsidRPr="00A75B3A">
              <w:rPr>
                <w:sz w:val="18"/>
                <w:szCs w:val="18"/>
              </w:rPr>
              <w:t>7.5</w:t>
            </w:r>
          </w:p>
        </w:tc>
        <w:tc>
          <w:tcPr>
            <w:tcW w:w="0" w:type="auto"/>
            <w:shd w:val="clear" w:color="auto" w:fill="FFFFFF" w:themeFill="background1"/>
            <w:hideMark/>
          </w:tcPr>
          <w:p w14:paraId="048829D4" w14:textId="77777777" w:rsidR="006E243E" w:rsidRPr="00A75B3A" w:rsidRDefault="006E243E" w:rsidP="00A75B3A">
            <w:pPr>
              <w:pStyle w:val="NormalWeb"/>
              <w:jc w:val="center"/>
              <w:rPr>
                <w:sz w:val="18"/>
                <w:szCs w:val="18"/>
              </w:rPr>
            </w:pPr>
            <w:r w:rsidRPr="00A75B3A">
              <w:rPr>
                <w:sz w:val="18"/>
                <w:szCs w:val="18"/>
              </w:rPr>
              <w:t>61.9</w:t>
            </w:r>
          </w:p>
        </w:tc>
        <w:tc>
          <w:tcPr>
            <w:tcW w:w="0" w:type="auto"/>
            <w:shd w:val="clear" w:color="auto" w:fill="FFFFFF" w:themeFill="background1"/>
            <w:hideMark/>
          </w:tcPr>
          <w:p w14:paraId="76B9509A" w14:textId="77777777" w:rsidR="006E243E" w:rsidRPr="00A75B3A" w:rsidRDefault="006E243E" w:rsidP="00A75B3A">
            <w:pPr>
              <w:pStyle w:val="NormalWeb"/>
              <w:jc w:val="center"/>
              <w:rPr>
                <w:sz w:val="18"/>
                <w:szCs w:val="18"/>
              </w:rPr>
            </w:pPr>
            <w:r w:rsidRPr="00A75B3A">
              <w:rPr>
                <w:sz w:val="18"/>
                <w:szCs w:val="18"/>
              </w:rPr>
              <w:t>263</w:t>
            </w:r>
          </w:p>
        </w:tc>
        <w:tc>
          <w:tcPr>
            <w:tcW w:w="0" w:type="auto"/>
            <w:shd w:val="clear" w:color="auto" w:fill="FFFFFF" w:themeFill="background1"/>
            <w:hideMark/>
          </w:tcPr>
          <w:p w14:paraId="3E5612B1" w14:textId="77777777" w:rsidR="006E243E" w:rsidRPr="00A75B3A" w:rsidRDefault="006E243E" w:rsidP="00A75B3A">
            <w:pPr>
              <w:pStyle w:val="NormalWeb"/>
              <w:jc w:val="center"/>
              <w:rPr>
                <w:sz w:val="18"/>
                <w:szCs w:val="18"/>
              </w:rPr>
            </w:pPr>
            <w:r w:rsidRPr="00A75B3A">
              <w:rPr>
                <w:sz w:val="18"/>
                <w:szCs w:val="18"/>
              </w:rPr>
              <w:t>1,964</w:t>
            </w:r>
          </w:p>
        </w:tc>
      </w:tr>
      <w:tr w:rsidR="00ED0F1A" w:rsidRPr="00A75B3A" w14:paraId="47517013" w14:textId="77777777" w:rsidTr="00FB2781">
        <w:tc>
          <w:tcPr>
            <w:tcW w:w="0" w:type="auto"/>
            <w:vMerge/>
            <w:shd w:val="clear" w:color="auto" w:fill="808080" w:themeFill="background1" w:themeFillShade="80"/>
            <w:hideMark/>
          </w:tcPr>
          <w:p w14:paraId="38705BED"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498374E1"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Arbovirus (other including Flavivirus)</w:t>
            </w:r>
          </w:p>
        </w:tc>
        <w:tc>
          <w:tcPr>
            <w:tcW w:w="0" w:type="auto"/>
            <w:shd w:val="clear" w:color="auto" w:fill="FFFFFF" w:themeFill="background1"/>
            <w:hideMark/>
          </w:tcPr>
          <w:p w14:paraId="5327B726" w14:textId="77777777" w:rsidR="006E243E" w:rsidRPr="00A75B3A" w:rsidRDefault="006E243E" w:rsidP="00A75B3A">
            <w:pPr>
              <w:pStyle w:val="NormalWeb"/>
              <w:jc w:val="center"/>
              <w:rPr>
                <w:sz w:val="18"/>
                <w:szCs w:val="18"/>
              </w:rPr>
            </w:pPr>
            <w:r w:rsidRPr="00A75B3A">
              <w:rPr>
                <w:sz w:val="18"/>
                <w:szCs w:val="18"/>
              </w:rPr>
              <w:t>41.2</w:t>
            </w:r>
          </w:p>
        </w:tc>
        <w:tc>
          <w:tcPr>
            <w:tcW w:w="0" w:type="auto"/>
            <w:shd w:val="clear" w:color="auto" w:fill="FFFFFF" w:themeFill="background1"/>
            <w:hideMark/>
          </w:tcPr>
          <w:p w14:paraId="35AA1DB9" w14:textId="77777777" w:rsidR="006E243E" w:rsidRPr="00A75B3A" w:rsidRDefault="006E243E" w:rsidP="00A75B3A">
            <w:pPr>
              <w:pStyle w:val="NormalWeb"/>
              <w:jc w:val="center"/>
              <w:rPr>
                <w:sz w:val="18"/>
                <w:szCs w:val="18"/>
              </w:rPr>
            </w:pPr>
            <w:r w:rsidRPr="00A75B3A">
              <w:rPr>
                <w:sz w:val="18"/>
                <w:szCs w:val="18"/>
              </w:rPr>
              <w:t>58.8</w:t>
            </w:r>
          </w:p>
        </w:tc>
        <w:tc>
          <w:tcPr>
            <w:tcW w:w="0" w:type="auto"/>
            <w:shd w:val="clear" w:color="auto" w:fill="FFFFFF" w:themeFill="background1"/>
            <w:hideMark/>
          </w:tcPr>
          <w:p w14:paraId="5A4311C8" w14:textId="77777777" w:rsidR="006E243E" w:rsidRPr="00A75B3A" w:rsidRDefault="006E243E" w:rsidP="00A75B3A">
            <w:pPr>
              <w:pStyle w:val="NormalWeb"/>
              <w:jc w:val="center"/>
              <w:rPr>
                <w:sz w:val="18"/>
                <w:szCs w:val="18"/>
              </w:rPr>
            </w:pPr>
            <w:r w:rsidRPr="00A75B3A">
              <w:rPr>
                <w:sz w:val="18"/>
                <w:szCs w:val="18"/>
              </w:rPr>
              <w:t>12.5</w:t>
            </w:r>
          </w:p>
        </w:tc>
        <w:tc>
          <w:tcPr>
            <w:tcW w:w="0" w:type="auto"/>
            <w:shd w:val="clear" w:color="auto" w:fill="FFFFFF" w:themeFill="background1"/>
            <w:hideMark/>
          </w:tcPr>
          <w:p w14:paraId="5A0DFBBF" w14:textId="77777777" w:rsidR="006E243E" w:rsidRPr="00A75B3A" w:rsidRDefault="006E243E" w:rsidP="00A75B3A">
            <w:pPr>
              <w:pStyle w:val="NormalWeb"/>
              <w:jc w:val="center"/>
              <w:rPr>
                <w:sz w:val="18"/>
                <w:szCs w:val="18"/>
              </w:rPr>
            </w:pPr>
            <w:r w:rsidRPr="00A75B3A">
              <w:rPr>
                <w:sz w:val="18"/>
                <w:szCs w:val="18"/>
              </w:rPr>
              <w:t>62.5</w:t>
            </w:r>
          </w:p>
        </w:tc>
        <w:tc>
          <w:tcPr>
            <w:tcW w:w="0" w:type="auto"/>
            <w:shd w:val="clear" w:color="auto" w:fill="FFFFFF" w:themeFill="background1"/>
            <w:hideMark/>
          </w:tcPr>
          <w:p w14:paraId="657FC346" w14:textId="77777777" w:rsidR="006E243E" w:rsidRPr="00A75B3A" w:rsidRDefault="006E243E" w:rsidP="00A75B3A">
            <w:pPr>
              <w:pStyle w:val="NormalWeb"/>
              <w:jc w:val="center"/>
              <w:rPr>
                <w:sz w:val="18"/>
                <w:szCs w:val="18"/>
              </w:rPr>
            </w:pPr>
            <w:r w:rsidRPr="00A75B3A">
              <w:rPr>
                <w:sz w:val="18"/>
                <w:szCs w:val="18"/>
              </w:rPr>
              <w:t>25.0</w:t>
            </w:r>
          </w:p>
        </w:tc>
        <w:tc>
          <w:tcPr>
            <w:tcW w:w="0" w:type="auto"/>
            <w:shd w:val="clear" w:color="auto" w:fill="FFFFFF" w:themeFill="background1"/>
            <w:hideMark/>
          </w:tcPr>
          <w:p w14:paraId="71733C0E" w14:textId="77777777" w:rsidR="006E243E" w:rsidRPr="00A75B3A" w:rsidRDefault="006E243E" w:rsidP="00A75B3A">
            <w:pPr>
              <w:pStyle w:val="NormalWeb"/>
              <w:jc w:val="center"/>
              <w:rPr>
                <w:sz w:val="18"/>
                <w:szCs w:val="18"/>
              </w:rPr>
            </w:pPr>
            <w:r w:rsidRPr="00A75B3A">
              <w:rPr>
                <w:sz w:val="18"/>
                <w:szCs w:val="18"/>
              </w:rPr>
              <w:t>82.4</w:t>
            </w:r>
          </w:p>
        </w:tc>
        <w:tc>
          <w:tcPr>
            <w:tcW w:w="0" w:type="auto"/>
            <w:shd w:val="clear" w:color="auto" w:fill="FFFFFF" w:themeFill="background1"/>
            <w:hideMark/>
          </w:tcPr>
          <w:p w14:paraId="6CD3C6F1" w14:textId="77777777" w:rsidR="006E243E" w:rsidRPr="00A75B3A" w:rsidRDefault="006E243E" w:rsidP="00A75B3A">
            <w:pPr>
              <w:pStyle w:val="NormalWeb"/>
              <w:jc w:val="center"/>
              <w:rPr>
                <w:sz w:val="18"/>
                <w:szCs w:val="18"/>
              </w:rPr>
            </w:pPr>
            <w:r w:rsidRPr="00A75B3A">
              <w:rPr>
                <w:sz w:val="18"/>
                <w:szCs w:val="18"/>
              </w:rPr>
              <w:t>16</w:t>
            </w:r>
          </w:p>
        </w:tc>
        <w:tc>
          <w:tcPr>
            <w:tcW w:w="0" w:type="auto"/>
            <w:shd w:val="clear" w:color="auto" w:fill="FFFFFF" w:themeFill="background1"/>
            <w:hideMark/>
          </w:tcPr>
          <w:p w14:paraId="1383EE16" w14:textId="77777777" w:rsidR="006E243E" w:rsidRPr="00A75B3A" w:rsidRDefault="006E243E" w:rsidP="00A75B3A">
            <w:pPr>
              <w:pStyle w:val="NormalWeb"/>
              <w:jc w:val="center"/>
              <w:rPr>
                <w:sz w:val="18"/>
                <w:szCs w:val="18"/>
              </w:rPr>
            </w:pPr>
            <w:r w:rsidRPr="00A75B3A">
              <w:rPr>
                <w:sz w:val="18"/>
                <w:szCs w:val="18"/>
              </w:rPr>
              <w:t>1</w:t>
            </w:r>
          </w:p>
        </w:tc>
      </w:tr>
      <w:tr w:rsidR="00CE58C9" w:rsidRPr="00A75B3A" w14:paraId="328CDCAA" w14:textId="77777777" w:rsidTr="00FB2781">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808080" w:themeFill="background1" w:themeFillShade="80"/>
            <w:hideMark/>
          </w:tcPr>
          <w:p w14:paraId="1A455794"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713D97F6" w14:textId="68727962" w:rsidR="006E243E" w:rsidRPr="00A32B0E" w:rsidRDefault="00957A93" w:rsidP="00957A93">
            <w:pPr>
              <w:pStyle w:val="NormalWeb"/>
              <w:rPr>
                <w:b/>
                <w:color w:val="FFFFFF" w:themeColor="background1"/>
                <w:sz w:val="18"/>
                <w:szCs w:val="18"/>
              </w:rPr>
            </w:pPr>
            <w:proofErr w:type="spellStart"/>
            <w:r w:rsidRPr="00A32B0E">
              <w:rPr>
                <w:b/>
                <w:color w:val="FFFFFF" w:themeColor="background1"/>
                <w:sz w:val="18"/>
                <w:szCs w:val="18"/>
              </w:rPr>
              <w:t>Influenza</w:t>
            </w:r>
            <w:r>
              <w:rPr>
                <w:b/>
                <w:color w:val="FFFFFF" w:themeColor="background1"/>
                <w:sz w:val="18"/>
                <w:szCs w:val="18"/>
                <w:vertAlign w:val="superscript"/>
              </w:rPr>
              <w:t>c</w:t>
            </w:r>
            <w:proofErr w:type="spellEnd"/>
          </w:p>
        </w:tc>
        <w:tc>
          <w:tcPr>
            <w:tcW w:w="0" w:type="auto"/>
            <w:shd w:val="clear" w:color="auto" w:fill="FFFFFF" w:themeFill="background1"/>
            <w:hideMark/>
          </w:tcPr>
          <w:p w14:paraId="62FBB858" w14:textId="77777777" w:rsidR="006E243E" w:rsidRPr="00A75B3A" w:rsidRDefault="006E243E" w:rsidP="00A75B3A">
            <w:pPr>
              <w:pStyle w:val="NormalWeb"/>
              <w:jc w:val="center"/>
              <w:rPr>
                <w:sz w:val="18"/>
                <w:szCs w:val="18"/>
              </w:rPr>
            </w:pPr>
            <w:r w:rsidRPr="00A75B3A">
              <w:rPr>
                <w:sz w:val="18"/>
                <w:szCs w:val="18"/>
              </w:rPr>
              <w:t>41.6</w:t>
            </w:r>
          </w:p>
        </w:tc>
        <w:tc>
          <w:tcPr>
            <w:tcW w:w="0" w:type="auto"/>
            <w:shd w:val="clear" w:color="auto" w:fill="FFFFFF" w:themeFill="background1"/>
            <w:hideMark/>
          </w:tcPr>
          <w:p w14:paraId="6DDBEB19" w14:textId="77777777" w:rsidR="006E243E" w:rsidRPr="00A75B3A" w:rsidRDefault="006E243E" w:rsidP="00A75B3A">
            <w:pPr>
              <w:pStyle w:val="NormalWeb"/>
              <w:jc w:val="center"/>
              <w:rPr>
                <w:sz w:val="18"/>
                <w:szCs w:val="18"/>
              </w:rPr>
            </w:pPr>
            <w:r w:rsidRPr="00A75B3A">
              <w:rPr>
                <w:sz w:val="18"/>
                <w:szCs w:val="18"/>
              </w:rPr>
              <w:t>58.4</w:t>
            </w:r>
          </w:p>
        </w:tc>
        <w:tc>
          <w:tcPr>
            <w:tcW w:w="0" w:type="auto"/>
            <w:shd w:val="clear" w:color="auto" w:fill="FFFFFF" w:themeFill="background1"/>
            <w:hideMark/>
          </w:tcPr>
          <w:p w14:paraId="28D703D6" w14:textId="77777777" w:rsidR="006E243E" w:rsidRPr="00A75B3A" w:rsidRDefault="006E243E" w:rsidP="00A75B3A">
            <w:pPr>
              <w:pStyle w:val="NormalWeb"/>
              <w:jc w:val="center"/>
              <w:rPr>
                <w:sz w:val="18"/>
                <w:szCs w:val="18"/>
              </w:rPr>
            </w:pPr>
            <w:r w:rsidRPr="00A75B3A">
              <w:rPr>
                <w:sz w:val="18"/>
                <w:szCs w:val="18"/>
              </w:rPr>
              <w:t>66.9</w:t>
            </w:r>
          </w:p>
        </w:tc>
        <w:tc>
          <w:tcPr>
            <w:tcW w:w="0" w:type="auto"/>
            <w:shd w:val="clear" w:color="auto" w:fill="FFFFFF" w:themeFill="background1"/>
            <w:hideMark/>
          </w:tcPr>
          <w:p w14:paraId="5BBAF5FE" w14:textId="77777777" w:rsidR="006E243E" w:rsidRPr="00A75B3A" w:rsidRDefault="006E243E" w:rsidP="00A75B3A">
            <w:pPr>
              <w:pStyle w:val="NormalWeb"/>
              <w:jc w:val="center"/>
              <w:rPr>
                <w:sz w:val="18"/>
                <w:szCs w:val="18"/>
              </w:rPr>
            </w:pPr>
            <w:r w:rsidRPr="00A75B3A">
              <w:rPr>
                <w:sz w:val="18"/>
                <w:szCs w:val="18"/>
              </w:rPr>
              <w:t>26.5</w:t>
            </w:r>
          </w:p>
        </w:tc>
        <w:tc>
          <w:tcPr>
            <w:tcW w:w="0" w:type="auto"/>
            <w:shd w:val="clear" w:color="auto" w:fill="FFFFFF" w:themeFill="background1"/>
            <w:hideMark/>
          </w:tcPr>
          <w:p w14:paraId="2E7BF587" w14:textId="77777777" w:rsidR="006E243E" w:rsidRPr="00A75B3A" w:rsidRDefault="006E243E" w:rsidP="00A75B3A">
            <w:pPr>
              <w:pStyle w:val="NormalWeb"/>
              <w:jc w:val="center"/>
              <w:rPr>
                <w:sz w:val="18"/>
                <w:szCs w:val="18"/>
              </w:rPr>
            </w:pPr>
            <w:r w:rsidRPr="00A75B3A">
              <w:rPr>
                <w:sz w:val="18"/>
                <w:szCs w:val="18"/>
              </w:rPr>
              <w:t>6.6</w:t>
            </w:r>
          </w:p>
        </w:tc>
        <w:tc>
          <w:tcPr>
            <w:tcW w:w="0" w:type="auto"/>
            <w:shd w:val="clear" w:color="auto" w:fill="FFFFFF" w:themeFill="background1"/>
            <w:hideMark/>
          </w:tcPr>
          <w:p w14:paraId="6487173B" w14:textId="77777777" w:rsidR="006E243E" w:rsidRPr="00A75B3A" w:rsidRDefault="006E243E" w:rsidP="00A75B3A">
            <w:pPr>
              <w:pStyle w:val="NormalWeb"/>
              <w:jc w:val="center"/>
              <w:rPr>
                <w:sz w:val="18"/>
                <w:szCs w:val="18"/>
              </w:rPr>
            </w:pPr>
            <w:r w:rsidRPr="00A75B3A">
              <w:rPr>
                <w:sz w:val="18"/>
                <w:szCs w:val="18"/>
              </w:rPr>
              <w:t>34.3</w:t>
            </w:r>
          </w:p>
        </w:tc>
        <w:tc>
          <w:tcPr>
            <w:tcW w:w="0" w:type="auto"/>
            <w:shd w:val="clear" w:color="auto" w:fill="FFFFFF" w:themeFill="background1"/>
            <w:hideMark/>
          </w:tcPr>
          <w:p w14:paraId="2D930E72" w14:textId="77777777" w:rsidR="006E243E" w:rsidRPr="00A75B3A" w:rsidRDefault="006E243E" w:rsidP="00A75B3A">
            <w:pPr>
              <w:pStyle w:val="NormalWeb"/>
              <w:jc w:val="center"/>
              <w:rPr>
                <w:sz w:val="18"/>
                <w:szCs w:val="18"/>
              </w:rPr>
            </w:pPr>
            <w:r w:rsidRPr="00A75B3A">
              <w:rPr>
                <w:sz w:val="18"/>
                <w:szCs w:val="18"/>
              </w:rPr>
              <w:t>12,784</w:t>
            </w:r>
          </w:p>
        </w:tc>
        <w:tc>
          <w:tcPr>
            <w:tcW w:w="0" w:type="auto"/>
            <w:shd w:val="clear" w:color="auto" w:fill="FFFFFF" w:themeFill="background1"/>
            <w:hideMark/>
          </w:tcPr>
          <w:p w14:paraId="7D9E0759" w14:textId="77777777" w:rsidR="006E243E" w:rsidRPr="00A75B3A" w:rsidRDefault="006E243E" w:rsidP="00A75B3A">
            <w:pPr>
              <w:pStyle w:val="NormalWeb"/>
              <w:jc w:val="center"/>
              <w:rPr>
                <w:sz w:val="18"/>
                <w:szCs w:val="18"/>
              </w:rPr>
            </w:pPr>
            <w:r w:rsidRPr="00A75B3A">
              <w:rPr>
                <w:sz w:val="18"/>
                <w:szCs w:val="18"/>
              </w:rPr>
              <w:t>48,199</w:t>
            </w:r>
          </w:p>
        </w:tc>
      </w:tr>
      <w:tr w:rsidR="00ED0F1A" w:rsidRPr="00A75B3A" w14:paraId="60F28076" w14:textId="77777777" w:rsidTr="00FB2781">
        <w:tc>
          <w:tcPr>
            <w:tcW w:w="0" w:type="auto"/>
            <w:vMerge/>
            <w:shd w:val="clear" w:color="auto" w:fill="808080" w:themeFill="background1" w:themeFillShade="80"/>
            <w:hideMark/>
          </w:tcPr>
          <w:p w14:paraId="60FA3EFF"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7B4FA349"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Campylobacteriosis</w:t>
            </w:r>
          </w:p>
        </w:tc>
        <w:tc>
          <w:tcPr>
            <w:tcW w:w="0" w:type="auto"/>
            <w:shd w:val="clear" w:color="auto" w:fill="FFFFFF" w:themeFill="background1"/>
            <w:hideMark/>
          </w:tcPr>
          <w:p w14:paraId="393821E1" w14:textId="77777777" w:rsidR="006E243E" w:rsidRPr="00A75B3A" w:rsidRDefault="006E243E" w:rsidP="00A75B3A">
            <w:pPr>
              <w:pStyle w:val="NormalWeb"/>
              <w:jc w:val="center"/>
              <w:rPr>
                <w:sz w:val="18"/>
                <w:szCs w:val="18"/>
              </w:rPr>
            </w:pPr>
            <w:r w:rsidRPr="00A75B3A">
              <w:rPr>
                <w:sz w:val="18"/>
                <w:szCs w:val="18"/>
              </w:rPr>
              <w:t>45.7</w:t>
            </w:r>
          </w:p>
        </w:tc>
        <w:tc>
          <w:tcPr>
            <w:tcW w:w="0" w:type="auto"/>
            <w:shd w:val="clear" w:color="auto" w:fill="FFFFFF" w:themeFill="background1"/>
            <w:hideMark/>
          </w:tcPr>
          <w:p w14:paraId="3978800B" w14:textId="77777777" w:rsidR="006E243E" w:rsidRPr="00A75B3A" w:rsidRDefault="006E243E" w:rsidP="00A75B3A">
            <w:pPr>
              <w:pStyle w:val="NormalWeb"/>
              <w:jc w:val="center"/>
              <w:rPr>
                <w:sz w:val="18"/>
                <w:szCs w:val="18"/>
              </w:rPr>
            </w:pPr>
            <w:r w:rsidRPr="00A75B3A">
              <w:rPr>
                <w:sz w:val="18"/>
                <w:szCs w:val="18"/>
              </w:rPr>
              <w:t>54.3</w:t>
            </w:r>
          </w:p>
        </w:tc>
        <w:tc>
          <w:tcPr>
            <w:tcW w:w="0" w:type="auto"/>
            <w:shd w:val="clear" w:color="auto" w:fill="FFFFFF" w:themeFill="background1"/>
            <w:hideMark/>
          </w:tcPr>
          <w:p w14:paraId="5ED4EE86" w14:textId="77777777" w:rsidR="006E243E" w:rsidRPr="00A75B3A" w:rsidRDefault="006E243E" w:rsidP="00A75B3A">
            <w:pPr>
              <w:pStyle w:val="NormalWeb"/>
              <w:jc w:val="center"/>
              <w:rPr>
                <w:sz w:val="18"/>
                <w:szCs w:val="18"/>
              </w:rPr>
            </w:pPr>
            <w:r w:rsidRPr="00A75B3A">
              <w:rPr>
                <w:sz w:val="18"/>
                <w:szCs w:val="18"/>
              </w:rPr>
              <w:t>40.9</w:t>
            </w:r>
          </w:p>
        </w:tc>
        <w:tc>
          <w:tcPr>
            <w:tcW w:w="0" w:type="auto"/>
            <w:shd w:val="clear" w:color="auto" w:fill="FFFFFF" w:themeFill="background1"/>
            <w:hideMark/>
          </w:tcPr>
          <w:p w14:paraId="29CF844A" w14:textId="77777777" w:rsidR="006E243E" w:rsidRPr="00A75B3A" w:rsidRDefault="006E243E" w:rsidP="00A75B3A">
            <w:pPr>
              <w:pStyle w:val="NormalWeb"/>
              <w:jc w:val="center"/>
              <w:rPr>
                <w:sz w:val="18"/>
                <w:szCs w:val="18"/>
              </w:rPr>
            </w:pPr>
            <w:r w:rsidRPr="00A75B3A">
              <w:rPr>
                <w:sz w:val="18"/>
                <w:szCs w:val="18"/>
              </w:rPr>
              <w:t>46.5</w:t>
            </w:r>
          </w:p>
        </w:tc>
        <w:tc>
          <w:tcPr>
            <w:tcW w:w="0" w:type="auto"/>
            <w:shd w:val="clear" w:color="auto" w:fill="FFFFFF" w:themeFill="background1"/>
            <w:hideMark/>
          </w:tcPr>
          <w:p w14:paraId="1912DD28" w14:textId="77777777" w:rsidR="006E243E" w:rsidRPr="00A75B3A" w:rsidRDefault="006E243E" w:rsidP="00A75B3A">
            <w:pPr>
              <w:pStyle w:val="NormalWeb"/>
              <w:jc w:val="center"/>
              <w:rPr>
                <w:sz w:val="18"/>
                <w:szCs w:val="18"/>
              </w:rPr>
            </w:pPr>
            <w:r w:rsidRPr="00A75B3A">
              <w:rPr>
                <w:sz w:val="18"/>
                <w:szCs w:val="18"/>
              </w:rPr>
              <w:t>12.6</w:t>
            </w:r>
          </w:p>
        </w:tc>
        <w:tc>
          <w:tcPr>
            <w:tcW w:w="0" w:type="auto"/>
            <w:shd w:val="clear" w:color="auto" w:fill="FFFFFF" w:themeFill="background1"/>
            <w:hideMark/>
          </w:tcPr>
          <w:p w14:paraId="03BB0BF2" w14:textId="77777777" w:rsidR="006E243E" w:rsidRPr="00A75B3A" w:rsidRDefault="006E243E" w:rsidP="00A75B3A">
            <w:pPr>
              <w:pStyle w:val="NormalWeb"/>
              <w:jc w:val="center"/>
              <w:rPr>
                <w:sz w:val="18"/>
                <w:szCs w:val="18"/>
              </w:rPr>
            </w:pPr>
            <w:r w:rsidRPr="00A75B3A">
              <w:rPr>
                <w:sz w:val="18"/>
                <w:szCs w:val="18"/>
              </w:rPr>
              <w:t>41.8</w:t>
            </w:r>
          </w:p>
        </w:tc>
        <w:tc>
          <w:tcPr>
            <w:tcW w:w="0" w:type="auto"/>
            <w:shd w:val="clear" w:color="auto" w:fill="FFFFFF" w:themeFill="background1"/>
            <w:hideMark/>
          </w:tcPr>
          <w:p w14:paraId="39C5F02C" w14:textId="77777777" w:rsidR="006E243E" w:rsidRPr="00A75B3A" w:rsidRDefault="006E243E" w:rsidP="00A75B3A">
            <w:pPr>
              <w:pStyle w:val="NormalWeb"/>
              <w:jc w:val="center"/>
              <w:rPr>
                <w:sz w:val="18"/>
                <w:szCs w:val="18"/>
              </w:rPr>
            </w:pPr>
            <w:r w:rsidRPr="00A75B3A">
              <w:rPr>
                <w:sz w:val="18"/>
                <w:szCs w:val="18"/>
              </w:rPr>
              <w:t>8,238</w:t>
            </w:r>
          </w:p>
        </w:tc>
        <w:tc>
          <w:tcPr>
            <w:tcW w:w="0" w:type="auto"/>
            <w:shd w:val="clear" w:color="auto" w:fill="FFFFFF" w:themeFill="background1"/>
            <w:hideMark/>
          </w:tcPr>
          <w:p w14:paraId="799B96BB" w14:textId="77777777" w:rsidR="006E243E" w:rsidRPr="00A75B3A" w:rsidRDefault="006E243E" w:rsidP="00A75B3A">
            <w:pPr>
              <w:pStyle w:val="NormalWeb"/>
              <w:jc w:val="center"/>
              <w:rPr>
                <w:sz w:val="18"/>
                <w:szCs w:val="18"/>
              </w:rPr>
            </w:pPr>
            <w:r w:rsidRPr="00A75B3A">
              <w:rPr>
                <w:sz w:val="18"/>
                <w:szCs w:val="18"/>
              </w:rPr>
              <w:t>6,857</w:t>
            </w:r>
          </w:p>
        </w:tc>
      </w:tr>
      <w:tr w:rsidR="00CE58C9" w:rsidRPr="00A75B3A" w14:paraId="7CCE79DA" w14:textId="77777777" w:rsidTr="00FB2781">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808080" w:themeFill="background1" w:themeFillShade="80"/>
            <w:hideMark/>
          </w:tcPr>
          <w:p w14:paraId="52372ADF"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29749E74"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Leptospirosis</w:t>
            </w:r>
          </w:p>
        </w:tc>
        <w:tc>
          <w:tcPr>
            <w:tcW w:w="0" w:type="auto"/>
            <w:shd w:val="clear" w:color="auto" w:fill="FFFFFF" w:themeFill="background1"/>
            <w:hideMark/>
          </w:tcPr>
          <w:p w14:paraId="79EFA220" w14:textId="77777777" w:rsidR="006E243E" w:rsidRPr="00A75B3A" w:rsidRDefault="006E243E" w:rsidP="00A75B3A">
            <w:pPr>
              <w:pStyle w:val="NormalWeb"/>
              <w:jc w:val="center"/>
              <w:rPr>
                <w:sz w:val="18"/>
                <w:szCs w:val="18"/>
              </w:rPr>
            </w:pPr>
            <w:r w:rsidRPr="00A75B3A">
              <w:rPr>
                <w:sz w:val="18"/>
                <w:szCs w:val="18"/>
              </w:rPr>
              <w:t>58.1</w:t>
            </w:r>
          </w:p>
        </w:tc>
        <w:tc>
          <w:tcPr>
            <w:tcW w:w="0" w:type="auto"/>
            <w:shd w:val="clear" w:color="auto" w:fill="FFFFFF" w:themeFill="background1"/>
            <w:hideMark/>
          </w:tcPr>
          <w:p w14:paraId="792BAB98" w14:textId="77777777" w:rsidR="006E243E" w:rsidRPr="00A75B3A" w:rsidRDefault="006E243E" w:rsidP="00A75B3A">
            <w:pPr>
              <w:pStyle w:val="NormalWeb"/>
              <w:jc w:val="center"/>
              <w:rPr>
                <w:sz w:val="18"/>
                <w:szCs w:val="18"/>
              </w:rPr>
            </w:pPr>
            <w:r w:rsidRPr="00A75B3A">
              <w:rPr>
                <w:sz w:val="18"/>
                <w:szCs w:val="18"/>
              </w:rPr>
              <w:t>41.9</w:t>
            </w:r>
          </w:p>
        </w:tc>
        <w:tc>
          <w:tcPr>
            <w:tcW w:w="0" w:type="auto"/>
            <w:shd w:val="clear" w:color="auto" w:fill="FFFFFF" w:themeFill="background1"/>
            <w:hideMark/>
          </w:tcPr>
          <w:p w14:paraId="1B62DDBB" w14:textId="77777777" w:rsidR="006E243E" w:rsidRPr="00A75B3A" w:rsidRDefault="006E243E" w:rsidP="00A75B3A">
            <w:pPr>
              <w:pStyle w:val="NormalWeb"/>
              <w:jc w:val="center"/>
              <w:rPr>
                <w:sz w:val="18"/>
                <w:szCs w:val="18"/>
              </w:rPr>
            </w:pPr>
            <w:r w:rsidRPr="00A75B3A">
              <w:rPr>
                <w:sz w:val="18"/>
                <w:szCs w:val="18"/>
              </w:rPr>
              <w:t>29.0</w:t>
            </w:r>
          </w:p>
        </w:tc>
        <w:tc>
          <w:tcPr>
            <w:tcW w:w="0" w:type="auto"/>
            <w:shd w:val="clear" w:color="auto" w:fill="FFFFFF" w:themeFill="background1"/>
            <w:hideMark/>
          </w:tcPr>
          <w:p w14:paraId="3AE11DFC" w14:textId="77777777" w:rsidR="006E243E" w:rsidRPr="00A75B3A" w:rsidRDefault="006E243E" w:rsidP="00A75B3A">
            <w:pPr>
              <w:pStyle w:val="NormalWeb"/>
              <w:jc w:val="center"/>
              <w:rPr>
                <w:sz w:val="18"/>
                <w:szCs w:val="18"/>
              </w:rPr>
            </w:pPr>
            <w:r w:rsidRPr="00A75B3A">
              <w:rPr>
                <w:sz w:val="18"/>
                <w:szCs w:val="18"/>
              </w:rPr>
              <w:t>54.8</w:t>
            </w:r>
          </w:p>
        </w:tc>
        <w:tc>
          <w:tcPr>
            <w:tcW w:w="0" w:type="auto"/>
            <w:shd w:val="clear" w:color="auto" w:fill="FFFFFF" w:themeFill="background1"/>
            <w:hideMark/>
          </w:tcPr>
          <w:p w14:paraId="69481839" w14:textId="77777777" w:rsidR="006E243E" w:rsidRPr="00A75B3A" w:rsidRDefault="006E243E" w:rsidP="00A75B3A">
            <w:pPr>
              <w:pStyle w:val="NormalWeb"/>
              <w:jc w:val="center"/>
              <w:rPr>
                <w:sz w:val="18"/>
                <w:szCs w:val="18"/>
              </w:rPr>
            </w:pPr>
            <w:r w:rsidRPr="00A75B3A">
              <w:rPr>
                <w:sz w:val="18"/>
                <w:szCs w:val="18"/>
              </w:rPr>
              <w:t>16.1</w:t>
            </w:r>
          </w:p>
        </w:tc>
        <w:tc>
          <w:tcPr>
            <w:tcW w:w="0" w:type="auto"/>
            <w:shd w:val="clear" w:color="auto" w:fill="FFFFFF" w:themeFill="background1"/>
            <w:hideMark/>
          </w:tcPr>
          <w:p w14:paraId="0DD62E15" w14:textId="77777777" w:rsidR="006E243E" w:rsidRPr="00A75B3A" w:rsidRDefault="006E243E" w:rsidP="00A75B3A">
            <w:pPr>
              <w:pStyle w:val="NormalWeb"/>
              <w:jc w:val="center"/>
              <w:rPr>
                <w:sz w:val="18"/>
                <w:szCs w:val="18"/>
              </w:rPr>
            </w:pPr>
            <w:r w:rsidRPr="00A75B3A">
              <w:rPr>
                <w:sz w:val="18"/>
                <w:szCs w:val="18"/>
              </w:rPr>
              <w:t>100.0</w:t>
            </w:r>
          </w:p>
        </w:tc>
        <w:tc>
          <w:tcPr>
            <w:tcW w:w="0" w:type="auto"/>
            <w:shd w:val="clear" w:color="auto" w:fill="FFFFFF" w:themeFill="background1"/>
            <w:hideMark/>
          </w:tcPr>
          <w:p w14:paraId="6CB29A44" w14:textId="77777777" w:rsidR="006E243E" w:rsidRPr="00A75B3A" w:rsidRDefault="006E243E" w:rsidP="00A75B3A">
            <w:pPr>
              <w:pStyle w:val="NormalWeb"/>
              <w:jc w:val="center"/>
              <w:rPr>
                <w:sz w:val="18"/>
                <w:szCs w:val="18"/>
              </w:rPr>
            </w:pPr>
            <w:r w:rsidRPr="00A75B3A">
              <w:rPr>
                <w:sz w:val="18"/>
                <w:szCs w:val="18"/>
              </w:rPr>
              <w:t>17</w:t>
            </w:r>
          </w:p>
        </w:tc>
        <w:tc>
          <w:tcPr>
            <w:tcW w:w="0" w:type="auto"/>
            <w:shd w:val="clear" w:color="auto" w:fill="FFFFFF" w:themeFill="background1"/>
            <w:hideMark/>
          </w:tcPr>
          <w:p w14:paraId="1AD51D37" w14:textId="77777777" w:rsidR="006E243E" w:rsidRPr="00A75B3A" w:rsidRDefault="006E243E" w:rsidP="00A75B3A">
            <w:pPr>
              <w:pStyle w:val="NormalWeb"/>
              <w:jc w:val="center"/>
              <w:rPr>
                <w:sz w:val="18"/>
                <w:szCs w:val="18"/>
              </w:rPr>
            </w:pPr>
            <w:r w:rsidRPr="00A75B3A">
              <w:rPr>
                <w:sz w:val="18"/>
                <w:szCs w:val="18"/>
              </w:rPr>
              <w:t>14</w:t>
            </w:r>
          </w:p>
        </w:tc>
      </w:tr>
      <w:tr w:rsidR="00ED0F1A" w:rsidRPr="00A75B3A" w14:paraId="2F064D85" w14:textId="77777777" w:rsidTr="00FB2781">
        <w:tc>
          <w:tcPr>
            <w:tcW w:w="0" w:type="auto"/>
            <w:vMerge/>
            <w:shd w:val="clear" w:color="auto" w:fill="808080" w:themeFill="background1" w:themeFillShade="80"/>
            <w:hideMark/>
          </w:tcPr>
          <w:p w14:paraId="1825AD37"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7872C4C2"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Psittacosis</w:t>
            </w:r>
          </w:p>
        </w:tc>
        <w:tc>
          <w:tcPr>
            <w:tcW w:w="0" w:type="auto"/>
            <w:shd w:val="clear" w:color="auto" w:fill="FFFFFF" w:themeFill="background1"/>
            <w:hideMark/>
          </w:tcPr>
          <w:p w14:paraId="65F34601" w14:textId="77777777" w:rsidR="006E243E" w:rsidRPr="00A75B3A" w:rsidRDefault="006E243E" w:rsidP="00A75B3A">
            <w:pPr>
              <w:pStyle w:val="NormalWeb"/>
              <w:jc w:val="center"/>
              <w:rPr>
                <w:sz w:val="18"/>
                <w:szCs w:val="18"/>
              </w:rPr>
            </w:pPr>
            <w:r w:rsidRPr="00A75B3A">
              <w:rPr>
                <w:sz w:val="18"/>
                <w:szCs w:val="18"/>
              </w:rPr>
              <w:t>31.8</w:t>
            </w:r>
          </w:p>
        </w:tc>
        <w:tc>
          <w:tcPr>
            <w:tcW w:w="0" w:type="auto"/>
            <w:shd w:val="clear" w:color="auto" w:fill="FFFFFF" w:themeFill="background1"/>
            <w:hideMark/>
          </w:tcPr>
          <w:p w14:paraId="40D17432" w14:textId="77777777" w:rsidR="006E243E" w:rsidRPr="00A75B3A" w:rsidRDefault="006E243E" w:rsidP="00A75B3A">
            <w:pPr>
              <w:pStyle w:val="NormalWeb"/>
              <w:jc w:val="center"/>
              <w:rPr>
                <w:sz w:val="18"/>
                <w:szCs w:val="18"/>
              </w:rPr>
            </w:pPr>
            <w:r w:rsidRPr="00A75B3A">
              <w:rPr>
                <w:sz w:val="18"/>
                <w:szCs w:val="18"/>
              </w:rPr>
              <w:t>68.2</w:t>
            </w:r>
          </w:p>
        </w:tc>
        <w:tc>
          <w:tcPr>
            <w:tcW w:w="0" w:type="auto"/>
            <w:shd w:val="clear" w:color="auto" w:fill="FFFFFF" w:themeFill="background1"/>
            <w:hideMark/>
          </w:tcPr>
          <w:p w14:paraId="3E638838" w14:textId="77777777" w:rsidR="006E243E" w:rsidRPr="00A75B3A" w:rsidRDefault="006E243E" w:rsidP="00A75B3A">
            <w:pPr>
              <w:pStyle w:val="NormalWeb"/>
              <w:jc w:val="center"/>
              <w:rPr>
                <w:sz w:val="18"/>
                <w:szCs w:val="18"/>
              </w:rPr>
            </w:pPr>
            <w:r w:rsidRPr="00A75B3A">
              <w:rPr>
                <w:sz w:val="18"/>
                <w:szCs w:val="18"/>
              </w:rPr>
              <w:t>59.1</w:t>
            </w:r>
          </w:p>
        </w:tc>
        <w:tc>
          <w:tcPr>
            <w:tcW w:w="0" w:type="auto"/>
            <w:shd w:val="clear" w:color="auto" w:fill="FFFFFF" w:themeFill="background1"/>
            <w:hideMark/>
          </w:tcPr>
          <w:p w14:paraId="0B6D8EF5" w14:textId="77777777" w:rsidR="006E243E" w:rsidRPr="00A75B3A" w:rsidRDefault="006E243E" w:rsidP="00A75B3A">
            <w:pPr>
              <w:pStyle w:val="NormalWeb"/>
              <w:jc w:val="center"/>
              <w:rPr>
                <w:sz w:val="18"/>
                <w:szCs w:val="18"/>
              </w:rPr>
            </w:pPr>
            <w:r w:rsidRPr="00A75B3A">
              <w:rPr>
                <w:sz w:val="18"/>
                <w:szCs w:val="18"/>
              </w:rPr>
              <w:t>40.9</w:t>
            </w:r>
          </w:p>
        </w:tc>
        <w:tc>
          <w:tcPr>
            <w:tcW w:w="0" w:type="auto"/>
            <w:shd w:val="clear" w:color="auto" w:fill="FFFFFF" w:themeFill="background1"/>
            <w:hideMark/>
          </w:tcPr>
          <w:p w14:paraId="051212D7" w14:textId="77777777" w:rsidR="006E243E" w:rsidRPr="00A75B3A" w:rsidRDefault="006E243E" w:rsidP="00A75B3A">
            <w:pPr>
              <w:pStyle w:val="NormalWeb"/>
              <w:jc w:val="center"/>
              <w:rPr>
                <w:sz w:val="18"/>
                <w:szCs w:val="18"/>
              </w:rPr>
            </w:pPr>
            <w:r w:rsidRPr="00A75B3A">
              <w:rPr>
                <w:sz w:val="18"/>
                <w:szCs w:val="18"/>
              </w:rPr>
              <w:t>0</w:t>
            </w:r>
          </w:p>
        </w:tc>
        <w:tc>
          <w:tcPr>
            <w:tcW w:w="0" w:type="auto"/>
            <w:shd w:val="clear" w:color="auto" w:fill="FFFFFF" w:themeFill="background1"/>
            <w:hideMark/>
          </w:tcPr>
          <w:p w14:paraId="216980AC" w14:textId="77777777" w:rsidR="006E243E" w:rsidRPr="00A75B3A" w:rsidRDefault="006E243E" w:rsidP="00A75B3A">
            <w:pPr>
              <w:pStyle w:val="NormalWeb"/>
              <w:jc w:val="center"/>
              <w:rPr>
                <w:sz w:val="18"/>
                <w:szCs w:val="18"/>
              </w:rPr>
            </w:pPr>
            <w:r w:rsidRPr="00A75B3A">
              <w:rPr>
                <w:sz w:val="18"/>
                <w:szCs w:val="18"/>
              </w:rPr>
              <w:t>90.9</w:t>
            </w:r>
          </w:p>
        </w:tc>
        <w:tc>
          <w:tcPr>
            <w:tcW w:w="0" w:type="auto"/>
            <w:shd w:val="clear" w:color="auto" w:fill="FFFFFF" w:themeFill="background1"/>
            <w:hideMark/>
          </w:tcPr>
          <w:p w14:paraId="677A13A9" w14:textId="77777777" w:rsidR="006E243E" w:rsidRPr="00A75B3A" w:rsidRDefault="006E243E" w:rsidP="00A75B3A">
            <w:pPr>
              <w:pStyle w:val="NormalWeb"/>
              <w:jc w:val="center"/>
              <w:rPr>
                <w:sz w:val="18"/>
                <w:szCs w:val="18"/>
              </w:rPr>
            </w:pPr>
            <w:r w:rsidRPr="00A75B3A">
              <w:rPr>
                <w:sz w:val="18"/>
                <w:szCs w:val="18"/>
              </w:rPr>
              <w:t>10</w:t>
            </w:r>
          </w:p>
        </w:tc>
        <w:tc>
          <w:tcPr>
            <w:tcW w:w="0" w:type="auto"/>
            <w:shd w:val="clear" w:color="auto" w:fill="FFFFFF" w:themeFill="background1"/>
            <w:hideMark/>
          </w:tcPr>
          <w:p w14:paraId="515117AE" w14:textId="77777777" w:rsidR="006E243E" w:rsidRPr="00A75B3A" w:rsidRDefault="006E243E" w:rsidP="00A75B3A">
            <w:pPr>
              <w:pStyle w:val="NormalWeb"/>
              <w:jc w:val="center"/>
              <w:rPr>
                <w:sz w:val="18"/>
                <w:szCs w:val="18"/>
              </w:rPr>
            </w:pPr>
            <w:r w:rsidRPr="00A75B3A">
              <w:rPr>
                <w:sz w:val="18"/>
                <w:szCs w:val="18"/>
              </w:rPr>
              <w:t>12</w:t>
            </w:r>
          </w:p>
        </w:tc>
      </w:tr>
      <w:tr w:rsidR="00CE58C9" w:rsidRPr="00A75B3A" w14:paraId="2DB58321" w14:textId="77777777" w:rsidTr="00FB2781">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808080" w:themeFill="background1" w:themeFillShade="80"/>
            <w:hideMark/>
          </w:tcPr>
          <w:p w14:paraId="1FD8C2F5" w14:textId="77777777" w:rsidR="006E243E" w:rsidRPr="00A32B0E" w:rsidRDefault="006E243E">
            <w:pPr>
              <w:rPr>
                <w:b/>
                <w:color w:val="FFFFFF" w:themeColor="background1"/>
                <w:sz w:val="18"/>
                <w:szCs w:val="18"/>
              </w:rPr>
            </w:pPr>
          </w:p>
        </w:tc>
        <w:tc>
          <w:tcPr>
            <w:tcW w:w="0" w:type="auto"/>
            <w:shd w:val="clear" w:color="auto" w:fill="808080" w:themeFill="background1" w:themeFillShade="80"/>
            <w:hideMark/>
          </w:tcPr>
          <w:p w14:paraId="59BBEA19"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Hepatitis viral (not further specified)</w:t>
            </w:r>
          </w:p>
        </w:tc>
        <w:tc>
          <w:tcPr>
            <w:tcW w:w="0" w:type="auto"/>
            <w:shd w:val="clear" w:color="auto" w:fill="FFFFFF" w:themeFill="background1"/>
            <w:hideMark/>
          </w:tcPr>
          <w:p w14:paraId="1910AAA9"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2F6FC640"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6E154935"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41A66CCA"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28A86903"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5FD15395"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7C805D82" w14:textId="77777777" w:rsidR="006E243E" w:rsidRPr="00A75B3A" w:rsidRDefault="006E243E" w:rsidP="00A75B3A">
            <w:pPr>
              <w:pStyle w:val="NormalWeb"/>
              <w:jc w:val="center"/>
              <w:rPr>
                <w:sz w:val="18"/>
                <w:szCs w:val="18"/>
              </w:rPr>
            </w:pPr>
            <w:r w:rsidRPr="00A75B3A">
              <w:rPr>
                <w:sz w:val="18"/>
                <w:szCs w:val="18"/>
              </w:rPr>
              <w:t>-</w:t>
            </w:r>
          </w:p>
        </w:tc>
        <w:tc>
          <w:tcPr>
            <w:tcW w:w="0" w:type="auto"/>
            <w:shd w:val="clear" w:color="auto" w:fill="FFFFFF" w:themeFill="background1"/>
            <w:hideMark/>
          </w:tcPr>
          <w:p w14:paraId="63903105" w14:textId="77777777" w:rsidR="006E243E" w:rsidRPr="00A75B3A" w:rsidRDefault="006E243E" w:rsidP="00A75B3A">
            <w:pPr>
              <w:pStyle w:val="NormalWeb"/>
              <w:jc w:val="center"/>
              <w:rPr>
                <w:sz w:val="18"/>
                <w:szCs w:val="18"/>
              </w:rPr>
            </w:pPr>
            <w:r w:rsidRPr="00A75B3A">
              <w:rPr>
                <w:sz w:val="18"/>
                <w:szCs w:val="18"/>
              </w:rPr>
              <w:t>-</w:t>
            </w:r>
          </w:p>
        </w:tc>
      </w:tr>
      <w:tr w:rsidR="00ED0F1A" w:rsidRPr="00A75B3A" w14:paraId="64A015EF" w14:textId="77777777" w:rsidTr="00FB2781">
        <w:tc>
          <w:tcPr>
            <w:tcW w:w="0" w:type="auto"/>
            <w:shd w:val="clear" w:color="auto" w:fill="808080" w:themeFill="background1" w:themeFillShade="80"/>
            <w:hideMark/>
          </w:tcPr>
          <w:p w14:paraId="27745B90" w14:textId="77777777" w:rsidR="006E243E" w:rsidRPr="00A32B0E" w:rsidRDefault="006E243E">
            <w:pPr>
              <w:pStyle w:val="NormalWeb"/>
              <w:rPr>
                <w:b/>
                <w:color w:val="FFFFFF" w:themeColor="background1"/>
                <w:sz w:val="18"/>
                <w:szCs w:val="18"/>
              </w:rPr>
            </w:pPr>
            <w:r w:rsidRPr="00A32B0E">
              <w:rPr>
                <w:b/>
                <w:color w:val="FFFFFF" w:themeColor="background1"/>
                <w:sz w:val="18"/>
                <w:szCs w:val="18"/>
              </w:rPr>
              <w:t>Urgent to Routine</w:t>
            </w:r>
          </w:p>
        </w:tc>
        <w:tc>
          <w:tcPr>
            <w:tcW w:w="0" w:type="auto"/>
            <w:shd w:val="clear" w:color="auto" w:fill="808080" w:themeFill="background1" w:themeFillShade="80"/>
            <w:hideMark/>
          </w:tcPr>
          <w:p w14:paraId="35E95D3C"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Chikungunya virus infection</w:t>
            </w:r>
          </w:p>
        </w:tc>
        <w:tc>
          <w:tcPr>
            <w:tcW w:w="0" w:type="auto"/>
            <w:shd w:val="clear" w:color="auto" w:fill="FFFFFF" w:themeFill="background1"/>
            <w:hideMark/>
          </w:tcPr>
          <w:p w14:paraId="54AA89EF" w14:textId="77777777" w:rsidR="006E243E" w:rsidRPr="00A75B3A" w:rsidRDefault="006E243E" w:rsidP="00A75B3A">
            <w:pPr>
              <w:pStyle w:val="NormalWeb"/>
              <w:jc w:val="center"/>
              <w:rPr>
                <w:sz w:val="18"/>
                <w:szCs w:val="18"/>
              </w:rPr>
            </w:pPr>
            <w:r w:rsidRPr="00A75B3A">
              <w:rPr>
                <w:sz w:val="18"/>
                <w:szCs w:val="18"/>
              </w:rPr>
              <w:t>33.3</w:t>
            </w:r>
          </w:p>
        </w:tc>
        <w:tc>
          <w:tcPr>
            <w:tcW w:w="0" w:type="auto"/>
            <w:shd w:val="clear" w:color="auto" w:fill="FFFFFF" w:themeFill="background1"/>
            <w:hideMark/>
          </w:tcPr>
          <w:p w14:paraId="2D7A6613" w14:textId="77777777" w:rsidR="006E243E" w:rsidRPr="00A75B3A" w:rsidRDefault="006E243E" w:rsidP="00A75B3A">
            <w:pPr>
              <w:pStyle w:val="NormalWeb"/>
              <w:jc w:val="center"/>
              <w:rPr>
                <w:sz w:val="18"/>
                <w:szCs w:val="18"/>
              </w:rPr>
            </w:pPr>
            <w:r w:rsidRPr="00A75B3A">
              <w:rPr>
                <w:sz w:val="18"/>
                <w:szCs w:val="18"/>
              </w:rPr>
              <w:t>66.7</w:t>
            </w:r>
          </w:p>
        </w:tc>
        <w:tc>
          <w:tcPr>
            <w:tcW w:w="0" w:type="auto"/>
            <w:shd w:val="clear" w:color="auto" w:fill="FFFFFF" w:themeFill="background1"/>
            <w:hideMark/>
          </w:tcPr>
          <w:p w14:paraId="4BAAAEFC" w14:textId="77777777" w:rsidR="006E243E" w:rsidRPr="00A75B3A" w:rsidRDefault="006E243E" w:rsidP="00A75B3A">
            <w:pPr>
              <w:pStyle w:val="NormalWeb"/>
              <w:jc w:val="center"/>
              <w:rPr>
                <w:sz w:val="18"/>
                <w:szCs w:val="18"/>
              </w:rPr>
            </w:pPr>
            <w:r w:rsidRPr="00A75B3A">
              <w:rPr>
                <w:sz w:val="18"/>
                <w:szCs w:val="18"/>
              </w:rPr>
              <w:t>23.0</w:t>
            </w:r>
          </w:p>
        </w:tc>
        <w:tc>
          <w:tcPr>
            <w:tcW w:w="0" w:type="auto"/>
            <w:shd w:val="clear" w:color="auto" w:fill="FFFFFF" w:themeFill="background1"/>
            <w:hideMark/>
          </w:tcPr>
          <w:p w14:paraId="6E07C958" w14:textId="77777777" w:rsidR="006E243E" w:rsidRPr="00A75B3A" w:rsidRDefault="006E243E" w:rsidP="00A75B3A">
            <w:pPr>
              <w:pStyle w:val="NormalWeb"/>
              <w:jc w:val="center"/>
              <w:rPr>
                <w:sz w:val="18"/>
                <w:szCs w:val="18"/>
              </w:rPr>
            </w:pPr>
            <w:r w:rsidRPr="00A75B3A">
              <w:rPr>
                <w:sz w:val="18"/>
                <w:szCs w:val="18"/>
              </w:rPr>
              <w:t>41.9</w:t>
            </w:r>
          </w:p>
        </w:tc>
        <w:tc>
          <w:tcPr>
            <w:tcW w:w="0" w:type="auto"/>
            <w:shd w:val="clear" w:color="auto" w:fill="FFFFFF" w:themeFill="background1"/>
            <w:hideMark/>
          </w:tcPr>
          <w:p w14:paraId="3BC41FF8" w14:textId="77777777" w:rsidR="006E243E" w:rsidRPr="00A75B3A" w:rsidRDefault="006E243E" w:rsidP="00A75B3A">
            <w:pPr>
              <w:pStyle w:val="NormalWeb"/>
              <w:jc w:val="center"/>
              <w:rPr>
                <w:sz w:val="18"/>
                <w:szCs w:val="18"/>
              </w:rPr>
            </w:pPr>
            <w:r w:rsidRPr="00A75B3A">
              <w:rPr>
                <w:sz w:val="18"/>
                <w:szCs w:val="18"/>
              </w:rPr>
              <w:t>35.1</w:t>
            </w:r>
          </w:p>
        </w:tc>
        <w:tc>
          <w:tcPr>
            <w:tcW w:w="0" w:type="auto"/>
            <w:shd w:val="clear" w:color="auto" w:fill="FFFFFF" w:themeFill="background1"/>
            <w:hideMark/>
          </w:tcPr>
          <w:p w14:paraId="6E0B2F41" w14:textId="77777777" w:rsidR="006E243E" w:rsidRPr="00A75B3A" w:rsidRDefault="006E243E" w:rsidP="00A75B3A">
            <w:pPr>
              <w:pStyle w:val="NormalWeb"/>
              <w:jc w:val="center"/>
              <w:rPr>
                <w:sz w:val="18"/>
                <w:szCs w:val="18"/>
              </w:rPr>
            </w:pPr>
            <w:r w:rsidRPr="00A75B3A">
              <w:rPr>
                <w:sz w:val="18"/>
                <w:szCs w:val="18"/>
              </w:rPr>
              <w:t>70.7</w:t>
            </w:r>
          </w:p>
        </w:tc>
        <w:tc>
          <w:tcPr>
            <w:tcW w:w="0" w:type="auto"/>
            <w:shd w:val="clear" w:color="auto" w:fill="FFFFFF" w:themeFill="background1"/>
            <w:hideMark/>
          </w:tcPr>
          <w:p w14:paraId="3E20B95D" w14:textId="77777777" w:rsidR="006E243E" w:rsidRPr="00A75B3A" w:rsidRDefault="006E243E" w:rsidP="00A75B3A">
            <w:pPr>
              <w:pStyle w:val="NormalWeb"/>
              <w:jc w:val="center"/>
              <w:rPr>
                <w:sz w:val="18"/>
                <w:szCs w:val="18"/>
              </w:rPr>
            </w:pPr>
            <w:r w:rsidRPr="00A75B3A">
              <w:rPr>
                <w:sz w:val="18"/>
                <w:szCs w:val="18"/>
              </w:rPr>
              <w:t>41</w:t>
            </w:r>
          </w:p>
        </w:tc>
        <w:tc>
          <w:tcPr>
            <w:tcW w:w="0" w:type="auto"/>
            <w:shd w:val="clear" w:color="auto" w:fill="FFFFFF" w:themeFill="background1"/>
            <w:hideMark/>
          </w:tcPr>
          <w:p w14:paraId="0873FC3B" w14:textId="77777777" w:rsidR="006E243E" w:rsidRPr="00A75B3A" w:rsidRDefault="006E243E" w:rsidP="00A75B3A">
            <w:pPr>
              <w:pStyle w:val="NormalWeb"/>
              <w:jc w:val="center"/>
              <w:rPr>
                <w:sz w:val="18"/>
                <w:szCs w:val="18"/>
              </w:rPr>
            </w:pPr>
            <w:r w:rsidRPr="00A75B3A">
              <w:rPr>
                <w:sz w:val="18"/>
                <w:szCs w:val="18"/>
              </w:rPr>
              <w:t>34</w:t>
            </w:r>
          </w:p>
        </w:tc>
      </w:tr>
      <w:tr w:rsidR="00CE58C9" w:rsidRPr="00A75B3A" w14:paraId="43B713B6" w14:textId="77777777" w:rsidTr="00FB2781">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6C765BFF" w14:textId="77777777" w:rsidR="006E243E" w:rsidRPr="00A32B0E" w:rsidRDefault="006E243E">
            <w:pPr>
              <w:pStyle w:val="NormalWeb"/>
              <w:rPr>
                <w:b/>
                <w:color w:val="FFFFFF" w:themeColor="background1"/>
                <w:sz w:val="18"/>
                <w:szCs w:val="18"/>
              </w:rPr>
            </w:pPr>
            <w:r w:rsidRPr="00A32B0E">
              <w:rPr>
                <w:b/>
                <w:color w:val="FFFFFF" w:themeColor="background1"/>
                <w:sz w:val="18"/>
                <w:szCs w:val="18"/>
              </w:rPr>
              <w:t>Routine to Urgent</w:t>
            </w:r>
          </w:p>
        </w:tc>
        <w:tc>
          <w:tcPr>
            <w:tcW w:w="0" w:type="auto"/>
            <w:shd w:val="clear" w:color="auto" w:fill="808080" w:themeFill="background1" w:themeFillShade="80"/>
            <w:hideMark/>
          </w:tcPr>
          <w:p w14:paraId="13B42E3D"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Listeriosis</w:t>
            </w:r>
          </w:p>
        </w:tc>
        <w:tc>
          <w:tcPr>
            <w:tcW w:w="0" w:type="auto"/>
            <w:shd w:val="clear" w:color="auto" w:fill="FFFFFF" w:themeFill="background1"/>
            <w:hideMark/>
          </w:tcPr>
          <w:p w14:paraId="025EA385" w14:textId="77777777" w:rsidR="006E243E" w:rsidRPr="00A75B3A" w:rsidRDefault="006E243E" w:rsidP="00A75B3A">
            <w:pPr>
              <w:pStyle w:val="NormalWeb"/>
              <w:jc w:val="center"/>
              <w:rPr>
                <w:sz w:val="18"/>
                <w:szCs w:val="18"/>
              </w:rPr>
            </w:pPr>
            <w:r w:rsidRPr="00A75B3A">
              <w:rPr>
                <w:sz w:val="18"/>
                <w:szCs w:val="18"/>
              </w:rPr>
              <w:t>67.4</w:t>
            </w:r>
          </w:p>
        </w:tc>
        <w:tc>
          <w:tcPr>
            <w:tcW w:w="0" w:type="auto"/>
            <w:shd w:val="clear" w:color="auto" w:fill="FFFFFF" w:themeFill="background1"/>
            <w:hideMark/>
          </w:tcPr>
          <w:p w14:paraId="03B3D221" w14:textId="77777777" w:rsidR="006E243E" w:rsidRPr="00A75B3A" w:rsidRDefault="006E243E" w:rsidP="00A75B3A">
            <w:pPr>
              <w:pStyle w:val="NormalWeb"/>
              <w:jc w:val="center"/>
              <w:rPr>
                <w:sz w:val="18"/>
                <w:szCs w:val="18"/>
              </w:rPr>
            </w:pPr>
            <w:r w:rsidRPr="00A75B3A">
              <w:rPr>
                <w:sz w:val="18"/>
                <w:szCs w:val="18"/>
              </w:rPr>
              <w:t>32.6</w:t>
            </w:r>
          </w:p>
        </w:tc>
        <w:tc>
          <w:tcPr>
            <w:tcW w:w="0" w:type="auto"/>
            <w:shd w:val="clear" w:color="auto" w:fill="FFFFFF" w:themeFill="background1"/>
            <w:hideMark/>
          </w:tcPr>
          <w:p w14:paraId="2490E0EF" w14:textId="77777777" w:rsidR="006E243E" w:rsidRPr="00A75B3A" w:rsidRDefault="006E243E" w:rsidP="00A75B3A">
            <w:pPr>
              <w:pStyle w:val="NormalWeb"/>
              <w:jc w:val="center"/>
              <w:rPr>
                <w:sz w:val="18"/>
                <w:szCs w:val="18"/>
              </w:rPr>
            </w:pPr>
            <w:r w:rsidRPr="00A75B3A">
              <w:rPr>
                <w:sz w:val="18"/>
                <w:szCs w:val="18"/>
              </w:rPr>
              <w:t>51.0</w:t>
            </w:r>
          </w:p>
        </w:tc>
        <w:tc>
          <w:tcPr>
            <w:tcW w:w="0" w:type="auto"/>
            <w:shd w:val="clear" w:color="auto" w:fill="FFFFFF" w:themeFill="background1"/>
            <w:hideMark/>
          </w:tcPr>
          <w:p w14:paraId="6511E9FC" w14:textId="77777777" w:rsidR="006E243E" w:rsidRPr="00A75B3A" w:rsidRDefault="006E243E" w:rsidP="00A75B3A">
            <w:pPr>
              <w:pStyle w:val="NormalWeb"/>
              <w:jc w:val="center"/>
              <w:rPr>
                <w:sz w:val="18"/>
                <w:szCs w:val="18"/>
              </w:rPr>
            </w:pPr>
            <w:r w:rsidRPr="00A75B3A">
              <w:rPr>
                <w:sz w:val="18"/>
                <w:szCs w:val="18"/>
              </w:rPr>
              <w:t>46.9</w:t>
            </w:r>
          </w:p>
        </w:tc>
        <w:tc>
          <w:tcPr>
            <w:tcW w:w="0" w:type="auto"/>
            <w:shd w:val="clear" w:color="auto" w:fill="FFFFFF" w:themeFill="background1"/>
            <w:hideMark/>
          </w:tcPr>
          <w:p w14:paraId="7B4A49D7" w14:textId="77777777" w:rsidR="006E243E" w:rsidRPr="00A75B3A" w:rsidRDefault="006E243E" w:rsidP="00A75B3A">
            <w:pPr>
              <w:pStyle w:val="NormalWeb"/>
              <w:jc w:val="center"/>
              <w:rPr>
                <w:sz w:val="18"/>
                <w:szCs w:val="18"/>
              </w:rPr>
            </w:pPr>
            <w:r w:rsidRPr="00A75B3A">
              <w:rPr>
                <w:sz w:val="18"/>
                <w:szCs w:val="18"/>
              </w:rPr>
              <w:t>2.1</w:t>
            </w:r>
          </w:p>
        </w:tc>
        <w:tc>
          <w:tcPr>
            <w:tcW w:w="0" w:type="auto"/>
            <w:shd w:val="clear" w:color="auto" w:fill="FFFFFF" w:themeFill="background1"/>
            <w:hideMark/>
          </w:tcPr>
          <w:p w14:paraId="6BFFA4CE" w14:textId="77777777" w:rsidR="006E243E" w:rsidRPr="00A75B3A" w:rsidRDefault="006E243E" w:rsidP="00A75B3A">
            <w:pPr>
              <w:pStyle w:val="NormalWeb"/>
              <w:jc w:val="center"/>
              <w:rPr>
                <w:sz w:val="18"/>
                <w:szCs w:val="18"/>
              </w:rPr>
            </w:pPr>
            <w:r w:rsidRPr="00A75B3A">
              <w:rPr>
                <w:sz w:val="18"/>
                <w:szCs w:val="18"/>
              </w:rPr>
              <w:t>79.6</w:t>
            </w:r>
          </w:p>
        </w:tc>
        <w:tc>
          <w:tcPr>
            <w:tcW w:w="0" w:type="auto"/>
            <w:shd w:val="clear" w:color="auto" w:fill="FFFFFF" w:themeFill="background1"/>
            <w:hideMark/>
          </w:tcPr>
          <w:p w14:paraId="49625BA9" w14:textId="77777777" w:rsidR="006E243E" w:rsidRPr="00A75B3A" w:rsidRDefault="006E243E" w:rsidP="00A75B3A">
            <w:pPr>
              <w:pStyle w:val="NormalWeb"/>
              <w:jc w:val="center"/>
              <w:rPr>
                <w:sz w:val="18"/>
                <w:szCs w:val="18"/>
              </w:rPr>
            </w:pPr>
            <w:r w:rsidRPr="00A75B3A">
              <w:rPr>
                <w:sz w:val="18"/>
                <w:szCs w:val="18"/>
              </w:rPr>
              <w:t>30</w:t>
            </w:r>
          </w:p>
        </w:tc>
        <w:tc>
          <w:tcPr>
            <w:tcW w:w="0" w:type="auto"/>
            <w:shd w:val="clear" w:color="auto" w:fill="FFFFFF" w:themeFill="background1"/>
            <w:hideMark/>
          </w:tcPr>
          <w:p w14:paraId="5D6340BA" w14:textId="77777777" w:rsidR="006E243E" w:rsidRPr="00A75B3A" w:rsidRDefault="006E243E" w:rsidP="00A75B3A">
            <w:pPr>
              <w:pStyle w:val="NormalWeb"/>
              <w:jc w:val="center"/>
              <w:rPr>
                <w:sz w:val="18"/>
                <w:szCs w:val="18"/>
              </w:rPr>
            </w:pPr>
            <w:r w:rsidRPr="00A75B3A">
              <w:rPr>
                <w:sz w:val="18"/>
                <w:szCs w:val="18"/>
              </w:rPr>
              <w:t>19</w:t>
            </w:r>
          </w:p>
        </w:tc>
      </w:tr>
      <w:tr w:rsidR="00ED0F1A" w:rsidRPr="00A75B3A" w14:paraId="4DB505E3" w14:textId="77777777" w:rsidTr="00FB2781">
        <w:tc>
          <w:tcPr>
            <w:tcW w:w="0" w:type="auto"/>
            <w:shd w:val="clear" w:color="auto" w:fill="808080" w:themeFill="background1" w:themeFillShade="80"/>
            <w:hideMark/>
          </w:tcPr>
          <w:p w14:paraId="617BF56C" w14:textId="77777777" w:rsidR="006E243E" w:rsidRPr="00A32B0E" w:rsidRDefault="006E243E">
            <w:pPr>
              <w:pStyle w:val="NormalWeb"/>
              <w:rPr>
                <w:b/>
                <w:color w:val="FFFFFF" w:themeColor="background1"/>
                <w:sz w:val="18"/>
                <w:szCs w:val="18"/>
              </w:rPr>
            </w:pPr>
            <w:r w:rsidRPr="00A32B0E">
              <w:rPr>
                <w:b/>
                <w:color w:val="FFFFFF" w:themeColor="background1"/>
                <w:sz w:val="18"/>
                <w:szCs w:val="18"/>
              </w:rPr>
              <w:t>Removed</w:t>
            </w:r>
          </w:p>
        </w:tc>
        <w:tc>
          <w:tcPr>
            <w:tcW w:w="0" w:type="auto"/>
            <w:shd w:val="clear" w:color="auto" w:fill="808080" w:themeFill="background1" w:themeFillShade="80"/>
            <w:hideMark/>
          </w:tcPr>
          <w:p w14:paraId="6B8314F0" w14:textId="77777777" w:rsidR="006E243E" w:rsidRPr="00A32B0E" w:rsidRDefault="006E243E" w:rsidP="00D25E6E">
            <w:pPr>
              <w:pStyle w:val="NormalWeb"/>
              <w:rPr>
                <w:b/>
                <w:color w:val="FFFFFF" w:themeColor="background1"/>
                <w:sz w:val="18"/>
                <w:szCs w:val="18"/>
              </w:rPr>
            </w:pPr>
            <w:r w:rsidRPr="00A32B0E">
              <w:rPr>
                <w:b/>
                <w:color w:val="FFFFFF" w:themeColor="background1"/>
                <w:sz w:val="18"/>
                <w:szCs w:val="18"/>
              </w:rPr>
              <w:t>AIDS</w:t>
            </w:r>
          </w:p>
        </w:tc>
        <w:tc>
          <w:tcPr>
            <w:tcW w:w="0" w:type="auto"/>
            <w:shd w:val="clear" w:color="auto" w:fill="FFFFFF" w:themeFill="background1"/>
            <w:hideMark/>
          </w:tcPr>
          <w:p w14:paraId="1EC719D3" w14:textId="77777777" w:rsidR="006E243E" w:rsidRPr="00A75B3A" w:rsidRDefault="006E243E" w:rsidP="00A75B3A">
            <w:pPr>
              <w:pStyle w:val="NormalWeb"/>
              <w:jc w:val="center"/>
              <w:rPr>
                <w:sz w:val="18"/>
                <w:szCs w:val="18"/>
              </w:rPr>
            </w:pPr>
            <w:r w:rsidRPr="00A75B3A">
              <w:rPr>
                <w:sz w:val="18"/>
                <w:szCs w:val="18"/>
              </w:rPr>
              <w:t>100</w:t>
            </w:r>
          </w:p>
        </w:tc>
        <w:tc>
          <w:tcPr>
            <w:tcW w:w="0" w:type="auto"/>
            <w:shd w:val="clear" w:color="auto" w:fill="FFFFFF" w:themeFill="background1"/>
            <w:hideMark/>
          </w:tcPr>
          <w:p w14:paraId="57367703" w14:textId="77777777" w:rsidR="006E243E" w:rsidRPr="00A75B3A" w:rsidRDefault="006E243E" w:rsidP="00A75B3A">
            <w:pPr>
              <w:pStyle w:val="NormalWeb"/>
              <w:jc w:val="center"/>
              <w:rPr>
                <w:sz w:val="18"/>
                <w:szCs w:val="18"/>
              </w:rPr>
            </w:pPr>
            <w:r w:rsidRPr="00A75B3A">
              <w:rPr>
                <w:sz w:val="18"/>
                <w:szCs w:val="18"/>
              </w:rPr>
              <w:t>0</w:t>
            </w:r>
          </w:p>
        </w:tc>
        <w:tc>
          <w:tcPr>
            <w:tcW w:w="0" w:type="auto"/>
            <w:shd w:val="clear" w:color="auto" w:fill="FFFFFF" w:themeFill="background1"/>
            <w:hideMark/>
          </w:tcPr>
          <w:p w14:paraId="5F80933E" w14:textId="77777777" w:rsidR="006E243E" w:rsidRPr="00A75B3A" w:rsidRDefault="006E243E" w:rsidP="00A75B3A">
            <w:pPr>
              <w:pStyle w:val="NormalWeb"/>
              <w:jc w:val="center"/>
              <w:rPr>
                <w:sz w:val="18"/>
                <w:szCs w:val="18"/>
              </w:rPr>
            </w:pPr>
            <w:r w:rsidRPr="00A75B3A">
              <w:rPr>
                <w:sz w:val="18"/>
                <w:szCs w:val="18"/>
              </w:rPr>
              <w:t>12.5</w:t>
            </w:r>
          </w:p>
        </w:tc>
        <w:tc>
          <w:tcPr>
            <w:tcW w:w="0" w:type="auto"/>
            <w:shd w:val="clear" w:color="auto" w:fill="FFFFFF" w:themeFill="background1"/>
            <w:hideMark/>
          </w:tcPr>
          <w:p w14:paraId="629D939A" w14:textId="77777777" w:rsidR="006E243E" w:rsidRPr="00A75B3A" w:rsidRDefault="006E243E" w:rsidP="00A75B3A">
            <w:pPr>
              <w:pStyle w:val="NormalWeb"/>
              <w:jc w:val="center"/>
              <w:rPr>
                <w:sz w:val="18"/>
                <w:szCs w:val="18"/>
              </w:rPr>
            </w:pPr>
            <w:r w:rsidRPr="00A75B3A">
              <w:rPr>
                <w:sz w:val="18"/>
                <w:szCs w:val="18"/>
              </w:rPr>
              <w:t>44.6</w:t>
            </w:r>
          </w:p>
        </w:tc>
        <w:tc>
          <w:tcPr>
            <w:tcW w:w="0" w:type="auto"/>
            <w:shd w:val="clear" w:color="auto" w:fill="FFFFFF" w:themeFill="background1"/>
            <w:hideMark/>
          </w:tcPr>
          <w:p w14:paraId="5234723B" w14:textId="77777777" w:rsidR="006E243E" w:rsidRPr="00A75B3A" w:rsidRDefault="006E243E" w:rsidP="00A75B3A">
            <w:pPr>
              <w:pStyle w:val="NormalWeb"/>
              <w:jc w:val="center"/>
              <w:rPr>
                <w:sz w:val="18"/>
                <w:szCs w:val="18"/>
              </w:rPr>
            </w:pPr>
            <w:r w:rsidRPr="00A75B3A">
              <w:rPr>
                <w:sz w:val="18"/>
                <w:szCs w:val="18"/>
              </w:rPr>
              <w:t>42.9</w:t>
            </w:r>
          </w:p>
        </w:tc>
        <w:tc>
          <w:tcPr>
            <w:tcW w:w="0" w:type="auto"/>
            <w:shd w:val="clear" w:color="auto" w:fill="FFFFFF" w:themeFill="background1"/>
            <w:hideMark/>
          </w:tcPr>
          <w:p w14:paraId="410F21DE" w14:textId="77777777" w:rsidR="006E243E" w:rsidRPr="00A75B3A" w:rsidRDefault="006E243E" w:rsidP="00A75B3A">
            <w:pPr>
              <w:pStyle w:val="NormalWeb"/>
              <w:jc w:val="center"/>
              <w:rPr>
                <w:sz w:val="18"/>
                <w:szCs w:val="18"/>
              </w:rPr>
            </w:pPr>
            <w:r w:rsidRPr="00A75B3A">
              <w:rPr>
                <w:sz w:val="18"/>
                <w:szCs w:val="18"/>
              </w:rPr>
              <w:t>83.9</w:t>
            </w:r>
          </w:p>
        </w:tc>
        <w:tc>
          <w:tcPr>
            <w:tcW w:w="0" w:type="auto"/>
            <w:shd w:val="clear" w:color="auto" w:fill="FFFFFF" w:themeFill="background1"/>
            <w:hideMark/>
          </w:tcPr>
          <w:p w14:paraId="7C9312B8" w14:textId="77777777" w:rsidR="006E243E" w:rsidRPr="00A75B3A" w:rsidRDefault="006E243E" w:rsidP="00A75B3A">
            <w:pPr>
              <w:pStyle w:val="NormalWeb"/>
              <w:jc w:val="center"/>
              <w:rPr>
                <w:sz w:val="18"/>
                <w:szCs w:val="18"/>
              </w:rPr>
            </w:pPr>
            <w:r w:rsidRPr="00A75B3A">
              <w:rPr>
                <w:sz w:val="18"/>
                <w:szCs w:val="18"/>
              </w:rPr>
              <w:t>34</w:t>
            </w:r>
          </w:p>
        </w:tc>
        <w:tc>
          <w:tcPr>
            <w:tcW w:w="0" w:type="auto"/>
            <w:shd w:val="clear" w:color="auto" w:fill="FFFFFF" w:themeFill="background1"/>
            <w:hideMark/>
          </w:tcPr>
          <w:p w14:paraId="31420B37" w14:textId="77777777" w:rsidR="006E243E" w:rsidRPr="00A75B3A" w:rsidRDefault="006E243E" w:rsidP="00A75B3A">
            <w:pPr>
              <w:pStyle w:val="NormalWeb"/>
              <w:jc w:val="center"/>
              <w:rPr>
                <w:sz w:val="18"/>
                <w:szCs w:val="18"/>
              </w:rPr>
            </w:pPr>
            <w:r w:rsidRPr="00A75B3A">
              <w:rPr>
                <w:sz w:val="18"/>
                <w:szCs w:val="18"/>
              </w:rPr>
              <w:t>22</w:t>
            </w:r>
          </w:p>
        </w:tc>
      </w:tr>
    </w:tbl>
    <w:p w14:paraId="51610677" w14:textId="3A0FB712" w:rsidR="006E243E" w:rsidRPr="00D51A87" w:rsidRDefault="00D51A87" w:rsidP="00957A93">
      <w:pPr>
        <w:pStyle w:val="CDIfootnotes"/>
      </w:pPr>
      <w:r>
        <w:t>a</w:t>
      </w:r>
      <w:r>
        <w:tab/>
      </w:r>
      <w:r w:rsidR="006E243E" w:rsidRPr="00D51A87">
        <w:t>Cases included in the notifier-type analysis</w:t>
      </w:r>
    </w:p>
    <w:p w14:paraId="1241EFE1" w14:textId="07EF0A27" w:rsidR="006E243E" w:rsidRPr="00D51A87" w:rsidRDefault="00957A93" w:rsidP="00D51A87">
      <w:pPr>
        <w:pStyle w:val="CDIfootnotes"/>
      </w:pPr>
      <w:r>
        <w:t>b</w:t>
      </w:r>
      <w:r w:rsidR="00D51A87">
        <w:tab/>
      </w:r>
      <w:r w:rsidR="006E243E" w:rsidRPr="00D51A87">
        <w:t>Cases included in the time-to-notification analysis</w:t>
      </w:r>
    </w:p>
    <w:p w14:paraId="069C4CC1" w14:textId="7865411F" w:rsidR="006E243E" w:rsidRPr="00D51A87" w:rsidRDefault="00957A93" w:rsidP="00D51A87">
      <w:pPr>
        <w:pStyle w:val="CDIfootnotes"/>
      </w:pPr>
      <w:r>
        <w:t>c</w:t>
      </w:r>
      <w:r w:rsidR="00D51A87">
        <w:tab/>
      </w:r>
      <w:r w:rsidR="006E243E" w:rsidRPr="00D51A87">
        <w:t>Excluding influenza notifications (n=40,033 cases) with an event date between 31 July – 31 October 2017</w:t>
      </w:r>
    </w:p>
    <w:p w14:paraId="35393C90" w14:textId="77777777" w:rsidR="00CD7D29" w:rsidRDefault="00CD7D29">
      <w:pPr>
        <w:pStyle w:val="Heading1"/>
        <w:rPr>
          <w:rFonts w:eastAsia="Times New Roman"/>
        </w:rPr>
        <w:sectPr w:rsidR="00CD7D29" w:rsidSect="00CD7D29">
          <w:pgSz w:w="16838" w:h="11906" w:orient="landscape"/>
          <w:pgMar w:top="720" w:right="720" w:bottom="720" w:left="1134" w:header="709" w:footer="284" w:gutter="0"/>
          <w:cols w:space="708"/>
          <w:titlePg/>
          <w:docGrid w:linePitch="360"/>
        </w:sectPr>
      </w:pPr>
    </w:p>
    <w:p w14:paraId="6FD53FD8" w14:textId="77777777" w:rsidR="006E243E" w:rsidRDefault="006E243E">
      <w:pPr>
        <w:pStyle w:val="Heading1"/>
        <w:rPr>
          <w:rFonts w:eastAsia="Times New Roman"/>
        </w:rPr>
      </w:pPr>
      <w:r>
        <w:rPr>
          <w:rFonts w:eastAsia="Times New Roman"/>
        </w:rPr>
        <w:lastRenderedPageBreak/>
        <w:t>Discussion</w:t>
      </w:r>
    </w:p>
    <w:p w14:paraId="62FF3202" w14:textId="77777777" w:rsidR="006E243E" w:rsidRDefault="006E243E">
      <w:pPr>
        <w:pStyle w:val="NormalWeb"/>
      </w:pPr>
      <w:r>
        <w:t>The Victorian DHHS observed a 1.5-fold increase in notified cases of infectious disease in 2017 compared with 2016, with the majority of the increase attributable to influenza. Victoria experienced very high seasonal influenza activity in 2017 with record numbers of laboratory-confirmed cases reported across most of Australia accompanied by relatively low influenza vaccine effectiveness.</w:t>
      </w:r>
      <w:r>
        <w:rPr>
          <w:vertAlign w:val="superscript"/>
        </w:rPr>
        <w:t>14</w:t>
      </w:r>
      <w:r>
        <w:t xml:space="preserve"> With a 277% increase in notified cases of influenza in 2017 compared with 2016, DHHS elected not to enter influenza notifications from doctors during the period 31 July to 31 October 2017 into PHESS, while continuing to enter laboratory-notified cases. An unprecedented volume of notifications presents a major logistical challenge for public health departments when notification data is manually entered. Flexibility in operational procedures is a core component of surveillance systems so that the functional capacity to provide timely information is retained during periods of new demand. </w:t>
      </w:r>
      <w:r>
        <w:rPr>
          <w:vertAlign w:val="superscript"/>
        </w:rPr>
        <w:t>15</w:t>
      </w:r>
      <w:r>
        <w:t xml:space="preserve"> Recently, the necessity for doctor notifications for certain conditions has been reviewed with the aim of simplifying disease surveillance in Victoria, and following 1 September 2018 influenza and nine other conditions no longer require doctors to notify cases to DHHS.</w:t>
      </w:r>
      <w:r>
        <w:rPr>
          <w:vertAlign w:val="superscript"/>
        </w:rPr>
        <w:t>13</w:t>
      </w:r>
      <w:r>
        <w:t xml:space="preserve"> </w:t>
      </w:r>
    </w:p>
    <w:p w14:paraId="732E7055" w14:textId="77777777" w:rsidR="006E243E" w:rsidRDefault="006E243E">
      <w:pPr>
        <w:pStyle w:val="NormalWeb"/>
      </w:pPr>
      <w:r>
        <w:t xml:space="preserve">Chlamydial infection was another condition which contributed a large number of notifications in 2016 and 2017. Since 2013, a semi-automated ELR system has allowed bulk upload of chlamydial infection notifications from some laboratories into PHESS. </w:t>
      </w:r>
      <w:r>
        <w:rPr>
          <w:vertAlign w:val="superscript"/>
        </w:rPr>
        <w:t>3</w:t>
      </w:r>
      <w:r>
        <w:t xml:space="preserve"> ELR requires information technology infrastructure to code disease diagnoses and transfer data from pathology laboratory databases. </w:t>
      </w:r>
      <w:r>
        <w:rPr>
          <w:vertAlign w:val="superscript"/>
        </w:rPr>
        <w:t>16</w:t>
      </w:r>
      <w:r>
        <w:t xml:space="preserve"> While implementation can be challenging for public health departments, ELR has been credited with improving the timeliness of infectious disease surveillance internationally.</w:t>
      </w:r>
      <w:r>
        <w:rPr>
          <w:vertAlign w:val="superscript"/>
        </w:rPr>
        <w:t>17,18</w:t>
      </w:r>
      <w:r>
        <w:t xml:space="preserve"> Given the benefits of ELR, at the DHHS a staged commencement of a larger-scale ELR system is currently underway.</w:t>
      </w:r>
      <w:r>
        <w:rPr>
          <w:vertAlign w:val="superscript"/>
        </w:rPr>
        <w:t>13</w:t>
      </w:r>
      <w:r>
        <w:t xml:space="preserve"> </w:t>
      </w:r>
    </w:p>
    <w:p w14:paraId="57986583" w14:textId="77777777" w:rsidR="006E243E" w:rsidRDefault="006E243E">
      <w:pPr>
        <w:pStyle w:val="NormalWeb"/>
      </w:pPr>
      <w:r>
        <w:t>Timely notification of certain conditions has been found to significantly reduce the number of secondary cases and improve outbreak control, demonstrating the public health importance of reducing reporting delays.</w:t>
      </w:r>
      <w:r>
        <w:rPr>
          <w:vertAlign w:val="superscript"/>
        </w:rPr>
        <w:t>20</w:t>
      </w:r>
      <w:r>
        <w:t xml:space="preserve"> In Victoria in 2017, an increase was seen in the proportion of same-day notifications of urgent conditions in 2017 vs. 2016 (71.9% vs. 59.6%; RR 1.21 (95%CI 1.0 –1.35), </w:t>
      </w:r>
      <w:r w:rsidRPr="00684CC6">
        <w:rPr>
          <w:rStyle w:val="Emphasis"/>
          <w:b w:val="0"/>
        </w:rPr>
        <w:t>p</w:t>
      </w:r>
      <w:r>
        <w:t xml:space="preserve"> &lt;0.001) and compared to 59% in 2013.</w:t>
      </w:r>
      <w:r>
        <w:rPr>
          <w:vertAlign w:val="superscript"/>
        </w:rPr>
        <w:t>10</w:t>
      </w:r>
      <w:r>
        <w:t xml:space="preserve"> The cause of this improvement was not definitively identified in this audit; while outbreaks of hepatitis A and legionellosis resulted in more notified cases in 2017 than 2016 with increases seen for both in same-day reporting, neither condition alone demonstrated a statistically significant improvement in notification within the legislatively-required timeframe. It may be that outbreak awareness led to improved notification timeliness in 2017, but that this audit was underpowered to detect this effect given the low number of cases for each condition.</w:t>
      </w:r>
    </w:p>
    <w:p w14:paraId="0C7B3D84" w14:textId="77777777" w:rsidR="006E243E" w:rsidRDefault="006E243E">
      <w:pPr>
        <w:pStyle w:val="NormalWeb"/>
      </w:pPr>
      <w:r>
        <w:t>In contrast to urgent cases, 85% of routine cases in 2016 and 84% in 2017 were notified within the legislated five-day timeframe, a drop compared to 90% in 2013.</w:t>
      </w:r>
      <w:r>
        <w:rPr>
          <w:vertAlign w:val="superscript"/>
        </w:rPr>
        <w:t>10</w:t>
      </w:r>
      <w:r>
        <w:t xml:space="preserve"> According to a 2018 systematic review, electronic reporting and web-based systems results in more timely notifications than post and facsimile.</w:t>
      </w:r>
      <w:r>
        <w:rPr>
          <w:vertAlign w:val="superscript"/>
        </w:rPr>
        <w:t>16</w:t>
      </w:r>
      <w:r>
        <w:t xml:space="preserve"> This is consistent with the results of this audit which demonstrated that 96.4% of routine cases notified by doctors online were received within five days. However, only 23.9% of routine cases in 2016 and 2017 were notified via this method. Integrated notification general practice software and online smart forms were released by DHHS on 31 December 2017;</w:t>
      </w:r>
      <w:r>
        <w:rPr>
          <w:vertAlign w:val="superscript"/>
        </w:rPr>
        <w:t>19</w:t>
      </w:r>
      <w:r>
        <w:t xml:space="preserve"> these may further encourage electronic reporting for routine conditions and improve the timeliness of notifications in future audits.</w:t>
      </w:r>
    </w:p>
    <w:p w14:paraId="6EF3AC25" w14:textId="77777777" w:rsidR="006E243E" w:rsidRDefault="006E243E">
      <w:pPr>
        <w:pStyle w:val="NormalWeb"/>
      </w:pPr>
      <w:r>
        <w:t>Overall, seven priority conditions in 2016 and six in 2017 achieved the CDNA target of ≥ 95% Indigenous status completeness.</w:t>
      </w:r>
      <w:r>
        <w:rPr>
          <w:vertAlign w:val="superscript"/>
        </w:rPr>
        <w:t>4</w:t>
      </w:r>
      <w:r>
        <w:t xml:space="preserve"> In comparison, only five priority conditions in 2013 met or exceeded the target.</w:t>
      </w:r>
      <w:r>
        <w:rPr>
          <w:vertAlign w:val="superscript"/>
        </w:rPr>
        <w:t>10</w:t>
      </w:r>
      <w:r>
        <w:t xml:space="preserve"> While still below the target, Indigenous status reporting completeness for priority conditions significantly improved in 2017 compared with 2016 (80.3% vs. 69.0%; RR 1.16 (95%CI: 1.14 – 1.18)</w:t>
      </w:r>
      <w:r w:rsidR="00957A93">
        <w:t>,</w:t>
      </w:r>
      <w:r>
        <w:t xml:space="preserve"> </w:t>
      </w:r>
      <w:r w:rsidRPr="00684CC6">
        <w:rPr>
          <w:rStyle w:val="Emphasis"/>
          <w:b w:val="0"/>
        </w:rPr>
        <w:t>p&lt;0</w:t>
      </w:r>
      <w:r>
        <w:t xml:space="preserve"> .001) and was higher than the 71% completeness found in 2013. This improvement is likely attributable to commencement of an ESP for gonococcal infection on 1</w:t>
      </w:r>
      <w:r w:rsidR="00EE0DA8">
        <w:t> </w:t>
      </w:r>
      <w:r>
        <w:t>January 2017: Indigenous status completeness for this priority condition increased from 58% in 2013 and 57.7% in 2016 to a post-ESP level of 74.4% in 2017, showcasing the data capture capability of enhanced surveillance forms sent to medical practitioners.</w:t>
      </w:r>
    </w:p>
    <w:p w14:paraId="151FF451" w14:textId="77777777" w:rsidR="006E243E" w:rsidRDefault="006E243E">
      <w:pPr>
        <w:pStyle w:val="NormalWeb"/>
      </w:pPr>
      <w:r>
        <w:lastRenderedPageBreak/>
        <w:t>Similar improvements in Indigenous status reporting completeness was found following commencement of enhanced surveillance for hepatitis B and C of unspecified duration on 1 July 2016. Unlike cases of newly acquired hepatitis B and C which always undergo active follow-up by DHHS staff, prior to this ESP’s introduction notified cases of hepatitis B and C of unspecified duration were not routinely followed up.</w:t>
      </w:r>
      <w:r>
        <w:rPr>
          <w:vertAlign w:val="superscript"/>
        </w:rPr>
        <w:t>10</w:t>
      </w:r>
      <w:r>
        <w:t xml:space="preserve"> For both conditions, Indigenous status was significantly more likely to be complete after ESP commencement compared with before (RR 1.91 (95%CI 1.79 – 2.03), </w:t>
      </w:r>
      <w:r w:rsidRPr="00684CC6">
        <w:rPr>
          <w:rStyle w:val="Emphasis"/>
          <w:b w:val="0"/>
        </w:rPr>
        <w:t>p&lt;0</w:t>
      </w:r>
      <w:r>
        <w:t xml:space="preserve"> .001). This improvement is consistent with similar ESPs elsewhere in Australia, although in a study such programs have been found to be very labour intensive.</w:t>
      </w:r>
      <w:r>
        <w:rPr>
          <w:vertAlign w:val="superscript"/>
        </w:rPr>
        <w:t>21</w:t>
      </w:r>
      <w:r>
        <w:t xml:space="preserve"> </w:t>
      </w:r>
    </w:p>
    <w:p w14:paraId="05EC780F" w14:textId="77777777" w:rsidR="006E243E" w:rsidRDefault="006E243E">
      <w:pPr>
        <w:pStyle w:val="NormalWeb"/>
      </w:pPr>
      <w:r>
        <w:t>Given the resources required, ESPs would not be feasible for every condition currently notifiable in Victoria. Data linkage, if acceptable to the community from a privacy perspective, could offer a solution to the difficulty in achieving adequate levels of Indigenous status reporting.</w:t>
      </w:r>
      <w:r>
        <w:rPr>
          <w:vertAlign w:val="superscript"/>
        </w:rPr>
        <w:t>10</w:t>
      </w:r>
      <w:r>
        <w:t xml:space="preserve"> Data linkage involves securely linking individual de-identified surveillance data to routinely captured datasets and can be a cost-effective method to improve Indigenous status completeness.</w:t>
      </w:r>
      <w:r>
        <w:rPr>
          <w:vertAlign w:val="superscript"/>
        </w:rPr>
        <w:t>11</w:t>
      </w:r>
      <w:r>
        <w:t xml:space="preserve"> In New South Wales and Western Australia, data linkage has been used extensively to improve Indigenous status completeness in disease surveillance.</w:t>
      </w:r>
      <w:r>
        <w:rPr>
          <w:vertAlign w:val="superscript"/>
        </w:rPr>
        <w:t>22</w:t>
      </w:r>
      <w:r>
        <w:t xml:space="preserve"> </w:t>
      </w:r>
    </w:p>
    <w:p w14:paraId="5BC68681" w14:textId="77777777" w:rsidR="006E243E" w:rsidRDefault="006E243E">
      <w:pPr>
        <w:pStyle w:val="NormalWeb"/>
      </w:pPr>
      <w:r>
        <w:t>In a 2016 Victorian study, data linkage achieved 99.8% Indigenous status completeness for notified cases of hepatitis B, C and gonococcal infection.</w:t>
      </w:r>
      <w:r>
        <w:rPr>
          <w:vertAlign w:val="superscript"/>
        </w:rPr>
        <w:t>23</w:t>
      </w:r>
      <w:r>
        <w:t xml:space="preserve"> This resulted in the Indigenous notification rate ratio increasing from 1.62 to 4.08 (95%CI 2.55 – 5.42), indicating that without identifiers in the notification dataset the burden of infectious disease can be drastically underestimated in the Victorian Indigenous population. Ongoing under-identification of Indigenous status prevents accurate measurement of the health gaps between Indigenous and non-Indigenous Australians and could hinder important public health initiatives. Given this, Victoria DHHS is considering routine data linkage to improve Indigenous status data completeness.</w:t>
      </w:r>
    </w:p>
    <w:p w14:paraId="6A22DF66" w14:textId="77777777" w:rsidR="006E243E" w:rsidRDefault="006E243E">
      <w:pPr>
        <w:pStyle w:val="NormalWeb"/>
      </w:pPr>
      <w:r>
        <w:t>The notification requirement changes that come into effect 1 September 2018 aim to simplify the process of notifying certain conditions.</w:t>
      </w:r>
      <w:r>
        <w:rPr>
          <w:vertAlign w:val="superscript"/>
        </w:rPr>
        <w:t>13</w:t>
      </w:r>
      <w:r>
        <w:t xml:space="preserve"> While none of the conditions undergoing changes to notification requirements are priority diseases for Indigenous status reporting, in 2016 and 2017 some were under the 80% CDNA target for non-priority conditions.</w:t>
      </w:r>
      <w:r>
        <w:rPr>
          <w:vertAlign w:val="superscript"/>
        </w:rPr>
        <w:t>4</w:t>
      </w:r>
      <w:r>
        <w:t xml:space="preserve"> For some of these conditions, routine DHHS follow-up with doctors, including requesting Indigenous status information, will continue for cases that meet pre-defined criteria. Future audits of the infectious disease surveillance system in Victoria are recommended to monitor the effects of changes to notification</w:t>
      </w:r>
      <w:r w:rsidR="009F03FC">
        <w:t> </w:t>
      </w:r>
      <w:r>
        <w:t>requirements.</w:t>
      </w:r>
    </w:p>
    <w:p w14:paraId="56E13268" w14:textId="77777777" w:rsidR="006E243E" w:rsidRDefault="006E243E">
      <w:pPr>
        <w:pStyle w:val="Heading1"/>
        <w:rPr>
          <w:rFonts w:eastAsia="Times New Roman"/>
        </w:rPr>
      </w:pPr>
      <w:r>
        <w:rPr>
          <w:rFonts w:eastAsia="Times New Roman"/>
        </w:rPr>
        <w:t>Acknowledgements</w:t>
      </w:r>
    </w:p>
    <w:p w14:paraId="18579E45" w14:textId="77777777" w:rsidR="006E243E" w:rsidRDefault="006E243E">
      <w:pPr>
        <w:pStyle w:val="NormalWeb"/>
      </w:pPr>
      <w:r>
        <w:t xml:space="preserve">The authors extend their sincerest thanks to all staff from the Communicable Disease sections at DHHS. Particular thanks are extended to Trevor Lauer who extracted the notification data and all who graciously answered questions and provided insights: </w:t>
      </w:r>
      <w:proofErr w:type="spellStart"/>
      <w:r>
        <w:t>Nasra</w:t>
      </w:r>
      <w:proofErr w:type="spellEnd"/>
      <w:r>
        <w:t xml:space="preserve"> Higgins, Anna-Lena Arnold, </w:t>
      </w:r>
      <w:proofErr w:type="spellStart"/>
      <w:r>
        <w:t>Tanyth</w:t>
      </w:r>
      <w:proofErr w:type="spellEnd"/>
      <w:r>
        <w:t xml:space="preserve"> de </w:t>
      </w:r>
      <w:proofErr w:type="spellStart"/>
      <w:r>
        <w:t>Gooyer</w:t>
      </w:r>
      <w:proofErr w:type="spellEnd"/>
      <w:r>
        <w:t xml:space="preserve">, Zoe Stephens, Kim White and Nicola Stephens. We also acknowledge all medical practitioners and laboratory staff who notify to DHHS and therefore make infectious disease surveillance possible in Victoria. </w:t>
      </w:r>
    </w:p>
    <w:p w14:paraId="745F726A" w14:textId="77777777" w:rsidR="00393A5B" w:rsidRDefault="00393A5B">
      <w:pPr>
        <w:rPr>
          <w:rFonts w:asciiTheme="majorHAnsi" w:eastAsia="Times New Roman" w:hAnsiTheme="majorHAnsi" w:cstheme="majorBidi"/>
          <w:b/>
          <w:bCs/>
          <w:sz w:val="32"/>
          <w:szCs w:val="28"/>
        </w:rPr>
      </w:pPr>
      <w:r>
        <w:rPr>
          <w:rFonts w:eastAsia="Times New Roman"/>
        </w:rPr>
        <w:br w:type="page"/>
      </w:r>
    </w:p>
    <w:p w14:paraId="0CB532F0" w14:textId="77777777" w:rsidR="006E243E" w:rsidRDefault="006E243E">
      <w:pPr>
        <w:pStyle w:val="Heading1"/>
        <w:rPr>
          <w:rFonts w:eastAsia="Times New Roman"/>
        </w:rPr>
      </w:pPr>
      <w:r>
        <w:rPr>
          <w:rFonts w:eastAsia="Times New Roman"/>
        </w:rPr>
        <w:lastRenderedPageBreak/>
        <w:t>Author details</w:t>
      </w:r>
    </w:p>
    <w:p w14:paraId="1E6FE05B" w14:textId="77777777" w:rsidR="006E243E" w:rsidRDefault="006E243E" w:rsidP="00645857">
      <w:pPr>
        <w:pStyle w:val="NoSpacing"/>
      </w:pPr>
      <w:r>
        <w:t>Dr Cassidy K Nelson</w:t>
      </w:r>
      <w:r>
        <w:rPr>
          <w:vertAlign w:val="superscript"/>
        </w:rPr>
        <w:t>1</w:t>
      </w:r>
      <w:r>
        <w:t xml:space="preserve"> , Principal Public Health Medical Officer</w:t>
      </w:r>
    </w:p>
    <w:p w14:paraId="44FEBB41" w14:textId="77777777" w:rsidR="006E243E" w:rsidRDefault="006E243E" w:rsidP="00645857">
      <w:pPr>
        <w:pStyle w:val="NoSpacing"/>
      </w:pPr>
      <w:r>
        <w:t>Ms Lucinda J Franklin</w:t>
      </w:r>
      <w:r>
        <w:rPr>
          <w:vertAlign w:val="superscript"/>
        </w:rPr>
        <w:t>2</w:t>
      </w:r>
      <w:r>
        <w:t xml:space="preserve"> , Principal Epidemiologist</w:t>
      </w:r>
    </w:p>
    <w:p w14:paraId="7B628F4A" w14:textId="77777777" w:rsidR="006E243E" w:rsidRDefault="006E243E" w:rsidP="00645857">
      <w:pPr>
        <w:pStyle w:val="NoSpacing"/>
      </w:pPr>
      <w:r>
        <w:t>Dr Katherine B Gibney</w:t>
      </w:r>
      <w:r>
        <w:rPr>
          <w:vertAlign w:val="superscript"/>
        </w:rPr>
        <w:t>2</w:t>
      </w:r>
      <w:r>
        <w:t xml:space="preserve"> , Infectious Diseases and Public Health Physician, Medical Epidemiologist</w:t>
      </w:r>
    </w:p>
    <w:p w14:paraId="0F20128E" w14:textId="77777777" w:rsidR="006E243E" w:rsidRPr="00645857" w:rsidRDefault="006E243E" w:rsidP="00645857">
      <w:pPr>
        <w:pStyle w:val="ListParagraph"/>
        <w:numPr>
          <w:ilvl w:val="0"/>
          <w:numId w:val="9"/>
        </w:numPr>
        <w:spacing w:before="100" w:beforeAutospacing="1" w:after="100" w:afterAutospacing="1" w:line="240" w:lineRule="auto"/>
        <w:rPr>
          <w:rFonts w:eastAsia="Times New Roman"/>
        </w:rPr>
      </w:pPr>
      <w:r w:rsidRPr="00645857">
        <w:rPr>
          <w:rFonts w:eastAsia="Times New Roman"/>
        </w:rPr>
        <w:t>Public Health Medicine (Communicable Disease) | Health Protection Branch Regulation, Health Protection and Emergency Management Division Department of Health and Human Services</w:t>
      </w:r>
    </w:p>
    <w:p w14:paraId="5C74910C" w14:textId="77777777" w:rsidR="006E243E" w:rsidRPr="00645857" w:rsidRDefault="006E243E" w:rsidP="00645857">
      <w:pPr>
        <w:pStyle w:val="ListParagraph"/>
        <w:numPr>
          <w:ilvl w:val="0"/>
          <w:numId w:val="9"/>
        </w:numPr>
        <w:spacing w:before="100" w:beforeAutospacing="1" w:after="100" w:afterAutospacing="1" w:line="240" w:lineRule="auto"/>
        <w:rPr>
          <w:rFonts w:eastAsia="Times New Roman"/>
        </w:rPr>
      </w:pPr>
      <w:r w:rsidRPr="00645857">
        <w:rPr>
          <w:rFonts w:eastAsia="Times New Roman"/>
        </w:rPr>
        <w:t>Communicable Disease Epidemiology and Surveillance | Health Protection Branch Regulation, Health Protection and Emergency Management Division Department of Health and Human Services</w:t>
      </w:r>
    </w:p>
    <w:p w14:paraId="7EED73CA" w14:textId="77777777" w:rsidR="006E243E" w:rsidRPr="00645857" w:rsidRDefault="006E243E" w:rsidP="00645857">
      <w:pPr>
        <w:pStyle w:val="Heading2"/>
      </w:pPr>
      <w:r w:rsidRPr="00645857">
        <w:t>Corresponding author</w:t>
      </w:r>
    </w:p>
    <w:p w14:paraId="768004F0" w14:textId="77777777" w:rsidR="006E243E" w:rsidRDefault="00393A5B" w:rsidP="00645857">
      <w:r>
        <w:t>Dr Katherine Gibney</w:t>
      </w:r>
      <w:r>
        <w:br/>
      </w:r>
      <w:r w:rsidR="006E243E">
        <w:t>Communicable Disease Epidemiology and Surveill</w:t>
      </w:r>
      <w:r>
        <w:t>ance, Health Protection Branch</w:t>
      </w:r>
      <w:r>
        <w:br/>
      </w:r>
      <w:r w:rsidR="006E243E">
        <w:t>Departme</w:t>
      </w:r>
      <w:r>
        <w:t>nt of Health and Human Services</w:t>
      </w:r>
      <w:r>
        <w:br/>
      </w:r>
      <w:r w:rsidR="006E243E">
        <w:t>Level 14, 50</w:t>
      </w:r>
      <w:r>
        <w:t xml:space="preserve"> Lonsdale Street, Melbourne Vic 3000.</w:t>
      </w:r>
      <w:r>
        <w:br/>
        <w:t>Telephone: +61 1300 651 160.</w:t>
      </w:r>
      <w:r>
        <w:br/>
        <w:t>Facsimile: +61 1300 651 170.</w:t>
      </w:r>
      <w:r>
        <w:br/>
      </w:r>
      <w:r w:rsidR="006E243E">
        <w:t>Email: Katherine.Gibney@dhhs.vic.gov.au</w:t>
      </w:r>
    </w:p>
    <w:p w14:paraId="284A756F" w14:textId="77777777" w:rsidR="006E243E" w:rsidRDefault="006E243E">
      <w:pPr>
        <w:pStyle w:val="Heading1"/>
        <w:rPr>
          <w:rFonts w:eastAsia="Times New Roman"/>
        </w:rPr>
      </w:pPr>
      <w:r>
        <w:rPr>
          <w:rFonts w:eastAsia="Times New Roman"/>
        </w:rPr>
        <w:t>References</w:t>
      </w:r>
    </w:p>
    <w:p w14:paraId="4B87DBBF"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Thacker SB, </w:t>
      </w:r>
      <w:proofErr w:type="spellStart"/>
      <w:r>
        <w:rPr>
          <w:rFonts w:eastAsia="Times New Roman"/>
        </w:rPr>
        <w:t>Berkelman</w:t>
      </w:r>
      <w:proofErr w:type="spellEnd"/>
      <w:r>
        <w:rPr>
          <w:rFonts w:eastAsia="Times New Roman"/>
        </w:rPr>
        <w:t xml:space="preserve"> RL. Public health surveillance in the United States. </w:t>
      </w:r>
      <w:r w:rsidRPr="00684CC6">
        <w:rPr>
          <w:rStyle w:val="Emphasis"/>
          <w:rFonts w:eastAsia="Times New Roman"/>
          <w:b w:val="0"/>
        </w:rPr>
        <w:t>Epidemiol Rev.</w:t>
      </w:r>
      <w:r>
        <w:rPr>
          <w:rFonts w:eastAsia="Times New Roman"/>
        </w:rPr>
        <w:t xml:space="preserve"> 1988;10(1):164–90.</w:t>
      </w:r>
    </w:p>
    <w:p w14:paraId="3605FF9C"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Communicable Diseases Network Australia Case Definitions Working Group. Surveillance case definitions for the Australian National Notifiable Diseases Surveillance System, 1 January 2004–1 January 2016. 2015 [cited 2018 Apr 22]. [Internet]. Available from: www.health.gov.au/casedefinitions</w:t>
      </w:r>
    </w:p>
    <w:p w14:paraId="1F2BD99E"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Department of Health and Human Services. Victorian Annual Surveillance Factsheet, 2017: Sexually transmissible infections. Melbourne: DHHS; 2018 Apr [cited 2018 Aug 3]. [Internet]. Available from: https://www2.health.vic.gov.au/Api/downloadmedia/%7B27A4188D-7167-49F4-9F08-63165A44D80F%7D</w:t>
      </w:r>
    </w:p>
    <w:p w14:paraId="704842FC"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NNDSS Annual Report Writing Group. Australia’s notifiable disease status, 2014: Annual report of the National Notifiable Diseases Surveillance System. </w:t>
      </w:r>
      <w:r w:rsidRPr="00684CC6">
        <w:rPr>
          <w:rStyle w:val="Emphasis"/>
          <w:rFonts w:eastAsia="Times New Roman"/>
          <w:b w:val="0"/>
        </w:rPr>
        <w:t>Commun Dis Intell Q Rep</w:t>
      </w:r>
      <w:r w:rsidRPr="00957A93">
        <w:rPr>
          <w:rStyle w:val="Emphasis"/>
          <w:rFonts w:eastAsia="Times New Roman"/>
          <w:b w:val="0"/>
          <w:i w:val="0"/>
        </w:rPr>
        <w:t>. 2016;40(1):E48.</w:t>
      </w:r>
      <w:r>
        <w:rPr>
          <w:rFonts w:eastAsia="Times New Roman"/>
        </w:rPr>
        <w:t xml:space="preserve"> </w:t>
      </w:r>
    </w:p>
    <w:p w14:paraId="1F3EAD6B"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Fielding J. Infectious disease notification trends and practices in Victoria, 2004. </w:t>
      </w:r>
      <w:r w:rsidRPr="00684CC6">
        <w:rPr>
          <w:rStyle w:val="Emphasis"/>
          <w:rFonts w:eastAsia="Times New Roman"/>
          <w:b w:val="0"/>
        </w:rPr>
        <w:t>Vic Infect Dis Bull.</w:t>
      </w:r>
      <w:r>
        <w:rPr>
          <w:rFonts w:eastAsia="Times New Roman"/>
        </w:rPr>
        <w:t xml:space="preserve"> 2005;8(3):72–5.</w:t>
      </w:r>
    </w:p>
    <w:p w14:paraId="428F9CB1"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Fielding J. Infectious disease notification trends and practices in Victoria, 2006. </w:t>
      </w:r>
      <w:r w:rsidRPr="00684CC6">
        <w:rPr>
          <w:rStyle w:val="Emphasis"/>
          <w:rFonts w:eastAsia="Times New Roman"/>
          <w:b w:val="0"/>
        </w:rPr>
        <w:t>Vic Infect Dis Bull.</w:t>
      </w:r>
      <w:r>
        <w:rPr>
          <w:rFonts w:eastAsia="Times New Roman"/>
        </w:rPr>
        <w:t xml:space="preserve"> 2007;10(4):86–90.</w:t>
      </w:r>
    </w:p>
    <w:p w14:paraId="1A7AFC55" w14:textId="77777777" w:rsidR="006E243E" w:rsidRDefault="006E243E" w:rsidP="006E243E">
      <w:pPr>
        <w:numPr>
          <w:ilvl w:val="0"/>
          <w:numId w:val="8"/>
        </w:numPr>
        <w:spacing w:before="100" w:beforeAutospacing="1" w:after="100" w:afterAutospacing="1" w:line="240" w:lineRule="auto"/>
        <w:rPr>
          <w:rFonts w:eastAsia="Times New Roman"/>
        </w:rPr>
      </w:pPr>
      <w:proofErr w:type="spellStart"/>
      <w:r>
        <w:rPr>
          <w:rFonts w:eastAsia="Times New Roman"/>
        </w:rPr>
        <w:t>Berzins</w:t>
      </w:r>
      <w:proofErr w:type="spellEnd"/>
      <w:r>
        <w:rPr>
          <w:rFonts w:eastAsia="Times New Roman"/>
        </w:rPr>
        <w:t xml:space="preserve"> R, Fielding J. Medical practitioner notification trends and practices in Victoria, 2007–2008. </w:t>
      </w:r>
      <w:r w:rsidRPr="00684CC6">
        <w:rPr>
          <w:rStyle w:val="Emphasis"/>
          <w:rFonts w:eastAsia="Times New Roman"/>
          <w:b w:val="0"/>
        </w:rPr>
        <w:t>Vic Infect Dis Bull.</w:t>
      </w:r>
      <w:r>
        <w:rPr>
          <w:rFonts w:eastAsia="Times New Roman"/>
        </w:rPr>
        <w:t xml:space="preserve"> 2009;12(1):7–11.</w:t>
      </w:r>
    </w:p>
    <w:p w14:paraId="7B2F0E09"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Fielding J. Infectious disease notification trends and practices in Victoria, 2009. </w:t>
      </w:r>
      <w:r w:rsidRPr="00684CC6">
        <w:rPr>
          <w:rStyle w:val="Emphasis"/>
          <w:rFonts w:eastAsia="Times New Roman"/>
          <w:b w:val="0"/>
        </w:rPr>
        <w:t>Vic Infect Dis Bull.</w:t>
      </w:r>
      <w:r>
        <w:rPr>
          <w:rFonts w:eastAsia="Times New Roman"/>
        </w:rPr>
        <w:t xml:space="preserve"> 2010;13(3):85–90.</w:t>
      </w:r>
    </w:p>
    <w:p w14:paraId="573A6235"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Rowe S. Infectious disease notification trends and practices in Victoria, 2011. </w:t>
      </w:r>
      <w:r w:rsidRPr="00684CC6">
        <w:rPr>
          <w:rStyle w:val="Emphasis"/>
          <w:rFonts w:eastAsia="Times New Roman"/>
          <w:b w:val="0"/>
        </w:rPr>
        <w:t>Vic Infect Dis Bull.</w:t>
      </w:r>
      <w:r>
        <w:rPr>
          <w:rFonts w:eastAsia="Times New Roman"/>
        </w:rPr>
        <w:t xml:space="preserve"> 2012;15(3):92–7.</w:t>
      </w:r>
    </w:p>
    <w:p w14:paraId="75D67DAB"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Gibney KB, Franklin LJ, Stephens N. Infectious diseases notification practices, Victoria 2013. </w:t>
      </w:r>
      <w:r w:rsidRPr="00684CC6">
        <w:rPr>
          <w:rStyle w:val="Emphasis"/>
          <w:rFonts w:eastAsia="Times New Roman"/>
          <w:b w:val="0"/>
        </w:rPr>
        <w:t>Commun Dis Intell Q Rep</w:t>
      </w:r>
      <w:r>
        <w:rPr>
          <w:rFonts w:eastAsia="Times New Roman"/>
        </w:rPr>
        <w:t>. 2016;40(3):E317–25.</w:t>
      </w:r>
    </w:p>
    <w:p w14:paraId="409FF0F9"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Australian Institute of Health and Welfare. National best practice guidelines for data linkage activities relating to Aboriginal and Torres Strait Islander people: 2012. Cat. no. IHW 74. Canberra: AIHW; 2012 Jul 9 [cited 2018 Aug 31]. [Internet]. Available from: https://www.aihw.gov.au/getmedia/6d6b9365-9cc7-41ee-873f-13e69e038337/13627.pdf.aspx?inline=true</w:t>
      </w:r>
    </w:p>
    <w:p w14:paraId="52EC5101"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Doherty Institute. Victorian Enhanced Viral Hepatitis Surveillance Project. Melbourne: University of Melbourne; 2016 Jul [cited 2018 Jul 20]. [Internet]. Available from: </w:t>
      </w:r>
      <w:r>
        <w:rPr>
          <w:rFonts w:eastAsia="Times New Roman"/>
        </w:rPr>
        <w:lastRenderedPageBreak/>
        <w:t>http://www.doherty.edu.au/whoccvh/centre-activities/research/hepatitis-b-virus/east-timor-confirmatory-testing-for-hepatitis-b-using-dried-blood-spots</w:t>
      </w:r>
    </w:p>
    <w:p w14:paraId="4EEC7751"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Department of Health and Human Services. Changes to notifiable conditions from 1 September 2018. Melbourne: DHHS; 2018 Jul 16 [cited 2018 Aug 14]. [Internet]. Available from: https://www2.health.vic.gov.au/about/publications/policiesandguidelines/notifiable-conditions-changes-sep-2018</w:t>
      </w:r>
    </w:p>
    <w:p w14:paraId="60AA441A"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Sullivan SG, Chilver MB, Carville KS, Deng Y-M, Grant KA, Higgins G, et al. Low interim influenza vaccine effectiveness, Australia, 1 May to 24 September 2017. </w:t>
      </w:r>
      <w:r w:rsidRPr="00567982">
        <w:rPr>
          <w:rFonts w:eastAsia="Times New Roman"/>
          <w:i/>
        </w:rPr>
        <w:t xml:space="preserve">Euro </w:t>
      </w:r>
      <w:proofErr w:type="spellStart"/>
      <w:r w:rsidRPr="00567982">
        <w:rPr>
          <w:rFonts w:eastAsia="Times New Roman"/>
          <w:i/>
        </w:rPr>
        <w:t>Surveill</w:t>
      </w:r>
      <w:proofErr w:type="spellEnd"/>
      <w:r>
        <w:rPr>
          <w:rFonts w:eastAsia="Times New Roman"/>
        </w:rPr>
        <w:t>. 2017;22(43). https://doi.org/10.2807/1560-7917.ES.2017.22.43.17-00707.</w:t>
      </w:r>
    </w:p>
    <w:p w14:paraId="7F0385F0"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German RR, Lee LM, Horan J, Milstein R, </w:t>
      </w:r>
      <w:proofErr w:type="spellStart"/>
      <w:r>
        <w:rPr>
          <w:rFonts w:eastAsia="Times New Roman"/>
        </w:rPr>
        <w:t>Pertowski</w:t>
      </w:r>
      <w:proofErr w:type="spellEnd"/>
      <w:r>
        <w:rPr>
          <w:rFonts w:eastAsia="Times New Roman"/>
        </w:rPr>
        <w:t xml:space="preserve"> C, Waller M. Updated guidelines for evaluating public health surveillance systems. </w:t>
      </w:r>
      <w:r w:rsidRPr="00684CC6">
        <w:rPr>
          <w:rStyle w:val="Emphasis"/>
          <w:rFonts w:eastAsia="Times New Roman"/>
          <w:b w:val="0"/>
        </w:rPr>
        <w:t xml:space="preserve">MMWR </w:t>
      </w:r>
      <w:proofErr w:type="spellStart"/>
      <w:r w:rsidRPr="00684CC6">
        <w:rPr>
          <w:rStyle w:val="Emphasis"/>
          <w:rFonts w:eastAsia="Times New Roman"/>
          <w:b w:val="0"/>
        </w:rPr>
        <w:t>Recomm</w:t>
      </w:r>
      <w:proofErr w:type="spellEnd"/>
      <w:r w:rsidRPr="00684CC6">
        <w:rPr>
          <w:rStyle w:val="Emphasis"/>
          <w:rFonts w:eastAsia="Times New Roman"/>
          <w:b w:val="0"/>
        </w:rPr>
        <w:t xml:space="preserve"> Rep</w:t>
      </w:r>
      <w:r>
        <w:rPr>
          <w:rFonts w:eastAsia="Times New Roman"/>
        </w:rPr>
        <w:t>. 2001;(RR-13):1–35.</w:t>
      </w:r>
    </w:p>
    <w:p w14:paraId="453648FD" w14:textId="77777777" w:rsidR="006E243E" w:rsidRDefault="006E243E" w:rsidP="006E243E">
      <w:pPr>
        <w:numPr>
          <w:ilvl w:val="0"/>
          <w:numId w:val="8"/>
        </w:numPr>
        <w:spacing w:before="100" w:beforeAutospacing="1" w:after="100" w:afterAutospacing="1" w:line="240" w:lineRule="auto"/>
        <w:rPr>
          <w:rFonts w:eastAsia="Times New Roman"/>
        </w:rPr>
      </w:pPr>
      <w:proofErr w:type="spellStart"/>
      <w:r>
        <w:rPr>
          <w:rFonts w:eastAsia="Times New Roman"/>
        </w:rPr>
        <w:t>Swaan</w:t>
      </w:r>
      <w:proofErr w:type="spellEnd"/>
      <w:r>
        <w:rPr>
          <w:rFonts w:eastAsia="Times New Roman"/>
        </w:rPr>
        <w:t xml:space="preserve"> C, van den Broek A, Kretzschmar M, </w:t>
      </w:r>
      <w:proofErr w:type="spellStart"/>
      <w:r>
        <w:rPr>
          <w:rFonts w:eastAsia="Times New Roman"/>
        </w:rPr>
        <w:t>Richardus</w:t>
      </w:r>
      <w:proofErr w:type="spellEnd"/>
      <w:r>
        <w:rPr>
          <w:rFonts w:eastAsia="Times New Roman"/>
        </w:rPr>
        <w:t xml:space="preserve"> JH. Timeliness of notification systems for infectious diseases: A systematic literature review. </w:t>
      </w:r>
      <w:proofErr w:type="spellStart"/>
      <w:r w:rsidRPr="00684CC6">
        <w:rPr>
          <w:rStyle w:val="Emphasis"/>
          <w:rFonts w:eastAsia="Times New Roman"/>
          <w:b w:val="0"/>
        </w:rPr>
        <w:t>PLoS</w:t>
      </w:r>
      <w:proofErr w:type="spellEnd"/>
      <w:r w:rsidRPr="00684CC6">
        <w:rPr>
          <w:rStyle w:val="Emphasis"/>
          <w:rFonts w:eastAsia="Times New Roman"/>
          <w:b w:val="0"/>
        </w:rPr>
        <w:t xml:space="preserve"> One</w:t>
      </w:r>
      <w:r>
        <w:rPr>
          <w:rFonts w:eastAsia="Times New Roman"/>
        </w:rPr>
        <w:t>. 2018;13(6):e0198845.</w:t>
      </w:r>
    </w:p>
    <w:p w14:paraId="4E9AF50A" w14:textId="77777777" w:rsidR="006E243E" w:rsidRDefault="006E243E" w:rsidP="006E243E">
      <w:pPr>
        <w:numPr>
          <w:ilvl w:val="0"/>
          <w:numId w:val="8"/>
        </w:numPr>
        <w:spacing w:before="100" w:beforeAutospacing="1" w:after="100" w:afterAutospacing="1" w:line="240" w:lineRule="auto"/>
        <w:rPr>
          <w:rFonts w:eastAsia="Times New Roman"/>
        </w:rPr>
      </w:pPr>
      <w:proofErr w:type="spellStart"/>
      <w:r>
        <w:rPr>
          <w:rFonts w:eastAsia="Times New Roman"/>
        </w:rPr>
        <w:t>Gluskin</w:t>
      </w:r>
      <w:proofErr w:type="spellEnd"/>
      <w:r>
        <w:rPr>
          <w:rFonts w:eastAsia="Times New Roman"/>
        </w:rPr>
        <w:t xml:space="preserve"> RT, </w:t>
      </w:r>
      <w:proofErr w:type="spellStart"/>
      <w:r>
        <w:rPr>
          <w:rFonts w:eastAsia="Times New Roman"/>
        </w:rPr>
        <w:t>Mavinkurve</w:t>
      </w:r>
      <w:proofErr w:type="spellEnd"/>
      <w:r>
        <w:rPr>
          <w:rFonts w:eastAsia="Times New Roman"/>
        </w:rPr>
        <w:t xml:space="preserve"> M, Varma JK. Government leadership in addressing public health priorities: strides and delays in electronic laboratory reporting in the United States. </w:t>
      </w:r>
      <w:r w:rsidRPr="00684CC6">
        <w:rPr>
          <w:rStyle w:val="Emphasis"/>
          <w:rFonts w:eastAsia="Times New Roman"/>
          <w:b w:val="0"/>
        </w:rPr>
        <w:t>Am J Public Health</w:t>
      </w:r>
      <w:r>
        <w:rPr>
          <w:rFonts w:eastAsia="Times New Roman"/>
        </w:rPr>
        <w:t>. 2014;104(3):e16–21.</w:t>
      </w:r>
    </w:p>
    <w:p w14:paraId="29B76663" w14:textId="77777777" w:rsidR="006E243E" w:rsidRDefault="006E243E" w:rsidP="006E243E">
      <w:pPr>
        <w:numPr>
          <w:ilvl w:val="0"/>
          <w:numId w:val="8"/>
        </w:numPr>
        <w:spacing w:before="100" w:beforeAutospacing="1" w:after="100" w:afterAutospacing="1" w:line="240" w:lineRule="auto"/>
        <w:rPr>
          <w:rFonts w:eastAsia="Times New Roman"/>
        </w:rPr>
      </w:pPr>
      <w:proofErr w:type="spellStart"/>
      <w:r>
        <w:rPr>
          <w:rFonts w:eastAsia="Times New Roman"/>
        </w:rPr>
        <w:t>Birkhead</w:t>
      </w:r>
      <w:proofErr w:type="spellEnd"/>
      <w:r>
        <w:rPr>
          <w:rFonts w:eastAsia="Times New Roman"/>
        </w:rPr>
        <w:t xml:space="preserve"> GS, </w:t>
      </w:r>
      <w:proofErr w:type="spellStart"/>
      <w:r>
        <w:rPr>
          <w:rFonts w:eastAsia="Times New Roman"/>
        </w:rPr>
        <w:t>Klompas</w:t>
      </w:r>
      <w:proofErr w:type="spellEnd"/>
      <w:r>
        <w:rPr>
          <w:rFonts w:eastAsia="Times New Roman"/>
        </w:rPr>
        <w:t xml:space="preserve"> M, Shah NR. Uses of electronic health records for public health surveillance to advance public health. </w:t>
      </w:r>
      <w:r w:rsidRPr="00684CC6">
        <w:rPr>
          <w:rStyle w:val="Emphasis"/>
          <w:rFonts w:eastAsia="Times New Roman"/>
          <w:b w:val="0"/>
        </w:rPr>
        <w:t>Annu Rev Public Health</w:t>
      </w:r>
      <w:r>
        <w:rPr>
          <w:rFonts w:eastAsia="Times New Roman"/>
        </w:rPr>
        <w:t>. 2015;36:345–59.</w:t>
      </w:r>
    </w:p>
    <w:p w14:paraId="7BDFB110"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Department of Health and Human Services. Statement of Expectations – 2017–18 to 2018–19. Melbourne: DHHS; 2017 [cited 2018 Aug 15]. [Internet]. Available from: https://dhhs.vic.gov.au/communicable-disease-soe-response-actions</w:t>
      </w:r>
    </w:p>
    <w:p w14:paraId="4F98AF7E" w14:textId="77777777" w:rsidR="006E243E" w:rsidRDefault="006E243E" w:rsidP="006E243E">
      <w:pPr>
        <w:numPr>
          <w:ilvl w:val="0"/>
          <w:numId w:val="8"/>
        </w:numPr>
        <w:spacing w:before="100" w:beforeAutospacing="1" w:after="100" w:afterAutospacing="1" w:line="240" w:lineRule="auto"/>
        <w:rPr>
          <w:rFonts w:eastAsia="Times New Roman"/>
        </w:rPr>
      </w:pPr>
      <w:proofErr w:type="spellStart"/>
      <w:r>
        <w:rPr>
          <w:rFonts w:eastAsia="Times New Roman"/>
        </w:rPr>
        <w:t>Marinović</w:t>
      </w:r>
      <w:proofErr w:type="spellEnd"/>
      <w:r>
        <w:rPr>
          <w:rFonts w:eastAsia="Times New Roman"/>
        </w:rPr>
        <w:t xml:space="preserve"> AB, </w:t>
      </w:r>
      <w:proofErr w:type="spellStart"/>
      <w:r>
        <w:rPr>
          <w:rFonts w:eastAsia="Times New Roman"/>
        </w:rPr>
        <w:t>Swaan</w:t>
      </w:r>
      <w:proofErr w:type="spellEnd"/>
      <w:r>
        <w:rPr>
          <w:rFonts w:eastAsia="Times New Roman"/>
        </w:rPr>
        <w:t xml:space="preserve"> C, van </w:t>
      </w:r>
      <w:proofErr w:type="spellStart"/>
      <w:r>
        <w:rPr>
          <w:rFonts w:eastAsia="Times New Roman"/>
        </w:rPr>
        <w:t>Steenbergen</w:t>
      </w:r>
      <w:proofErr w:type="spellEnd"/>
      <w:r>
        <w:rPr>
          <w:rFonts w:eastAsia="Times New Roman"/>
        </w:rPr>
        <w:t xml:space="preserve"> J, Kretzschmar M. Quantifying reporting timeliness to improve outbreak control. </w:t>
      </w:r>
      <w:proofErr w:type="spellStart"/>
      <w:r w:rsidRPr="00684CC6">
        <w:rPr>
          <w:rStyle w:val="Emphasis"/>
          <w:rFonts w:eastAsia="Times New Roman"/>
          <w:b w:val="0"/>
        </w:rPr>
        <w:t>Emerg</w:t>
      </w:r>
      <w:proofErr w:type="spellEnd"/>
      <w:r w:rsidRPr="00684CC6">
        <w:rPr>
          <w:rStyle w:val="Emphasis"/>
          <w:rFonts w:eastAsia="Times New Roman"/>
          <w:b w:val="0"/>
        </w:rPr>
        <w:t xml:space="preserve"> Infect Dis</w:t>
      </w:r>
      <w:r>
        <w:rPr>
          <w:rFonts w:eastAsia="Times New Roman"/>
        </w:rPr>
        <w:t>. 2015;21(2):209.</w:t>
      </w:r>
    </w:p>
    <w:p w14:paraId="2F915834"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Bateman-Steel CR, Smedley EJ, Kong M, Ferson MJ. Hepatitis C enhanced surveillance: results from a southeastern Sydney pilot program. </w:t>
      </w:r>
      <w:r w:rsidRPr="00684CC6">
        <w:rPr>
          <w:rStyle w:val="Emphasis"/>
          <w:rFonts w:eastAsia="Times New Roman"/>
          <w:b w:val="0"/>
        </w:rPr>
        <w:t xml:space="preserve">Public Heal Res </w:t>
      </w:r>
      <w:proofErr w:type="spellStart"/>
      <w:r w:rsidRPr="00684CC6">
        <w:rPr>
          <w:rStyle w:val="Emphasis"/>
          <w:rFonts w:eastAsia="Times New Roman"/>
          <w:b w:val="0"/>
        </w:rPr>
        <w:t>Pract</w:t>
      </w:r>
      <w:proofErr w:type="spellEnd"/>
      <w:r>
        <w:rPr>
          <w:rFonts w:eastAsia="Times New Roman"/>
        </w:rPr>
        <w:t>. 2015;25(2):e2521520.</w:t>
      </w:r>
    </w:p>
    <w:p w14:paraId="75F19E26" w14:textId="77777777" w:rsidR="006E243E" w:rsidRDefault="006E243E" w:rsidP="006E243E">
      <w:pPr>
        <w:numPr>
          <w:ilvl w:val="0"/>
          <w:numId w:val="8"/>
        </w:numPr>
        <w:spacing w:before="100" w:beforeAutospacing="1" w:after="100" w:afterAutospacing="1" w:line="240" w:lineRule="auto"/>
        <w:rPr>
          <w:rFonts w:eastAsia="Times New Roman"/>
        </w:rPr>
      </w:pPr>
      <w:r>
        <w:rPr>
          <w:rFonts w:eastAsia="Times New Roman"/>
        </w:rPr>
        <w:t xml:space="preserve">Thompson SC, Woods JA, </w:t>
      </w:r>
      <w:proofErr w:type="spellStart"/>
      <w:r>
        <w:rPr>
          <w:rFonts w:eastAsia="Times New Roman"/>
        </w:rPr>
        <w:t>Katzenellenbogen</w:t>
      </w:r>
      <w:proofErr w:type="spellEnd"/>
      <w:r>
        <w:rPr>
          <w:rFonts w:eastAsia="Times New Roman"/>
        </w:rPr>
        <w:t xml:space="preserve"> JM. The quality of Indigenous identification in administrative health data in Australia: insights from studies using data linkage. </w:t>
      </w:r>
      <w:r w:rsidRPr="00684CC6">
        <w:rPr>
          <w:rStyle w:val="Emphasis"/>
          <w:rFonts w:eastAsia="Times New Roman"/>
          <w:b w:val="0"/>
        </w:rPr>
        <w:t xml:space="preserve">BMC Med Inform </w:t>
      </w:r>
      <w:proofErr w:type="spellStart"/>
      <w:r w:rsidRPr="00684CC6">
        <w:rPr>
          <w:rStyle w:val="Emphasis"/>
          <w:rFonts w:eastAsia="Times New Roman"/>
          <w:b w:val="0"/>
        </w:rPr>
        <w:t>Decis</w:t>
      </w:r>
      <w:proofErr w:type="spellEnd"/>
      <w:r w:rsidRPr="00684CC6">
        <w:rPr>
          <w:rStyle w:val="Emphasis"/>
          <w:rFonts w:eastAsia="Times New Roman"/>
          <w:b w:val="0"/>
        </w:rPr>
        <w:t xml:space="preserve"> Mak</w:t>
      </w:r>
      <w:r>
        <w:rPr>
          <w:rFonts w:eastAsia="Times New Roman"/>
        </w:rPr>
        <w:t>. 2012;12(1):133.</w:t>
      </w:r>
    </w:p>
    <w:p w14:paraId="514D2126" w14:textId="77777777" w:rsidR="008B5348" w:rsidRPr="00350C61" w:rsidRDefault="006E243E" w:rsidP="00350C61">
      <w:pPr>
        <w:numPr>
          <w:ilvl w:val="0"/>
          <w:numId w:val="8"/>
        </w:numPr>
        <w:spacing w:before="100" w:beforeAutospacing="1" w:after="100" w:afterAutospacing="1" w:line="240" w:lineRule="auto"/>
        <w:rPr>
          <w:rStyle w:val="A10"/>
          <w:rFonts w:eastAsia="Times New Roman" w:cstheme="minorBidi"/>
          <w:color w:val="auto"/>
        </w:rPr>
      </w:pPr>
      <w:r>
        <w:rPr>
          <w:rFonts w:eastAsia="Times New Roman"/>
        </w:rPr>
        <w:t xml:space="preserve">Rowe SL, Cowie BC. Using data linkage to improve the completeness of Aboriginal and Torres Strait Islander status in communicable disease notifications in Victoria. </w:t>
      </w:r>
      <w:r w:rsidRPr="00684CC6">
        <w:rPr>
          <w:rStyle w:val="Emphasis"/>
          <w:rFonts w:eastAsia="Times New Roman"/>
          <w:b w:val="0"/>
        </w:rPr>
        <w:t>Aust N Z J Public Health</w:t>
      </w:r>
      <w:r>
        <w:rPr>
          <w:rFonts w:eastAsia="Times New Roman"/>
        </w:rPr>
        <w:t>. 2016;40(2):148–53.</w:t>
      </w:r>
      <w:r w:rsidR="008B5348">
        <w:rPr>
          <w:rStyle w:val="A10"/>
        </w:rPr>
        <w:br w:type="page"/>
      </w:r>
    </w:p>
    <w:p w14:paraId="16FD86B3"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172536F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9BAE64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220A98D" w14:textId="77777777" w:rsidR="000A5F42" w:rsidRPr="000606CC" w:rsidRDefault="000A5F42" w:rsidP="000A5F42">
      <w:pPr>
        <w:pStyle w:val="NoSpacing"/>
        <w:rPr>
          <w:rStyle w:val="URI"/>
          <w:rFonts w:cstheme="minorHAnsi"/>
          <w:sz w:val="20"/>
          <w:szCs w:val="18"/>
        </w:rPr>
      </w:pPr>
    </w:p>
    <w:p w14:paraId="1A1560D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12FD631" w14:textId="77777777" w:rsidR="000A5F42" w:rsidRPr="000606CC" w:rsidRDefault="000A5F42" w:rsidP="000A5F42">
      <w:pPr>
        <w:pStyle w:val="NoSpacing"/>
        <w:rPr>
          <w:rStyle w:val="Strong"/>
          <w:rFonts w:cstheme="minorHAnsi"/>
          <w:sz w:val="20"/>
          <w:szCs w:val="18"/>
        </w:rPr>
      </w:pPr>
    </w:p>
    <w:p w14:paraId="6338EC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9CFBDF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1B6957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9040E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D15EB5B" w14:textId="77777777" w:rsidR="000A5F42" w:rsidRPr="000606CC" w:rsidRDefault="000A5F42" w:rsidP="000A5F42">
      <w:pPr>
        <w:pStyle w:val="NoSpacing"/>
        <w:rPr>
          <w:rStyle w:val="Strong"/>
          <w:rFonts w:cstheme="minorHAnsi"/>
          <w:sz w:val="20"/>
          <w:szCs w:val="18"/>
        </w:rPr>
      </w:pPr>
    </w:p>
    <w:p w14:paraId="1CF2BFF4" w14:textId="3B85D2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7BAA878" w14:textId="77777777" w:rsidR="000A5F42" w:rsidRPr="000606CC" w:rsidRDefault="000A5F42" w:rsidP="000A5F42">
      <w:pPr>
        <w:pStyle w:val="NoSpacing"/>
        <w:rPr>
          <w:rStyle w:val="Strong"/>
          <w:rFonts w:cstheme="minorHAnsi"/>
          <w:sz w:val="20"/>
          <w:szCs w:val="18"/>
        </w:rPr>
      </w:pPr>
    </w:p>
    <w:p w14:paraId="3EDDB93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B185B76" w14:textId="77777777" w:rsidR="000A5F42" w:rsidRPr="000606CC" w:rsidRDefault="000A5F42" w:rsidP="000A5F42">
      <w:pPr>
        <w:pStyle w:val="NoSpacing"/>
        <w:rPr>
          <w:rStyle w:val="Strong"/>
          <w:rFonts w:cstheme="minorHAnsi"/>
          <w:sz w:val="20"/>
          <w:szCs w:val="18"/>
        </w:rPr>
      </w:pPr>
    </w:p>
    <w:p w14:paraId="507992D6" w14:textId="7BB2BB1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302F4D5" w14:textId="77777777" w:rsidR="000A5F42" w:rsidRPr="000606CC" w:rsidRDefault="000A5F42" w:rsidP="000A5F42">
      <w:pPr>
        <w:pStyle w:val="NoSpacing"/>
        <w:rPr>
          <w:rStyle w:val="Strong"/>
          <w:rFonts w:cstheme="minorHAnsi"/>
          <w:sz w:val="20"/>
          <w:szCs w:val="18"/>
        </w:rPr>
      </w:pPr>
    </w:p>
    <w:p w14:paraId="03776819" w14:textId="64137E2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6E13CF5" w14:textId="52A0CDB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9EC4D7B" w14:textId="77777777" w:rsidR="000A5F42" w:rsidRPr="000606CC" w:rsidRDefault="000A5F42" w:rsidP="000A5F42">
      <w:pPr>
        <w:pStyle w:val="NoSpacing"/>
        <w:pBdr>
          <w:bottom w:val="single" w:sz="6" w:space="1" w:color="auto"/>
        </w:pBdr>
        <w:rPr>
          <w:rStyle w:val="Strong"/>
          <w:rFonts w:cstheme="minorHAnsi"/>
          <w:sz w:val="12"/>
          <w:szCs w:val="18"/>
        </w:rPr>
      </w:pPr>
    </w:p>
    <w:p w14:paraId="596556A7" w14:textId="77777777" w:rsidR="000A5F42" w:rsidRPr="000606CC" w:rsidRDefault="000A5F42" w:rsidP="000A5F42">
      <w:pPr>
        <w:pStyle w:val="NoSpacing"/>
        <w:rPr>
          <w:rFonts w:cstheme="minorHAnsi"/>
          <w:sz w:val="20"/>
          <w:szCs w:val="18"/>
        </w:rPr>
      </w:pPr>
    </w:p>
    <w:p w14:paraId="1FBA1EE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23F9241" w14:textId="77777777" w:rsidR="000A5F42" w:rsidRPr="000606CC" w:rsidRDefault="000A5F42" w:rsidP="000A5F42">
      <w:pPr>
        <w:pStyle w:val="NoSpacing"/>
        <w:rPr>
          <w:rFonts w:cstheme="minorHAnsi"/>
          <w:sz w:val="20"/>
          <w:szCs w:val="18"/>
        </w:rPr>
      </w:pPr>
    </w:p>
    <w:p w14:paraId="1BDA8C6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A48F528"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BF1B9AD" w14:textId="7496496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36CF9E4" w14:textId="77777777" w:rsidR="000A5F42" w:rsidRPr="000606CC" w:rsidRDefault="000A5F42" w:rsidP="000A5F42">
      <w:pPr>
        <w:pStyle w:val="NoSpacing"/>
        <w:rPr>
          <w:rFonts w:cstheme="minorHAnsi"/>
          <w:sz w:val="20"/>
          <w:szCs w:val="18"/>
        </w:rPr>
      </w:pPr>
    </w:p>
    <w:p w14:paraId="56BB63B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DED2CAF" w14:textId="3EF0052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ED8212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47D688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A1FF13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67498B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213ECB1" w14:textId="77777777" w:rsidR="000A5F42" w:rsidRPr="000606CC" w:rsidRDefault="000A5F42" w:rsidP="000A5F42">
      <w:pPr>
        <w:pStyle w:val="NoSpacing"/>
        <w:rPr>
          <w:rStyle w:val="Strong"/>
          <w:rFonts w:cstheme="minorHAnsi"/>
          <w:sz w:val="20"/>
          <w:szCs w:val="18"/>
        </w:rPr>
      </w:pPr>
    </w:p>
    <w:p w14:paraId="216C02F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7BA8E34" w14:textId="77777777" w:rsidR="000A5F42" w:rsidRPr="000606CC" w:rsidRDefault="000A5F42" w:rsidP="000A5F42">
      <w:pPr>
        <w:pStyle w:val="NoSpacing"/>
        <w:rPr>
          <w:rStyle w:val="Strong"/>
          <w:rFonts w:cstheme="minorHAnsi"/>
          <w:sz w:val="20"/>
          <w:szCs w:val="18"/>
        </w:rPr>
      </w:pPr>
    </w:p>
    <w:p w14:paraId="5AEE3DE0" w14:textId="6B9615C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0C8A42E" w14:textId="77777777" w:rsidR="000A5F42" w:rsidRPr="000606CC" w:rsidRDefault="000A5F42" w:rsidP="000A5F42">
      <w:pPr>
        <w:pStyle w:val="NoSpacing"/>
        <w:rPr>
          <w:rStyle w:val="URI"/>
          <w:rFonts w:cstheme="minorHAnsi"/>
          <w:sz w:val="20"/>
          <w:szCs w:val="18"/>
        </w:rPr>
      </w:pPr>
    </w:p>
    <w:p w14:paraId="2C4F181C" w14:textId="474DC2E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15CA1C4"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5016" w14:textId="77777777" w:rsidR="000C1E2B" w:rsidRDefault="000C1E2B" w:rsidP="00E54DBA">
      <w:r>
        <w:separator/>
      </w:r>
    </w:p>
    <w:p w14:paraId="55FB4591" w14:textId="77777777" w:rsidR="000C1E2B" w:rsidRDefault="000C1E2B"/>
    <w:p w14:paraId="23A8A2E5" w14:textId="77777777" w:rsidR="000C1E2B" w:rsidRDefault="000C1E2B" w:rsidP="008714B0"/>
  </w:endnote>
  <w:endnote w:type="continuationSeparator" w:id="0">
    <w:p w14:paraId="554C7B57" w14:textId="77777777" w:rsidR="000C1E2B" w:rsidRDefault="000C1E2B" w:rsidP="00E54DBA">
      <w:r>
        <w:continuationSeparator/>
      </w:r>
    </w:p>
    <w:p w14:paraId="7224A014" w14:textId="77777777" w:rsidR="000C1E2B" w:rsidRDefault="000C1E2B"/>
    <w:p w14:paraId="021E198D" w14:textId="77777777" w:rsidR="000C1E2B" w:rsidRDefault="000C1E2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9D0" w14:textId="3A670D1A" w:rsidR="00846DEF" w:rsidRPr="0042435E" w:rsidRDefault="00846DE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A595B">
      <w:rPr>
        <w:noProof/>
        <w:sz w:val="18"/>
      </w:rPr>
      <w:t>16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FA595B">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684CC6">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FA595B">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FA595B">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A595B">
      <w:rPr>
        <w:sz w:val="18"/>
      </w:rPr>
      <w:t>https://doi.org/10.33321/cdi.2019.43.34</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FA595B">
      <w:rPr>
        <w:sz w:val="18"/>
      </w:rPr>
      <w:t>15/08/2019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5CE2" w14:textId="23E01C45" w:rsidR="00846DEF" w:rsidRPr="00BB5378" w:rsidRDefault="00846DE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A595B">
      <w:rPr>
        <w:noProof/>
        <w:sz w:val="18"/>
      </w:rPr>
      <w:t>12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FA595B">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684CC6">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FA595B">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FA595B">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A595B">
      <w:rPr>
        <w:sz w:val="18"/>
      </w:rPr>
      <w:t>https://doi.org/10.33321/cdi.2019.43.34</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FA595B">
      <w:rPr>
        <w:sz w:val="18"/>
      </w:rPr>
      <w:t>15/08/2019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82E7" w14:textId="77777777" w:rsidR="000C1E2B" w:rsidRDefault="000C1E2B" w:rsidP="00E54DBA">
      <w:r>
        <w:separator/>
      </w:r>
    </w:p>
    <w:p w14:paraId="00D0B894" w14:textId="77777777" w:rsidR="000C1E2B" w:rsidRDefault="000C1E2B"/>
    <w:p w14:paraId="6245C587" w14:textId="77777777" w:rsidR="000C1E2B" w:rsidRDefault="000C1E2B" w:rsidP="008714B0"/>
  </w:footnote>
  <w:footnote w:type="continuationSeparator" w:id="0">
    <w:p w14:paraId="08B3A617" w14:textId="77777777" w:rsidR="000C1E2B" w:rsidRDefault="000C1E2B" w:rsidP="00E54DBA">
      <w:r>
        <w:continuationSeparator/>
      </w:r>
    </w:p>
    <w:p w14:paraId="6EF77746" w14:textId="77777777" w:rsidR="000C1E2B" w:rsidRDefault="000C1E2B"/>
    <w:p w14:paraId="26A7BE1B" w14:textId="77777777" w:rsidR="000C1E2B" w:rsidRDefault="000C1E2B"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2CBC" w14:textId="77777777" w:rsidR="00846DEF" w:rsidRPr="00A153B6" w:rsidRDefault="009E5DA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46DEF">
          <w:t>Original article</w:t>
        </w:r>
      </w:sdtContent>
    </w:sdt>
    <w:r w:rsidR="00846DEF">
      <w:ptab w:relativeTo="margin" w:alignment="right" w:leader="none"/>
    </w:r>
    <w:r w:rsidR="00846DE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7157" w14:textId="77777777" w:rsidR="00846DEF" w:rsidRPr="000A5F42" w:rsidRDefault="00846DEF" w:rsidP="000A5F42">
    <w:pPr>
      <w:pStyle w:val="Header"/>
      <w:jc w:val="center"/>
      <w:rPr>
        <w:b/>
      </w:rPr>
    </w:pPr>
    <w:r w:rsidRPr="00E810C5">
      <w:rPr>
        <w:rFonts w:cs="Myriad Pro"/>
        <w:noProof/>
        <w:color w:val="211D1E"/>
        <w:sz w:val="16"/>
      </w:rPr>
      <w:drawing>
        <wp:inline distT="0" distB="0" distL="0" distR="0" wp14:anchorId="63C32396" wp14:editId="5039273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98516B"/>
    <w:multiLevelType w:val="multilevel"/>
    <w:tmpl w:val="7746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07D1B"/>
    <w:multiLevelType w:val="hybridMultilevel"/>
    <w:tmpl w:val="843A07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B9C2FAF"/>
    <w:multiLevelType w:val="multilevel"/>
    <w:tmpl w:val="35AC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9340227">
    <w:abstractNumId w:val="1"/>
  </w:num>
  <w:num w:numId="2" w16cid:durableId="1747875027">
    <w:abstractNumId w:val="2"/>
  </w:num>
  <w:num w:numId="3" w16cid:durableId="205995266">
    <w:abstractNumId w:val="3"/>
  </w:num>
  <w:num w:numId="4" w16cid:durableId="410584345">
    <w:abstractNumId w:val="0"/>
  </w:num>
  <w:num w:numId="5" w16cid:durableId="1536505565">
    <w:abstractNumId w:val="7"/>
  </w:num>
  <w:num w:numId="6" w16cid:durableId="545676267">
    <w:abstractNumId w:val="8"/>
  </w:num>
  <w:num w:numId="7" w16cid:durableId="945507033">
    <w:abstractNumId w:val="6"/>
  </w:num>
  <w:num w:numId="8" w16cid:durableId="1761563682">
    <w:abstractNumId w:val="4"/>
  </w:num>
  <w:num w:numId="9" w16cid:durableId="924459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C"/>
    <w:rsid w:val="00000B5B"/>
    <w:rsid w:val="00001611"/>
    <w:rsid w:val="000062B7"/>
    <w:rsid w:val="000104A8"/>
    <w:rsid w:val="0001246E"/>
    <w:rsid w:val="000124B1"/>
    <w:rsid w:val="00016FE6"/>
    <w:rsid w:val="00031064"/>
    <w:rsid w:val="00031692"/>
    <w:rsid w:val="00032531"/>
    <w:rsid w:val="000471BF"/>
    <w:rsid w:val="00047B68"/>
    <w:rsid w:val="00052600"/>
    <w:rsid w:val="0005643C"/>
    <w:rsid w:val="0006264A"/>
    <w:rsid w:val="0006685B"/>
    <w:rsid w:val="00073D77"/>
    <w:rsid w:val="00081655"/>
    <w:rsid w:val="000864E0"/>
    <w:rsid w:val="00094D0C"/>
    <w:rsid w:val="000969B3"/>
    <w:rsid w:val="00097922"/>
    <w:rsid w:val="000A5BCA"/>
    <w:rsid w:val="000A5F42"/>
    <w:rsid w:val="000A6B31"/>
    <w:rsid w:val="000C0672"/>
    <w:rsid w:val="000C1E2B"/>
    <w:rsid w:val="000C71C9"/>
    <w:rsid w:val="000D4B4D"/>
    <w:rsid w:val="000F206D"/>
    <w:rsid w:val="00113D58"/>
    <w:rsid w:val="001378A3"/>
    <w:rsid w:val="00155582"/>
    <w:rsid w:val="00161590"/>
    <w:rsid w:val="00171CC0"/>
    <w:rsid w:val="00175494"/>
    <w:rsid w:val="00175629"/>
    <w:rsid w:val="0017759B"/>
    <w:rsid w:val="001830EC"/>
    <w:rsid w:val="00183534"/>
    <w:rsid w:val="0018414E"/>
    <w:rsid w:val="001A4A96"/>
    <w:rsid w:val="001A5D05"/>
    <w:rsid w:val="001A796C"/>
    <w:rsid w:val="001B2614"/>
    <w:rsid w:val="001B37B8"/>
    <w:rsid w:val="001B552F"/>
    <w:rsid w:val="001C0893"/>
    <w:rsid w:val="001C1303"/>
    <w:rsid w:val="001C70B2"/>
    <w:rsid w:val="001D37C7"/>
    <w:rsid w:val="001D6888"/>
    <w:rsid w:val="001E13E5"/>
    <w:rsid w:val="001E2424"/>
    <w:rsid w:val="00201157"/>
    <w:rsid w:val="00220F99"/>
    <w:rsid w:val="002276DC"/>
    <w:rsid w:val="00227E00"/>
    <w:rsid w:val="002305F6"/>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916AC"/>
    <w:rsid w:val="00292368"/>
    <w:rsid w:val="002A1969"/>
    <w:rsid w:val="002A289B"/>
    <w:rsid w:val="002A3799"/>
    <w:rsid w:val="002A3BCC"/>
    <w:rsid w:val="002A4516"/>
    <w:rsid w:val="002A569F"/>
    <w:rsid w:val="002A7066"/>
    <w:rsid w:val="002B001E"/>
    <w:rsid w:val="002B09B7"/>
    <w:rsid w:val="002B5FF3"/>
    <w:rsid w:val="002B75A9"/>
    <w:rsid w:val="002C21B0"/>
    <w:rsid w:val="002D6253"/>
    <w:rsid w:val="002E2FB3"/>
    <w:rsid w:val="002E678F"/>
    <w:rsid w:val="002F327B"/>
    <w:rsid w:val="00301626"/>
    <w:rsid w:val="003059EC"/>
    <w:rsid w:val="003166A6"/>
    <w:rsid w:val="00316CCD"/>
    <w:rsid w:val="00324F7E"/>
    <w:rsid w:val="003323BC"/>
    <w:rsid w:val="00346D42"/>
    <w:rsid w:val="00346E11"/>
    <w:rsid w:val="00350C61"/>
    <w:rsid w:val="003522FA"/>
    <w:rsid w:val="003601C0"/>
    <w:rsid w:val="003635F5"/>
    <w:rsid w:val="003655AE"/>
    <w:rsid w:val="00372A88"/>
    <w:rsid w:val="00375CB7"/>
    <w:rsid w:val="00381A0F"/>
    <w:rsid w:val="00393A5B"/>
    <w:rsid w:val="003A1B3A"/>
    <w:rsid w:val="003A40F5"/>
    <w:rsid w:val="003B5B8C"/>
    <w:rsid w:val="003D79B1"/>
    <w:rsid w:val="003E74EE"/>
    <w:rsid w:val="003F0552"/>
    <w:rsid w:val="003F3BC2"/>
    <w:rsid w:val="00401ED1"/>
    <w:rsid w:val="0040224C"/>
    <w:rsid w:val="00410720"/>
    <w:rsid w:val="00413EE1"/>
    <w:rsid w:val="00416455"/>
    <w:rsid w:val="004164BB"/>
    <w:rsid w:val="00421ECE"/>
    <w:rsid w:val="00422FEB"/>
    <w:rsid w:val="0042435E"/>
    <w:rsid w:val="004315F5"/>
    <w:rsid w:val="00433456"/>
    <w:rsid w:val="00433DFA"/>
    <w:rsid w:val="00435D67"/>
    <w:rsid w:val="0044168E"/>
    <w:rsid w:val="0045475B"/>
    <w:rsid w:val="00461DBB"/>
    <w:rsid w:val="00464A58"/>
    <w:rsid w:val="00473D2D"/>
    <w:rsid w:val="00485016"/>
    <w:rsid w:val="0048582F"/>
    <w:rsid w:val="004A2125"/>
    <w:rsid w:val="004A38F6"/>
    <w:rsid w:val="004B4EB6"/>
    <w:rsid w:val="004C083C"/>
    <w:rsid w:val="004C67C6"/>
    <w:rsid w:val="004D29DE"/>
    <w:rsid w:val="004D52F1"/>
    <w:rsid w:val="004F7F8C"/>
    <w:rsid w:val="00503571"/>
    <w:rsid w:val="00510EAC"/>
    <w:rsid w:val="0051512E"/>
    <w:rsid w:val="00542A57"/>
    <w:rsid w:val="00567982"/>
    <w:rsid w:val="005732C0"/>
    <w:rsid w:val="0057336D"/>
    <w:rsid w:val="0057489A"/>
    <w:rsid w:val="00574ACF"/>
    <w:rsid w:val="00581588"/>
    <w:rsid w:val="0058540B"/>
    <w:rsid w:val="00587C87"/>
    <w:rsid w:val="00590B80"/>
    <w:rsid w:val="00590CF2"/>
    <w:rsid w:val="005B3134"/>
    <w:rsid w:val="005B4E61"/>
    <w:rsid w:val="005B595A"/>
    <w:rsid w:val="005B66C2"/>
    <w:rsid w:val="005D2465"/>
    <w:rsid w:val="005E1C4E"/>
    <w:rsid w:val="005E4229"/>
    <w:rsid w:val="005E540E"/>
    <w:rsid w:val="005E55FB"/>
    <w:rsid w:val="005F16BB"/>
    <w:rsid w:val="005F464E"/>
    <w:rsid w:val="00607115"/>
    <w:rsid w:val="00620768"/>
    <w:rsid w:val="0062594B"/>
    <w:rsid w:val="00631406"/>
    <w:rsid w:val="006321A5"/>
    <w:rsid w:val="006324FF"/>
    <w:rsid w:val="006351D6"/>
    <w:rsid w:val="00636E0D"/>
    <w:rsid w:val="0064142F"/>
    <w:rsid w:val="00643CB4"/>
    <w:rsid w:val="00645857"/>
    <w:rsid w:val="006559C1"/>
    <w:rsid w:val="00656427"/>
    <w:rsid w:val="00660255"/>
    <w:rsid w:val="00684CC6"/>
    <w:rsid w:val="006971F3"/>
    <w:rsid w:val="006C74A3"/>
    <w:rsid w:val="006D1381"/>
    <w:rsid w:val="006D31BC"/>
    <w:rsid w:val="006E243E"/>
    <w:rsid w:val="006E7943"/>
    <w:rsid w:val="006F24EA"/>
    <w:rsid w:val="00704CA9"/>
    <w:rsid w:val="0071048D"/>
    <w:rsid w:val="00710F86"/>
    <w:rsid w:val="007111A8"/>
    <w:rsid w:val="0073038E"/>
    <w:rsid w:val="00731BC3"/>
    <w:rsid w:val="00741192"/>
    <w:rsid w:val="00743A33"/>
    <w:rsid w:val="00746080"/>
    <w:rsid w:val="0075144A"/>
    <w:rsid w:val="00754A60"/>
    <w:rsid w:val="007632E1"/>
    <w:rsid w:val="00786329"/>
    <w:rsid w:val="00786E82"/>
    <w:rsid w:val="00792C7D"/>
    <w:rsid w:val="00794A4D"/>
    <w:rsid w:val="00795F4C"/>
    <w:rsid w:val="007A5234"/>
    <w:rsid w:val="007B7854"/>
    <w:rsid w:val="007C56A1"/>
    <w:rsid w:val="007C6454"/>
    <w:rsid w:val="007E01E0"/>
    <w:rsid w:val="007F0B93"/>
    <w:rsid w:val="007F2ECA"/>
    <w:rsid w:val="00811708"/>
    <w:rsid w:val="008165BC"/>
    <w:rsid w:val="00816B90"/>
    <w:rsid w:val="00817799"/>
    <w:rsid w:val="00822F5F"/>
    <w:rsid w:val="00824E7A"/>
    <w:rsid w:val="00824FD3"/>
    <w:rsid w:val="00826589"/>
    <w:rsid w:val="00834BCC"/>
    <w:rsid w:val="00840AD3"/>
    <w:rsid w:val="00846DEF"/>
    <w:rsid w:val="00850D54"/>
    <w:rsid w:val="00857E8E"/>
    <w:rsid w:val="00867FD5"/>
    <w:rsid w:val="008714B0"/>
    <w:rsid w:val="00876331"/>
    <w:rsid w:val="00880726"/>
    <w:rsid w:val="008A3544"/>
    <w:rsid w:val="008B48B8"/>
    <w:rsid w:val="008B5348"/>
    <w:rsid w:val="008B58F8"/>
    <w:rsid w:val="008C0712"/>
    <w:rsid w:val="008C4520"/>
    <w:rsid w:val="008C5F09"/>
    <w:rsid w:val="008D470F"/>
    <w:rsid w:val="008E1F8F"/>
    <w:rsid w:val="008E4768"/>
    <w:rsid w:val="008E5E12"/>
    <w:rsid w:val="008E6FD0"/>
    <w:rsid w:val="008E761E"/>
    <w:rsid w:val="008F77B3"/>
    <w:rsid w:val="009008F5"/>
    <w:rsid w:val="00904CC1"/>
    <w:rsid w:val="009066AF"/>
    <w:rsid w:val="00912050"/>
    <w:rsid w:val="00912E48"/>
    <w:rsid w:val="0092746F"/>
    <w:rsid w:val="00935DC9"/>
    <w:rsid w:val="009446C0"/>
    <w:rsid w:val="00945774"/>
    <w:rsid w:val="00957A93"/>
    <w:rsid w:val="0096082E"/>
    <w:rsid w:val="00961347"/>
    <w:rsid w:val="00967410"/>
    <w:rsid w:val="00967D73"/>
    <w:rsid w:val="0098119A"/>
    <w:rsid w:val="00984AAF"/>
    <w:rsid w:val="00991B09"/>
    <w:rsid w:val="00993CB2"/>
    <w:rsid w:val="009A5166"/>
    <w:rsid w:val="009A76F8"/>
    <w:rsid w:val="009B2B83"/>
    <w:rsid w:val="009C49F8"/>
    <w:rsid w:val="009D2BA6"/>
    <w:rsid w:val="009D77CC"/>
    <w:rsid w:val="009E2423"/>
    <w:rsid w:val="009E55D7"/>
    <w:rsid w:val="009E5DAD"/>
    <w:rsid w:val="009F03FC"/>
    <w:rsid w:val="009F4150"/>
    <w:rsid w:val="009F5665"/>
    <w:rsid w:val="009F5DAD"/>
    <w:rsid w:val="00A01BCA"/>
    <w:rsid w:val="00A10458"/>
    <w:rsid w:val="00A153B6"/>
    <w:rsid w:val="00A164D5"/>
    <w:rsid w:val="00A273C3"/>
    <w:rsid w:val="00A30C37"/>
    <w:rsid w:val="00A32B0E"/>
    <w:rsid w:val="00A36C65"/>
    <w:rsid w:val="00A41BBE"/>
    <w:rsid w:val="00A45BDD"/>
    <w:rsid w:val="00A46A0A"/>
    <w:rsid w:val="00A553F8"/>
    <w:rsid w:val="00A60146"/>
    <w:rsid w:val="00A6708F"/>
    <w:rsid w:val="00A71BF6"/>
    <w:rsid w:val="00A75B3A"/>
    <w:rsid w:val="00A86F9A"/>
    <w:rsid w:val="00AA35E6"/>
    <w:rsid w:val="00AA50B6"/>
    <w:rsid w:val="00AB3472"/>
    <w:rsid w:val="00AD0762"/>
    <w:rsid w:val="00AE4452"/>
    <w:rsid w:val="00AE7C38"/>
    <w:rsid w:val="00AF5EBE"/>
    <w:rsid w:val="00B01D5A"/>
    <w:rsid w:val="00B01F99"/>
    <w:rsid w:val="00B02B37"/>
    <w:rsid w:val="00B05276"/>
    <w:rsid w:val="00B132DB"/>
    <w:rsid w:val="00B31427"/>
    <w:rsid w:val="00B33861"/>
    <w:rsid w:val="00B40DE2"/>
    <w:rsid w:val="00B50210"/>
    <w:rsid w:val="00B53955"/>
    <w:rsid w:val="00B6408A"/>
    <w:rsid w:val="00B714B8"/>
    <w:rsid w:val="00B75615"/>
    <w:rsid w:val="00B82C2C"/>
    <w:rsid w:val="00B845B1"/>
    <w:rsid w:val="00B8720B"/>
    <w:rsid w:val="00B876EF"/>
    <w:rsid w:val="00B87D48"/>
    <w:rsid w:val="00B944FD"/>
    <w:rsid w:val="00BA4697"/>
    <w:rsid w:val="00BA74BF"/>
    <w:rsid w:val="00BB45B6"/>
    <w:rsid w:val="00BB5378"/>
    <w:rsid w:val="00BB620C"/>
    <w:rsid w:val="00BC0BD3"/>
    <w:rsid w:val="00BD0107"/>
    <w:rsid w:val="00BE0C33"/>
    <w:rsid w:val="00BE262C"/>
    <w:rsid w:val="00BE6C3D"/>
    <w:rsid w:val="00BF4DE4"/>
    <w:rsid w:val="00C07606"/>
    <w:rsid w:val="00C12542"/>
    <w:rsid w:val="00C24725"/>
    <w:rsid w:val="00C30BA9"/>
    <w:rsid w:val="00C3541E"/>
    <w:rsid w:val="00C36A8F"/>
    <w:rsid w:val="00C40692"/>
    <w:rsid w:val="00C42FFA"/>
    <w:rsid w:val="00C507D8"/>
    <w:rsid w:val="00C62EAC"/>
    <w:rsid w:val="00C63F9F"/>
    <w:rsid w:val="00C7723C"/>
    <w:rsid w:val="00C81508"/>
    <w:rsid w:val="00C838F5"/>
    <w:rsid w:val="00CA1AF4"/>
    <w:rsid w:val="00CA6068"/>
    <w:rsid w:val="00CB15E1"/>
    <w:rsid w:val="00CB27B8"/>
    <w:rsid w:val="00CB3D46"/>
    <w:rsid w:val="00CD1A87"/>
    <w:rsid w:val="00CD35F3"/>
    <w:rsid w:val="00CD5C93"/>
    <w:rsid w:val="00CD687F"/>
    <w:rsid w:val="00CD7D29"/>
    <w:rsid w:val="00CE342B"/>
    <w:rsid w:val="00CE5897"/>
    <w:rsid w:val="00CE58C9"/>
    <w:rsid w:val="00CF320C"/>
    <w:rsid w:val="00CF3A4B"/>
    <w:rsid w:val="00CF4001"/>
    <w:rsid w:val="00D05837"/>
    <w:rsid w:val="00D12D8A"/>
    <w:rsid w:val="00D1334B"/>
    <w:rsid w:val="00D13E0C"/>
    <w:rsid w:val="00D25896"/>
    <w:rsid w:val="00D25E6E"/>
    <w:rsid w:val="00D373A1"/>
    <w:rsid w:val="00D37C0F"/>
    <w:rsid w:val="00D45661"/>
    <w:rsid w:val="00D45943"/>
    <w:rsid w:val="00D47D22"/>
    <w:rsid w:val="00D51865"/>
    <w:rsid w:val="00D51A87"/>
    <w:rsid w:val="00D51D0C"/>
    <w:rsid w:val="00D60FFC"/>
    <w:rsid w:val="00D74140"/>
    <w:rsid w:val="00DA6606"/>
    <w:rsid w:val="00DA6E56"/>
    <w:rsid w:val="00DC6705"/>
    <w:rsid w:val="00DD2DE8"/>
    <w:rsid w:val="00DE38B4"/>
    <w:rsid w:val="00DE5D02"/>
    <w:rsid w:val="00E005A9"/>
    <w:rsid w:val="00E1166E"/>
    <w:rsid w:val="00E24DC0"/>
    <w:rsid w:val="00E2519C"/>
    <w:rsid w:val="00E25F2A"/>
    <w:rsid w:val="00E34521"/>
    <w:rsid w:val="00E41455"/>
    <w:rsid w:val="00E42AD2"/>
    <w:rsid w:val="00E50856"/>
    <w:rsid w:val="00E538CC"/>
    <w:rsid w:val="00E54DBA"/>
    <w:rsid w:val="00E63D7C"/>
    <w:rsid w:val="00E640D5"/>
    <w:rsid w:val="00E67691"/>
    <w:rsid w:val="00E901AA"/>
    <w:rsid w:val="00E92237"/>
    <w:rsid w:val="00E951EF"/>
    <w:rsid w:val="00E95BDA"/>
    <w:rsid w:val="00E96D56"/>
    <w:rsid w:val="00EA3D54"/>
    <w:rsid w:val="00EA56D9"/>
    <w:rsid w:val="00EA5CE3"/>
    <w:rsid w:val="00EB3FF7"/>
    <w:rsid w:val="00EB51C1"/>
    <w:rsid w:val="00EB5AE1"/>
    <w:rsid w:val="00EB5E0B"/>
    <w:rsid w:val="00EC2171"/>
    <w:rsid w:val="00ED0F1A"/>
    <w:rsid w:val="00ED442D"/>
    <w:rsid w:val="00ED70C2"/>
    <w:rsid w:val="00EE0DA8"/>
    <w:rsid w:val="00EE18FF"/>
    <w:rsid w:val="00EE489F"/>
    <w:rsid w:val="00EE6596"/>
    <w:rsid w:val="00F011CB"/>
    <w:rsid w:val="00F0647F"/>
    <w:rsid w:val="00F10CE3"/>
    <w:rsid w:val="00F14F3B"/>
    <w:rsid w:val="00F14F9F"/>
    <w:rsid w:val="00F16362"/>
    <w:rsid w:val="00F207C7"/>
    <w:rsid w:val="00F335CE"/>
    <w:rsid w:val="00F33927"/>
    <w:rsid w:val="00F36B6D"/>
    <w:rsid w:val="00F439AE"/>
    <w:rsid w:val="00F43FA3"/>
    <w:rsid w:val="00F55648"/>
    <w:rsid w:val="00F70046"/>
    <w:rsid w:val="00F748C2"/>
    <w:rsid w:val="00F76C5C"/>
    <w:rsid w:val="00F81EF3"/>
    <w:rsid w:val="00F84496"/>
    <w:rsid w:val="00F85DCB"/>
    <w:rsid w:val="00F86F9C"/>
    <w:rsid w:val="00FA595B"/>
    <w:rsid w:val="00FB2781"/>
    <w:rsid w:val="00FC002E"/>
    <w:rsid w:val="00FC29A4"/>
    <w:rsid w:val="00FC4C18"/>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B912F0"/>
  <w15:docId w15:val="{00D1C609-E9E9-4CAB-9A33-5AEDDBFE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6E243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6DEF"/>
    <w:rPr>
      <w:sz w:val="16"/>
      <w:szCs w:val="16"/>
    </w:rPr>
  </w:style>
  <w:style w:type="paragraph" w:styleId="CommentText">
    <w:name w:val="annotation text"/>
    <w:basedOn w:val="Normal"/>
    <w:link w:val="CommentTextChar"/>
    <w:uiPriority w:val="99"/>
    <w:semiHidden/>
    <w:unhideWhenUsed/>
    <w:rsid w:val="00846DEF"/>
    <w:pPr>
      <w:spacing w:line="240" w:lineRule="auto"/>
    </w:pPr>
    <w:rPr>
      <w:sz w:val="20"/>
      <w:szCs w:val="20"/>
    </w:rPr>
  </w:style>
  <w:style w:type="character" w:customStyle="1" w:styleId="CommentTextChar">
    <w:name w:val="Comment Text Char"/>
    <w:basedOn w:val="DefaultParagraphFont"/>
    <w:link w:val="CommentText"/>
    <w:uiPriority w:val="99"/>
    <w:semiHidden/>
    <w:rsid w:val="00846DEF"/>
    <w:rPr>
      <w:sz w:val="20"/>
      <w:szCs w:val="20"/>
    </w:rPr>
  </w:style>
  <w:style w:type="paragraph" w:styleId="CommentSubject">
    <w:name w:val="annotation subject"/>
    <w:basedOn w:val="CommentText"/>
    <w:next w:val="CommentText"/>
    <w:link w:val="CommentSubjectChar"/>
    <w:uiPriority w:val="99"/>
    <w:semiHidden/>
    <w:unhideWhenUsed/>
    <w:rsid w:val="00846DEF"/>
    <w:rPr>
      <w:b/>
      <w:bCs/>
    </w:rPr>
  </w:style>
  <w:style w:type="character" w:customStyle="1" w:styleId="CommentSubjectChar">
    <w:name w:val="Comment Subject Char"/>
    <w:basedOn w:val="CommentTextChar"/>
    <w:link w:val="CommentSubject"/>
    <w:uiPriority w:val="99"/>
    <w:semiHidden/>
    <w:rsid w:val="00846D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F8F25A-B664-40BD-A024-9FEBA29C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5813</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Communicable Diseases Intelligence 2019 - Infectious Disease Notification Practices in Victoria, 2016–17</vt:lpstr>
    </vt:vector>
  </TitlesOfParts>
  <Company>Australian Government, Department of Health</Company>
  <LinksUpToDate>false</LinksUpToDate>
  <CharactersWithSpaces>40588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Infectious Disease Notification Practices in Victoria, 2016–17</dc:title>
  <dc:subject>This audit was conducted on de-identified infectious disease surveillance data in order to determine notification practices in 2016 and 2017 in Victoria, Australia and assess the effect enhanced surveillance programs (ESPs) had on data completeness. While Indigenous status reporting improved significantly in 2017 compared with 2016 following ESP commencement, a future audit is recommended to determine the effects of amendments to notification requirements effective 1 September 2018.</dc:subject>
  <dc:creator>Cassidy K Nelson;Lucinda J Franklin;Katherine B Gibney</dc:creator>
  <cp:keywords>; public health surveillance; disease notification; communicable disease control; notifiable conditions; Indigenous population; notification practices; enhanced surveillance program; Victoria</cp:keywords>
  <dc:description>© Commonwealth of Australia CC BY-NC-ND ISSN: 2209-6051 (Online)</dc:description>
  <cp:lastPrinted>2018-05-10T02:19:00Z</cp:lastPrinted>
  <dcterms:created xsi:type="dcterms:W3CDTF">2024-08-27T07:55:00Z</dcterms:created>
  <dcterms:modified xsi:type="dcterms:W3CDTF">2024-08-27T07:55:00Z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15/08/2019</vt:lpwstr>
  </property>
  <property fmtid="{D5CDD505-2E9C-101B-9397-08002B2CF9AE}" pid="5" name="DOI">
    <vt:lpwstr>https://doi.org/10.33321/cdi.2019.43.34</vt:lpwstr>
  </property>
</Properties>
</file>