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5723EA" w14:textId="77777777" w:rsidR="00B575B7" w:rsidRDefault="00B575B7" w:rsidP="00B575B7">
      <w:pPr>
        <w:pStyle w:val="Title"/>
        <w:rPr>
          <w:rFonts w:eastAsia="Times New Roman"/>
          <w:sz w:val="24"/>
          <w:szCs w:val="24"/>
        </w:rPr>
      </w:pPr>
      <w:r>
        <w:rPr>
          <w:rFonts w:eastAsia="Times New Roman"/>
        </w:rPr>
        <w:t xml:space="preserve">Influenza vaccination coverage in a population-based cohort of Australian-born Aboriginal and non-Indigenous older adults </w:t>
      </w:r>
    </w:p>
    <w:p w14:paraId="7009D060" w14:textId="77777777" w:rsidR="00B575B7" w:rsidRDefault="00B575B7" w:rsidP="00B575B7">
      <w:r>
        <w:t xml:space="preserve">Amalie </w:t>
      </w:r>
      <w:proofErr w:type="spellStart"/>
      <w:r>
        <w:t>Dyda</w:t>
      </w:r>
      <w:proofErr w:type="spellEnd"/>
      <w:r>
        <w:t>, Surendra Karki, Marlene Kong, Heather F Gidding, John M Kaldor, Peter McIntyre, Emily Banks, C</w:t>
      </w:r>
      <w:r w:rsidR="00DB317D">
        <w:t> </w:t>
      </w:r>
      <w:r>
        <w:t>Raina</w:t>
      </w:r>
      <w:r w:rsidR="005811BF">
        <w:t> </w:t>
      </w:r>
      <w:proofErr w:type="spellStart"/>
      <w:proofErr w:type="gramStart"/>
      <w:r>
        <w:t>MacIntyre</w:t>
      </w:r>
      <w:proofErr w:type="spellEnd"/>
      <w:proofErr w:type="gramEnd"/>
      <w:r>
        <w:t xml:space="preserve"> and Bette Liu </w:t>
      </w:r>
    </w:p>
    <w:p w14:paraId="438BE331" w14:textId="77777777" w:rsidR="00B575B7" w:rsidRPr="00B575B7" w:rsidRDefault="00B575B7" w:rsidP="00B575B7">
      <w:pPr>
        <w:pStyle w:val="Heading1"/>
      </w:pPr>
      <w:r w:rsidRPr="00B575B7">
        <w:t>Abstract</w:t>
      </w:r>
    </w:p>
    <w:p w14:paraId="6897B36D" w14:textId="77777777" w:rsidR="00B575B7" w:rsidRPr="00B575B7" w:rsidRDefault="00B575B7" w:rsidP="00CF4EF4">
      <w:pPr>
        <w:pStyle w:val="Heading2"/>
        <w:pBdr>
          <w:top w:val="single" w:sz="2" w:space="4" w:color="808080" w:themeColor="background1" w:themeShade="80"/>
          <w:left w:val="single" w:sz="2" w:space="4" w:color="808080" w:themeColor="background1" w:themeShade="80"/>
          <w:bottom w:val="single" w:sz="2" w:space="4" w:color="808080" w:themeColor="background1" w:themeShade="80"/>
          <w:right w:val="single" w:sz="2" w:space="4" w:color="808080" w:themeColor="background1" w:themeShade="80"/>
        </w:pBdr>
      </w:pPr>
      <w:r w:rsidRPr="00B575B7">
        <w:t>Background</w:t>
      </w:r>
    </w:p>
    <w:p w14:paraId="1ECB5AA1" w14:textId="77777777" w:rsidR="00B575B7" w:rsidRDefault="00B575B7" w:rsidP="00CF4EF4">
      <w:pPr>
        <w:pBdr>
          <w:top w:val="single" w:sz="2" w:space="4" w:color="808080" w:themeColor="background1" w:themeShade="80"/>
          <w:left w:val="single" w:sz="2" w:space="4" w:color="808080" w:themeColor="background1" w:themeShade="80"/>
          <w:bottom w:val="single" w:sz="2" w:space="4" w:color="808080" w:themeColor="background1" w:themeShade="80"/>
          <w:right w:val="single" w:sz="2" w:space="4" w:color="808080" w:themeColor="background1" w:themeShade="80"/>
        </w:pBdr>
      </w:pPr>
      <w:r>
        <w:t xml:space="preserve">There is limited information on vaccination coverage and characteristics associated with vaccine uptake in Aboriginal and/or Torres Strait Islander adults. We aimed to provide more current estimates of influenza vaccination coverage in Aboriginal adults. </w:t>
      </w:r>
    </w:p>
    <w:p w14:paraId="7A6099E4" w14:textId="77777777" w:rsidR="00B575B7" w:rsidRDefault="00B575B7" w:rsidP="00CF4EF4">
      <w:pPr>
        <w:pStyle w:val="Heading2"/>
        <w:pBdr>
          <w:top w:val="single" w:sz="2" w:space="4" w:color="808080" w:themeColor="background1" w:themeShade="80"/>
          <w:left w:val="single" w:sz="2" w:space="4" w:color="808080" w:themeColor="background1" w:themeShade="80"/>
          <w:bottom w:val="single" w:sz="2" w:space="4" w:color="808080" w:themeColor="background1" w:themeShade="80"/>
          <w:right w:val="single" w:sz="2" w:space="4" w:color="808080" w:themeColor="background1" w:themeShade="80"/>
        </w:pBdr>
        <w:rPr>
          <w:rFonts w:eastAsia="Times New Roman"/>
        </w:rPr>
      </w:pPr>
      <w:r>
        <w:rPr>
          <w:rFonts w:eastAsia="Times New Roman"/>
        </w:rPr>
        <w:t>Methods</w:t>
      </w:r>
    </w:p>
    <w:p w14:paraId="66FCC400" w14:textId="77777777" w:rsidR="00B575B7" w:rsidRDefault="00B575B7" w:rsidP="00CF4EF4">
      <w:pPr>
        <w:pBdr>
          <w:top w:val="single" w:sz="2" w:space="4" w:color="808080" w:themeColor="background1" w:themeShade="80"/>
          <w:left w:val="single" w:sz="2" w:space="4" w:color="808080" w:themeColor="background1" w:themeShade="80"/>
          <w:bottom w:val="single" w:sz="2" w:space="4" w:color="808080" w:themeColor="background1" w:themeShade="80"/>
          <w:right w:val="single" w:sz="2" w:space="4" w:color="808080" w:themeColor="background1" w:themeShade="80"/>
        </w:pBdr>
      </w:pPr>
      <w:r>
        <w:t xml:space="preserve">Self-reported vaccination status (n=559 Aboriginal and/or Torres Strait Islander participants, n=80,655 non-Indigenous participants) from the 45 and Up Study, a large cohort of adults aged 45 years or older, was used to compare influenza vaccination coverage in Aboriginal and/or Torres Strait Islander adults with coverage in non-Indigenous adults. </w:t>
      </w:r>
    </w:p>
    <w:p w14:paraId="09F81DBA" w14:textId="77777777" w:rsidR="00B575B7" w:rsidRDefault="00B575B7" w:rsidP="00CF4EF4">
      <w:pPr>
        <w:pStyle w:val="Heading2"/>
        <w:pBdr>
          <w:top w:val="single" w:sz="2" w:space="4" w:color="808080" w:themeColor="background1" w:themeShade="80"/>
          <w:left w:val="single" w:sz="2" w:space="4" w:color="808080" w:themeColor="background1" w:themeShade="80"/>
          <w:bottom w:val="single" w:sz="2" w:space="4" w:color="808080" w:themeColor="background1" w:themeShade="80"/>
          <w:right w:val="single" w:sz="2" w:space="4" w:color="808080" w:themeColor="background1" w:themeShade="80"/>
        </w:pBdr>
        <w:rPr>
          <w:rFonts w:eastAsia="Times New Roman"/>
        </w:rPr>
      </w:pPr>
      <w:r>
        <w:rPr>
          <w:rFonts w:eastAsia="Times New Roman"/>
        </w:rPr>
        <w:t>Results</w:t>
      </w:r>
    </w:p>
    <w:p w14:paraId="0E99275D" w14:textId="77777777" w:rsidR="00B575B7" w:rsidRDefault="00B575B7" w:rsidP="00CF4EF4">
      <w:pPr>
        <w:pBdr>
          <w:top w:val="single" w:sz="2" w:space="4" w:color="808080" w:themeColor="background1" w:themeShade="80"/>
          <w:left w:val="single" w:sz="2" w:space="4" w:color="808080" w:themeColor="background1" w:themeShade="80"/>
          <w:bottom w:val="single" w:sz="2" w:space="4" w:color="808080" w:themeColor="background1" w:themeShade="80"/>
          <w:right w:val="single" w:sz="2" w:space="4" w:color="808080" w:themeColor="background1" w:themeShade="80"/>
        </w:pBdr>
      </w:pPr>
      <w:r>
        <w:t xml:space="preserve">Of Aboriginal and non-Indigenous respondents aged 49 to &lt;65 years, age-standardised influenza coverage was respectively 45.2% (95% CI 39.5–50.9%) and 38.5%, (37.9–39.0%), </w:t>
      </w:r>
      <w:r w:rsidRPr="007F2DDA">
        <w:rPr>
          <w:i/>
        </w:rPr>
        <w:t>p</w:t>
      </w:r>
      <w:r>
        <w:t xml:space="preserve">-value for heterogeneity=0.02. Coverage for Aboriginal and non-Indigenous respondents aged ≥65 years was respectively 67.3% (59.9–74.7%) and 72.6% (72.2–73.0%), </w:t>
      </w:r>
      <w:r w:rsidRPr="00C026B3">
        <w:rPr>
          <w:rStyle w:val="Emphasis"/>
          <w:b w:val="0"/>
        </w:rPr>
        <w:t>p</w:t>
      </w:r>
      <w:r>
        <w:t>-heterogeneity=0.16. Among Aboriginal adults, coverage was higher in obese than in healthy weight participants (adjusted odds ratio (</w:t>
      </w:r>
      <w:proofErr w:type="spellStart"/>
      <w:r>
        <w:t>aOR</w:t>
      </w:r>
      <w:proofErr w:type="spellEnd"/>
      <w:r>
        <w:t>)=2.38, 95%CI 1.44–3.94); in those aged &lt;65 years with a medical risk factor than in those without medical risk factors (</w:t>
      </w:r>
      <w:proofErr w:type="spellStart"/>
      <w:r>
        <w:t>aOR</w:t>
      </w:r>
      <w:proofErr w:type="spellEnd"/>
      <w:r>
        <w:t>=2.13, 1.37–3.30); and in those who rated their health as fair/poor compared to those who rated it excellent (</w:t>
      </w:r>
      <w:proofErr w:type="spellStart"/>
      <w:r>
        <w:t>aOR</w:t>
      </w:r>
      <w:proofErr w:type="spellEnd"/>
      <w:r>
        <w:t xml:space="preserve">=2.57, 1.26–5.20). Similar associations were found among non-Indigenous adults. </w:t>
      </w:r>
    </w:p>
    <w:p w14:paraId="2487D681" w14:textId="77777777" w:rsidR="00B575B7" w:rsidRDefault="00B575B7">
      <w:pPr>
        <w:pStyle w:val="Heading2"/>
        <w:rPr>
          <w:rFonts w:eastAsia="Times New Roman"/>
        </w:rPr>
      </w:pPr>
      <w:r>
        <w:rPr>
          <w:rFonts w:eastAsia="Times New Roman"/>
        </w:rPr>
        <w:t>Conclusions</w:t>
      </w:r>
    </w:p>
    <w:p w14:paraId="0A3CE3CA" w14:textId="77777777" w:rsidR="00B575B7" w:rsidRDefault="00B575B7" w:rsidP="00B575B7">
      <w:r>
        <w:t xml:space="preserve">In this sample of adults ≥65 years, self-reported influenza vaccine coverage was not significantly different between Aboriginal and non-Indigenous adults whereas in those &lt;65 years, coverage was higher among Aboriginal adults. Overall, coverage in the whole cohort was suboptimal. If these findings are replicated in other samples and in the Australian Immunisation Register, it suggests that measures to improve uptake, such as communication about the importance of influenza vaccine and more effective reminder systems, are needed among adults. </w:t>
      </w:r>
    </w:p>
    <w:p w14:paraId="5CFB7673" w14:textId="77777777" w:rsidR="00B575B7" w:rsidRDefault="00B575B7" w:rsidP="00B575B7">
      <w:r>
        <w:t xml:space="preserve">Keywords: Aboriginal, Vaccination, Influenza, Coverage </w:t>
      </w:r>
    </w:p>
    <w:p w14:paraId="35FC1137" w14:textId="77777777" w:rsidR="00B575B7" w:rsidRDefault="00B575B7">
      <w:pPr>
        <w:pStyle w:val="Heading1"/>
        <w:rPr>
          <w:rFonts w:eastAsia="Times New Roman"/>
        </w:rPr>
      </w:pPr>
      <w:r>
        <w:rPr>
          <w:rFonts w:eastAsia="Times New Roman"/>
        </w:rPr>
        <w:t>Introduction</w:t>
      </w:r>
    </w:p>
    <w:p w14:paraId="222D32FD" w14:textId="77777777" w:rsidR="00B575B7" w:rsidRDefault="00B575B7" w:rsidP="00E70795">
      <w:r>
        <w:t>In Australia, vaccine-preventable diseases disproportionately affect Aboriginal and Torres Strait Islander (hereafter respectfully referred to as Aboriginal) adults and children. Rates for influenza hospitalisation are significantly higher in Aboriginal adults than in non-Indigenous adults. Between 2010 and 2013, rates among Aboriginal adults aged 50–</w:t>
      </w:r>
      <w:r>
        <w:lastRenderedPageBreak/>
        <w:t>64 years were estimated to be more than four times higher than those in non-Indigenous adults. This difference is thought to be due to higher prevalence of comorbidities associated with an increased risk of severe influenza among Aboriginal adults.</w:t>
      </w:r>
      <w:r>
        <w:rPr>
          <w:vertAlign w:val="superscript"/>
        </w:rPr>
        <w:t>1</w:t>
      </w:r>
      <w:r>
        <w:t xml:space="preserve"> </w:t>
      </w:r>
    </w:p>
    <w:p w14:paraId="3B09DCBE" w14:textId="77777777" w:rsidR="00B575B7" w:rsidRDefault="00B575B7" w:rsidP="00E70795">
      <w:r>
        <w:t>Vaccination is the key public health action to prevent the spread of infectious diseases such as influenza. In particular, adult vaccination is important as increasing the rates of coverage is a cost-effective measure that could have a significant impact on influenza morbidity and mortality, and coverage rates are currently low.</w:t>
      </w:r>
      <w:r>
        <w:rPr>
          <w:vertAlign w:val="superscript"/>
        </w:rPr>
        <w:t>2</w:t>
      </w:r>
      <w:r>
        <w:t xml:space="preserve"> Hence ensuring the adult influenza vaccination program is working effectively is imperative and vaccination coverage is a key measure of program success. </w:t>
      </w:r>
    </w:p>
    <w:p w14:paraId="04662DC8" w14:textId="77777777" w:rsidR="00B575B7" w:rsidRDefault="00B575B7" w:rsidP="00E70795">
      <w:r>
        <w:t>Recommendations and funding for influenza vaccine have varied over the years and across jurisdictions.</w:t>
      </w:r>
      <w:r>
        <w:rPr>
          <w:vertAlign w:val="superscript"/>
        </w:rPr>
        <w:t>3</w:t>
      </w:r>
      <w:r>
        <w:t xml:space="preserve"> The National Immunisation Program (NIP) in Australia provides free vaccination to groups at high risk of disease and since 1999 annual influenza vaccine has been available through the program for all adults aged ≥65 years. Recognising the greater burden of influenza in Aboriginal populations, since 2010, annual influenza vaccine has also been provided free for all Aboriginal adults aged ≥15 years and pregnant women, and in 2015 Aboriginal children aged &gt;6 months to &lt;5 years were also eligible for free influenza vaccine.</w:t>
      </w:r>
      <w:r>
        <w:rPr>
          <w:vertAlign w:val="superscript"/>
        </w:rPr>
        <w:t>3</w:t>
      </w:r>
      <w:r>
        <w:t xml:space="preserve"> As of December 2018 the Pharmaceutical Benefits Advisory Committee also recommended that annual influenza vaccine also be provided to all Aboriginal children aged 5–14 years.</w:t>
      </w:r>
      <w:r>
        <w:rPr>
          <w:vertAlign w:val="superscript"/>
        </w:rPr>
        <w:t>4</w:t>
      </w:r>
      <w:r>
        <w:t xml:space="preserve"> </w:t>
      </w:r>
    </w:p>
    <w:p w14:paraId="5EF71371" w14:textId="77777777" w:rsidR="00B575B7" w:rsidRDefault="00B575B7" w:rsidP="00E70795">
      <w:r>
        <w:t>Despite the higher burden of influenza in Aboriginal adults and targeting for free influenza vaccination under the National program, there is very limited information on uptake of vaccination in Aboriginal adults. A systematic review in 2015 identified seven reports of vaccination coverage in Aboriginal adults, all conducted prior to 2010, before eligibility for influenza vaccination in this group was expanded.</w:t>
      </w:r>
      <w:r>
        <w:rPr>
          <w:vertAlign w:val="superscript"/>
        </w:rPr>
        <w:t>2</w:t>
      </w:r>
      <w:r>
        <w:t xml:space="preserve"> The review found coverage for those aged ≥50 years ranged from 51% to 96%,</w:t>
      </w:r>
      <w:r>
        <w:rPr>
          <w:vertAlign w:val="superscript"/>
        </w:rPr>
        <w:t>5–7</w:t>
      </w:r>
      <w:r>
        <w:t xml:space="preserve"> and coverage for those aged ≥65 years ranged from 71% to 89%.</w:t>
      </w:r>
      <w:r>
        <w:rPr>
          <w:vertAlign w:val="superscript"/>
        </w:rPr>
        <w:t>7–9</w:t>
      </w:r>
      <w:r>
        <w:t xml:space="preserve"> Since 2010, we identified a further study reporting influenza vaccination coverage in Aboriginal adults. Among Aboriginal peoples aged ≥50 years and 15–49 years, influenza vaccination coverage in the previous 12 months was 57% and 28% respectively.</w:t>
      </w:r>
      <w:r>
        <w:rPr>
          <w:vertAlign w:val="superscript"/>
        </w:rPr>
        <w:t xml:space="preserve">10 </w:t>
      </w:r>
    </w:p>
    <w:p w14:paraId="47B1C252" w14:textId="77777777" w:rsidR="00B575B7" w:rsidRDefault="00B575B7" w:rsidP="00E70795">
      <w:r>
        <w:t xml:space="preserve">To add to the limited information on this topic, we used data collected in a cohort study of adults aged ≥49 years during 2012–2014 to provide more contemporaneous estimates of influenza vaccination coverage in Aboriginal adults and to compare these estimates to those for Australian-born non-Indigenous adults recruited into the same cohort study. </w:t>
      </w:r>
    </w:p>
    <w:p w14:paraId="0978AFB1" w14:textId="77777777" w:rsidR="00B575B7" w:rsidRDefault="00B575B7">
      <w:pPr>
        <w:pStyle w:val="Heading1"/>
        <w:rPr>
          <w:rFonts w:eastAsia="Times New Roman"/>
        </w:rPr>
      </w:pPr>
      <w:r>
        <w:rPr>
          <w:rFonts w:eastAsia="Times New Roman"/>
        </w:rPr>
        <w:t>Methods</w:t>
      </w:r>
    </w:p>
    <w:p w14:paraId="75F8BBFD" w14:textId="77777777" w:rsidR="00B575B7" w:rsidRDefault="00B575B7">
      <w:pPr>
        <w:pStyle w:val="Heading2"/>
        <w:rPr>
          <w:rFonts w:eastAsia="Times New Roman"/>
        </w:rPr>
      </w:pPr>
      <w:r>
        <w:rPr>
          <w:rFonts w:eastAsia="Times New Roman"/>
        </w:rPr>
        <w:t xml:space="preserve">Study </w:t>
      </w:r>
      <w:proofErr w:type="gramStart"/>
      <w:r>
        <w:rPr>
          <w:rFonts w:eastAsia="Times New Roman"/>
        </w:rPr>
        <w:t>sample</w:t>
      </w:r>
      <w:proofErr w:type="gramEnd"/>
      <w:r>
        <w:rPr>
          <w:rFonts w:eastAsia="Times New Roman"/>
        </w:rPr>
        <w:t xml:space="preserve"> </w:t>
      </w:r>
    </w:p>
    <w:p w14:paraId="6250DCEF" w14:textId="77777777" w:rsidR="00B575B7" w:rsidRDefault="00B575B7" w:rsidP="00E70795">
      <w:r>
        <w:t>The Sax Institute’s 45 and Up Study is a large prospective cohort study (n=267,153) of adults aged ≥45 years at recruitment aiming to investigate healthy ageing. Participants were randomly sampled from the Australian universal health insurance database, Medicare, and were resident in the Australian state of New South Wales (NSW). To provide adequate statistical power those aged 80 years and older and rural and remote residents were oversampled. The study recruitment methods have been described in detail elsewhere.</w:t>
      </w:r>
      <w:r>
        <w:rPr>
          <w:vertAlign w:val="superscript"/>
        </w:rPr>
        <w:t xml:space="preserve">11 </w:t>
      </w:r>
    </w:p>
    <w:p w14:paraId="533898C3" w14:textId="77777777" w:rsidR="00B575B7" w:rsidRDefault="00B575B7" w:rsidP="00E70795">
      <w:r>
        <w:t xml:space="preserve">A recruitment questionnaire was posted between January 2006 and December 2008, collecting detailed information on demographic, </w:t>
      </w:r>
      <w:proofErr w:type="gramStart"/>
      <w:r>
        <w:t>health</w:t>
      </w:r>
      <w:proofErr w:type="gramEnd"/>
      <w:r>
        <w:t xml:space="preserve"> and behavioural factors. A total of 267,153 people completed the baseline questionnaire, approximately 1 in 10 people in this age group in NSW.</w:t>
      </w:r>
      <w:r>
        <w:rPr>
          <w:vertAlign w:val="superscript"/>
        </w:rPr>
        <w:t>12</w:t>
      </w:r>
      <w:r>
        <w:t xml:space="preserve"> Of the total baseline cohort, 0.7% of participants were Aboriginal and/or Torres Strait Islander adults.</w:t>
      </w:r>
      <w:r>
        <w:rPr>
          <w:vertAlign w:val="superscript"/>
        </w:rPr>
        <w:t>13</w:t>
      </w:r>
      <w:r>
        <w:t xml:space="preserve"> Follow-up of participants is ongoing, with postal questionnaires including questions about vaccination for influenza and pertussis sent to participants about five years after </w:t>
      </w:r>
      <w:r>
        <w:lastRenderedPageBreak/>
        <w:t>recruitment.</w:t>
      </w:r>
      <w:r w:rsidR="002557B8">
        <w:rPr>
          <w:rStyle w:val="FootnoteReference"/>
        </w:rPr>
        <w:footnoteReference w:id="1"/>
      </w:r>
      <w:r>
        <w:t xml:space="preserve"> At the time of analysis, follow-up data were available for 105,902 participants who completed a questionnaire sent to them in either September 2012 (survey mailed to 41,400 participants, return rate=65%), November 2013 (survey mailed to 86,250 participants, return rate=58%) or December 2014 (survey mailed to 52,644 participants, return rate=54%).</w:t>
      </w:r>
      <w:r>
        <w:rPr>
          <w:vertAlign w:val="superscript"/>
        </w:rPr>
        <w:t>12</w:t>
      </w:r>
      <w:r>
        <w:t xml:space="preserve"> </w:t>
      </w:r>
    </w:p>
    <w:p w14:paraId="3D4945CF" w14:textId="77777777" w:rsidR="00B575B7" w:rsidRDefault="00B575B7">
      <w:pPr>
        <w:pStyle w:val="Heading2"/>
        <w:rPr>
          <w:rFonts w:eastAsia="Times New Roman"/>
        </w:rPr>
      </w:pPr>
      <w:r>
        <w:rPr>
          <w:rFonts w:eastAsia="Times New Roman"/>
        </w:rPr>
        <w:t xml:space="preserve">Statistical analysis </w:t>
      </w:r>
    </w:p>
    <w:p w14:paraId="3F07EF4A" w14:textId="77777777" w:rsidR="00B575B7" w:rsidRDefault="00B575B7" w:rsidP="00E70795">
      <w:r>
        <w:t xml:space="preserve">We excluded participants whose Aboriginality status was unknown, who were overseas-born or had unknown country of birth, based on recruitment questionnaire data. Those with unknown influenza vaccination status (including those with no vaccination date) were excluded from analyses. Participants were categorised as Aboriginal and/or Torres Strait Islander if they </w:t>
      </w:r>
      <w:proofErr w:type="gramStart"/>
      <w:r>
        <w:t>answered</w:t>
      </w:r>
      <w:proofErr w:type="gramEnd"/>
      <w:r>
        <w:t xml:space="preserve"> ‘yes’ to the question ‘Are you of Aboriginal or Torres Strait Islander origin?’, or Australian-born non-Indigenous if they answered ‘no’ and indicated their country of birth as ‘Australia’. Influenza vaccination coverage was calculated as the percentage of those reporting influenza vaccination within the last year who </w:t>
      </w:r>
      <w:proofErr w:type="gramStart"/>
      <w:r>
        <w:t>answered</w:t>
      </w:r>
      <w:proofErr w:type="gramEnd"/>
      <w:r>
        <w:t xml:space="preserve"> ‘yes’ to the question ‘Have you ever had the flu vaccine?’, and for whom the date of vaccination was less than a year prior to the date that they completed their questionnaire. Annual uptake of influenza vaccination was examined separately in Aboriginal and Australian-born non-Indigenous participants. Crude and age-standardised influenza vaccination uptake was estimated, using the 2011 Australian Census Population data</w:t>
      </w:r>
      <w:r>
        <w:rPr>
          <w:vertAlign w:val="superscript"/>
        </w:rPr>
        <w:t>14</w:t>
      </w:r>
      <w:r>
        <w:t xml:space="preserve"> in 5-year age groups for age-standardisation. Significant differences in vaccination uptake were tested for using the two sample test of proportions (Z-test). Vaccination was examined by: age at completion of follow-up questionnaire (49–64 and ≥65 years), sex, annual household income (&lt;$50,000, ≥$50,000), education (university, no university), area of residence (major city, inner regional, outer regional, or remote based on the Accessibility/Remoteness Index of Australia (ARIA)),</w:t>
      </w:r>
      <w:r>
        <w:rPr>
          <w:vertAlign w:val="superscript"/>
        </w:rPr>
        <w:t>15</w:t>
      </w:r>
      <w:r>
        <w:t xml:space="preserve"> in paid employment (yes, no), smoking status (never, past, current), alcohol consumption (non-drinkers, 1–7 drinks per week, &gt;7 drinks per week), body mass index (BMI) (&lt;18.5 kg/m</w:t>
      </w:r>
      <w:r>
        <w:rPr>
          <w:vertAlign w:val="superscript"/>
        </w:rPr>
        <w:t>2</w:t>
      </w:r>
      <w:r>
        <w:t>, 18.5–&lt;25</w:t>
      </w:r>
      <w:r w:rsidR="002557B8">
        <w:t xml:space="preserve"> </w:t>
      </w:r>
      <w:r>
        <w:t>kg/m</w:t>
      </w:r>
      <w:r>
        <w:rPr>
          <w:vertAlign w:val="superscript"/>
        </w:rPr>
        <w:t>2</w:t>
      </w:r>
      <w:r>
        <w:t>, 25–&lt;30</w:t>
      </w:r>
      <w:r w:rsidR="002557B8">
        <w:t xml:space="preserve"> </w:t>
      </w:r>
      <w:r>
        <w:t>kg/m</w:t>
      </w:r>
      <w:r>
        <w:rPr>
          <w:vertAlign w:val="superscript"/>
        </w:rPr>
        <w:t>2</w:t>
      </w:r>
      <w:r>
        <w:t>, ≥30</w:t>
      </w:r>
      <w:r w:rsidR="002557B8">
        <w:t xml:space="preserve"> </w:t>
      </w:r>
      <w:r>
        <w:t>kg/m</w:t>
      </w:r>
      <w:r>
        <w:rPr>
          <w:vertAlign w:val="superscript"/>
        </w:rPr>
        <w:t>2</w:t>
      </w:r>
      <w:r>
        <w:t xml:space="preserve">), self-rated health (excellent, very good/good, fair/poor) and underlying medical condition (stroke, asthma, diabetes, heart disease, Parkinson’s disease and cancer). Logistic regression was used to examine associations between the factors and the likelihood of influenza vaccination with separate models for Aboriginal and non-Indigenous participants. Regression models were adjusted for age (in 5-year age categories) and sex. The variables sex, Aboriginality, country of birth, area of residence and BMI were obtained from the baseline questionnaire. All other variables were obtained from the follow-up questionnaire. </w:t>
      </w:r>
    </w:p>
    <w:p w14:paraId="2E73C299" w14:textId="77777777" w:rsidR="00B575B7" w:rsidRDefault="00B575B7" w:rsidP="00E70795">
      <w:r>
        <w:t>All analyses were undertaken using Stata 12.0.</w:t>
      </w:r>
      <w:r>
        <w:rPr>
          <w:vertAlign w:val="superscript"/>
        </w:rPr>
        <w:t>15</w:t>
      </w:r>
      <w:r>
        <w:t xml:space="preserve"> </w:t>
      </w:r>
    </w:p>
    <w:p w14:paraId="29FD43D2" w14:textId="77777777" w:rsidR="00B575B7" w:rsidRDefault="00B575B7">
      <w:pPr>
        <w:pStyle w:val="Heading2"/>
        <w:rPr>
          <w:rFonts w:eastAsia="Times New Roman"/>
        </w:rPr>
      </w:pPr>
      <w:r>
        <w:rPr>
          <w:rFonts w:eastAsia="Times New Roman"/>
        </w:rPr>
        <w:t xml:space="preserve">Ethical approval </w:t>
      </w:r>
    </w:p>
    <w:p w14:paraId="741F99C4" w14:textId="77777777" w:rsidR="00B575B7" w:rsidRDefault="00B575B7" w:rsidP="00E70795">
      <w:r>
        <w:t xml:space="preserve">This study was approved by the NSW Population and Health Services Research Ethics committee, the University of New South Wales Human Research Ethics Committee (HREC/10/CIPHS/97) and the Aboriginal Health and Medical Research Council of NSW Ethics Committee (1169/16). Written consent was obtained from all study participants. </w:t>
      </w:r>
    </w:p>
    <w:p w14:paraId="7B5AE32B" w14:textId="77777777" w:rsidR="00B575B7" w:rsidRDefault="00B575B7">
      <w:pPr>
        <w:pStyle w:val="Heading1"/>
        <w:rPr>
          <w:rFonts w:eastAsia="Times New Roman"/>
        </w:rPr>
      </w:pPr>
      <w:r>
        <w:rPr>
          <w:rFonts w:eastAsia="Times New Roman"/>
        </w:rPr>
        <w:t xml:space="preserve">Results </w:t>
      </w:r>
    </w:p>
    <w:p w14:paraId="68C9E945" w14:textId="77777777" w:rsidR="00B575B7" w:rsidRDefault="00B575B7" w:rsidP="00E70795">
      <w:r>
        <w:t xml:space="preserve">Of the 105,902 participants, 82,413 were Australian-born. The response rate to the follow-up questionnaire according to Aboriginality and other characteristics is shown in the appendix. The response rate was lower among Aboriginal participants than non-Indigenous participants (42.7% and 61.3% respectively). For Aboriginal participants, </w:t>
      </w:r>
      <w:r>
        <w:lastRenderedPageBreak/>
        <w:t xml:space="preserve">responders and non-responders were of a similar age (49–64 years 42.9%, ≥65 years 42.1%). Aboriginal responders were more likely than Aboriginal non-responders </w:t>
      </w:r>
      <w:proofErr w:type="gramStart"/>
      <w:r>
        <w:t>to:</w:t>
      </w:r>
      <w:proofErr w:type="gramEnd"/>
      <w:r>
        <w:t xml:space="preserve"> have a university education compared to no university education (54.1% vs 41.6%), live in a city compared to living in inner regional or outer regional/remote areas (45.3%, 41.9% and 39.5% respectively) and to be in paid employment compared to no paid employment (47.5% vs 38.2%). For non-Indigenous participants, responders were more likely than non-Indigenous non-responders </w:t>
      </w:r>
      <w:proofErr w:type="gramStart"/>
      <w:r>
        <w:t>to:</w:t>
      </w:r>
      <w:proofErr w:type="gramEnd"/>
      <w:r>
        <w:t xml:space="preserve"> be younger (49–64 years 63.8%, ≥65 years 56.2%); have a university education compared to no university education (73.2% vs 58.0%); and be in paid employment compared to no paid employment (64.5% vs 57.8%). Response rates were similar among non-Indigenous participants for those living in a city compared to inner regional or outer regional/remote areas (61.1%, 61.7% and 60.1% respectively). </w:t>
      </w:r>
    </w:p>
    <w:p w14:paraId="2506F7A0" w14:textId="77777777" w:rsidR="00B575B7" w:rsidRDefault="00B575B7" w:rsidP="00E70795">
      <w:r>
        <w:t>Among respondents, 1,199/82,413 (1.5%) had an unknown influenza immunisation status, yielding data for 81,214 cohort members, of whom 559 were Aboriginal and 80,655 Australian-born non-Indigenous (Aboriginal peoples represent 3.1% of the NSW population).</w:t>
      </w:r>
      <w:r>
        <w:rPr>
          <w:vertAlign w:val="superscript"/>
        </w:rPr>
        <w:t>16</w:t>
      </w:r>
      <w:r>
        <w:t xml:space="preserve"> The characteristics of the participants according to Aboriginality are shown in Table 1. Compared to Australian-born non-Indigenous participants, Aboriginal participants were on average younger, more likely to reside in rural or remote areas, less likely to be university educated or be in paid employment, had lower household incomes, more likely to be smokers, have a higher average BMI and have one or more pre-existing medical conditions increasing the risk of serious complications from influenza.</w:t>
      </w:r>
      <w:r>
        <w:rPr>
          <w:vertAlign w:val="superscript"/>
        </w:rPr>
        <w:t>17</w:t>
      </w:r>
      <w:r>
        <w:t xml:space="preserve"> </w:t>
      </w:r>
    </w:p>
    <w:p w14:paraId="17567CC2" w14:textId="77777777" w:rsidR="00B575B7" w:rsidRDefault="00B575B7" w:rsidP="00E70795">
      <w:pPr>
        <w:pStyle w:val="CDIFigures"/>
      </w:pPr>
      <w:r>
        <w:t xml:space="preserve">Table 1: Characteristics of study participants according to Aboriginal status </w:t>
      </w:r>
    </w:p>
    <w:tbl>
      <w:tblPr>
        <w:tblStyle w:val="CDI-StandardTable"/>
        <w:tblW w:w="0" w:type="auto"/>
        <w:tblCellMar>
          <w:top w:w="57" w:type="dxa"/>
          <w:left w:w="57" w:type="dxa"/>
          <w:bottom w:w="57" w:type="dxa"/>
          <w:right w:w="57" w:type="dxa"/>
        </w:tblCellMar>
        <w:tblLook w:val="04A0" w:firstRow="1" w:lastRow="0" w:firstColumn="1" w:lastColumn="0" w:noHBand="0" w:noVBand="1"/>
        <w:tblDescription w:val="Demographics of 559 Aboriginal adults and 80655 Australian-born non-Indigenous adults.&#10;Characteristics of Aboriginal Adults; mean age is 63.1yrs, mean BMI, kg/m2 is 28.6, 65.3% are &lt;65 years, 42.6% are men, 20.4% reside in outer regional/remote areas, 19% are university educated, 48.8% have an annual household income &lt;$50000, 39.4% are currently in paid employment, 10.7% are current smokers, 41.7% are past smokers, 30.8% consume &gt;7 drinks a week, and 41.0% report a medical condition.&#10;Characteristics of Australian-born non-Indigenous adults; mean age is 66.2yrs, mean BMI, kg/m2 is 27.0, 50.2% are &lt;65 years, 43.3% are men, 12.8% reside in outer regional/remote areas, 27.4% are university educated, 39.5% have an annual household income &lt;$50000, 41.6% are currently in paid employment, 4.0% are current smokers, 33.8% are past smokers, 33.1% consume &gt;7 drinks a week, and 30.7% report a medical condition.&#10;"/>
      </w:tblPr>
      <w:tblGrid>
        <w:gridCol w:w="2726"/>
        <w:gridCol w:w="1928"/>
        <w:gridCol w:w="1929"/>
        <w:gridCol w:w="1928"/>
        <w:gridCol w:w="1929"/>
      </w:tblGrid>
      <w:tr w:rsidR="00B575B7" w:rsidRPr="00436989" w14:paraId="393DB86D" w14:textId="77777777" w:rsidTr="00436989">
        <w:trPr>
          <w:cnfStyle w:val="100000000000" w:firstRow="1" w:lastRow="0" w:firstColumn="0" w:lastColumn="0" w:oddVBand="0" w:evenVBand="0" w:oddHBand="0" w:evenHBand="0" w:firstRowFirstColumn="0" w:firstRowLastColumn="0" w:lastRowFirstColumn="0" w:lastRowLastColumn="0"/>
          <w:tblHeader/>
        </w:trPr>
        <w:tc>
          <w:tcPr>
            <w:tcW w:w="0" w:type="auto"/>
            <w:hideMark/>
          </w:tcPr>
          <w:p w14:paraId="6BFCEAD3" w14:textId="77777777" w:rsidR="00B575B7" w:rsidRPr="00436989" w:rsidRDefault="00B575B7">
            <w:pPr>
              <w:pStyle w:val="NormalWeb"/>
              <w:outlineLvl w:val="1"/>
              <w:rPr>
                <w:bCs/>
                <w:color w:val="FFFFFF" w:themeColor="background1"/>
                <w:kern w:val="36"/>
                <w:sz w:val="18"/>
                <w:szCs w:val="18"/>
              </w:rPr>
            </w:pPr>
          </w:p>
        </w:tc>
        <w:tc>
          <w:tcPr>
            <w:tcW w:w="3857" w:type="dxa"/>
            <w:gridSpan w:val="2"/>
            <w:hideMark/>
          </w:tcPr>
          <w:p w14:paraId="60C9A460" w14:textId="77777777" w:rsidR="00B575B7" w:rsidRPr="00436989" w:rsidRDefault="00E41F3E" w:rsidP="00206042">
            <w:pPr>
              <w:pStyle w:val="NormalWeb"/>
              <w:jc w:val="center"/>
              <w:rPr>
                <w:bCs/>
                <w:color w:val="FFFFFF" w:themeColor="background1"/>
                <w:sz w:val="18"/>
                <w:szCs w:val="18"/>
              </w:rPr>
            </w:pPr>
            <w:r w:rsidRPr="00436989">
              <w:rPr>
                <w:bCs/>
                <w:color w:val="FFFFFF" w:themeColor="background1"/>
                <w:sz w:val="18"/>
                <w:szCs w:val="18"/>
              </w:rPr>
              <w:t>Aboriginal adults</w:t>
            </w:r>
            <w:r w:rsidRPr="00436989">
              <w:rPr>
                <w:bCs/>
                <w:color w:val="FFFFFF" w:themeColor="background1"/>
                <w:sz w:val="18"/>
                <w:szCs w:val="18"/>
              </w:rPr>
              <w:br/>
            </w:r>
            <w:r w:rsidR="00B575B7" w:rsidRPr="00436989">
              <w:rPr>
                <w:bCs/>
                <w:color w:val="FFFFFF" w:themeColor="background1"/>
                <w:sz w:val="18"/>
                <w:szCs w:val="18"/>
              </w:rPr>
              <w:t>(total = 559)</w:t>
            </w:r>
          </w:p>
        </w:tc>
        <w:tc>
          <w:tcPr>
            <w:tcW w:w="3857" w:type="dxa"/>
            <w:gridSpan w:val="2"/>
            <w:hideMark/>
          </w:tcPr>
          <w:p w14:paraId="32B3DD4E" w14:textId="77777777" w:rsidR="00B575B7" w:rsidRPr="00436989" w:rsidRDefault="00B575B7" w:rsidP="00206042">
            <w:pPr>
              <w:pStyle w:val="NormalWeb"/>
              <w:jc w:val="center"/>
              <w:rPr>
                <w:bCs/>
                <w:color w:val="FFFFFF" w:themeColor="background1"/>
                <w:sz w:val="18"/>
                <w:szCs w:val="18"/>
              </w:rPr>
            </w:pPr>
            <w:r w:rsidRPr="00436989">
              <w:rPr>
                <w:bCs/>
                <w:color w:val="FFFFFF" w:themeColor="background1"/>
                <w:sz w:val="18"/>
                <w:szCs w:val="18"/>
              </w:rPr>
              <w:t>Austra</w:t>
            </w:r>
            <w:r w:rsidR="00E41F3E" w:rsidRPr="00436989">
              <w:rPr>
                <w:bCs/>
                <w:color w:val="FFFFFF" w:themeColor="background1"/>
                <w:sz w:val="18"/>
                <w:szCs w:val="18"/>
              </w:rPr>
              <w:t>lian-born non-Indigenous adults</w:t>
            </w:r>
            <w:r w:rsidR="00E41F3E" w:rsidRPr="00436989">
              <w:rPr>
                <w:bCs/>
                <w:color w:val="FFFFFF" w:themeColor="background1"/>
                <w:sz w:val="18"/>
                <w:szCs w:val="18"/>
              </w:rPr>
              <w:br/>
            </w:r>
            <w:r w:rsidRPr="00436989">
              <w:rPr>
                <w:bCs/>
                <w:color w:val="FFFFFF" w:themeColor="background1"/>
                <w:sz w:val="18"/>
                <w:szCs w:val="18"/>
              </w:rPr>
              <w:t>(total = 80,655)</w:t>
            </w:r>
          </w:p>
        </w:tc>
      </w:tr>
      <w:tr w:rsidR="00C971F8" w:rsidRPr="00436989" w14:paraId="6CE2407F" w14:textId="77777777" w:rsidTr="00436989">
        <w:tc>
          <w:tcPr>
            <w:tcW w:w="0" w:type="auto"/>
            <w:shd w:val="clear" w:color="auto" w:fill="808080" w:themeFill="background1" w:themeFillShade="80"/>
            <w:hideMark/>
          </w:tcPr>
          <w:p w14:paraId="0FD90531" w14:textId="77777777" w:rsidR="00B575B7" w:rsidRPr="00436989" w:rsidRDefault="00B575B7">
            <w:pPr>
              <w:pStyle w:val="NormalWeb"/>
              <w:rPr>
                <w:b/>
                <w:color w:val="FFFFFF" w:themeColor="background1"/>
                <w:sz w:val="18"/>
                <w:szCs w:val="18"/>
              </w:rPr>
            </w:pPr>
            <w:r w:rsidRPr="00436989">
              <w:rPr>
                <w:b/>
                <w:color w:val="FFFFFF" w:themeColor="background1"/>
                <w:sz w:val="18"/>
                <w:szCs w:val="18"/>
              </w:rPr>
              <w:t>statistics</w:t>
            </w:r>
          </w:p>
        </w:tc>
        <w:tc>
          <w:tcPr>
            <w:tcW w:w="1928" w:type="dxa"/>
            <w:shd w:val="clear" w:color="auto" w:fill="808080" w:themeFill="background1" w:themeFillShade="80"/>
            <w:hideMark/>
          </w:tcPr>
          <w:p w14:paraId="13A8E93E" w14:textId="77777777" w:rsidR="00B575B7" w:rsidRPr="00436989" w:rsidRDefault="00B575B7" w:rsidP="00206042">
            <w:pPr>
              <w:pStyle w:val="NormalWeb"/>
              <w:jc w:val="center"/>
              <w:rPr>
                <w:b/>
                <w:color w:val="FFFFFF" w:themeColor="background1"/>
                <w:sz w:val="18"/>
                <w:szCs w:val="18"/>
              </w:rPr>
            </w:pPr>
            <w:r w:rsidRPr="00436989">
              <w:rPr>
                <w:b/>
                <w:color w:val="FFFFFF" w:themeColor="background1"/>
                <w:sz w:val="18"/>
                <w:szCs w:val="18"/>
              </w:rPr>
              <w:t>%</w:t>
            </w:r>
          </w:p>
        </w:tc>
        <w:tc>
          <w:tcPr>
            <w:tcW w:w="1929" w:type="dxa"/>
            <w:shd w:val="clear" w:color="auto" w:fill="808080" w:themeFill="background1" w:themeFillShade="80"/>
            <w:hideMark/>
          </w:tcPr>
          <w:p w14:paraId="5208AB17" w14:textId="77777777" w:rsidR="00B575B7" w:rsidRPr="00436989" w:rsidRDefault="00B575B7" w:rsidP="00206042">
            <w:pPr>
              <w:pStyle w:val="NormalWeb"/>
              <w:jc w:val="center"/>
              <w:rPr>
                <w:b/>
                <w:color w:val="FFFFFF" w:themeColor="background1"/>
                <w:sz w:val="18"/>
                <w:szCs w:val="18"/>
              </w:rPr>
            </w:pPr>
            <w:r w:rsidRPr="00436989">
              <w:rPr>
                <w:b/>
                <w:color w:val="FFFFFF" w:themeColor="background1"/>
                <w:sz w:val="18"/>
                <w:szCs w:val="18"/>
              </w:rPr>
              <w:t>SD</w:t>
            </w:r>
          </w:p>
        </w:tc>
        <w:tc>
          <w:tcPr>
            <w:tcW w:w="1928" w:type="dxa"/>
            <w:shd w:val="clear" w:color="auto" w:fill="808080" w:themeFill="background1" w:themeFillShade="80"/>
            <w:hideMark/>
          </w:tcPr>
          <w:p w14:paraId="31987AB5" w14:textId="77777777" w:rsidR="00B575B7" w:rsidRPr="00436989" w:rsidRDefault="00B575B7" w:rsidP="00206042">
            <w:pPr>
              <w:pStyle w:val="NormalWeb"/>
              <w:jc w:val="center"/>
              <w:rPr>
                <w:b/>
                <w:color w:val="FFFFFF" w:themeColor="background1"/>
                <w:sz w:val="18"/>
                <w:szCs w:val="18"/>
              </w:rPr>
            </w:pPr>
            <w:r w:rsidRPr="00436989">
              <w:rPr>
                <w:b/>
                <w:color w:val="FFFFFF" w:themeColor="background1"/>
                <w:sz w:val="18"/>
                <w:szCs w:val="18"/>
              </w:rPr>
              <w:t>%</w:t>
            </w:r>
          </w:p>
        </w:tc>
        <w:tc>
          <w:tcPr>
            <w:tcW w:w="1929" w:type="dxa"/>
            <w:shd w:val="clear" w:color="auto" w:fill="808080" w:themeFill="background1" w:themeFillShade="80"/>
            <w:hideMark/>
          </w:tcPr>
          <w:p w14:paraId="41A83411" w14:textId="77777777" w:rsidR="00B575B7" w:rsidRPr="00436989" w:rsidRDefault="00B575B7" w:rsidP="00206042">
            <w:pPr>
              <w:pStyle w:val="NormalWeb"/>
              <w:jc w:val="center"/>
              <w:rPr>
                <w:b/>
                <w:color w:val="FFFFFF" w:themeColor="background1"/>
                <w:sz w:val="18"/>
                <w:szCs w:val="18"/>
              </w:rPr>
            </w:pPr>
            <w:r w:rsidRPr="00436989">
              <w:rPr>
                <w:b/>
                <w:color w:val="FFFFFF" w:themeColor="background1"/>
                <w:sz w:val="18"/>
                <w:szCs w:val="18"/>
              </w:rPr>
              <w:t>SD</w:t>
            </w:r>
          </w:p>
        </w:tc>
      </w:tr>
      <w:tr w:rsidR="00B575B7" w:rsidRPr="00436989" w14:paraId="2205DA2C" w14:textId="77777777" w:rsidTr="00436989">
        <w:trPr>
          <w:cnfStyle w:val="000000010000" w:firstRow="0" w:lastRow="0" w:firstColumn="0" w:lastColumn="0" w:oddVBand="0" w:evenVBand="0" w:oddHBand="0" w:evenHBand="1" w:firstRowFirstColumn="0" w:firstRowLastColumn="0" w:lastRowFirstColumn="0" w:lastRowLastColumn="0"/>
        </w:trPr>
        <w:tc>
          <w:tcPr>
            <w:tcW w:w="0" w:type="auto"/>
            <w:hideMark/>
          </w:tcPr>
          <w:p w14:paraId="3ED13D8D" w14:textId="77777777" w:rsidR="00B575B7" w:rsidRPr="00436989" w:rsidRDefault="00B575B7">
            <w:pPr>
              <w:pStyle w:val="NormalWeb"/>
              <w:rPr>
                <w:sz w:val="18"/>
                <w:szCs w:val="18"/>
              </w:rPr>
            </w:pPr>
            <w:r w:rsidRPr="00436989">
              <w:rPr>
                <w:sz w:val="18"/>
                <w:szCs w:val="18"/>
              </w:rPr>
              <w:t>mean age</w:t>
            </w:r>
          </w:p>
        </w:tc>
        <w:tc>
          <w:tcPr>
            <w:tcW w:w="1928" w:type="dxa"/>
            <w:hideMark/>
          </w:tcPr>
          <w:p w14:paraId="7C3315F9" w14:textId="77777777" w:rsidR="00B575B7" w:rsidRPr="00436989" w:rsidRDefault="00B575B7" w:rsidP="00206042">
            <w:pPr>
              <w:pStyle w:val="NormalWeb"/>
              <w:jc w:val="center"/>
              <w:rPr>
                <w:sz w:val="18"/>
                <w:szCs w:val="18"/>
              </w:rPr>
            </w:pPr>
            <w:r w:rsidRPr="00436989">
              <w:rPr>
                <w:sz w:val="18"/>
                <w:szCs w:val="18"/>
              </w:rPr>
              <w:t>63.1</w:t>
            </w:r>
          </w:p>
        </w:tc>
        <w:tc>
          <w:tcPr>
            <w:tcW w:w="1929" w:type="dxa"/>
            <w:hideMark/>
          </w:tcPr>
          <w:p w14:paraId="4EDEE3CC" w14:textId="77777777" w:rsidR="00B575B7" w:rsidRPr="00436989" w:rsidRDefault="00B575B7" w:rsidP="00206042">
            <w:pPr>
              <w:pStyle w:val="NormalWeb"/>
              <w:jc w:val="center"/>
              <w:rPr>
                <w:sz w:val="18"/>
                <w:szCs w:val="18"/>
              </w:rPr>
            </w:pPr>
            <w:r w:rsidRPr="00436989">
              <w:rPr>
                <w:sz w:val="18"/>
                <w:szCs w:val="18"/>
              </w:rPr>
              <w:t>8.2</w:t>
            </w:r>
          </w:p>
        </w:tc>
        <w:tc>
          <w:tcPr>
            <w:tcW w:w="1928" w:type="dxa"/>
            <w:hideMark/>
          </w:tcPr>
          <w:p w14:paraId="57D5EA24" w14:textId="77777777" w:rsidR="00B575B7" w:rsidRPr="00436989" w:rsidRDefault="00B575B7" w:rsidP="00206042">
            <w:pPr>
              <w:pStyle w:val="NormalWeb"/>
              <w:jc w:val="center"/>
              <w:rPr>
                <w:sz w:val="18"/>
                <w:szCs w:val="18"/>
              </w:rPr>
            </w:pPr>
            <w:r w:rsidRPr="00436989">
              <w:rPr>
                <w:sz w:val="18"/>
                <w:szCs w:val="18"/>
              </w:rPr>
              <w:t>66.2</w:t>
            </w:r>
          </w:p>
        </w:tc>
        <w:tc>
          <w:tcPr>
            <w:tcW w:w="1929" w:type="dxa"/>
            <w:hideMark/>
          </w:tcPr>
          <w:p w14:paraId="44844989" w14:textId="77777777" w:rsidR="00B575B7" w:rsidRPr="00436989" w:rsidRDefault="00B575B7" w:rsidP="00206042">
            <w:pPr>
              <w:pStyle w:val="NormalWeb"/>
              <w:jc w:val="center"/>
              <w:rPr>
                <w:sz w:val="18"/>
                <w:szCs w:val="18"/>
              </w:rPr>
            </w:pPr>
            <w:r w:rsidRPr="00436989">
              <w:rPr>
                <w:sz w:val="18"/>
                <w:szCs w:val="18"/>
              </w:rPr>
              <w:t>9.7</w:t>
            </w:r>
          </w:p>
        </w:tc>
      </w:tr>
      <w:tr w:rsidR="00B575B7" w:rsidRPr="00436989" w14:paraId="1B14800E" w14:textId="77777777" w:rsidTr="00436989">
        <w:tc>
          <w:tcPr>
            <w:tcW w:w="0" w:type="auto"/>
            <w:hideMark/>
          </w:tcPr>
          <w:p w14:paraId="558F95D0" w14:textId="77777777" w:rsidR="00B575B7" w:rsidRPr="00436989" w:rsidRDefault="00B575B7">
            <w:pPr>
              <w:pStyle w:val="NormalWeb"/>
              <w:rPr>
                <w:sz w:val="18"/>
                <w:szCs w:val="18"/>
              </w:rPr>
            </w:pPr>
            <w:r w:rsidRPr="00436989">
              <w:rPr>
                <w:sz w:val="18"/>
                <w:szCs w:val="18"/>
              </w:rPr>
              <w:t>mean BMI, kg/m2</w:t>
            </w:r>
          </w:p>
        </w:tc>
        <w:tc>
          <w:tcPr>
            <w:tcW w:w="1928" w:type="dxa"/>
            <w:hideMark/>
          </w:tcPr>
          <w:p w14:paraId="00731F83" w14:textId="77777777" w:rsidR="00B575B7" w:rsidRPr="00436989" w:rsidRDefault="00B575B7" w:rsidP="00206042">
            <w:pPr>
              <w:pStyle w:val="NormalWeb"/>
              <w:jc w:val="center"/>
              <w:rPr>
                <w:sz w:val="18"/>
                <w:szCs w:val="18"/>
              </w:rPr>
            </w:pPr>
            <w:r w:rsidRPr="00436989">
              <w:rPr>
                <w:sz w:val="18"/>
                <w:szCs w:val="18"/>
              </w:rPr>
              <w:t>28.6</w:t>
            </w:r>
          </w:p>
        </w:tc>
        <w:tc>
          <w:tcPr>
            <w:tcW w:w="1929" w:type="dxa"/>
            <w:hideMark/>
          </w:tcPr>
          <w:p w14:paraId="5B8C9AFD" w14:textId="77777777" w:rsidR="00B575B7" w:rsidRPr="00436989" w:rsidRDefault="00B575B7" w:rsidP="00206042">
            <w:pPr>
              <w:pStyle w:val="NormalWeb"/>
              <w:jc w:val="center"/>
              <w:rPr>
                <w:sz w:val="18"/>
                <w:szCs w:val="18"/>
              </w:rPr>
            </w:pPr>
            <w:r w:rsidRPr="00436989">
              <w:rPr>
                <w:sz w:val="18"/>
                <w:szCs w:val="18"/>
              </w:rPr>
              <w:t>5.5</w:t>
            </w:r>
          </w:p>
        </w:tc>
        <w:tc>
          <w:tcPr>
            <w:tcW w:w="1928" w:type="dxa"/>
            <w:hideMark/>
          </w:tcPr>
          <w:p w14:paraId="3C22B0CE" w14:textId="77777777" w:rsidR="00B575B7" w:rsidRPr="00436989" w:rsidRDefault="00B575B7" w:rsidP="00206042">
            <w:pPr>
              <w:pStyle w:val="NormalWeb"/>
              <w:jc w:val="center"/>
              <w:rPr>
                <w:sz w:val="18"/>
                <w:szCs w:val="18"/>
              </w:rPr>
            </w:pPr>
            <w:r w:rsidRPr="00436989">
              <w:rPr>
                <w:sz w:val="18"/>
                <w:szCs w:val="18"/>
              </w:rPr>
              <w:t>27.0</w:t>
            </w:r>
          </w:p>
        </w:tc>
        <w:tc>
          <w:tcPr>
            <w:tcW w:w="1929" w:type="dxa"/>
            <w:hideMark/>
          </w:tcPr>
          <w:p w14:paraId="19E5AC6D" w14:textId="77777777" w:rsidR="00B575B7" w:rsidRPr="00436989" w:rsidRDefault="00B575B7" w:rsidP="00206042">
            <w:pPr>
              <w:pStyle w:val="NormalWeb"/>
              <w:jc w:val="center"/>
              <w:rPr>
                <w:sz w:val="18"/>
                <w:szCs w:val="18"/>
              </w:rPr>
            </w:pPr>
            <w:r w:rsidRPr="00436989">
              <w:rPr>
                <w:sz w:val="18"/>
                <w:szCs w:val="18"/>
              </w:rPr>
              <w:t>4.8</w:t>
            </w:r>
          </w:p>
        </w:tc>
      </w:tr>
      <w:tr w:rsidR="00FE2BF2" w:rsidRPr="00436989" w14:paraId="13FCCD29" w14:textId="77777777" w:rsidTr="00436989">
        <w:trPr>
          <w:cnfStyle w:val="000000010000" w:firstRow="0" w:lastRow="0" w:firstColumn="0" w:lastColumn="0" w:oddVBand="0" w:evenVBand="0" w:oddHBand="0" w:evenHBand="1" w:firstRowFirstColumn="0" w:firstRowLastColumn="0" w:lastRowFirstColumn="0" w:lastRowLastColumn="0"/>
        </w:trPr>
        <w:tc>
          <w:tcPr>
            <w:tcW w:w="0" w:type="auto"/>
            <w:shd w:val="clear" w:color="auto" w:fill="808080" w:themeFill="background1" w:themeFillShade="80"/>
            <w:hideMark/>
          </w:tcPr>
          <w:p w14:paraId="7C81643C" w14:textId="77777777" w:rsidR="00B575B7" w:rsidRPr="00436989" w:rsidRDefault="00B575B7">
            <w:pPr>
              <w:pStyle w:val="NormalWeb"/>
              <w:rPr>
                <w:b/>
                <w:color w:val="FFFFFF" w:themeColor="background1"/>
                <w:sz w:val="18"/>
                <w:szCs w:val="18"/>
              </w:rPr>
            </w:pPr>
            <w:r w:rsidRPr="00436989">
              <w:rPr>
                <w:b/>
                <w:color w:val="FFFFFF" w:themeColor="background1"/>
                <w:sz w:val="18"/>
                <w:szCs w:val="18"/>
              </w:rPr>
              <w:t>characteristics</w:t>
            </w:r>
          </w:p>
        </w:tc>
        <w:tc>
          <w:tcPr>
            <w:tcW w:w="1928" w:type="dxa"/>
            <w:shd w:val="clear" w:color="auto" w:fill="808080" w:themeFill="background1" w:themeFillShade="80"/>
            <w:hideMark/>
          </w:tcPr>
          <w:p w14:paraId="0AEF591F" w14:textId="77777777" w:rsidR="00B575B7" w:rsidRPr="00436989" w:rsidRDefault="00B575B7" w:rsidP="00206042">
            <w:pPr>
              <w:pStyle w:val="NormalWeb"/>
              <w:jc w:val="center"/>
              <w:rPr>
                <w:b/>
                <w:color w:val="FFFFFF" w:themeColor="background1"/>
                <w:sz w:val="18"/>
                <w:szCs w:val="18"/>
              </w:rPr>
            </w:pPr>
            <w:r w:rsidRPr="00436989">
              <w:rPr>
                <w:b/>
                <w:color w:val="FFFFFF" w:themeColor="background1"/>
                <w:sz w:val="18"/>
                <w:szCs w:val="18"/>
              </w:rPr>
              <w:t>%</w:t>
            </w:r>
          </w:p>
        </w:tc>
        <w:tc>
          <w:tcPr>
            <w:tcW w:w="1929" w:type="dxa"/>
            <w:shd w:val="clear" w:color="auto" w:fill="808080" w:themeFill="background1" w:themeFillShade="80"/>
            <w:hideMark/>
          </w:tcPr>
          <w:p w14:paraId="1B3AAF8A" w14:textId="77777777" w:rsidR="00B575B7" w:rsidRPr="00436989" w:rsidRDefault="00B575B7" w:rsidP="00206042">
            <w:pPr>
              <w:pStyle w:val="NormalWeb"/>
              <w:jc w:val="center"/>
              <w:rPr>
                <w:b/>
                <w:color w:val="FFFFFF" w:themeColor="background1"/>
                <w:sz w:val="18"/>
                <w:szCs w:val="18"/>
              </w:rPr>
            </w:pPr>
            <w:r w:rsidRPr="00436989">
              <w:rPr>
                <w:b/>
                <w:color w:val="FFFFFF" w:themeColor="background1"/>
                <w:sz w:val="18"/>
                <w:szCs w:val="18"/>
              </w:rPr>
              <w:t>N</w:t>
            </w:r>
          </w:p>
        </w:tc>
        <w:tc>
          <w:tcPr>
            <w:tcW w:w="1928" w:type="dxa"/>
            <w:shd w:val="clear" w:color="auto" w:fill="808080" w:themeFill="background1" w:themeFillShade="80"/>
            <w:hideMark/>
          </w:tcPr>
          <w:p w14:paraId="356CFA3B" w14:textId="77777777" w:rsidR="00B575B7" w:rsidRPr="00436989" w:rsidRDefault="00B575B7" w:rsidP="00206042">
            <w:pPr>
              <w:pStyle w:val="NormalWeb"/>
              <w:jc w:val="center"/>
              <w:rPr>
                <w:b/>
                <w:color w:val="FFFFFF" w:themeColor="background1"/>
                <w:sz w:val="18"/>
                <w:szCs w:val="18"/>
              </w:rPr>
            </w:pPr>
            <w:r w:rsidRPr="00436989">
              <w:rPr>
                <w:b/>
                <w:color w:val="FFFFFF" w:themeColor="background1"/>
                <w:sz w:val="18"/>
                <w:szCs w:val="18"/>
              </w:rPr>
              <w:t>%</w:t>
            </w:r>
          </w:p>
        </w:tc>
        <w:tc>
          <w:tcPr>
            <w:tcW w:w="1929" w:type="dxa"/>
            <w:shd w:val="clear" w:color="auto" w:fill="808080" w:themeFill="background1" w:themeFillShade="80"/>
            <w:hideMark/>
          </w:tcPr>
          <w:p w14:paraId="30C86CA5" w14:textId="77777777" w:rsidR="00B575B7" w:rsidRPr="00436989" w:rsidRDefault="00B575B7" w:rsidP="00206042">
            <w:pPr>
              <w:pStyle w:val="NormalWeb"/>
              <w:jc w:val="center"/>
              <w:rPr>
                <w:b/>
                <w:color w:val="FFFFFF" w:themeColor="background1"/>
                <w:sz w:val="18"/>
                <w:szCs w:val="18"/>
              </w:rPr>
            </w:pPr>
            <w:r w:rsidRPr="00436989">
              <w:rPr>
                <w:b/>
                <w:color w:val="FFFFFF" w:themeColor="background1"/>
                <w:sz w:val="18"/>
                <w:szCs w:val="18"/>
              </w:rPr>
              <w:t>N</w:t>
            </w:r>
          </w:p>
        </w:tc>
      </w:tr>
      <w:tr w:rsidR="00B575B7" w:rsidRPr="00436989" w14:paraId="07678D60" w14:textId="77777777" w:rsidTr="00436989">
        <w:tc>
          <w:tcPr>
            <w:tcW w:w="0" w:type="auto"/>
            <w:hideMark/>
          </w:tcPr>
          <w:p w14:paraId="645761DA" w14:textId="77777777" w:rsidR="00B575B7" w:rsidRPr="00436989" w:rsidRDefault="00B575B7">
            <w:pPr>
              <w:pStyle w:val="NormalWeb"/>
              <w:rPr>
                <w:sz w:val="18"/>
                <w:szCs w:val="18"/>
              </w:rPr>
            </w:pPr>
            <w:r w:rsidRPr="00436989">
              <w:rPr>
                <w:sz w:val="18"/>
                <w:szCs w:val="18"/>
              </w:rPr>
              <w:t>&lt;65 years</w:t>
            </w:r>
          </w:p>
        </w:tc>
        <w:tc>
          <w:tcPr>
            <w:tcW w:w="1928" w:type="dxa"/>
            <w:hideMark/>
          </w:tcPr>
          <w:p w14:paraId="0751DEBC" w14:textId="77777777" w:rsidR="00B575B7" w:rsidRPr="00436989" w:rsidRDefault="00B575B7" w:rsidP="00206042">
            <w:pPr>
              <w:pStyle w:val="NormalWeb"/>
              <w:jc w:val="center"/>
              <w:rPr>
                <w:sz w:val="18"/>
                <w:szCs w:val="18"/>
              </w:rPr>
            </w:pPr>
            <w:r w:rsidRPr="00436989">
              <w:rPr>
                <w:sz w:val="18"/>
                <w:szCs w:val="18"/>
              </w:rPr>
              <w:t>65.3</w:t>
            </w:r>
          </w:p>
        </w:tc>
        <w:tc>
          <w:tcPr>
            <w:tcW w:w="1929" w:type="dxa"/>
            <w:hideMark/>
          </w:tcPr>
          <w:p w14:paraId="6ADA9368" w14:textId="77777777" w:rsidR="00B575B7" w:rsidRPr="00436989" w:rsidRDefault="00B575B7" w:rsidP="00206042">
            <w:pPr>
              <w:pStyle w:val="NormalWeb"/>
              <w:jc w:val="center"/>
              <w:rPr>
                <w:sz w:val="18"/>
                <w:szCs w:val="18"/>
              </w:rPr>
            </w:pPr>
            <w:r w:rsidRPr="00436989">
              <w:rPr>
                <w:sz w:val="18"/>
                <w:szCs w:val="18"/>
              </w:rPr>
              <w:t>365</w:t>
            </w:r>
          </w:p>
        </w:tc>
        <w:tc>
          <w:tcPr>
            <w:tcW w:w="1928" w:type="dxa"/>
            <w:hideMark/>
          </w:tcPr>
          <w:p w14:paraId="5E55F710" w14:textId="77777777" w:rsidR="00B575B7" w:rsidRPr="00436989" w:rsidRDefault="00B575B7" w:rsidP="00206042">
            <w:pPr>
              <w:pStyle w:val="NormalWeb"/>
              <w:jc w:val="center"/>
              <w:rPr>
                <w:sz w:val="18"/>
                <w:szCs w:val="18"/>
              </w:rPr>
            </w:pPr>
            <w:r w:rsidRPr="00436989">
              <w:rPr>
                <w:sz w:val="18"/>
                <w:szCs w:val="18"/>
              </w:rPr>
              <w:t>50.2</w:t>
            </w:r>
          </w:p>
        </w:tc>
        <w:tc>
          <w:tcPr>
            <w:tcW w:w="1929" w:type="dxa"/>
            <w:hideMark/>
          </w:tcPr>
          <w:p w14:paraId="22F40B70" w14:textId="77777777" w:rsidR="00B575B7" w:rsidRPr="00436989" w:rsidRDefault="00B575B7" w:rsidP="00206042">
            <w:pPr>
              <w:pStyle w:val="NormalWeb"/>
              <w:jc w:val="center"/>
              <w:rPr>
                <w:sz w:val="18"/>
                <w:szCs w:val="18"/>
              </w:rPr>
            </w:pPr>
            <w:r w:rsidRPr="00436989">
              <w:rPr>
                <w:sz w:val="18"/>
                <w:szCs w:val="18"/>
              </w:rPr>
              <w:t>40,500</w:t>
            </w:r>
          </w:p>
        </w:tc>
      </w:tr>
      <w:tr w:rsidR="00B575B7" w:rsidRPr="00436989" w14:paraId="30CDDEA5" w14:textId="77777777" w:rsidTr="00436989">
        <w:trPr>
          <w:cnfStyle w:val="000000010000" w:firstRow="0" w:lastRow="0" w:firstColumn="0" w:lastColumn="0" w:oddVBand="0" w:evenVBand="0" w:oddHBand="0" w:evenHBand="1" w:firstRowFirstColumn="0" w:firstRowLastColumn="0" w:lastRowFirstColumn="0" w:lastRowLastColumn="0"/>
        </w:trPr>
        <w:tc>
          <w:tcPr>
            <w:tcW w:w="0" w:type="auto"/>
            <w:hideMark/>
          </w:tcPr>
          <w:p w14:paraId="2AA74C81" w14:textId="77777777" w:rsidR="00B575B7" w:rsidRPr="00436989" w:rsidRDefault="00B575B7">
            <w:pPr>
              <w:pStyle w:val="NormalWeb"/>
              <w:rPr>
                <w:sz w:val="18"/>
                <w:szCs w:val="18"/>
              </w:rPr>
            </w:pPr>
            <w:r w:rsidRPr="00436989">
              <w:rPr>
                <w:sz w:val="18"/>
                <w:szCs w:val="18"/>
              </w:rPr>
              <w:t>men</w:t>
            </w:r>
          </w:p>
        </w:tc>
        <w:tc>
          <w:tcPr>
            <w:tcW w:w="1928" w:type="dxa"/>
            <w:hideMark/>
          </w:tcPr>
          <w:p w14:paraId="6F2EC647" w14:textId="77777777" w:rsidR="00B575B7" w:rsidRPr="00436989" w:rsidRDefault="00B575B7" w:rsidP="00206042">
            <w:pPr>
              <w:pStyle w:val="NormalWeb"/>
              <w:jc w:val="center"/>
              <w:rPr>
                <w:sz w:val="18"/>
                <w:szCs w:val="18"/>
              </w:rPr>
            </w:pPr>
            <w:r w:rsidRPr="00436989">
              <w:rPr>
                <w:sz w:val="18"/>
                <w:szCs w:val="18"/>
              </w:rPr>
              <w:t>42.6</w:t>
            </w:r>
          </w:p>
        </w:tc>
        <w:tc>
          <w:tcPr>
            <w:tcW w:w="1929" w:type="dxa"/>
            <w:hideMark/>
          </w:tcPr>
          <w:p w14:paraId="707994B1" w14:textId="77777777" w:rsidR="00B575B7" w:rsidRPr="00436989" w:rsidRDefault="00B575B7" w:rsidP="00206042">
            <w:pPr>
              <w:pStyle w:val="NormalWeb"/>
              <w:jc w:val="center"/>
              <w:rPr>
                <w:sz w:val="18"/>
                <w:szCs w:val="18"/>
              </w:rPr>
            </w:pPr>
            <w:r w:rsidRPr="00436989">
              <w:rPr>
                <w:sz w:val="18"/>
                <w:szCs w:val="18"/>
              </w:rPr>
              <w:t>238</w:t>
            </w:r>
          </w:p>
        </w:tc>
        <w:tc>
          <w:tcPr>
            <w:tcW w:w="1928" w:type="dxa"/>
            <w:hideMark/>
          </w:tcPr>
          <w:p w14:paraId="034A30BB" w14:textId="77777777" w:rsidR="00B575B7" w:rsidRPr="00436989" w:rsidRDefault="00B575B7" w:rsidP="00206042">
            <w:pPr>
              <w:pStyle w:val="NormalWeb"/>
              <w:jc w:val="center"/>
              <w:rPr>
                <w:sz w:val="18"/>
                <w:szCs w:val="18"/>
              </w:rPr>
            </w:pPr>
            <w:r w:rsidRPr="00436989">
              <w:rPr>
                <w:sz w:val="18"/>
                <w:szCs w:val="18"/>
              </w:rPr>
              <w:t>43.3</w:t>
            </w:r>
          </w:p>
        </w:tc>
        <w:tc>
          <w:tcPr>
            <w:tcW w:w="1929" w:type="dxa"/>
            <w:hideMark/>
          </w:tcPr>
          <w:p w14:paraId="503C3519" w14:textId="77777777" w:rsidR="00B575B7" w:rsidRPr="00436989" w:rsidRDefault="00B575B7" w:rsidP="00206042">
            <w:pPr>
              <w:pStyle w:val="NormalWeb"/>
              <w:jc w:val="center"/>
              <w:rPr>
                <w:sz w:val="18"/>
                <w:szCs w:val="18"/>
              </w:rPr>
            </w:pPr>
            <w:r w:rsidRPr="00436989">
              <w:rPr>
                <w:sz w:val="18"/>
                <w:szCs w:val="18"/>
              </w:rPr>
              <w:t>34,927</w:t>
            </w:r>
          </w:p>
        </w:tc>
      </w:tr>
      <w:tr w:rsidR="00B575B7" w:rsidRPr="00436989" w14:paraId="71E36A14" w14:textId="77777777" w:rsidTr="00436989">
        <w:tc>
          <w:tcPr>
            <w:tcW w:w="0" w:type="auto"/>
            <w:hideMark/>
          </w:tcPr>
          <w:p w14:paraId="64E33342" w14:textId="77777777" w:rsidR="00B575B7" w:rsidRPr="00436989" w:rsidRDefault="00B575B7">
            <w:pPr>
              <w:pStyle w:val="NormalWeb"/>
              <w:rPr>
                <w:sz w:val="18"/>
                <w:szCs w:val="18"/>
              </w:rPr>
            </w:pPr>
            <w:r w:rsidRPr="00436989">
              <w:rPr>
                <w:sz w:val="18"/>
                <w:szCs w:val="18"/>
              </w:rPr>
              <w:t>reside in outer regional/remote</w:t>
            </w:r>
          </w:p>
        </w:tc>
        <w:tc>
          <w:tcPr>
            <w:tcW w:w="1928" w:type="dxa"/>
            <w:hideMark/>
          </w:tcPr>
          <w:p w14:paraId="7B326A93" w14:textId="77777777" w:rsidR="00B575B7" w:rsidRPr="00436989" w:rsidRDefault="00B575B7" w:rsidP="00206042">
            <w:pPr>
              <w:pStyle w:val="NormalWeb"/>
              <w:jc w:val="center"/>
              <w:rPr>
                <w:sz w:val="18"/>
                <w:szCs w:val="18"/>
              </w:rPr>
            </w:pPr>
            <w:r w:rsidRPr="00436989">
              <w:rPr>
                <w:sz w:val="18"/>
                <w:szCs w:val="18"/>
              </w:rPr>
              <w:t>20.4</w:t>
            </w:r>
          </w:p>
        </w:tc>
        <w:tc>
          <w:tcPr>
            <w:tcW w:w="1929" w:type="dxa"/>
            <w:hideMark/>
          </w:tcPr>
          <w:p w14:paraId="582F966B" w14:textId="77777777" w:rsidR="00B575B7" w:rsidRPr="00436989" w:rsidRDefault="00B575B7" w:rsidP="00206042">
            <w:pPr>
              <w:pStyle w:val="NormalWeb"/>
              <w:jc w:val="center"/>
              <w:rPr>
                <w:sz w:val="18"/>
                <w:szCs w:val="18"/>
              </w:rPr>
            </w:pPr>
            <w:r w:rsidRPr="00436989">
              <w:rPr>
                <w:sz w:val="18"/>
                <w:szCs w:val="18"/>
              </w:rPr>
              <w:t>114</w:t>
            </w:r>
          </w:p>
        </w:tc>
        <w:tc>
          <w:tcPr>
            <w:tcW w:w="1928" w:type="dxa"/>
            <w:hideMark/>
          </w:tcPr>
          <w:p w14:paraId="34AA5B04" w14:textId="77777777" w:rsidR="00B575B7" w:rsidRPr="00436989" w:rsidRDefault="00B575B7" w:rsidP="00206042">
            <w:pPr>
              <w:pStyle w:val="NormalWeb"/>
              <w:jc w:val="center"/>
              <w:rPr>
                <w:sz w:val="18"/>
                <w:szCs w:val="18"/>
              </w:rPr>
            </w:pPr>
            <w:r w:rsidRPr="00436989">
              <w:rPr>
                <w:sz w:val="18"/>
                <w:szCs w:val="18"/>
              </w:rPr>
              <w:t>12.8</w:t>
            </w:r>
          </w:p>
        </w:tc>
        <w:tc>
          <w:tcPr>
            <w:tcW w:w="1929" w:type="dxa"/>
            <w:hideMark/>
          </w:tcPr>
          <w:p w14:paraId="0672819F" w14:textId="77777777" w:rsidR="00B575B7" w:rsidRPr="00436989" w:rsidRDefault="00B575B7" w:rsidP="00206042">
            <w:pPr>
              <w:pStyle w:val="NormalWeb"/>
              <w:jc w:val="center"/>
              <w:rPr>
                <w:sz w:val="18"/>
                <w:szCs w:val="18"/>
              </w:rPr>
            </w:pPr>
            <w:r w:rsidRPr="00436989">
              <w:rPr>
                <w:sz w:val="18"/>
                <w:szCs w:val="18"/>
              </w:rPr>
              <w:t>10,094</w:t>
            </w:r>
          </w:p>
        </w:tc>
      </w:tr>
      <w:tr w:rsidR="00B575B7" w:rsidRPr="00436989" w14:paraId="3C7CEE40" w14:textId="77777777" w:rsidTr="00436989">
        <w:trPr>
          <w:cnfStyle w:val="000000010000" w:firstRow="0" w:lastRow="0" w:firstColumn="0" w:lastColumn="0" w:oddVBand="0" w:evenVBand="0" w:oddHBand="0" w:evenHBand="1" w:firstRowFirstColumn="0" w:firstRowLastColumn="0" w:lastRowFirstColumn="0" w:lastRowLastColumn="0"/>
        </w:trPr>
        <w:tc>
          <w:tcPr>
            <w:tcW w:w="0" w:type="auto"/>
            <w:hideMark/>
          </w:tcPr>
          <w:p w14:paraId="3C697FBF" w14:textId="77777777" w:rsidR="00B575B7" w:rsidRPr="00436989" w:rsidRDefault="00B575B7">
            <w:pPr>
              <w:pStyle w:val="NormalWeb"/>
              <w:rPr>
                <w:sz w:val="18"/>
                <w:szCs w:val="18"/>
              </w:rPr>
            </w:pPr>
            <w:r w:rsidRPr="00436989">
              <w:rPr>
                <w:sz w:val="18"/>
                <w:szCs w:val="18"/>
              </w:rPr>
              <w:t>university educated</w:t>
            </w:r>
          </w:p>
        </w:tc>
        <w:tc>
          <w:tcPr>
            <w:tcW w:w="1928" w:type="dxa"/>
            <w:hideMark/>
          </w:tcPr>
          <w:p w14:paraId="36568D3E" w14:textId="77777777" w:rsidR="00B575B7" w:rsidRPr="00436989" w:rsidRDefault="00B575B7" w:rsidP="00206042">
            <w:pPr>
              <w:pStyle w:val="NormalWeb"/>
              <w:jc w:val="center"/>
              <w:rPr>
                <w:sz w:val="18"/>
                <w:szCs w:val="18"/>
              </w:rPr>
            </w:pPr>
            <w:r w:rsidRPr="00436989">
              <w:rPr>
                <w:sz w:val="18"/>
                <w:szCs w:val="18"/>
              </w:rPr>
              <w:t>19.0</w:t>
            </w:r>
          </w:p>
        </w:tc>
        <w:tc>
          <w:tcPr>
            <w:tcW w:w="1929" w:type="dxa"/>
            <w:hideMark/>
          </w:tcPr>
          <w:p w14:paraId="3175489C" w14:textId="77777777" w:rsidR="00B575B7" w:rsidRPr="00436989" w:rsidRDefault="00B575B7" w:rsidP="00206042">
            <w:pPr>
              <w:pStyle w:val="NormalWeb"/>
              <w:jc w:val="center"/>
              <w:rPr>
                <w:sz w:val="18"/>
                <w:szCs w:val="18"/>
              </w:rPr>
            </w:pPr>
            <w:r w:rsidRPr="00436989">
              <w:rPr>
                <w:sz w:val="18"/>
                <w:szCs w:val="18"/>
              </w:rPr>
              <w:t>106</w:t>
            </w:r>
          </w:p>
        </w:tc>
        <w:tc>
          <w:tcPr>
            <w:tcW w:w="1928" w:type="dxa"/>
            <w:hideMark/>
          </w:tcPr>
          <w:p w14:paraId="7B6F4E47" w14:textId="77777777" w:rsidR="00B575B7" w:rsidRPr="00436989" w:rsidRDefault="00B575B7" w:rsidP="00206042">
            <w:pPr>
              <w:pStyle w:val="NormalWeb"/>
              <w:jc w:val="center"/>
              <w:rPr>
                <w:sz w:val="18"/>
                <w:szCs w:val="18"/>
              </w:rPr>
            </w:pPr>
            <w:r w:rsidRPr="00436989">
              <w:rPr>
                <w:sz w:val="18"/>
                <w:szCs w:val="18"/>
              </w:rPr>
              <w:t>27.4</w:t>
            </w:r>
          </w:p>
        </w:tc>
        <w:tc>
          <w:tcPr>
            <w:tcW w:w="1929" w:type="dxa"/>
            <w:hideMark/>
          </w:tcPr>
          <w:p w14:paraId="781AF02D" w14:textId="77777777" w:rsidR="00B575B7" w:rsidRPr="00436989" w:rsidRDefault="00B575B7" w:rsidP="00206042">
            <w:pPr>
              <w:pStyle w:val="NormalWeb"/>
              <w:jc w:val="center"/>
              <w:rPr>
                <w:sz w:val="18"/>
                <w:szCs w:val="18"/>
              </w:rPr>
            </w:pPr>
            <w:r w:rsidRPr="00436989">
              <w:rPr>
                <w:sz w:val="18"/>
                <w:szCs w:val="18"/>
              </w:rPr>
              <w:t>21,963</w:t>
            </w:r>
          </w:p>
        </w:tc>
      </w:tr>
      <w:tr w:rsidR="00B575B7" w:rsidRPr="00436989" w14:paraId="3D2D2661" w14:textId="77777777" w:rsidTr="00436989">
        <w:tc>
          <w:tcPr>
            <w:tcW w:w="0" w:type="auto"/>
            <w:hideMark/>
          </w:tcPr>
          <w:p w14:paraId="1FCCE97D" w14:textId="77777777" w:rsidR="00B575B7" w:rsidRPr="00436989" w:rsidRDefault="00B575B7">
            <w:pPr>
              <w:pStyle w:val="NormalWeb"/>
              <w:rPr>
                <w:sz w:val="18"/>
                <w:szCs w:val="18"/>
              </w:rPr>
            </w:pPr>
            <w:r w:rsidRPr="00436989">
              <w:rPr>
                <w:sz w:val="18"/>
                <w:szCs w:val="18"/>
              </w:rPr>
              <w:t>annual household income &lt;$50,000</w:t>
            </w:r>
          </w:p>
        </w:tc>
        <w:tc>
          <w:tcPr>
            <w:tcW w:w="1928" w:type="dxa"/>
            <w:hideMark/>
          </w:tcPr>
          <w:p w14:paraId="13262AE4" w14:textId="77777777" w:rsidR="00B575B7" w:rsidRPr="00436989" w:rsidRDefault="00B575B7" w:rsidP="00206042">
            <w:pPr>
              <w:pStyle w:val="NormalWeb"/>
              <w:jc w:val="center"/>
              <w:rPr>
                <w:sz w:val="18"/>
                <w:szCs w:val="18"/>
              </w:rPr>
            </w:pPr>
            <w:r w:rsidRPr="00436989">
              <w:rPr>
                <w:sz w:val="18"/>
                <w:szCs w:val="18"/>
              </w:rPr>
              <w:t>48.8</w:t>
            </w:r>
          </w:p>
        </w:tc>
        <w:tc>
          <w:tcPr>
            <w:tcW w:w="1929" w:type="dxa"/>
            <w:hideMark/>
          </w:tcPr>
          <w:p w14:paraId="3A48356F" w14:textId="77777777" w:rsidR="00B575B7" w:rsidRPr="00436989" w:rsidRDefault="00B575B7" w:rsidP="00206042">
            <w:pPr>
              <w:pStyle w:val="NormalWeb"/>
              <w:jc w:val="center"/>
              <w:rPr>
                <w:sz w:val="18"/>
                <w:szCs w:val="18"/>
              </w:rPr>
            </w:pPr>
            <w:r w:rsidRPr="00436989">
              <w:rPr>
                <w:sz w:val="18"/>
                <w:szCs w:val="18"/>
              </w:rPr>
              <w:t>273</w:t>
            </w:r>
          </w:p>
        </w:tc>
        <w:tc>
          <w:tcPr>
            <w:tcW w:w="1928" w:type="dxa"/>
            <w:hideMark/>
          </w:tcPr>
          <w:p w14:paraId="7F36BD89" w14:textId="77777777" w:rsidR="00B575B7" w:rsidRPr="00436989" w:rsidRDefault="00B575B7" w:rsidP="00206042">
            <w:pPr>
              <w:pStyle w:val="NormalWeb"/>
              <w:jc w:val="center"/>
              <w:rPr>
                <w:sz w:val="18"/>
                <w:szCs w:val="18"/>
              </w:rPr>
            </w:pPr>
            <w:r w:rsidRPr="00436989">
              <w:rPr>
                <w:sz w:val="18"/>
                <w:szCs w:val="18"/>
              </w:rPr>
              <w:t>39.5</w:t>
            </w:r>
          </w:p>
        </w:tc>
        <w:tc>
          <w:tcPr>
            <w:tcW w:w="1929" w:type="dxa"/>
            <w:hideMark/>
          </w:tcPr>
          <w:p w14:paraId="72122548" w14:textId="77777777" w:rsidR="00B575B7" w:rsidRPr="00436989" w:rsidRDefault="00B575B7" w:rsidP="00206042">
            <w:pPr>
              <w:pStyle w:val="NormalWeb"/>
              <w:jc w:val="center"/>
              <w:rPr>
                <w:sz w:val="18"/>
                <w:szCs w:val="18"/>
              </w:rPr>
            </w:pPr>
            <w:r w:rsidRPr="00436989">
              <w:rPr>
                <w:sz w:val="18"/>
                <w:szCs w:val="18"/>
              </w:rPr>
              <w:t>31,458</w:t>
            </w:r>
          </w:p>
        </w:tc>
      </w:tr>
      <w:tr w:rsidR="00B575B7" w:rsidRPr="00436989" w14:paraId="35F8ABE4" w14:textId="77777777" w:rsidTr="00436989">
        <w:trPr>
          <w:cnfStyle w:val="000000010000" w:firstRow="0" w:lastRow="0" w:firstColumn="0" w:lastColumn="0" w:oddVBand="0" w:evenVBand="0" w:oddHBand="0" w:evenHBand="1" w:firstRowFirstColumn="0" w:firstRowLastColumn="0" w:lastRowFirstColumn="0" w:lastRowLastColumn="0"/>
        </w:trPr>
        <w:tc>
          <w:tcPr>
            <w:tcW w:w="0" w:type="auto"/>
            <w:hideMark/>
          </w:tcPr>
          <w:p w14:paraId="08262E62" w14:textId="77777777" w:rsidR="00B575B7" w:rsidRPr="00436989" w:rsidRDefault="00B575B7">
            <w:pPr>
              <w:pStyle w:val="NormalWeb"/>
              <w:rPr>
                <w:sz w:val="18"/>
                <w:szCs w:val="18"/>
              </w:rPr>
            </w:pPr>
            <w:r w:rsidRPr="00436989">
              <w:rPr>
                <w:sz w:val="18"/>
                <w:szCs w:val="18"/>
              </w:rPr>
              <w:t>currently in paid employment</w:t>
            </w:r>
          </w:p>
        </w:tc>
        <w:tc>
          <w:tcPr>
            <w:tcW w:w="1928" w:type="dxa"/>
            <w:hideMark/>
          </w:tcPr>
          <w:p w14:paraId="3BCE2298" w14:textId="77777777" w:rsidR="00B575B7" w:rsidRPr="00436989" w:rsidRDefault="00B575B7" w:rsidP="00206042">
            <w:pPr>
              <w:pStyle w:val="NormalWeb"/>
              <w:jc w:val="center"/>
              <w:rPr>
                <w:sz w:val="18"/>
                <w:szCs w:val="18"/>
              </w:rPr>
            </w:pPr>
            <w:r w:rsidRPr="00436989">
              <w:rPr>
                <w:sz w:val="18"/>
                <w:szCs w:val="18"/>
              </w:rPr>
              <w:t>39.4</w:t>
            </w:r>
          </w:p>
        </w:tc>
        <w:tc>
          <w:tcPr>
            <w:tcW w:w="1929" w:type="dxa"/>
            <w:hideMark/>
          </w:tcPr>
          <w:p w14:paraId="6E11F583" w14:textId="77777777" w:rsidR="00B575B7" w:rsidRPr="00436989" w:rsidRDefault="00B575B7" w:rsidP="00206042">
            <w:pPr>
              <w:pStyle w:val="NormalWeb"/>
              <w:jc w:val="center"/>
              <w:rPr>
                <w:sz w:val="18"/>
                <w:szCs w:val="18"/>
              </w:rPr>
            </w:pPr>
            <w:r w:rsidRPr="00436989">
              <w:rPr>
                <w:sz w:val="18"/>
                <w:szCs w:val="18"/>
              </w:rPr>
              <w:t>220</w:t>
            </w:r>
          </w:p>
        </w:tc>
        <w:tc>
          <w:tcPr>
            <w:tcW w:w="1928" w:type="dxa"/>
            <w:hideMark/>
          </w:tcPr>
          <w:p w14:paraId="420489B1" w14:textId="77777777" w:rsidR="00B575B7" w:rsidRPr="00436989" w:rsidRDefault="00B575B7" w:rsidP="00206042">
            <w:pPr>
              <w:pStyle w:val="NormalWeb"/>
              <w:jc w:val="center"/>
              <w:rPr>
                <w:sz w:val="18"/>
                <w:szCs w:val="18"/>
              </w:rPr>
            </w:pPr>
            <w:r w:rsidRPr="00436989">
              <w:rPr>
                <w:sz w:val="18"/>
                <w:szCs w:val="18"/>
              </w:rPr>
              <w:t>41.6</w:t>
            </w:r>
          </w:p>
        </w:tc>
        <w:tc>
          <w:tcPr>
            <w:tcW w:w="1929" w:type="dxa"/>
            <w:hideMark/>
          </w:tcPr>
          <w:p w14:paraId="432322BE" w14:textId="77777777" w:rsidR="00B575B7" w:rsidRPr="00436989" w:rsidRDefault="00B575B7" w:rsidP="00206042">
            <w:pPr>
              <w:pStyle w:val="NormalWeb"/>
              <w:jc w:val="center"/>
              <w:rPr>
                <w:sz w:val="18"/>
                <w:szCs w:val="18"/>
              </w:rPr>
            </w:pPr>
            <w:r w:rsidRPr="00436989">
              <w:rPr>
                <w:sz w:val="18"/>
                <w:szCs w:val="18"/>
              </w:rPr>
              <w:t>33,548</w:t>
            </w:r>
          </w:p>
        </w:tc>
      </w:tr>
      <w:tr w:rsidR="00B575B7" w:rsidRPr="00436989" w14:paraId="169921B7" w14:textId="77777777" w:rsidTr="00436989">
        <w:tc>
          <w:tcPr>
            <w:tcW w:w="0" w:type="auto"/>
            <w:hideMark/>
          </w:tcPr>
          <w:p w14:paraId="1FE70DA4" w14:textId="77777777" w:rsidR="00B575B7" w:rsidRPr="00436989" w:rsidRDefault="00B575B7">
            <w:pPr>
              <w:pStyle w:val="NormalWeb"/>
              <w:rPr>
                <w:sz w:val="18"/>
                <w:szCs w:val="18"/>
              </w:rPr>
            </w:pPr>
            <w:r w:rsidRPr="00436989">
              <w:rPr>
                <w:sz w:val="18"/>
                <w:szCs w:val="18"/>
              </w:rPr>
              <w:t>current smoker</w:t>
            </w:r>
          </w:p>
        </w:tc>
        <w:tc>
          <w:tcPr>
            <w:tcW w:w="1928" w:type="dxa"/>
            <w:hideMark/>
          </w:tcPr>
          <w:p w14:paraId="7E030ED0" w14:textId="77777777" w:rsidR="00B575B7" w:rsidRPr="00436989" w:rsidRDefault="00B575B7" w:rsidP="00206042">
            <w:pPr>
              <w:pStyle w:val="NormalWeb"/>
              <w:jc w:val="center"/>
              <w:rPr>
                <w:sz w:val="18"/>
                <w:szCs w:val="18"/>
              </w:rPr>
            </w:pPr>
            <w:r w:rsidRPr="00436989">
              <w:rPr>
                <w:sz w:val="18"/>
                <w:szCs w:val="18"/>
              </w:rPr>
              <w:t>10.7</w:t>
            </w:r>
          </w:p>
        </w:tc>
        <w:tc>
          <w:tcPr>
            <w:tcW w:w="1929" w:type="dxa"/>
            <w:hideMark/>
          </w:tcPr>
          <w:p w14:paraId="565C3148" w14:textId="77777777" w:rsidR="00B575B7" w:rsidRPr="00436989" w:rsidRDefault="00B575B7" w:rsidP="00206042">
            <w:pPr>
              <w:pStyle w:val="NormalWeb"/>
              <w:jc w:val="center"/>
              <w:rPr>
                <w:sz w:val="18"/>
                <w:szCs w:val="18"/>
              </w:rPr>
            </w:pPr>
            <w:r w:rsidRPr="00436989">
              <w:rPr>
                <w:sz w:val="18"/>
                <w:szCs w:val="18"/>
              </w:rPr>
              <w:t>60</w:t>
            </w:r>
          </w:p>
        </w:tc>
        <w:tc>
          <w:tcPr>
            <w:tcW w:w="1928" w:type="dxa"/>
            <w:hideMark/>
          </w:tcPr>
          <w:p w14:paraId="29DB6A67" w14:textId="77777777" w:rsidR="00B575B7" w:rsidRPr="00436989" w:rsidRDefault="00B575B7" w:rsidP="00206042">
            <w:pPr>
              <w:pStyle w:val="NormalWeb"/>
              <w:jc w:val="center"/>
              <w:rPr>
                <w:sz w:val="18"/>
                <w:szCs w:val="18"/>
              </w:rPr>
            </w:pPr>
            <w:r w:rsidRPr="00436989">
              <w:rPr>
                <w:sz w:val="18"/>
                <w:szCs w:val="18"/>
              </w:rPr>
              <w:t>4.0</w:t>
            </w:r>
          </w:p>
        </w:tc>
        <w:tc>
          <w:tcPr>
            <w:tcW w:w="1929" w:type="dxa"/>
            <w:hideMark/>
          </w:tcPr>
          <w:p w14:paraId="618DC3B0" w14:textId="77777777" w:rsidR="00B575B7" w:rsidRPr="00436989" w:rsidRDefault="00B575B7" w:rsidP="00206042">
            <w:pPr>
              <w:pStyle w:val="NormalWeb"/>
              <w:jc w:val="center"/>
              <w:rPr>
                <w:sz w:val="18"/>
                <w:szCs w:val="18"/>
              </w:rPr>
            </w:pPr>
            <w:r w:rsidRPr="00436989">
              <w:rPr>
                <w:sz w:val="18"/>
                <w:szCs w:val="18"/>
              </w:rPr>
              <w:t>3,183</w:t>
            </w:r>
          </w:p>
        </w:tc>
      </w:tr>
      <w:tr w:rsidR="00B575B7" w:rsidRPr="00436989" w14:paraId="321EDE75" w14:textId="77777777" w:rsidTr="00436989">
        <w:trPr>
          <w:cnfStyle w:val="000000010000" w:firstRow="0" w:lastRow="0" w:firstColumn="0" w:lastColumn="0" w:oddVBand="0" w:evenVBand="0" w:oddHBand="0" w:evenHBand="1" w:firstRowFirstColumn="0" w:firstRowLastColumn="0" w:lastRowFirstColumn="0" w:lastRowLastColumn="0"/>
        </w:trPr>
        <w:tc>
          <w:tcPr>
            <w:tcW w:w="0" w:type="auto"/>
            <w:hideMark/>
          </w:tcPr>
          <w:p w14:paraId="0BAF16BE" w14:textId="77777777" w:rsidR="00B575B7" w:rsidRPr="00436989" w:rsidRDefault="00B575B7">
            <w:pPr>
              <w:pStyle w:val="NormalWeb"/>
              <w:rPr>
                <w:sz w:val="18"/>
                <w:szCs w:val="18"/>
              </w:rPr>
            </w:pPr>
            <w:r w:rsidRPr="00436989">
              <w:rPr>
                <w:sz w:val="18"/>
                <w:szCs w:val="18"/>
              </w:rPr>
              <w:t>past smoker</w:t>
            </w:r>
          </w:p>
        </w:tc>
        <w:tc>
          <w:tcPr>
            <w:tcW w:w="1928" w:type="dxa"/>
            <w:hideMark/>
          </w:tcPr>
          <w:p w14:paraId="57081F69" w14:textId="77777777" w:rsidR="00B575B7" w:rsidRPr="00436989" w:rsidRDefault="00B575B7" w:rsidP="00206042">
            <w:pPr>
              <w:pStyle w:val="NormalWeb"/>
              <w:jc w:val="center"/>
              <w:rPr>
                <w:sz w:val="18"/>
                <w:szCs w:val="18"/>
              </w:rPr>
            </w:pPr>
            <w:r w:rsidRPr="00436989">
              <w:rPr>
                <w:sz w:val="18"/>
                <w:szCs w:val="18"/>
              </w:rPr>
              <w:t>41.7</w:t>
            </w:r>
          </w:p>
        </w:tc>
        <w:tc>
          <w:tcPr>
            <w:tcW w:w="1929" w:type="dxa"/>
            <w:hideMark/>
          </w:tcPr>
          <w:p w14:paraId="6DA9D54F" w14:textId="77777777" w:rsidR="00B575B7" w:rsidRPr="00436989" w:rsidRDefault="00B575B7" w:rsidP="00206042">
            <w:pPr>
              <w:pStyle w:val="NormalWeb"/>
              <w:jc w:val="center"/>
              <w:rPr>
                <w:sz w:val="18"/>
                <w:szCs w:val="18"/>
              </w:rPr>
            </w:pPr>
            <w:r w:rsidRPr="00436989">
              <w:rPr>
                <w:sz w:val="18"/>
                <w:szCs w:val="18"/>
              </w:rPr>
              <w:t>233</w:t>
            </w:r>
          </w:p>
        </w:tc>
        <w:tc>
          <w:tcPr>
            <w:tcW w:w="1928" w:type="dxa"/>
            <w:hideMark/>
          </w:tcPr>
          <w:p w14:paraId="2769338F" w14:textId="77777777" w:rsidR="00B575B7" w:rsidRPr="00436989" w:rsidRDefault="00B575B7" w:rsidP="00206042">
            <w:pPr>
              <w:pStyle w:val="NormalWeb"/>
              <w:jc w:val="center"/>
              <w:rPr>
                <w:sz w:val="18"/>
                <w:szCs w:val="18"/>
              </w:rPr>
            </w:pPr>
            <w:r w:rsidRPr="00436989">
              <w:rPr>
                <w:sz w:val="18"/>
                <w:szCs w:val="18"/>
              </w:rPr>
              <w:t>33.8</w:t>
            </w:r>
          </w:p>
        </w:tc>
        <w:tc>
          <w:tcPr>
            <w:tcW w:w="1929" w:type="dxa"/>
            <w:hideMark/>
          </w:tcPr>
          <w:p w14:paraId="09EBB22B" w14:textId="77777777" w:rsidR="00B575B7" w:rsidRPr="00436989" w:rsidRDefault="00B575B7" w:rsidP="00206042">
            <w:pPr>
              <w:pStyle w:val="NormalWeb"/>
              <w:jc w:val="center"/>
              <w:rPr>
                <w:sz w:val="18"/>
                <w:szCs w:val="18"/>
              </w:rPr>
            </w:pPr>
            <w:r w:rsidRPr="00436989">
              <w:rPr>
                <w:sz w:val="18"/>
                <w:szCs w:val="18"/>
              </w:rPr>
              <w:t>26,945</w:t>
            </w:r>
          </w:p>
        </w:tc>
      </w:tr>
      <w:tr w:rsidR="00B575B7" w:rsidRPr="00436989" w14:paraId="2CB4715A" w14:textId="77777777" w:rsidTr="00436989">
        <w:tc>
          <w:tcPr>
            <w:tcW w:w="0" w:type="auto"/>
            <w:hideMark/>
          </w:tcPr>
          <w:p w14:paraId="6549093D" w14:textId="77777777" w:rsidR="00B575B7" w:rsidRPr="00436989" w:rsidRDefault="00B575B7">
            <w:pPr>
              <w:pStyle w:val="NormalWeb"/>
              <w:rPr>
                <w:sz w:val="18"/>
                <w:szCs w:val="18"/>
              </w:rPr>
            </w:pPr>
            <w:r w:rsidRPr="00436989">
              <w:rPr>
                <w:sz w:val="18"/>
                <w:szCs w:val="18"/>
              </w:rPr>
              <w:t>consuming &gt;7 drinks a week</w:t>
            </w:r>
          </w:p>
        </w:tc>
        <w:tc>
          <w:tcPr>
            <w:tcW w:w="1928" w:type="dxa"/>
            <w:hideMark/>
          </w:tcPr>
          <w:p w14:paraId="3DF46817" w14:textId="77777777" w:rsidR="00B575B7" w:rsidRPr="00436989" w:rsidRDefault="00B575B7" w:rsidP="00206042">
            <w:pPr>
              <w:pStyle w:val="NormalWeb"/>
              <w:jc w:val="center"/>
              <w:rPr>
                <w:sz w:val="18"/>
                <w:szCs w:val="18"/>
              </w:rPr>
            </w:pPr>
            <w:r w:rsidRPr="00436989">
              <w:rPr>
                <w:sz w:val="18"/>
                <w:szCs w:val="18"/>
              </w:rPr>
              <w:t>30.8</w:t>
            </w:r>
          </w:p>
        </w:tc>
        <w:tc>
          <w:tcPr>
            <w:tcW w:w="1929" w:type="dxa"/>
            <w:hideMark/>
          </w:tcPr>
          <w:p w14:paraId="644A08A7" w14:textId="77777777" w:rsidR="00B575B7" w:rsidRPr="00436989" w:rsidRDefault="00B575B7" w:rsidP="00206042">
            <w:pPr>
              <w:pStyle w:val="NormalWeb"/>
              <w:jc w:val="center"/>
              <w:rPr>
                <w:sz w:val="18"/>
                <w:szCs w:val="18"/>
              </w:rPr>
            </w:pPr>
            <w:r w:rsidRPr="00436989">
              <w:rPr>
                <w:sz w:val="18"/>
                <w:szCs w:val="18"/>
              </w:rPr>
              <w:t>172</w:t>
            </w:r>
          </w:p>
        </w:tc>
        <w:tc>
          <w:tcPr>
            <w:tcW w:w="1928" w:type="dxa"/>
            <w:hideMark/>
          </w:tcPr>
          <w:p w14:paraId="073AE7C2" w14:textId="77777777" w:rsidR="00B575B7" w:rsidRPr="00436989" w:rsidRDefault="00B575B7" w:rsidP="00206042">
            <w:pPr>
              <w:pStyle w:val="NormalWeb"/>
              <w:jc w:val="center"/>
              <w:rPr>
                <w:sz w:val="18"/>
                <w:szCs w:val="18"/>
              </w:rPr>
            </w:pPr>
            <w:r w:rsidRPr="00436989">
              <w:rPr>
                <w:sz w:val="18"/>
                <w:szCs w:val="18"/>
              </w:rPr>
              <w:t>33.1</w:t>
            </w:r>
          </w:p>
        </w:tc>
        <w:tc>
          <w:tcPr>
            <w:tcW w:w="1929" w:type="dxa"/>
            <w:hideMark/>
          </w:tcPr>
          <w:p w14:paraId="79D99EF7" w14:textId="77777777" w:rsidR="00B575B7" w:rsidRPr="00436989" w:rsidRDefault="00B575B7" w:rsidP="00206042">
            <w:pPr>
              <w:pStyle w:val="NormalWeb"/>
              <w:jc w:val="center"/>
              <w:rPr>
                <w:sz w:val="18"/>
                <w:szCs w:val="18"/>
              </w:rPr>
            </w:pPr>
            <w:r w:rsidRPr="00436989">
              <w:rPr>
                <w:sz w:val="18"/>
                <w:szCs w:val="18"/>
              </w:rPr>
              <w:t>26,710</w:t>
            </w:r>
          </w:p>
        </w:tc>
      </w:tr>
      <w:tr w:rsidR="00B575B7" w:rsidRPr="00436989" w14:paraId="34C7CF95" w14:textId="77777777" w:rsidTr="00436989">
        <w:trPr>
          <w:cnfStyle w:val="000000010000" w:firstRow="0" w:lastRow="0" w:firstColumn="0" w:lastColumn="0" w:oddVBand="0" w:evenVBand="0" w:oddHBand="0" w:evenHBand="1" w:firstRowFirstColumn="0" w:firstRowLastColumn="0" w:lastRowFirstColumn="0" w:lastRowLastColumn="0"/>
        </w:trPr>
        <w:tc>
          <w:tcPr>
            <w:tcW w:w="0" w:type="auto"/>
            <w:hideMark/>
          </w:tcPr>
          <w:p w14:paraId="216D5AD8" w14:textId="77777777" w:rsidR="00B575B7" w:rsidRPr="00436989" w:rsidRDefault="00B575B7">
            <w:pPr>
              <w:pStyle w:val="NormalWeb"/>
              <w:rPr>
                <w:sz w:val="18"/>
                <w:szCs w:val="18"/>
              </w:rPr>
            </w:pPr>
            <w:r w:rsidRPr="00436989">
              <w:rPr>
                <w:sz w:val="18"/>
                <w:szCs w:val="18"/>
              </w:rPr>
              <w:t xml:space="preserve">reporting medical </w:t>
            </w:r>
            <w:proofErr w:type="spellStart"/>
            <w:r w:rsidRPr="00436989">
              <w:rPr>
                <w:sz w:val="18"/>
                <w:szCs w:val="18"/>
              </w:rPr>
              <w:t>condition</w:t>
            </w:r>
            <w:r w:rsidRPr="00436989">
              <w:rPr>
                <w:sz w:val="18"/>
                <w:szCs w:val="18"/>
                <w:vertAlign w:val="superscript"/>
              </w:rPr>
              <w:t>a</w:t>
            </w:r>
            <w:proofErr w:type="spellEnd"/>
          </w:p>
        </w:tc>
        <w:tc>
          <w:tcPr>
            <w:tcW w:w="1928" w:type="dxa"/>
            <w:hideMark/>
          </w:tcPr>
          <w:p w14:paraId="7B42DF71" w14:textId="77777777" w:rsidR="00B575B7" w:rsidRPr="00436989" w:rsidRDefault="00B575B7" w:rsidP="00206042">
            <w:pPr>
              <w:pStyle w:val="NormalWeb"/>
              <w:jc w:val="center"/>
              <w:rPr>
                <w:sz w:val="18"/>
                <w:szCs w:val="18"/>
              </w:rPr>
            </w:pPr>
            <w:r w:rsidRPr="00436989">
              <w:rPr>
                <w:sz w:val="18"/>
                <w:szCs w:val="18"/>
              </w:rPr>
              <w:t>41.0</w:t>
            </w:r>
          </w:p>
        </w:tc>
        <w:tc>
          <w:tcPr>
            <w:tcW w:w="1929" w:type="dxa"/>
            <w:hideMark/>
          </w:tcPr>
          <w:p w14:paraId="4F82DD1F" w14:textId="77777777" w:rsidR="00B575B7" w:rsidRPr="00436989" w:rsidRDefault="00B575B7" w:rsidP="00206042">
            <w:pPr>
              <w:pStyle w:val="NormalWeb"/>
              <w:jc w:val="center"/>
              <w:rPr>
                <w:sz w:val="18"/>
                <w:szCs w:val="18"/>
              </w:rPr>
            </w:pPr>
            <w:r w:rsidRPr="00436989">
              <w:rPr>
                <w:sz w:val="18"/>
                <w:szCs w:val="18"/>
              </w:rPr>
              <w:t>229</w:t>
            </w:r>
          </w:p>
        </w:tc>
        <w:tc>
          <w:tcPr>
            <w:tcW w:w="1928" w:type="dxa"/>
            <w:hideMark/>
          </w:tcPr>
          <w:p w14:paraId="6A69DDD4" w14:textId="77777777" w:rsidR="00B575B7" w:rsidRPr="00436989" w:rsidRDefault="00B575B7" w:rsidP="00206042">
            <w:pPr>
              <w:pStyle w:val="NormalWeb"/>
              <w:jc w:val="center"/>
              <w:rPr>
                <w:sz w:val="18"/>
                <w:szCs w:val="18"/>
              </w:rPr>
            </w:pPr>
            <w:r w:rsidRPr="00436989">
              <w:rPr>
                <w:sz w:val="18"/>
                <w:szCs w:val="18"/>
              </w:rPr>
              <w:t>30.7</w:t>
            </w:r>
          </w:p>
        </w:tc>
        <w:tc>
          <w:tcPr>
            <w:tcW w:w="1929" w:type="dxa"/>
            <w:hideMark/>
          </w:tcPr>
          <w:p w14:paraId="7A6FF99C" w14:textId="77777777" w:rsidR="00B575B7" w:rsidRPr="00436989" w:rsidRDefault="00B575B7" w:rsidP="00206042">
            <w:pPr>
              <w:pStyle w:val="NormalWeb"/>
              <w:jc w:val="center"/>
              <w:rPr>
                <w:sz w:val="18"/>
                <w:szCs w:val="18"/>
              </w:rPr>
            </w:pPr>
            <w:r w:rsidRPr="00436989">
              <w:rPr>
                <w:sz w:val="18"/>
                <w:szCs w:val="18"/>
              </w:rPr>
              <w:t>24,745</w:t>
            </w:r>
          </w:p>
        </w:tc>
      </w:tr>
    </w:tbl>
    <w:p w14:paraId="70734EFC" w14:textId="77777777" w:rsidR="00B575B7" w:rsidRDefault="00B575B7" w:rsidP="00FF23DC">
      <w:pPr>
        <w:pStyle w:val="CDIfootnotes"/>
      </w:pPr>
      <w:r>
        <w:t xml:space="preserve">% </w:t>
      </w:r>
      <w:proofErr w:type="gramStart"/>
      <w:r>
        <w:t>represent</w:t>
      </w:r>
      <w:proofErr w:type="gramEnd"/>
      <w:r>
        <w:t xml:space="preserve"> the proportion in each column (excluding missing observations) </w:t>
      </w:r>
    </w:p>
    <w:p w14:paraId="12A9FACF" w14:textId="77777777" w:rsidR="00B575B7" w:rsidRDefault="001952F4" w:rsidP="00FF23DC">
      <w:pPr>
        <w:pStyle w:val="CDIfootnotes"/>
      </w:pPr>
      <w:r>
        <w:t>a</w:t>
      </w:r>
      <w:r>
        <w:tab/>
      </w:r>
      <w:r w:rsidR="00B575B7">
        <w:t xml:space="preserve">Stroke, asthma, diabetes, heart disease, Parkinson’s </w:t>
      </w:r>
      <w:proofErr w:type="gramStart"/>
      <w:r w:rsidR="00B575B7">
        <w:t>disease</w:t>
      </w:r>
      <w:proofErr w:type="gramEnd"/>
      <w:r w:rsidR="00B575B7">
        <w:t xml:space="preserve"> and cancer</w:t>
      </w:r>
    </w:p>
    <w:p w14:paraId="1E0781FC" w14:textId="77777777" w:rsidR="00B575B7" w:rsidRDefault="00B575B7" w:rsidP="00FF23DC">
      <w:r>
        <w:t xml:space="preserve">Comparing influenza vaccination in Aboriginal and Australian-born non-Indigenous adults for all ages, age-standardised estimates were similar; 54.4% (95%CI 49.9–58.9%) versus 52.7% (52.4–53.1%) respectively; </w:t>
      </w:r>
      <w:r w:rsidR="002557B8">
        <w:rPr>
          <w:rStyle w:val="Emphasis"/>
          <w:b w:val="0"/>
          <w:bCs w:val="0"/>
          <w:kern w:val="36"/>
          <w:szCs w:val="48"/>
        </w:rPr>
        <w:t>p</w:t>
      </w:r>
      <w:r>
        <w:t xml:space="preserve">=0.5. For adults aged ≥65 years, age-standardised coverage estimates were not statistically different comparing Aboriginal and non-Indigenous adults (67.3% vs 72.6%, </w:t>
      </w:r>
      <w:r w:rsidR="002557B8">
        <w:rPr>
          <w:rStyle w:val="Emphasis"/>
          <w:b w:val="0"/>
          <w:bCs w:val="0"/>
          <w:kern w:val="36"/>
          <w:szCs w:val="48"/>
        </w:rPr>
        <w:t>p</w:t>
      </w:r>
      <w:r>
        <w:t xml:space="preserve">=0.16). For adults aged 49–64 years, influenza vaccination coverage was significantly higher in Aboriginal versus non-Indigenous participants (45.2% vs 38.5%, </w:t>
      </w:r>
      <w:r w:rsidR="002557B8">
        <w:rPr>
          <w:rStyle w:val="Emphasis"/>
          <w:b w:val="0"/>
          <w:bCs w:val="0"/>
          <w:kern w:val="36"/>
          <w:szCs w:val="48"/>
        </w:rPr>
        <w:t>p</w:t>
      </w:r>
      <w:r>
        <w:t xml:space="preserve">=0.02), and for adults whose </w:t>
      </w:r>
      <w:r>
        <w:lastRenderedPageBreak/>
        <w:t xml:space="preserve">annual household income was &lt;$50,000, coverage was significantly higher in Aboriginal versus non-Indigenous participants (58.3% vs 51.1%, </w:t>
      </w:r>
      <w:r w:rsidR="002557B8">
        <w:rPr>
          <w:rStyle w:val="Emphasis"/>
          <w:b w:val="0"/>
          <w:bCs w:val="0"/>
          <w:kern w:val="36"/>
          <w:szCs w:val="48"/>
        </w:rPr>
        <w:t>p</w:t>
      </w:r>
      <w:r>
        <w:t>=0.03).</w:t>
      </w:r>
    </w:p>
    <w:p w14:paraId="21126F86" w14:textId="77777777" w:rsidR="00B575B7" w:rsidRDefault="00B575B7" w:rsidP="00FF23DC">
      <w:r>
        <w:t>For non-Indigenous participants, significantly higher uptake was observed in those ≥65 years than in those aged 49–64 years (adjusted OR=6.44, 95%CI 5.91–7.01); in women than in men (</w:t>
      </w:r>
      <w:proofErr w:type="spellStart"/>
      <w:r>
        <w:t>aOR</w:t>
      </w:r>
      <w:proofErr w:type="spellEnd"/>
      <w:r>
        <w:t>=1.22, 1.18–1.25); in those with an annual household income ≥$50,000 (</w:t>
      </w:r>
      <w:proofErr w:type="spellStart"/>
      <w:r>
        <w:t>aOR</w:t>
      </w:r>
      <w:proofErr w:type="spellEnd"/>
      <w:r>
        <w:t>=1.06, 1.02–1.09); in those who were overweight or obese than in those of healthy weight (</w:t>
      </w:r>
      <w:proofErr w:type="spellStart"/>
      <w:r>
        <w:t>aOR</w:t>
      </w:r>
      <w:proofErr w:type="spellEnd"/>
      <w:r>
        <w:t xml:space="preserve">=1.17, 1.13–1.21; </w:t>
      </w:r>
      <w:proofErr w:type="spellStart"/>
      <w:r>
        <w:t>aOR</w:t>
      </w:r>
      <w:proofErr w:type="spellEnd"/>
      <w:r>
        <w:t>=1.40, 1.34–1.45 respectively); in those who had a medical condition associated with higher risk of complications irrespective of age (</w:t>
      </w:r>
      <w:proofErr w:type="spellStart"/>
      <w:r>
        <w:t>aOR</w:t>
      </w:r>
      <w:proofErr w:type="spellEnd"/>
      <w:r>
        <w:t xml:space="preserve">=1.93, 1.83–2.02, </w:t>
      </w:r>
      <w:proofErr w:type="spellStart"/>
      <w:r>
        <w:t>aOR</w:t>
      </w:r>
      <w:proofErr w:type="spellEnd"/>
      <w:r>
        <w:t>=1.44, 1.37–1.51); and in those who reported good/very good or fair/poor health than in those who reported excellent health (</w:t>
      </w:r>
      <w:proofErr w:type="spellStart"/>
      <w:r>
        <w:t>aOR</w:t>
      </w:r>
      <w:proofErr w:type="spellEnd"/>
      <w:r>
        <w:t xml:space="preserve">=1.41, 1.35–1.47; </w:t>
      </w:r>
      <w:proofErr w:type="spellStart"/>
      <w:r>
        <w:t>aOR</w:t>
      </w:r>
      <w:proofErr w:type="spellEnd"/>
      <w:r>
        <w:t>=1.93, 1.82–2.05 respectively). Characteristics associated with a lower uptake of vaccination included living in inner regional or outer regional/remote areas compared to those living in cities (</w:t>
      </w:r>
      <w:proofErr w:type="spellStart"/>
      <w:r>
        <w:t>aOR</w:t>
      </w:r>
      <w:proofErr w:type="spellEnd"/>
      <w:r>
        <w:t xml:space="preserve">=0.93, 0.90–0.96; </w:t>
      </w:r>
      <w:proofErr w:type="spellStart"/>
      <w:r>
        <w:t>aOR</w:t>
      </w:r>
      <w:proofErr w:type="spellEnd"/>
      <w:r>
        <w:t>=0.84, 0.80–0.87 respectively); being in paid employment (</w:t>
      </w:r>
      <w:proofErr w:type="spellStart"/>
      <w:r>
        <w:t>aOR</w:t>
      </w:r>
      <w:proofErr w:type="spellEnd"/>
      <w:r>
        <w:t>=0.81, 0.78–0.84); and current smokers compared to those who never smoked (</w:t>
      </w:r>
      <w:proofErr w:type="spellStart"/>
      <w:r>
        <w:t>aOR</w:t>
      </w:r>
      <w:proofErr w:type="spellEnd"/>
      <w:r>
        <w:t xml:space="preserve">=0.70, 0.65–0.75). </w:t>
      </w:r>
    </w:p>
    <w:p w14:paraId="5B4D2C63" w14:textId="77777777" w:rsidR="00B575B7" w:rsidRDefault="00B575B7" w:rsidP="00FF23DC">
      <w:r>
        <w:t>Our analysis of Aboriginal participants found significantly higher uptake only in those who were obese than in those of healthy weight (</w:t>
      </w:r>
      <w:proofErr w:type="spellStart"/>
      <w:r>
        <w:t>aOR</w:t>
      </w:r>
      <w:proofErr w:type="spellEnd"/>
      <w:r>
        <w:t>=2.38, 95%CI 1.44–3.94); in those aged 49–64 years with a medical risk factor than in those of any age without risk factors (</w:t>
      </w:r>
      <w:proofErr w:type="spellStart"/>
      <w:r>
        <w:t>aOR</w:t>
      </w:r>
      <w:proofErr w:type="spellEnd"/>
      <w:r>
        <w:t>=2.13, 1.37–3.30); and in those who rated their health as fair/poor versus excellent (</w:t>
      </w:r>
      <w:proofErr w:type="spellStart"/>
      <w:r>
        <w:t>aOR</w:t>
      </w:r>
      <w:proofErr w:type="spellEnd"/>
      <w:r>
        <w:t xml:space="preserve">=2.57, 1.26–5.20). </w:t>
      </w:r>
    </w:p>
    <w:p w14:paraId="3AACC175" w14:textId="77777777" w:rsidR="00B575B7" w:rsidRDefault="00B575B7">
      <w:pPr>
        <w:pStyle w:val="Heading1"/>
        <w:rPr>
          <w:rFonts w:eastAsia="Times New Roman"/>
          <w:kern w:val="36"/>
          <w:sz w:val="48"/>
          <w:szCs w:val="48"/>
        </w:rPr>
      </w:pPr>
      <w:r>
        <w:rPr>
          <w:rFonts w:eastAsia="Times New Roman"/>
        </w:rPr>
        <w:t xml:space="preserve">Discussion </w:t>
      </w:r>
    </w:p>
    <w:p w14:paraId="10868A23" w14:textId="77777777" w:rsidR="00B575B7" w:rsidRDefault="00B575B7" w:rsidP="00FF23DC">
      <w:r>
        <w:t>We conducted this study to add to the very limited contemporaneous data available reporting influenza vaccination in Aboriginal adults in Australia. We found that reported influenza vaccination coverage was marginally higher in non-Indigenous adults than in Aboriginal adults aged ≥65 years, however this was not statistically significant. Coverage was higher in Aboriginal adults aged 49–64 years than in their Australian-born non-Indigenous counterparts. Given that all those aged ≥15 years are eligible for free vaccine, the overall uptake of influenza vaccination in Aboriginal adults was still low with less than half of those aged 49–64 years reporting receiving the vaccine. The vaccination uptake for funded childhood immunisations is in excess of 90%, but much lower for funded adult vaccines in Australia, in the range 50–60%.</w:t>
      </w:r>
      <w:r>
        <w:rPr>
          <w:vertAlign w:val="superscript"/>
        </w:rPr>
        <w:t>18</w:t>
      </w:r>
      <w:r>
        <w:t xml:space="preserve"> The vaccination gap between adults and children, whether Aboriginal or non-Indigenous, is an area for improvement nationally. A rise in coverage from 50 to 80% could result in substantial gains in disease prevention.</w:t>
      </w:r>
      <w:r>
        <w:rPr>
          <w:vertAlign w:val="superscript"/>
        </w:rPr>
        <w:t>19</w:t>
      </w:r>
      <w:r>
        <w:t xml:space="preserve"> </w:t>
      </w:r>
    </w:p>
    <w:p w14:paraId="146E1205" w14:textId="77777777" w:rsidR="00B575B7" w:rsidRDefault="00B575B7" w:rsidP="00FF23DC">
      <w:r>
        <w:t>The rate of influenza vaccine coverage in Aboriginal adults aged ≥65 years found in this study (67.3%, 95%CI 59.9–74.7%) is lower than that reported in earlier studies with estimates ranging from 71% to 84% in Aboriginal peoples nationally. However, NSW-specific estimates in these earlier studies have been lower than the national average.</w:t>
      </w:r>
      <w:r>
        <w:rPr>
          <w:vertAlign w:val="superscript"/>
        </w:rPr>
        <w:t>7–9</w:t>
      </w:r>
      <w:r>
        <w:t xml:space="preserve"> Earlier estimates may differ from the current analysis as they were from national studies whilst our study was in NSW residents only. Barriers to increasing adult vaccination coverage differ from those related to childhood vaccination. Vaccination is often </w:t>
      </w:r>
      <w:proofErr w:type="gramStart"/>
      <w:r>
        <w:t>undervalued</w:t>
      </w:r>
      <w:proofErr w:type="gramEnd"/>
      <w:r>
        <w:t xml:space="preserve"> and financial support is less than that provided for childhood vaccines.</w:t>
      </w:r>
      <w:r>
        <w:rPr>
          <w:vertAlign w:val="superscript"/>
        </w:rPr>
        <w:t>20</w:t>
      </w:r>
      <w:r>
        <w:t xml:space="preserve"> Reviews have found interventions shown to increase adult vaccination coverage include increasing access (i.e. home visits), incentives for patients and provider, and provider recalls.</w:t>
      </w:r>
      <w:r>
        <w:rPr>
          <w:vertAlign w:val="superscript"/>
        </w:rPr>
        <w:t xml:space="preserve">20,21 </w:t>
      </w:r>
    </w:p>
    <w:p w14:paraId="5DB61139" w14:textId="77777777" w:rsidR="002342DE" w:rsidRDefault="00B575B7" w:rsidP="00FF23DC">
      <w:pPr>
        <w:sectPr w:rsidR="002342DE" w:rsidSect="00A30C37">
          <w:headerReference w:type="default" r:id="rId9"/>
          <w:footerReference w:type="default" r:id="rId10"/>
          <w:footerReference w:type="first" r:id="rId11"/>
          <w:footnotePr>
            <w:numFmt w:val="lowerRoman"/>
          </w:footnotePr>
          <w:pgSz w:w="11906" w:h="16838"/>
          <w:pgMar w:top="720" w:right="720" w:bottom="1134" w:left="720" w:header="709" w:footer="284" w:gutter="0"/>
          <w:cols w:space="708"/>
          <w:titlePg/>
          <w:docGrid w:linePitch="360"/>
        </w:sectPr>
      </w:pPr>
      <w:r>
        <w:t xml:space="preserve">Among responders aged 49–64 years, Aboriginal participants had higher vaccination coverage than non-Indigenous adults. This suggests that the NIP recommendations and targeted funding for influenza vaccine in Aboriginal peoples aged ≥15 years has had a </w:t>
      </w:r>
      <w:proofErr w:type="spellStart"/>
      <w:r>
        <w:t>measureable</w:t>
      </w:r>
      <w:proofErr w:type="spellEnd"/>
      <w:r>
        <w:t xml:space="preserve"> impact. The most recent nationally reported data for influenza vaccine coverage in Aboriginal adults aged &lt;50years was the 2012–2013 Aboriginal and Torres Strait Islander Health Survey which reported coverage of 56.8%,</w:t>
      </w:r>
      <w:r>
        <w:rPr>
          <w:vertAlign w:val="superscript"/>
        </w:rPr>
        <w:t>22</w:t>
      </w:r>
      <w:r>
        <w:t xml:space="preserve"> marginally higher than our estimate. Previous estimates in those aged ≥50 years from 1995 to 2003 range from 51% to 96%.</w:t>
      </w:r>
      <w:r>
        <w:rPr>
          <w:vertAlign w:val="superscript"/>
        </w:rPr>
        <w:t>2</w:t>
      </w:r>
      <w:r>
        <w:t xml:space="preserve"> The 2009 Adult Immunisation Survey for Aboriginal people aged </w:t>
      </w:r>
      <w:r>
        <w:lastRenderedPageBreak/>
        <w:t>&gt;18 years reported coverage of 27.5% for influenza vaccination.</w:t>
      </w:r>
      <w:r>
        <w:rPr>
          <w:vertAlign w:val="superscript"/>
        </w:rPr>
        <w:t>23</w:t>
      </w:r>
      <w:r>
        <w:t xml:space="preserve"> This variability and inconsistency in reporting of vaccination coverage in Aboriginal adults likely reflects the small sample sizes and highlights the need for more robust and up-to-date coverage estimates. Apart from our study, almost all other reports were conducted prior to 2010 when national funding for influenza vaccination for Aboriginal adults changed from those aged &lt;50 with a medical indication for influenza vaccine to all Aboriginal peoples aged ≥15 years.</w:t>
      </w:r>
      <w:r>
        <w:rPr>
          <w:vertAlign w:val="superscript"/>
        </w:rPr>
        <w:t>24</w:t>
      </w:r>
      <w:r>
        <w:t xml:space="preserve"> </w:t>
      </w:r>
    </w:p>
    <w:p w14:paraId="2CBF9585" w14:textId="77777777" w:rsidR="00B575B7" w:rsidRDefault="00B575B7" w:rsidP="002342DE">
      <w:pPr>
        <w:pStyle w:val="CDIFigures"/>
      </w:pPr>
      <w:r>
        <w:lastRenderedPageBreak/>
        <w:t xml:space="preserve">Table 2: Crude and age-standardised annual influenza vaccination coverage in Aboriginal and Australian-born non-Indigenous adults </w:t>
      </w:r>
    </w:p>
    <w:tbl>
      <w:tblPr>
        <w:tblStyle w:val="CDI-StandardTable"/>
        <w:tblW w:w="0" w:type="auto"/>
        <w:tblCellMar>
          <w:top w:w="113" w:type="dxa"/>
          <w:left w:w="57" w:type="dxa"/>
          <w:bottom w:w="113" w:type="dxa"/>
          <w:right w:w="57" w:type="dxa"/>
        </w:tblCellMar>
        <w:tblLook w:val="04A0" w:firstRow="1" w:lastRow="0" w:firstColumn="1" w:lastColumn="0" w:noHBand="0" w:noVBand="1"/>
        <w:tblDescription w:val="Proportion of people vaccinated by Aboriginal and/or Torres Strait Islander status. Overall, 54.4% of 559 Aboriginal adults reported vaccination, compared to 52.7% of 80,655 Australian-born Non-Indigenous adults (p-value 0.46). Age-standardised coverage for adults aged ≥65 years, age-standardised coverage estimates were not statistically different comparing Aboriginal and non-Indigenous adults (67.3% vs 72.6%, P=0.16). Influenza vaccination in adults aged 49–64 years is higher in Aboriginal adults 45.2% compared to non-Indigenous participants 38.5% (P=0.02)."/>
      </w:tblPr>
      <w:tblGrid>
        <w:gridCol w:w="3544"/>
        <w:gridCol w:w="1089"/>
        <w:gridCol w:w="1794"/>
        <w:gridCol w:w="2385"/>
        <w:gridCol w:w="1188"/>
        <w:gridCol w:w="1794"/>
        <w:gridCol w:w="2240"/>
        <w:gridCol w:w="950"/>
      </w:tblGrid>
      <w:tr w:rsidR="00E169CD" w:rsidRPr="002759BA" w14:paraId="6FEC5DA7" w14:textId="77777777" w:rsidTr="00A35124">
        <w:trPr>
          <w:cnfStyle w:val="100000000000" w:firstRow="1" w:lastRow="0" w:firstColumn="0" w:lastColumn="0" w:oddVBand="0" w:evenVBand="0" w:oddHBand="0" w:evenHBand="0" w:firstRowFirstColumn="0" w:firstRowLastColumn="0" w:lastRowFirstColumn="0" w:lastRowLastColumn="0"/>
          <w:tblHeader/>
        </w:trPr>
        <w:tc>
          <w:tcPr>
            <w:tcW w:w="3544" w:type="dxa"/>
            <w:hideMark/>
          </w:tcPr>
          <w:p w14:paraId="4CD7D2AD" w14:textId="77777777" w:rsidR="00B575B7" w:rsidRPr="002759BA" w:rsidRDefault="00B575B7">
            <w:pPr>
              <w:pStyle w:val="NormalWeb"/>
              <w:outlineLvl w:val="1"/>
              <w:rPr>
                <w:bCs/>
                <w:color w:val="FFFFFF" w:themeColor="background1"/>
                <w:kern w:val="36"/>
                <w:sz w:val="18"/>
                <w:szCs w:val="18"/>
              </w:rPr>
            </w:pPr>
          </w:p>
        </w:tc>
        <w:tc>
          <w:tcPr>
            <w:tcW w:w="5268" w:type="dxa"/>
            <w:gridSpan w:val="3"/>
            <w:hideMark/>
          </w:tcPr>
          <w:p w14:paraId="0EBA1C01" w14:textId="77777777" w:rsidR="00B575B7" w:rsidRPr="002759BA" w:rsidRDefault="00B575B7" w:rsidP="00240EAF">
            <w:pPr>
              <w:pStyle w:val="NormalWeb"/>
              <w:jc w:val="center"/>
              <w:rPr>
                <w:color w:val="FFFFFF" w:themeColor="background1"/>
                <w:sz w:val="18"/>
                <w:szCs w:val="18"/>
              </w:rPr>
            </w:pPr>
            <w:r w:rsidRPr="002759BA">
              <w:rPr>
                <w:color w:val="FFFFFF" w:themeColor="background1"/>
                <w:sz w:val="18"/>
                <w:szCs w:val="18"/>
              </w:rPr>
              <w:t>Aboriginal adults</w:t>
            </w:r>
          </w:p>
        </w:tc>
        <w:tc>
          <w:tcPr>
            <w:tcW w:w="5222" w:type="dxa"/>
            <w:gridSpan w:val="3"/>
            <w:hideMark/>
          </w:tcPr>
          <w:p w14:paraId="14D10E16" w14:textId="77777777" w:rsidR="00B575B7" w:rsidRPr="002759BA" w:rsidRDefault="00B575B7" w:rsidP="00240EAF">
            <w:pPr>
              <w:pStyle w:val="NormalWeb"/>
              <w:jc w:val="center"/>
              <w:rPr>
                <w:color w:val="FFFFFF" w:themeColor="background1"/>
                <w:sz w:val="18"/>
                <w:szCs w:val="18"/>
              </w:rPr>
            </w:pPr>
            <w:r w:rsidRPr="002759BA">
              <w:rPr>
                <w:color w:val="FFFFFF" w:themeColor="background1"/>
                <w:sz w:val="18"/>
                <w:szCs w:val="18"/>
              </w:rPr>
              <w:t xml:space="preserve">Australian-born </w:t>
            </w:r>
            <w:proofErr w:type="gramStart"/>
            <w:r w:rsidRPr="002759BA">
              <w:rPr>
                <w:color w:val="FFFFFF" w:themeColor="background1"/>
                <w:sz w:val="18"/>
                <w:szCs w:val="18"/>
              </w:rPr>
              <w:t>Non-Indigenous</w:t>
            </w:r>
            <w:proofErr w:type="gramEnd"/>
            <w:r w:rsidRPr="002759BA">
              <w:rPr>
                <w:color w:val="FFFFFF" w:themeColor="background1"/>
                <w:sz w:val="18"/>
                <w:szCs w:val="18"/>
              </w:rPr>
              <w:t xml:space="preserve"> adults</w:t>
            </w:r>
          </w:p>
        </w:tc>
        <w:tc>
          <w:tcPr>
            <w:tcW w:w="950" w:type="dxa"/>
            <w:hideMark/>
          </w:tcPr>
          <w:p w14:paraId="33160C8D" w14:textId="77777777" w:rsidR="00B575B7" w:rsidRPr="002759BA" w:rsidRDefault="00B575B7" w:rsidP="00240EAF">
            <w:pPr>
              <w:jc w:val="center"/>
              <w:rPr>
                <w:color w:val="FFFFFF" w:themeColor="background1"/>
                <w:sz w:val="18"/>
                <w:szCs w:val="18"/>
              </w:rPr>
            </w:pPr>
          </w:p>
        </w:tc>
      </w:tr>
      <w:tr w:rsidR="006B53E9" w:rsidRPr="002759BA" w14:paraId="2B99BAFD" w14:textId="77777777" w:rsidTr="00A35124">
        <w:trPr>
          <w:cnfStyle w:val="100000000000" w:firstRow="1" w:lastRow="0" w:firstColumn="0" w:lastColumn="0" w:oddVBand="0" w:evenVBand="0" w:oddHBand="0" w:evenHBand="0" w:firstRowFirstColumn="0" w:firstRowLastColumn="0" w:lastRowFirstColumn="0" w:lastRowLastColumn="0"/>
          <w:tblHeader/>
        </w:trPr>
        <w:tc>
          <w:tcPr>
            <w:tcW w:w="3544" w:type="dxa"/>
            <w:hideMark/>
          </w:tcPr>
          <w:p w14:paraId="59D1C71A" w14:textId="77777777" w:rsidR="00B575B7" w:rsidRPr="002759BA" w:rsidRDefault="00B575B7">
            <w:pPr>
              <w:pStyle w:val="NormalWeb"/>
              <w:rPr>
                <w:color w:val="FFFFFF" w:themeColor="background1"/>
                <w:sz w:val="18"/>
                <w:szCs w:val="18"/>
              </w:rPr>
            </w:pPr>
            <w:r w:rsidRPr="002759BA">
              <w:rPr>
                <w:color w:val="FFFFFF" w:themeColor="background1"/>
                <w:sz w:val="18"/>
                <w:szCs w:val="18"/>
              </w:rPr>
              <w:t>Characteristics</w:t>
            </w:r>
          </w:p>
        </w:tc>
        <w:tc>
          <w:tcPr>
            <w:tcW w:w="1089" w:type="dxa"/>
            <w:hideMark/>
          </w:tcPr>
          <w:p w14:paraId="5FD01EF7" w14:textId="77777777" w:rsidR="00B575B7" w:rsidRPr="002759BA" w:rsidRDefault="00B575B7" w:rsidP="00240EAF">
            <w:pPr>
              <w:pStyle w:val="NormalWeb"/>
              <w:jc w:val="center"/>
              <w:rPr>
                <w:color w:val="FFFFFF" w:themeColor="background1"/>
                <w:sz w:val="18"/>
                <w:szCs w:val="18"/>
              </w:rPr>
            </w:pPr>
            <w:r w:rsidRPr="002759BA">
              <w:rPr>
                <w:color w:val="FFFFFF" w:themeColor="background1"/>
                <w:sz w:val="18"/>
                <w:szCs w:val="18"/>
              </w:rPr>
              <w:t>Total population</w:t>
            </w:r>
          </w:p>
        </w:tc>
        <w:tc>
          <w:tcPr>
            <w:tcW w:w="0" w:type="auto"/>
            <w:hideMark/>
          </w:tcPr>
          <w:p w14:paraId="4E40C07F" w14:textId="77777777" w:rsidR="00B575B7" w:rsidRPr="002759BA" w:rsidRDefault="00B575B7" w:rsidP="00240EAF">
            <w:pPr>
              <w:pStyle w:val="NormalWeb"/>
              <w:jc w:val="center"/>
              <w:rPr>
                <w:color w:val="FFFFFF" w:themeColor="background1"/>
                <w:sz w:val="18"/>
                <w:szCs w:val="18"/>
              </w:rPr>
            </w:pPr>
            <w:r w:rsidRPr="002759BA">
              <w:rPr>
                <w:color w:val="FFFFFF" w:themeColor="background1"/>
                <w:sz w:val="18"/>
                <w:szCs w:val="18"/>
              </w:rPr>
              <w:t>Crude vaccination coverage %</w:t>
            </w:r>
          </w:p>
        </w:tc>
        <w:tc>
          <w:tcPr>
            <w:tcW w:w="0" w:type="auto"/>
            <w:hideMark/>
          </w:tcPr>
          <w:p w14:paraId="2525AF04" w14:textId="77777777" w:rsidR="00B575B7" w:rsidRPr="002759BA" w:rsidRDefault="00B575B7" w:rsidP="00240EAF">
            <w:pPr>
              <w:pStyle w:val="NormalWeb"/>
              <w:jc w:val="center"/>
              <w:rPr>
                <w:color w:val="FFFFFF" w:themeColor="background1"/>
                <w:sz w:val="18"/>
                <w:szCs w:val="18"/>
              </w:rPr>
            </w:pPr>
            <w:r w:rsidRPr="002759BA">
              <w:rPr>
                <w:color w:val="FFFFFF" w:themeColor="background1"/>
                <w:sz w:val="18"/>
                <w:szCs w:val="18"/>
              </w:rPr>
              <w:t xml:space="preserve">Age- standardised vaccination coverage % </w:t>
            </w:r>
            <w:r w:rsidR="00D74A2A" w:rsidRPr="002759BA">
              <w:rPr>
                <w:color w:val="FFFFFF" w:themeColor="background1"/>
                <w:sz w:val="18"/>
                <w:szCs w:val="18"/>
              </w:rPr>
              <w:br/>
            </w:r>
            <w:r w:rsidRPr="002759BA">
              <w:rPr>
                <w:color w:val="FFFFFF" w:themeColor="background1"/>
                <w:sz w:val="18"/>
                <w:szCs w:val="18"/>
              </w:rPr>
              <w:t>(95% CI)</w:t>
            </w:r>
          </w:p>
        </w:tc>
        <w:tc>
          <w:tcPr>
            <w:tcW w:w="0" w:type="auto"/>
            <w:hideMark/>
          </w:tcPr>
          <w:p w14:paraId="31B7EEFE" w14:textId="77777777" w:rsidR="00B575B7" w:rsidRPr="002759BA" w:rsidRDefault="00B575B7" w:rsidP="00240EAF">
            <w:pPr>
              <w:pStyle w:val="NormalWeb"/>
              <w:jc w:val="center"/>
              <w:rPr>
                <w:color w:val="FFFFFF" w:themeColor="background1"/>
                <w:sz w:val="18"/>
                <w:szCs w:val="18"/>
              </w:rPr>
            </w:pPr>
            <w:r w:rsidRPr="002759BA">
              <w:rPr>
                <w:color w:val="FFFFFF" w:themeColor="background1"/>
                <w:sz w:val="18"/>
                <w:szCs w:val="18"/>
              </w:rPr>
              <w:t>Total population</w:t>
            </w:r>
          </w:p>
        </w:tc>
        <w:tc>
          <w:tcPr>
            <w:tcW w:w="0" w:type="auto"/>
            <w:hideMark/>
          </w:tcPr>
          <w:p w14:paraId="78584523" w14:textId="77777777" w:rsidR="00B575B7" w:rsidRPr="002759BA" w:rsidRDefault="00B575B7" w:rsidP="00240EAF">
            <w:pPr>
              <w:pStyle w:val="NormalWeb"/>
              <w:jc w:val="center"/>
              <w:rPr>
                <w:color w:val="FFFFFF" w:themeColor="background1"/>
                <w:sz w:val="18"/>
                <w:szCs w:val="18"/>
              </w:rPr>
            </w:pPr>
            <w:r w:rsidRPr="002759BA">
              <w:rPr>
                <w:color w:val="FFFFFF" w:themeColor="background1"/>
                <w:sz w:val="18"/>
                <w:szCs w:val="18"/>
              </w:rPr>
              <w:t>Crude vaccination coverage %</w:t>
            </w:r>
          </w:p>
        </w:tc>
        <w:tc>
          <w:tcPr>
            <w:tcW w:w="2240" w:type="dxa"/>
            <w:hideMark/>
          </w:tcPr>
          <w:p w14:paraId="6D6138C3" w14:textId="77777777" w:rsidR="00B575B7" w:rsidRPr="002759BA" w:rsidRDefault="00B575B7" w:rsidP="00240EAF">
            <w:pPr>
              <w:pStyle w:val="NormalWeb"/>
              <w:jc w:val="center"/>
              <w:rPr>
                <w:color w:val="FFFFFF" w:themeColor="background1"/>
                <w:sz w:val="18"/>
                <w:szCs w:val="18"/>
              </w:rPr>
            </w:pPr>
            <w:r w:rsidRPr="002759BA">
              <w:rPr>
                <w:color w:val="FFFFFF" w:themeColor="background1"/>
                <w:sz w:val="18"/>
                <w:szCs w:val="18"/>
              </w:rPr>
              <w:t>Age- standardised vaccination coverage % (95% CI)</w:t>
            </w:r>
          </w:p>
        </w:tc>
        <w:tc>
          <w:tcPr>
            <w:tcW w:w="950" w:type="dxa"/>
            <w:hideMark/>
          </w:tcPr>
          <w:p w14:paraId="45CB8428" w14:textId="77777777" w:rsidR="00B575B7" w:rsidRPr="002759BA" w:rsidRDefault="00B575B7" w:rsidP="00240EAF">
            <w:pPr>
              <w:pStyle w:val="NormalWeb"/>
              <w:jc w:val="center"/>
              <w:rPr>
                <w:color w:val="FFFFFF" w:themeColor="background1"/>
                <w:sz w:val="18"/>
                <w:szCs w:val="18"/>
              </w:rPr>
            </w:pPr>
            <w:r w:rsidRPr="002759BA">
              <w:rPr>
                <w:i/>
                <w:color w:val="FFFFFF" w:themeColor="background1"/>
                <w:sz w:val="18"/>
                <w:szCs w:val="18"/>
              </w:rPr>
              <w:t>p-</w:t>
            </w:r>
            <w:proofErr w:type="spellStart"/>
            <w:r w:rsidRPr="002759BA">
              <w:rPr>
                <w:i/>
                <w:color w:val="FFFFFF" w:themeColor="background1"/>
                <w:sz w:val="18"/>
                <w:szCs w:val="18"/>
              </w:rPr>
              <w:t>value</w:t>
            </w:r>
            <w:r w:rsidRPr="002759BA">
              <w:rPr>
                <w:color w:val="FFFFFF" w:themeColor="background1"/>
                <w:sz w:val="18"/>
                <w:szCs w:val="18"/>
                <w:vertAlign w:val="superscript"/>
              </w:rPr>
              <w:t>a</w:t>
            </w:r>
            <w:proofErr w:type="spellEnd"/>
          </w:p>
        </w:tc>
      </w:tr>
      <w:tr w:rsidR="00D74A2A" w:rsidRPr="002759BA" w14:paraId="00B338C6" w14:textId="77777777" w:rsidTr="00AD19B5">
        <w:tc>
          <w:tcPr>
            <w:tcW w:w="3544" w:type="dxa"/>
            <w:shd w:val="clear" w:color="auto" w:fill="FDE9D9" w:themeFill="accent6" w:themeFillTint="33"/>
            <w:hideMark/>
          </w:tcPr>
          <w:p w14:paraId="43A74830" w14:textId="77777777" w:rsidR="00B575B7" w:rsidRPr="002759BA" w:rsidRDefault="00B575B7">
            <w:pPr>
              <w:pStyle w:val="NormalWeb"/>
              <w:rPr>
                <w:b/>
                <w:sz w:val="18"/>
                <w:szCs w:val="18"/>
              </w:rPr>
            </w:pPr>
            <w:r w:rsidRPr="002759BA">
              <w:rPr>
                <w:b/>
                <w:sz w:val="18"/>
                <w:szCs w:val="18"/>
              </w:rPr>
              <w:t>Total population</w:t>
            </w:r>
          </w:p>
        </w:tc>
        <w:tc>
          <w:tcPr>
            <w:tcW w:w="1089" w:type="dxa"/>
            <w:shd w:val="clear" w:color="auto" w:fill="FDE9D9" w:themeFill="accent6" w:themeFillTint="33"/>
            <w:hideMark/>
          </w:tcPr>
          <w:p w14:paraId="03892FD5" w14:textId="77777777" w:rsidR="00B575B7" w:rsidRPr="002759BA" w:rsidRDefault="00B575B7" w:rsidP="00240EAF">
            <w:pPr>
              <w:pStyle w:val="NormalWeb"/>
              <w:jc w:val="center"/>
              <w:rPr>
                <w:b/>
                <w:sz w:val="18"/>
                <w:szCs w:val="18"/>
              </w:rPr>
            </w:pPr>
            <w:r w:rsidRPr="002759BA">
              <w:rPr>
                <w:b/>
                <w:sz w:val="18"/>
                <w:szCs w:val="18"/>
              </w:rPr>
              <w:t>559</w:t>
            </w:r>
          </w:p>
        </w:tc>
        <w:tc>
          <w:tcPr>
            <w:tcW w:w="0" w:type="auto"/>
            <w:shd w:val="clear" w:color="auto" w:fill="FDE9D9" w:themeFill="accent6" w:themeFillTint="33"/>
            <w:hideMark/>
          </w:tcPr>
          <w:p w14:paraId="40FCC26A" w14:textId="77777777" w:rsidR="00B575B7" w:rsidRPr="002759BA" w:rsidRDefault="00B575B7" w:rsidP="00240EAF">
            <w:pPr>
              <w:pStyle w:val="NormalWeb"/>
              <w:jc w:val="center"/>
              <w:rPr>
                <w:b/>
                <w:sz w:val="18"/>
                <w:szCs w:val="18"/>
              </w:rPr>
            </w:pPr>
            <w:r w:rsidRPr="002759BA">
              <w:rPr>
                <w:b/>
                <w:sz w:val="18"/>
                <w:szCs w:val="18"/>
              </w:rPr>
              <w:t>54.4</w:t>
            </w:r>
          </w:p>
        </w:tc>
        <w:tc>
          <w:tcPr>
            <w:tcW w:w="0" w:type="auto"/>
            <w:shd w:val="clear" w:color="auto" w:fill="FDE9D9" w:themeFill="accent6" w:themeFillTint="33"/>
            <w:hideMark/>
          </w:tcPr>
          <w:p w14:paraId="3BBB33A6" w14:textId="77777777" w:rsidR="00B575B7" w:rsidRPr="002759BA" w:rsidRDefault="00B575B7" w:rsidP="00240EAF">
            <w:pPr>
              <w:pStyle w:val="NormalWeb"/>
              <w:jc w:val="center"/>
              <w:rPr>
                <w:b/>
                <w:sz w:val="18"/>
                <w:szCs w:val="18"/>
              </w:rPr>
            </w:pPr>
            <w:r w:rsidRPr="002759BA">
              <w:rPr>
                <w:b/>
                <w:sz w:val="18"/>
                <w:szCs w:val="18"/>
              </w:rPr>
              <w:t>54.4 (49.9–58.9)</w:t>
            </w:r>
          </w:p>
        </w:tc>
        <w:tc>
          <w:tcPr>
            <w:tcW w:w="0" w:type="auto"/>
            <w:shd w:val="clear" w:color="auto" w:fill="FDE9D9" w:themeFill="accent6" w:themeFillTint="33"/>
            <w:hideMark/>
          </w:tcPr>
          <w:p w14:paraId="17B94AAA" w14:textId="77777777" w:rsidR="00B575B7" w:rsidRPr="002759BA" w:rsidRDefault="00B575B7" w:rsidP="00240EAF">
            <w:pPr>
              <w:pStyle w:val="NormalWeb"/>
              <w:jc w:val="center"/>
              <w:rPr>
                <w:b/>
                <w:sz w:val="18"/>
                <w:szCs w:val="18"/>
              </w:rPr>
            </w:pPr>
            <w:r w:rsidRPr="002759BA">
              <w:rPr>
                <w:b/>
                <w:sz w:val="18"/>
                <w:szCs w:val="18"/>
              </w:rPr>
              <w:t>80,655</w:t>
            </w:r>
          </w:p>
        </w:tc>
        <w:tc>
          <w:tcPr>
            <w:tcW w:w="0" w:type="auto"/>
            <w:shd w:val="clear" w:color="auto" w:fill="FDE9D9" w:themeFill="accent6" w:themeFillTint="33"/>
            <w:hideMark/>
          </w:tcPr>
          <w:p w14:paraId="3A7209B1" w14:textId="77777777" w:rsidR="00B575B7" w:rsidRPr="002759BA" w:rsidRDefault="00B575B7" w:rsidP="00240EAF">
            <w:pPr>
              <w:pStyle w:val="NormalWeb"/>
              <w:jc w:val="center"/>
              <w:rPr>
                <w:b/>
                <w:sz w:val="18"/>
                <w:szCs w:val="18"/>
              </w:rPr>
            </w:pPr>
            <w:r w:rsidRPr="002759BA">
              <w:rPr>
                <w:b/>
                <w:sz w:val="18"/>
                <w:szCs w:val="18"/>
              </w:rPr>
              <w:t>55.8</w:t>
            </w:r>
          </w:p>
        </w:tc>
        <w:tc>
          <w:tcPr>
            <w:tcW w:w="2240" w:type="dxa"/>
            <w:shd w:val="clear" w:color="auto" w:fill="FDE9D9" w:themeFill="accent6" w:themeFillTint="33"/>
            <w:hideMark/>
          </w:tcPr>
          <w:p w14:paraId="43EA8C0A" w14:textId="77777777" w:rsidR="00B575B7" w:rsidRPr="002759BA" w:rsidRDefault="00B575B7" w:rsidP="00240EAF">
            <w:pPr>
              <w:pStyle w:val="NormalWeb"/>
              <w:jc w:val="center"/>
              <w:rPr>
                <w:b/>
                <w:sz w:val="18"/>
                <w:szCs w:val="18"/>
              </w:rPr>
            </w:pPr>
            <w:r w:rsidRPr="002759BA">
              <w:rPr>
                <w:b/>
                <w:sz w:val="18"/>
                <w:szCs w:val="18"/>
              </w:rPr>
              <w:t>52.7 (52.4–53.1)</w:t>
            </w:r>
          </w:p>
        </w:tc>
        <w:tc>
          <w:tcPr>
            <w:tcW w:w="950" w:type="dxa"/>
            <w:shd w:val="clear" w:color="auto" w:fill="FDE9D9" w:themeFill="accent6" w:themeFillTint="33"/>
            <w:hideMark/>
          </w:tcPr>
          <w:p w14:paraId="180B3314" w14:textId="77777777" w:rsidR="00B575B7" w:rsidRPr="002759BA" w:rsidRDefault="00B575B7" w:rsidP="00240EAF">
            <w:pPr>
              <w:pStyle w:val="NormalWeb"/>
              <w:jc w:val="center"/>
              <w:rPr>
                <w:b/>
                <w:sz w:val="18"/>
                <w:szCs w:val="18"/>
              </w:rPr>
            </w:pPr>
            <w:r w:rsidRPr="002759BA">
              <w:rPr>
                <w:b/>
                <w:sz w:val="18"/>
                <w:szCs w:val="18"/>
              </w:rPr>
              <w:t>0.460</w:t>
            </w:r>
          </w:p>
        </w:tc>
      </w:tr>
      <w:tr w:rsidR="00FD19FF" w:rsidRPr="002759BA" w14:paraId="3FE96BED" w14:textId="77777777" w:rsidTr="00A35124">
        <w:trPr>
          <w:cnfStyle w:val="000000010000" w:firstRow="0" w:lastRow="0" w:firstColumn="0" w:lastColumn="0" w:oddVBand="0" w:evenVBand="0" w:oddHBand="0" w:evenHBand="1" w:firstRowFirstColumn="0" w:firstRowLastColumn="0" w:lastRowFirstColumn="0" w:lastRowLastColumn="0"/>
        </w:trPr>
        <w:tc>
          <w:tcPr>
            <w:tcW w:w="3544" w:type="dxa"/>
            <w:hideMark/>
          </w:tcPr>
          <w:p w14:paraId="7695A160" w14:textId="77777777" w:rsidR="00B575B7" w:rsidRPr="002759BA" w:rsidRDefault="00B575B7">
            <w:pPr>
              <w:pStyle w:val="NormalWeb"/>
              <w:rPr>
                <w:b/>
                <w:sz w:val="18"/>
                <w:szCs w:val="18"/>
              </w:rPr>
            </w:pPr>
            <w:r w:rsidRPr="002759BA">
              <w:rPr>
                <w:b/>
                <w:sz w:val="18"/>
                <w:szCs w:val="18"/>
              </w:rPr>
              <w:t>Age group (years)</w:t>
            </w:r>
          </w:p>
        </w:tc>
        <w:tc>
          <w:tcPr>
            <w:tcW w:w="1089" w:type="dxa"/>
            <w:hideMark/>
          </w:tcPr>
          <w:p w14:paraId="655CC879" w14:textId="77777777" w:rsidR="00B575B7" w:rsidRPr="002759BA" w:rsidRDefault="00B575B7" w:rsidP="00240EAF">
            <w:pPr>
              <w:jc w:val="center"/>
              <w:rPr>
                <w:b/>
                <w:sz w:val="18"/>
                <w:szCs w:val="18"/>
              </w:rPr>
            </w:pPr>
          </w:p>
        </w:tc>
        <w:tc>
          <w:tcPr>
            <w:tcW w:w="0" w:type="auto"/>
            <w:hideMark/>
          </w:tcPr>
          <w:p w14:paraId="3383C537" w14:textId="77777777" w:rsidR="00B575B7" w:rsidRPr="002759BA" w:rsidRDefault="00B575B7" w:rsidP="00240EAF">
            <w:pPr>
              <w:jc w:val="center"/>
              <w:rPr>
                <w:rFonts w:eastAsia="Times New Roman"/>
                <w:b/>
                <w:sz w:val="18"/>
                <w:szCs w:val="18"/>
              </w:rPr>
            </w:pPr>
          </w:p>
        </w:tc>
        <w:tc>
          <w:tcPr>
            <w:tcW w:w="0" w:type="auto"/>
            <w:hideMark/>
          </w:tcPr>
          <w:p w14:paraId="6131A11A" w14:textId="77777777" w:rsidR="00B575B7" w:rsidRPr="002759BA" w:rsidRDefault="00B575B7" w:rsidP="00240EAF">
            <w:pPr>
              <w:jc w:val="center"/>
              <w:rPr>
                <w:rFonts w:eastAsia="Times New Roman"/>
                <w:b/>
                <w:sz w:val="18"/>
                <w:szCs w:val="18"/>
              </w:rPr>
            </w:pPr>
          </w:p>
        </w:tc>
        <w:tc>
          <w:tcPr>
            <w:tcW w:w="0" w:type="auto"/>
            <w:hideMark/>
          </w:tcPr>
          <w:p w14:paraId="47FE3F48" w14:textId="77777777" w:rsidR="00B575B7" w:rsidRPr="002759BA" w:rsidRDefault="00B575B7" w:rsidP="00240EAF">
            <w:pPr>
              <w:jc w:val="center"/>
              <w:rPr>
                <w:rFonts w:eastAsia="Times New Roman"/>
                <w:b/>
                <w:sz w:val="18"/>
                <w:szCs w:val="18"/>
              </w:rPr>
            </w:pPr>
          </w:p>
        </w:tc>
        <w:tc>
          <w:tcPr>
            <w:tcW w:w="0" w:type="auto"/>
            <w:hideMark/>
          </w:tcPr>
          <w:p w14:paraId="7FCE8904" w14:textId="77777777" w:rsidR="00B575B7" w:rsidRPr="002759BA" w:rsidRDefault="00B575B7" w:rsidP="00240EAF">
            <w:pPr>
              <w:jc w:val="center"/>
              <w:rPr>
                <w:rFonts w:eastAsia="Times New Roman"/>
                <w:b/>
                <w:sz w:val="18"/>
                <w:szCs w:val="18"/>
              </w:rPr>
            </w:pPr>
          </w:p>
        </w:tc>
        <w:tc>
          <w:tcPr>
            <w:tcW w:w="2240" w:type="dxa"/>
            <w:hideMark/>
          </w:tcPr>
          <w:p w14:paraId="316B52D1" w14:textId="77777777" w:rsidR="00B575B7" w:rsidRPr="002759BA" w:rsidRDefault="00B575B7" w:rsidP="00240EAF">
            <w:pPr>
              <w:jc w:val="center"/>
              <w:rPr>
                <w:rFonts w:eastAsia="Times New Roman"/>
                <w:b/>
                <w:sz w:val="18"/>
                <w:szCs w:val="18"/>
              </w:rPr>
            </w:pPr>
          </w:p>
        </w:tc>
        <w:tc>
          <w:tcPr>
            <w:tcW w:w="950" w:type="dxa"/>
            <w:hideMark/>
          </w:tcPr>
          <w:p w14:paraId="7D54F935" w14:textId="77777777" w:rsidR="00B575B7" w:rsidRPr="002759BA" w:rsidRDefault="00B575B7" w:rsidP="00240EAF">
            <w:pPr>
              <w:jc w:val="center"/>
              <w:rPr>
                <w:rFonts w:eastAsia="Times New Roman"/>
                <w:b/>
                <w:sz w:val="18"/>
                <w:szCs w:val="18"/>
              </w:rPr>
            </w:pPr>
          </w:p>
        </w:tc>
      </w:tr>
      <w:tr w:rsidR="00D74A2A" w:rsidRPr="002759BA" w14:paraId="69A95A59" w14:textId="77777777" w:rsidTr="00A35124">
        <w:tc>
          <w:tcPr>
            <w:tcW w:w="3544" w:type="dxa"/>
            <w:hideMark/>
          </w:tcPr>
          <w:p w14:paraId="78DE3EBB" w14:textId="77777777" w:rsidR="00B575B7" w:rsidRPr="002759BA" w:rsidRDefault="00B575B7">
            <w:pPr>
              <w:pStyle w:val="NormalWeb"/>
              <w:rPr>
                <w:sz w:val="18"/>
                <w:szCs w:val="18"/>
              </w:rPr>
            </w:pPr>
            <w:r w:rsidRPr="002759BA">
              <w:rPr>
                <w:sz w:val="18"/>
                <w:szCs w:val="18"/>
              </w:rPr>
              <w:t>49–64</w:t>
            </w:r>
            <w:r w:rsidRPr="002759BA">
              <w:rPr>
                <w:sz w:val="18"/>
                <w:szCs w:val="18"/>
                <w:vertAlign w:val="superscript"/>
              </w:rPr>
              <w:t>b</w:t>
            </w:r>
          </w:p>
        </w:tc>
        <w:tc>
          <w:tcPr>
            <w:tcW w:w="1089" w:type="dxa"/>
            <w:hideMark/>
          </w:tcPr>
          <w:p w14:paraId="011991C2" w14:textId="77777777" w:rsidR="00B575B7" w:rsidRPr="002759BA" w:rsidRDefault="00B575B7" w:rsidP="00240EAF">
            <w:pPr>
              <w:pStyle w:val="NormalWeb"/>
              <w:jc w:val="center"/>
              <w:rPr>
                <w:sz w:val="18"/>
                <w:szCs w:val="18"/>
              </w:rPr>
            </w:pPr>
            <w:r w:rsidRPr="002759BA">
              <w:rPr>
                <w:sz w:val="18"/>
                <w:szCs w:val="18"/>
              </w:rPr>
              <w:t>365</w:t>
            </w:r>
          </w:p>
        </w:tc>
        <w:tc>
          <w:tcPr>
            <w:tcW w:w="0" w:type="auto"/>
            <w:hideMark/>
          </w:tcPr>
          <w:p w14:paraId="4CF982D6" w14:textId="77777777" w:rsidR="00B575B7" w:rsidRPr="002759BA" w:rsidRDefault="00B575B7" w:rsidP="00240EAF">
            <w:pPr>
              <w:pStyle w:val="NormalWeb"/>
              <w:jc w:val="center"/>
              <w:rPr>
                <w:sz w:val="18"/>
                <w:szCs w:val="18"/>
              </w:rPr>
            </w:pPr>
            <w:r w:rsidRPr="002759BA">
              <w:rPr>
                <w:sz w:val="18"/>
                <w:szCs w:val="18"/>
              </w:rPr>
              <w:t>47.7</w:t>
            </w:r>
          </w:p>
        </w:tc>
        <w:tc>
          <w:tcPr>
            <w:tcW w:w="0" w:type="auto"/>
            <w:hideMark/>
          </w:tcPr>
          <w:p w14:paraId="1B1D30E6" w14:textId="77777777" w:rsidR="00B575B7" w:rsidRPr="002759BA" w:rsidRDefault="00B575B7" w:rsidP="00240EAF">
            <w:pPr>
              <w:pStyle w:val="NormalWeb"/>
              <w:jc w:val="center"/>
              <w:rPr>
                <w:sz w:val="18"/>
                <w:szCs w:val="18"/>
              </w:rPr>
            </w:pPr>
            <w:r w:rsidRPr="002759BA">
              <w:rPr>
                <w:sz w:val="18"/>
                <w:szCs w:val="18"/>
              </w:rPr>
              <w:t>45.2 (39.5–50.9)</w:t>
            </w:r>
          </w:p>
        </w:tc>
        <w:tc>
          <w:tcPr>
            <w:tcW w:w="0" w:type="auto"/>
            <w:hideMark/>
          </w:tcPr>
          <w:p w14:paraId="49E9AEBC" w14:textId="77777777" w:rsidR="00B575B7" w:rsidRPr="002759BA" w:rsidRDefault="00B575B7" w:rsidP="00240EAF">
            <w:pPr>
              <w:pStyle w:val="NormalWeb"/>
              <w:jc w:val="center"/>
              <w:rPr>
                <w:sz w:val="18"/>
                <w:szCs w:val="18"/>
              </w:rPr>
            </w:pPr>
            <w:r w:rsidRPr="002759BA">
              <w:rPr>
                <w:sz w:val="18"/>
                <w:szCs w:val="18"/>
              </w:rPr>
              <w:t>40,500</w:t>
            </w:r>
          </w:p>
        </w:tc>
        <w:tc>
          <w:tcPr>
            <w:tcW w:w="0" w:type="auto"/>
            <w:hideMark/>
          </w:tcPr>
          <w:p w14:paraId="24E15191" w14:textId="77777777" w:rsidR="00B575B7" w:rsidRPr="002759BA" w:rsidRDefault="00B575B7" w:rsidP="00240EAF">
            <w:pPr>
              <w:pStyle w:val="NormalWeb"/>
              <w:jc w:val="center"/>
              <w:rPr>
                <w:sz w:val="18"/>
                <w:szCs w:val="18"/>
              </w:rPr>
            </w:pPr>
            <w:r w:rsidRPr="002759BA">
              <w:rPr>
                <w:sz w:val="18"/>
                <w:szCs w:val="18"/>
              </w:rPr>
              <w:t>40.3</w:t>
            </w:r>
          </w:p>
        </w:tc>
        <w:tc>
          <w:tcPr>
            <w:tcW w:w="2240" w:type="dxa"/>
            <w:hideMark/>
          </w:tcPr>
          <w:p w14:paraId="7302F766" w14:textId="77777777" w:rsidR="00B575B7" w:rsidRPr="002759BA" w:rsidRDefault="00B575B7" w:rsidP="00240EAF">
            <w:pPr>
              <w:pStyle w:val="NormalWeb"/>
              <w:jc w:val="center"/>
              <w:rPr>
                <w:sz w:val="18"/>
                <w:szCs w:val="18"/>
              </w:rPr>
            </w:pPr>
            <w:r w:rsidRPr="002759BA">
              <w:rPr>
                <w:sz w:val="18"/>
                <w:szCs w:val="18"/>
              </w:rPr>
              <w:t>38.5 (37.9–39.0)</w:t>
            </w:r>
          </w:p>
        </w:tc>
        <w:tc>
          <w:tcPr>
            <w:tcW w:w="950" w:type="dxa"/>
            <w:hideMark/>
          </w:tcPr>
          <w:p w14:paraId="53D9E815" w14:textId="77777777" w:rsidR="00B575B7" w:rsidRPr="002759BA" w:rsidRDefault="00B575B7" w:rsidP="00240EAF">
            <w:pPr>
              <w:pStyle w:val="NormalWeb"/>
              <w:jc w:val="center"/>
              <w:rPr>
                <w:sz w:val="18"/>
                <w:szCs w:val="18"/>
              </w:rPr>
            </w:pPr>
            <w:r w:rsidRPr="002759BA">
              <w:rPr>
                <w:sz w:val="18"/>
                <w:szCs w:val="18"/>
              </w:rPr>
              <w:t>0.021</w:t>
            </w:r>
          </w:p>
        </w:tc>
      </w:tr>
      <w:tr w:rsidR="00FD19FF" w:rsidRPr="002759BA" w14:paraId="02ADA964" w14:textId="77777777" w:rsidTr="00A35124">
        <w:trPr>
          <w:cnfStyle w:val="000000010000" w:firstRow="0" w:lastRow="0" w:firstColumn="0" w:lastColumn="0" w:oddVBand="0" w:evenVBand="0" w:oddHBand="0" w:evenHBand="1" w:firstRowFirstColumn="0" w:firstRowLastColumn="0" w:lastRowFirstColumn="0" w:lastRowLastColumn="0"/>
        </w:trPr>
        <w:tc>
          <w:tcPr>
            <w:tcW w:w="3544" w:type="dxa"/>
            <w:hideMark/>
          </w:tcPr>
          <w:p w14:paraId="20FBF7AD" w14:textId="77777777" w:rsidR="00B575B7" w:rsidRPr="002759BA" w:rsidRDefault="00B575B7">
            <w:pPr>
              <w:pStyle w:val="NormalWeb"/>
              <w:rPr>
                <w:sz w:val="18"/>
                <w:szCs w:val="18"/>
              </w:rPr>
            </w:pPr>
            <w:r w:rsidRPr="002759BA">
              <w:rPr>
                <w:sz w:val="18"/>
                <w:szCs w:val="18"/>
              </w:rPr>
              <w:t>&gt;65</w:t>
            </w:r>
            <w:r w:rsidRPr="002759BA">
              <w:rPr>
                <w:sz w:val="18"/>
                <w:szCs w:val="18"/>
                <w:vertAlign w:val="superscript"/>
              </w:rPr>
              <w:t>b</w:t>
            </w:r>
          </w:p>
        </w:tc>
        <w:tc>
          <w:tcPr>
            <w:tcW w:w="1089" w:type="dxa"/>
            <w:hideMark/>
          </w:tcPr>
          <w:p w14:paraId="7D597E89" w14:textId="77777777" w:rsidR="00B575B7" w:rsidRPr="002759BA" w:rsidRDefault="00B575B7" w:rsidP="00240EAF">
            <w:pPr>
              <w:pStyle w:val="NormalWeb"/>
              <w:jc w:val="center"/>
              <w:rPr>
                <w:sz w:val="18"/>
                <w:szCs w:val="18"/>
              </w:rPr>
            </w:pPr>
            <w:r w:rsidRPr="002759BA">
              <w:rPr>
                <w:sz w:val="18"/>
                <w:szCs w:val="18"/>
              </w:rPr>
              <w:t>194</w:t>
            </w:r>
          </w:p>
        </w:tc>
        <w:tc>
          <w:tcPr>
            <w:tcW w:w="0" w:type="auto"/>
            <w:hideMark/>
          </w:tcPr>
          <w:p w14:paraId="6D58540A" w14:textId="77777777" w:rsidR="00B575B7" w:rsidRPr="002759BA" w:rsidRDefault="00B575B7" w:rsidP="00240EAF">
            <w:pPr>
              <w:pStyle w:val="NormalWeb"/>
              <w:jc w:val="center"/>
              <w:rPr>
                <w:sz w:val="18"/>
                <w:szCs w:val="18"/>
              </w:rPr>
            </w:pPr>
            <w:r w:rsidRPr="002759BA">
              <w:rPr>
                <w:sz w:val="18"/>
                <w:szCs w:val="18"/>
              </w:rPr>
              <w:t>67.0</w:t>
            </w:r>
          </w:p>
        </w:tc>
        <w:tc>
          <w:tcPr>
            <w:tcW w:w="0" w:type="auto"/>
            <w:hideMark/>
          </w:tcPr>
          <w:p w14:paraId="709CF0A7" w14:textId="77777777" w:rsidR="00B575B7" w:rsidRPr="002759BA" w:rsidRDefault="00B575B7" w:rsidP="00240EAF">
            <w:pPr>
              <w:pStyle w:val="NormalWeb"/>
              <w:jc w:val="center"/>
              <w:rPr>
                <w:sz w:val="18"/>
                <w:szCs w:val="18"/>
              </w:rPr>
            </w:pPr>
            <w:r w:rsidRPr="002759BA">
              <w:rPr>
                <w:sz w:val="18"/>
                <w:szCs w:val="18"/>
              </w:rPr>
              <w:t>67.3 (59.9–74.7)</w:t>
            </w:r>
          </w:p>
        </w:tc>
        <w:tc>
          <w:tcPr>
            <w:tcW w:w="0" w:type="auto"/>
            <w:hideMark/>
          </w:tcPr>
          <w:p w14:paraId="4FC91B99" w14:textId="77777777" w:rsidR="00B575B7" w:rsidRPr="002759BA" w:rsidRDefault="00B575B7" w:rsidP="00240EAF">
            <w:pPr>
              <w:pStyle w:val="NormalWeb"/>
              <w:jc w:val="center"/>
              <w:rPr>
                <w:sz w:val="18"/>
                <w:szCs w:val="18"/>
              </w:rPr>
            </w:pPr>
            <w:r w:rsidRPr="002759BA">
              <w:rPr>
                <w:sz w:val="18"/>
                <w:szCs w:val="18"/>
              </w:rPr>
              <w:t>40,155</w:t>
            </w:r>
          </w:p>
        </w:tc>
        <w:tc>
          <w:tcPr>
            <w:tcW w:w="0" w:type="auto"/>
            <w:hideMark/>
          </w:tcPr>
          <w:p w14:paraId="713489D5" w14:textId="77777777" w:rsidR="00B575B7" w:rsidRPr="002759BA" w:rsidRDefault="00B575B7" w:rsidP="00240EAF">
            <w:pPr>
              <w:pStyle w:val="NormalWeb"/>
              <w:jc w:val="center"/>
              <w:rPr>
                <w:sz w:val="18"/>
                <w:szCs w:val="18"/>
              </w:rPr>
            </w:pPr>
            <w:r w:rsidRPr="002759BA">
              <w:rPr>
                <w:sz w:val="18"/>
                <w:szCs w:val="18"/>
              </w:rPr>
              <w:t>71.4</w:t>
            </w:r>
          </w:p>
        </w:tc>
        <w:tc>
          <w:tcPr>
            <w:tcW w:w="2240" w:type="dxa"/>
            <w:hideMark/>
          </w:tcPr>
          <w:p w14:paraId="079894A3" w14:textId="77777777" w:rsidR="00B575B7" w:rsidRPr="002759BA" w:rsidRDefault="00B575B7" w:rsidP="00240EAF">
            <w:pPr>
              <w:pStyle w:val="NormalWeb"/>
              <w:jc w:val="center"/>
              <w:rPr>
                <w:sz w:val="18"/>
                <w:szCs w:val="18"/>
              </w:rPr>
            </w:pPr>
            <w:r w:rsidRPr="002759BA">
              <w:rPr>
                <w:sz w:val="18"/>
                <w:szCs w:val="18"/>
              </w:rPr>
              <w:t>72.6 (72.2–73.0)</w:t>
            </w:r>
          </w:p>
        </w:tc>
        <w:tc>
          <w:tcPr>
            <w:tcW w:w="950" w:type="dxa"/>
            <w:hideMark/>
          </w:tcPr>
          <w:p w14:paraId="038AE631" w14:textId="77777777" w:rsidR="00B575B7" w:rsidRPr="002759BA" w:rsidRDefault="00B575B7" w:rsidP="00240EAF">
            <w:pPr>
              <w:pStyle w:val="NormalWeb"/>
              <w:jc w:val="center"/>
              <w:rPr>
                <w:sz w:val="18"/>
                <w:szCs w:val="18"/>
              </w:rPr>
            </w:pPr>
            <w:r w:rsidRPr="002759BA">
              <w:rPr>
                <w:sz w:val="18"/>
                <w:szCs w:val="18"/>
              </w:rPr>
              <w:t>0.160</w:t>
            </w:r>
          </w:p>
        </w:tc>
      </w:tr>
      <w:tr w:rsidR="00D74A2A" w:rsidRPr="002759BA" w14:paraId="3919DB28" w14:textId="77777777" w:rsidTr="00A35124">
        <w:tc>
          <w:tcPr>
            <w:tcW w:w="3544" w:type="dxa"/>
            <w:hideMark/>
          </w:tcPr>
          <w:p w14:paraId="5B480EA9" w14:textId="77777777" w:rsidR="00B575B7" w:rsidRPr="002759BA" w:rsidRDefault="00B575B7">
            <w:pPr>
              <w:pStyle w:val="NormalWeb"/>
              <w:rPr>
                <w:b/>
                <w:sz w:val="18"/>
                <w:szCs w:val="18"/>
              </w:rPr>
            </w:pPr>
            <w:r w:rsidRPr="002759BA">
              <w:rPr>
                <w:b/>
                <w:sz w:val="18"/>
                <w:szCs w:val="18"/>
              </w:rPr>
              <w:t>Sex</w:t>
            </w:r>
          </w:p>
        </w:tc>
        <w:tc>
          <w:tcPr>
            <w:tcW w:w="1089" w:type="dxa"/>
            <w:hideMark/>
          </w:tcPr>
          <w:p w14:paraId="76673F1D" w14:textId="77777777" w:rsidR="00B575B7" w:rsidRPr="002759BA" w:rsidRDefault="00B575B7" w:rsidP="00240EAF">
            <w:pPr>
              <w:jc w:val="center"/>
              <w:rPr>
                <w:b/>
                <w:sz w:val="18"/>
                <w:szCs w:val="18"/>
              </w:rPr>
            </w:pPr>
          </w:p>
        </w:tc>
        <w:tc>
          <w:tcPr>
            <w:tcW w:w="0" w:type="auto"/>
            <w:hideMark/>
          </w:tcPr>
          <w:p w14:paraId="71ED2495" w14:textId="77777777" w:rsidR="00B575B7" w:rsidRPr="002759BA" w:rsidRDefault="00B575B7" w:rsidP="00240EAF">
            <w:pPr>
              <w:jc w:val="center"/>
              <w:rPr>
                <w:rFonts w:eastAsia="Times New Roman"/>
                <w:b/>
                <w:sz w:val="18"/>
                <w:szCs w:val="18"/>
              </w:rPr>
            </w:pPr>
          </w:p>
        </w:tc>
        <w:tc>
          <w:tcPr>
            <w:tcW w:w="0" w:type="auto"/>
            <w:hideMark/>
          </w:tcPr>
          <w:p w14:paraId="31A15B72" w14:textId="77777777" w:rsidR="00B575B7" w:rsidRPr="002759BA" w:rsidRDefault="00B575B7" w:rsidP="00240EAF">
            <w:pPr>
              <w:jc w:val="center"/>
              <w:rPr>
                <w:rFonts w:eastAsia="Times New Roman"/>
                <w:b/>
                <w:sz w:val="18"/>
                <w:szCs w:val="18"/>
              </w:rPr>
            </w:pPr>
          </w:p>
        </w:tc>
        <w:tc>
          <w:tcPr>
            <w:tcW w:w="0" w:type="auto"/>
            <w:hideMark/>
          </w:tcPr>
          <w:p w14:paraId="163DECDF" w14:textId="77777777" w:rsidR="00B575B7" w:rsidRPr="002759BA" w:rsidRDefault="00B575B7" w:rsidP="00240EAF">
            <w:pPr>
              <w:jc w:val="center"/>
              <w:rPr>
                <w:rFonts w:eastAsia="Times New Roman"/>
                <w:b/>
                <w:sz w:val="18"/>
                <w:szCs w:val="18"/>
              </w:rPr>
            </w:pPr>
          </w:p>
        </w:tc>
        <w:tc>
          <w:tcPr>
            <w:tcW w:w="0" w:type="auto"/>
            <w:hideMark/>
          </w:tcPr>
          <w:p w14:paraId="60B4F349" w14:textId="77777777" w:rsidR="00B575B7" w:rsidRPr="002759BA" w:rsidRDefault="00B575B7" w:rsidP="00240EAF">
            <w:pPr>
              <w:jc w:val="center"/>
              <w:rPr>
                <w:rFonts w:eastAsia="Times New Roman"/>
                <w:b/>
                <w:sz w:val="18"/>
                <w:szCs w:val="18"/>
              </w:rPr>
            </w:pPr>
          </w:p>
        </w:tc>
        <w:tc>
          <w:tcPr>
            <w:tcW w:w="2240" w:type="dxa"/>
            <w:hideMark/>
          </w:tcPr>
          <w:p w14:paraId="18E63447" w14:textId="77777777" w:rsidR="00B575B7" w:rsidRPr="002759BA" w:rsidRDefault="00B575B7" w:rsidP="00240EAF">
            <w:pPr>
              <w:jc w:val="center"/>
              <w:rPr>
                <w:rFonts w:eastAsia="Times New Roman"/>
                <w:b/>
                <w:sz w:val="18"/>
                <w:szCs w:val="18"/>
              </w:rPr>
            </w:pPr>
          </w:p>
        </w:tc>
        <w:tc>
          <w:tcPr>
            <w:tcW w:w="950" w:type="dxa"/>
            <w:hideMark/>
          </w:tcPr>
          <w:p w14:paraId="52704BD4" w14:textId="77777777" w:rsidR="00B575B7" w:rsidRPr="002759BA" w:rsidRDefault="00B575B7" w:rsidP="00240EAF">
            <w:pPr>
              <w:jc w:val="center"/>
              <w:rPr>
                <w:rFonts w:eastAsia="Times New Roman"/>
                <w:b/>
                <w:sz w:val="18"/>
                <w:szCs w:val="18"/>
              </w:rPr>
            </w:pPr>
          </w:p>
        </w:tc>
      </w:tr>
      <w:tr w:rsidR="00FD19FF" w:rsidRPr="002759BA" w14:paraId="7E805962" w14:textId="77777777" w:rsidTr="00A35124">
        <w:trPr>
          <w:cnfStyle w:val="000000010000" w:firstRow="0" w:lastRow="0" w:firstColumn="0" w:lastColumn="0" w:oddVBand="0" w:evenVBand="0" w:oddHBand="0" w:evenHBand="1" w:firstRowFirstColumn="0" w:firstRowLastColumn="0" w:lastRowFirstColumn="0" w:lastRowLastColumn="0"/>
        </w:trPr>
        <w:tc>
          <w:tcPr>
            <w:tcW w:w="3544" w:type="dxa"/>
            <w:hideMark/>
          </w:tcPr>
          <w:p w14:paraId="2FF970E3" w14:textId="77777777" w:rsidR="00B575B7" w:rsidRPr="002759BA" w:rsidRDefault="00B575B7">
            <w:pPr>
              <w:pStyle w:val="NormalWeb"/>
              <w:rPr>
                <w:sz w:val="18"/>
                <w:szCs w:val="18"/>
              </w:rPr>
            </w:pPr>
            <w:r w:rsidRPr="002759BA">
              <w:rPr>
                <w:sz w:val="18"/>
                <w:szCs w:val="18"/>
              </w:rPr>
              <w:t>Men</w:t>
            </w:r>
          </w:p>
        </w:tc>
        <w:tc>
          <w:tcPr>
            <w:tcW w:w="1089" w:type="dxa"/>
            <w:hideMark/>
          </w:tcPr>
          <w:p w14:paraId="0F6C88C3" w14:textId="77777777" w:rsidR="00B575B7" w:rsidRPr="002759BA" w:rsidRDefault="00B575B7" w:rsidP="00240EAF">
            <w:pPr>
              <w:pStyle w:val="NormalWeb"/>
              <w:jc w:val="center"/>
              <w:rPr>
                <w:sz w:val="18"/>
                <w:szCs w:val="18"/>
              </w:rPr>
            </w:pPr>
            <w:r w:rsidRPr="002759BA">
              <w:rPr>
                <w:sz w:val="18"/>
                <w:szCs w:val="18"/>
              </w:rPr>
              <w:t>238</w:t>
            </w:r>
          </w:p>
        </w:tc>
        <w:tc>
          <w:tcPr>
            <w:tcW w:w="0" w:type="auto"/>
            <w:hideMark/>
          </w:tcPr>
          <w:p w14:paraId="51C76194" w14:textId="77777777" w:rsidR="00B575B7" w:rsidRPr="002759BA" w:rsidRDefault="00B575B7" w:rsidP="00240EAF">
            <w:pPr>
              <w:pStyle w:val="NormalWeb"/>
              <w:jc w:val="center"/>
              <w:rPr>
                <w:sz w:val="18"/>
                <w:szCs w:val="18"/>
              </w:rPr>
            </w:pPr>
            <w:r w:rsidRPr="002759BA">
              <w:rPr>
                <w:sz w:val="18"/>
                <w:szCs w:val="18"/>
              </w:rPr>
              <w:t>52.1</w:t>
            </w:r>
          </w:p>
        </w:tc>
        <w:tc>
          <w:tcPr>
            <w:tcW w:w="0" w:type="auto"/>
            <w:hideMark/>
          </w:tcPr>
          <w:p w14:paraId="68F74234" w14:textId="77777777" w:rsidR="00B575B7" w:rsidRPr="002759BA" w:rsidRDefault="00B575B7" w:rsidP="00240EAF">
            <w:pPr>
              <w:pStyle w:val="NormalWeb"/>
              <w:jc w:val="center"/>
              <w:rPr>
                <w:sz w:val="18"/>
                <w:szCs w:val="18"/>
              </w:rPr>
            </w:pPr>
            <w:r w:rsidRPr="002759BA">
              <w:rPr>
                <w:sz w:val="18"/>
                <w:szCs w:val="18"/>
              </w:rPr>
              <w:t>50.6 (43.4–57.8)</w:t>
            </w:r>
          </w:p>
        </w:tc>
        <w:tc>
          <w:tcPr>
            <w:tcW w:w="0" w:type="auto"/>
            <w:hideMark/>
          </w:tcPr>
          <w:p w14:paraId="70B3C41E" w14:textId="77777777" w:rsidR="00B575B7" w:rsidRPr="002759BA" w:rsidRDefault="00B575B7" w:rsidP="00240EAF">
            <w:pPr>
              <w:pStyle w:val="NormalWeb"/>
              <w:jc w:val="center"/>
              <w:rPr>
                <w:sz w:val="18"/>
                <w:szCs w:val="18"/>
              </w:rPr>
            </w:pPr>
            <w:r w:rsidRPr="002759BA">
              <w:rPr>
                <w:sz w:val="18"/>
                <w:szCs w:val="18"/>
              </w:rPr>
              <w:t>34,927</w:t>
            </w:r>
          </w:p>
        </w:tc>
        <w:tc>
          <w:tcPr>
            <w:tcW w:w="0" w:type="auto"/>
            <w:hideMark/>
          </w:tcPr>
          <w:p w14:paraId="3B779D13" w14:textId="77777777" w:rsidR="00B575B7" w:rsidRPr="002759BA" w:rsidRDefault="00B575B7" w:rsidP="00240EAF">
            <w:pPr>
              <w:pStyle w:val="NormalWeb"/>
              <w:jc w:val="center"/>
              <w:rPr>
                <w:sz w:val="18"/>
                <w:szCs w:val="18"/>
              </w:rPr>
            </w:pPr>
            <w:r w:rsidRPr="002759BA">
              <w:rPr>
                <w:sz w:val="18"/>
                <w:szCs w:val="18"/>
              </w:rPr>
              <w:t>54.9</w:t>
            </w:r>
          </w:p>
        </w:tc>
        <w:tc>
          <w:tcPr>
            <w:tcW w:w="2240" w:type="dxa"/>
            <w:hideMark/>
          </w:tcPr>
          <w:p w14:paraId="76D1A436" w14:textId="77777777" w:rsidR="00B575B7" w:rsidRPr="002759BA" w:rsidRDefault="00B575B7" w:rsidP="00240EAF">
            <w:pPr>
              <w:pStyle w:val="NormalWeb"/>
              <w:jc w:val="center"/>
              <w:rPr>
                <w:sz w:val="18"/>
                <w:szCs w:val="18"/>
              </w:rPr>
            </w:pPr>
            <w:r w:rsidRPr="002759BA">
              <w:rPr>
                <w:sz w:val="18"/>
                <w:szCs w:val="18"/>
              </w:rPr>
              <w:t>50.0 (49.4–50.5)</w:t>
            </w:r>
          </w:p>
        </w:tc>
        <w:tc>
          <w:tcPr>
            <w:tcW w:w="950" w:type="dxa"/>
            <w:hideMark/>
          </w:tcPr>
          <w:p w14:paraId="6395A24D" w14:textId="77777777" w:rsidR="00B575B7" w:rsidRPr="002759BA" w:rsidRDefault="00B575B7" w:rsidP="00240EAF">
            <w:pPr>
              <w:pStyle w:val="NormalWeb"/>
              <w:jc w:val="center"/>
              <w:rPr>
                <w:sz w:val="18"/>
                <w:szCs w:val="18"/>
              </w:rPr>
            </w:pPr>
            <w:r w:rsidRPr="002759BA">
              <w:rPr>
                <w:sz w:val="18"/>
                <w:szCs w:val="18"/>
              </w:rPr>
              <w:t>0.870</w:t>
            </w:r>
          </w:p>
        </w:tc>
      </w:tr>
      <w:tr w:rsidR="00D74A2A" w:rsidRPr="002759BA" w14:paraId="1416238F" w14:textId="77777777" w:rsidTr="00A35124">
        <w:tc>
          <w:tcPr>
            <w:tcW w:w="3544" w:type="dxa"/>
            <w:hideMark/>
          </w:tcPr>
          <w:p w14:paraId="1CF1F6A5" w14:textId="77777777" w:rsidR="00B575B7" w:rsidRPr="002759BA" w:rsidRDefault="00B575B7">
            <w:pPr>
              <w:pStyle w:val="NormalWeb"/>
              <w:rPr>
                <w:sz w:val="18"/>
                <w:szCs w:val="18"/>
              </w:rPr>
            </w:pPr>
            <w:r w:rsidRPr="002759BA">
              <w:rPr>
                <w:sz w:val="18"/>
                <w:szCs w:val="18"/>
              </w:rPr>
              <w:t>Women</w:t>
            </w:r>
          </w:p>
        </w:tc>
        <w:tc>
          <w:tcPr>
            <w:tcW w:w="1089" w:type="dxa"/>
            <w:hideMark/>
          </w:tcPr>
          <w:p w14:paraId="098FDD1B" w14:textId="77777777" w:rsidR="00B575B7" w:rsidRPr="002759BA" w:rsidRDefault="00B575B7" w:rsidP="00240EAF">
            <w:pPr>
              <w:pStyle w:val="NormalWeb"/>
              <w:jc w:val="center"/>
              <w:rPr>
                <w:sz w:val="18"/>
                <w:szCs w:val="18"/>
              </w:rPr>
            </w:pPr>
            <w:r w:rsidRPr="002759BA">
              <w:rPr>
                <w:sz w:val="18"/>
                <w:szCs w:val="18"/>
              </w:rPr>
              <w:t>321</w:t>
            </w:r>
          </w:p>
        </w:tc>
        <w:tc>
          <w:tcPr>
            <w:tcW w:w="0" w:type="auto"/>
            <w:hideMark/>
          </w:tcPr>
          <w:p w14:paraId="6F21FB05" w14:textId="77777777" w:rsidR="00B575B7" w:rsidRPr="002759BA" w:rsidRDefault="00B575B7" w:rsidP="00240EAF">
            <w:pPr>
              <w:pStyle w:val="NormalWeb"/>
              <w:jc w:val="center"/>
              <w:rPr>
                <w:sz w:val="18"/>
                <w:szCs w:val="18"/>
              </w:rPr>
            </w:pPr>
            <w:r w:rsidRPr="002759BA">
              <w:rPr>
                <w:sz w:val="18"/>
                <w:szCs w:val="18"/>
              </w:rPr>
              <w:t>56.1</w:t>
            </w:r>
          </w:p>
        </w:tc>
        <w:tc>
          <w:tcPr>
            <w:tcW w:w="0" w:type="auto"/>
            <w:hideMark/>
          </w:tcPr>
          <w:p w14:paraId="05A7E116" w14:textId="77777777" w:rsidR="00B575B7" w:rsidRPr="002759BA" w:rsidRDefault="00B575B7" w:rsidP="00240EAF">
            <w:pPr>
              <w:pStyle w:val="NormalWeb"/>
              <w:jc w:val="center"/>
              <w:rPr>
                <w:sz w:val="18"/>
                <w:szCs w:val="18"/>
              </w:rPr>
            </w:pPr>
            <w:r w:rsidRPr="002759BA">
              <w:rPr>
                <w:sz w:val="18"/>
                <w:szCs w:val="18"/>
              </w:rPr>
              <w:t>56.4 (50.4–62.3)</w:t>
            </w:r>
          </w:p>
        </w:tc>
        <w:tc>
          <w:tcPr>
            <w:tcW w:w="0" w:type="auto"/>
            <w:hideMark/>
          </w:tcPr>
          <w:p w14:paraId="1472BC9F" w14:textId="77777777" w:rsidR="00B575B7" w:rsidRPr="002759BA" w:rsidRDefault="00B575B7" w:rsidP="00240EAF">
            <w:pPr>
              <w:pStyle w:val="NormalWeb"/>
              <w:jc w:val="center"/>
              <w:rPr>
                <w:sz w:val="18"/>
                <w:szCs w:val="18"/>
              </w:rPr>
            </w:pPr>
            <w:r w:rsidRPr="002759BA">
              <w:rPr>
                <w:sz w:val="18"/>
                <w:szCs w:val="18"/>
              </w:rPr>
              <w:t>45,728</w:t>
            </w:r>
          </w:p>
        </w:tc>
        <w:tc>
          <w:tcPr>
            <w:tcW w:w="0" w:type="auto"/>
            <w:hideMark/>
          </w:tcPr>
          <w:p w14:paraId="10BAD903" w14:textId="77777777" w:rsidR="00B575B7" w:rsidRPr="002759BA" w:rsidRDefault="00B575B7" w:rsidP="00240EAF">
            <w:pPr>
              <w:pStyle w:val="NormalWeb"/>
              <w:jc w:val="center"/>
              <w:rPr>
                <w:sz w:val="18"/>
                <w:szCs w:val="18"/>
              </w:rPr>
            </w:pPr>
            <w:r w:rsidRPr="002759BA">
              <w:rPr>
                <w:sz w:val="18"/>
                <w:szCs w:val="18"/>
              </w:rPr>
              <w:t>56.4</w:t>
            </w:r>
          </w:p>
        </w:tc>
        <w:tc>
          <w:tcPr>
            <w:tcW w:w="2240" w:type="dxa"/>
            <w:hideMark/>
          </w:tcPr>
          <w:p w14:paraId="6B23F2DF" w14:textId="77777777" w:rsidR="00B575B7" w:rsidRPr="002759BA" w:rsidRDefault="00B575B7" w:rsidP="00240EAF">
            <w:pPr>
              <w:pStyle w:val="NormalWeb"/>
              <w:jc w:val="center"/>
              <w:rPr>
                <w:sz w:val="18"/>
                <w:szCs w:val="18"/>
              </w:rPr>
            </w:pPr>
            <w:r w:rsidRPr="002759BA">
              <w:rPr>
                <w:sz w:val="18"/>
                <w:szCs w:val="18"/>
              </w:rPr>
              <w:t>54.5 (54.1–55.0)</w:t>
            </w:r>
          </w:p>
        </w:tc>
        <w:tc>
          <w:tcPr>
            <w:tcW w:w="950" w:type="dxa"/>
            <w:hideMark/>
          </w:tcPr>
          <w:p w14:paraId="5D294A59" w14:textId="77777777" w:rsidR="00B575B7" w:rsidRPr="002759BA" w:rsidRDefault="00B575B7" w:rsidP="00240EAF">
            <w:pPr>
              <w:pStyle w:val="NormalWeb"/>
              <w:jc w:val="center"/>
              <w:rPr>
                <w:sz w:val="18"/>
                <w:szCs w:val="18"/>
              </w:rPr>
            </w:pPr>
            <w:r w:rsidRPr="002759BA">
              <w:rPr>
                <w:sz w:val="18"/>
                <w:szCs w:val="18"/>
              </w:rPr>
              <w:t>0.532</w:t>
            </w:r>
          </w:p>
        </w:tc>
      </w:tr>
      <w:tr w:rsidR="00FD19FF" w:rsidRPr="002759BA" w14:paraId="4500C976" w14:textId="77777777" w:rsidTr="00A35124">
        <w:trPr>
          <w:cnfStyle w:val="000000010000" w:firstRow="0" w:lastRow="0" w:firstColumn="0" w:lastColumn="0" w:oddVBand="0" w:evenVBand="0" w:oddHBand="0" w:evenHBand="1" w:firstRowFirstColumn="0" w:firstRowLastColumn="0" w:lastRowFirstColumn="0" w:lastRowLastColumn="0"/>
        </w:trPr>
        <w:tc>
          <w:tcPr>
            <w:tcW w:w="3544" w:type="dxa"/>
            <w:hideMark/>
          </w:tcPr>
          <w:p w14:paraId="305ED5A7" w14:textId="77777777" w:rsidR="00B575B7" w:rsidRPr="002759BA" w:rsidRDefault="00B575B7">
            <w:pPr>
              <w:pStyle w:val="NormalWeb"/>
              <w:rPr>
                <w:b/>
                <w:sz w:val="18"/>
                <w:szCs w:val="18"/>
              </w:rPr>
            </w:pPr>
            <w:r w:rsidRPr="002759BA">
              <w:rPr>
                <w:b/>
                <w:sz w:val="18"/>
                <w:szCs w:val="18"/>
              </w:rPr>
              <w:t>Place of residence</w:t>
            </w:r>
          </w:p>
        </w:tc>
        <w:tc>
          <w:tcPr>
            <w:tcW w:w="1089" w:type="dxa"/>
            <w:hideMark/>
          </w:tcPr>
          <w:p w14:paraId="4137440E" w14:textId="77777777" w:rsidR="00B575B7" w:rsidRPr="002759BA" w:rsidRDefault="00B575B7" w:rsidP="00240EAF">
            <w:pPr>
              <w:jc w:val="center"/>
              <w:rPr>
                <w:b/>
                <w:sz w:val="18"/>
                <w:szCs w:val="18"/>
              </w:rPr>
            </w:pPr>
          </w:p>
        </w:tc>
        <w:tc>
          <w:tcPr>
            <w:tcW w:w="0" w:type="auto"/>
            <w:hideMark/>
          </w:tcPr>
          <w:p w14:paraId="003AA581" w14:textId="77777777" w:rsidR="00B575B7" w:rsidRPr="002759BA" w:rsidRDefault="00B575B7" w:rsidP="00240EAF">
            <w:pPr>
              <w:jc w:val="center"/>
              <w:rPr>
                <w:rFonts w:eastAsia="Times New Roman"/>
                <w:b/>
                <w:sz w:val="18"/>
                <w:szCs w:val="18"/>
              </w:rPr>
            </w:pPr>
          </w:p>
        </w:tc>
        <w:tc>
          <w:tcPr>
            <w:tcW w:w="0" w:type="auto"/>
            <w:hideMark/>
          </w:tcPr>
          <w:p w14:paraId="64EC063A" w14:textId="77777777" w:rsidR="00B575B7" w:rsidRPr="002759BA" w:rsidRDefault="00B575B7" w:rsidP="00240EAF">
            <w:pPr>
              <w:jc w:val="center"/>
              <w:rPr>
                <w:rFonts w:eastAsia="Times New Roman"/>
                <w:b/>
                <w:sz w:val="18"/>
                <w:szCs w:val="18"/>
              </w:rPr>
            </w:pPr>
          </w:p>
        </w:tc>
        <w:tc>
          <w:tcPr>
            <w:tcW w:w="0" w:type="auto"/>
            <w:hideMark/>
          </w:tcPr>
          <w:p w14:paraId="4DB7BA09" w14:textId="77777777" w:rsidR="00B575B7" w:rsidRPr="002759BA" w:rsidRDefault="00B575B7" w:rsidP="00240EAF">
            <w:pPr>
              <w:jc w:val="center"/>
              <w:rPr>
                <w:rFonts w:eastAsia="Times New Roman"/>
                <w:b/>
                <w:sz w:val="18"/>
                <w:szCs w:val="18"/>
              </w:rPr>
            </w:pPr>
          </w:p>
        </w:tc>
        <w:tc>
          <w:tcPr>
            <w:tcW w:w="0" w:type="auto"/>
            <w:hideMark/>
          </w:tcPr>
          <w:p w14:paraId="1C68C0C4" w14:textId="77777777" w:rsidR="00B575B7" w:rsidRPr="002759BA" w:rsidRDefault="00B575B7" w:rsidP="00240EAF">
            <w:pPr>
              <w:jc w:val="center"/>
              <w:rPr>
                <w:rFonts w:eastAsia="Times New Roman"/>
                <w:b/>
                <w:sz w:val="18"/>
                <w:szCs w:val="18"/>
              </w:rPr>
            </w:pPr>
          </w:p>
        </w:tc>
        <w:tc>
          <w:tcPr>
            <w:tcW w:w="2240" w:type="dxa"/>
            <w:hideMark/>
          </w:tcPr>
          <w:p w14:paraId="79B7DC57" w14:textId="77777777" w:rsidR="00B575B7" w:rsidRPr="002759BA" w:rsidRDefault="00B575B7" w:rsidP="00240EAF">
            <w:pPr>
              <w:jc w:val="center"/>
              <w:rPr>
                <w:rFonts w:eastAsia="Times New Roman"/>
                <w:b/>
                <w:sz w:val="18"/>
                <w:szCs w:val="18"/>
              </w:rPr>
            </w:pPr>
          </w:p>
        </w:tc>
        <w:tc>
          <w:tcPr>
            <w:tcW w:w="950" w:type="dxa"/>
            <w:hideMark/>
          </w:tcPr>
          <w:p w14:paraId="1D8CFE34" w14:textId="77777777" w:rsidR="00B575B7" w:rsidRPr="002759BA" w:rsidRDefault="00B575B7" w:rsidP="00240EAF">
            <w:pPr>
              <w:jc w:val="center"/>
              <w:rPr>
                <w:rFonts w:eastAsia="Times New Roman"/>
                <w:b/>
                <w:sz w:val="18"/>
                <w:szCs w:val="18"/>
              </w:rPr>
            </w:pPr>
          </w:p>
        </w:tc>
      </w:tr>
      <w:tr w:rsidR="00D74A2A" w:rsidRPr="002759BA" w14:paraId="7F0256F9" w14:textId="77777777" w:rsidTr="00A35124">
        <w:tc>
          <w:tcPr>
            <w:tcW w:w="3544" w:type="dxa"/>
            <w:hideMark/>
          </w:tcPr>
          <w:p w14:paraId="4A3D9307" w14:textId="77777777" w:rsidR="00B575B7" w:rsidRPr="002759BA" w:rsidRDefault="00B575B7">
            <w:pPr>
              <w:pStyle w:val="NormalWeb"/>
              <w:rPr>
                <w:sz w:val="18"/>
                <w:szCs w:val="18"/>
              </w:rPr>
            </w:pPr>
            <w:r w:rsidRPr="002759BA">
              <w:rPr>
                <w:sz w:val="18"/>
                <w:szCs w:val="18"/>
              </w:rPr>
              <w:t>Major cities</w:t>
            </w:r>
          </w:p>
        </w:tc>
        <w:tc>
          <w:tcPr>
            <w:tcW w:w="1089" w:type="dxa"/>
            <w:hideMark/>
          </w:tcPr>
          <w:p w14:paraId="373E413F" w14:textId="77777777" w:rsidR="00B575B7" w:rsidRPr="002759BA" w:rsidRDefault="00B575B7" w:rsidP="00240EAF">
            <w:pPr>
              <w:pStyle w:val="NormalWeb"/>
              <w:jc w:val="center"/>
              <w:rPr>
                <w:sz w:val="18"/>
                <w:szCs w:val="18"/>
              </w:rPr>
            </w:pPr>
            <w:r w:rsidRPr="002759BA">
              <w:rPr>
                <w:sz w:val="18"/>
                <w:szCs w:val="18"/>
              </w:rPr>
              <w:t>229</w:t>
            </w:r>
          </w:p>
        </w:tc>
        <w:tc>
          <w:tcPr>
            <w:tcW w:w="0" w:type="auto"/>
            <w:hideMark/>
          </w:tcPr>
          <w:p w14:paraId="6A59CF39" w14:textId="77777777" w:rsidR="00B575B7" w:rsidRPr="002759BA" w:rsidRDefault="00B575B7" w:rsidP="00240EAF">
            <w:pPr>
              <w:pStyle w:val="NormalWeb"/>
              <w:jc w:val="center"/>
              <w:rPr>
                <w:sz w:val="18"/>
                <w:szCs w:val="18"/>
              </w:rPr>
            </w:pPr>
            <w:r w:rsidRPr="002759BA">
              <w:rPr>
                <w:sz w:val="18"/>
                <w:szCs w:val="18"/>
              </w:rPr>
              <w:t>55.9</w:t>
            </w:r>
          </w:p>
        </w:tc>
        <w:tc>
          <w:tcPr>
            <w:tcW w:w="0" w:type="auto"/>
            <w:hideMark/>
          </w:tcPr>
          <w:p w14:paraId="126FA689" w14:textId="77777777" w:rsidR="00B575B7" w:rsidRPr="002759BA" w:rsidRDefault="00B575B7" w:rsidP="00240EAF">
            <w:pPr>
              <w:pStyle w:val="NormalWeb"/>
              <w:jc w:val="center"/>
              <w:rPr>
                <w:sz w:val="18"/>
                <w:szCs w:val="18"/>
              </w:rPr>
            </w:pPr>
            <w:r w:rsidRPr="002759BA">
              <w:rPr>
                <w:sz w:val="18"/>
                <w:szCs w:val="18"/>
              </w:rPr>
              <w:t>56.6 (49.9–63.3)</w:t>
            </w:r>
          </w:p>
        </w:tc>
        <w:tc>
          <w:tcPr>
            <w:tcW w:w="0" w:type="auto"/>
            <w:hideMark/>
          </w:tcPr>
          <w:p w14:paraId="60548DAA" w14:textId="77777777" w:rsidR="00B575B7" w:rsidRPr="002759BA" w:rsidRDefault="00B575B7" w:rsidP="00240EAF">
            <w:pPr>
              <w:pStyle w:val="NormalWeb"/>
              <w:jc w:val="center"/>
              <w:rPr>
                <w:sz w:val="18"/>
                <w:szCs w:val="18"/>
              </w:rPr>
            </w:pPr>
            <w:r w:rsidRPr="002759BA">
              <w:rPr>
                <w:sz w:val="18"/>
                <w:szCs w:val="18"/>
              </w:rPr>
              <w:t>37,618</w:t>
            </w:r>
          </w:p>
        </w:tc>
        <w:tc>
          <w:tcPr>
            <w:tcW w:w="0" w:type="auto"/>
            <w:hideMark/>
          </w:tcPr>
          <w:p w14:paraId="26CB9FEE" w14:textId="77777777" w:rsidR="00B575B7" w:rsidRPr="002759BA" w:rsidRDefault="00B575B7" w:rsidP="00240EAF">
            <w:pPr>
              <w:pStyle w:val="NormalWeb"/>
              <w:jc w:val="center"/>
              <w:rPr>
                <w:sz w:val="18"/>
                <w:szCs w:val="18"/>
              </w:rPr>
            </w:pPr>
            <w:r w:rsidRPr="002759BA">
              <w:rPr>
                <w:sz w:val="18"/>
                <w:szCs w:val="18"/>
              </w:rPr>
              <w:t>56.6</w:t>
            </w:r>
          </w:p>
        </w:tc>
        <w:tc>
          <w:tcPr>
            <w:tcW w:w="2240" w:type="dxa"/>
            <w:hideMark/>
          </w:tcPr>
          <w:p w14:paraId="6CC339E3" w14:textId="77777777" w:rsidR="00B575B7" w:rsidRPr="002759BA" w:rsidRDefault="00B575B7" w:rsidP="00240EAF">
            <w:pPr>
              <w:pStyle w:val="NormalWeb"/>
              <w:jc w:val="center"/>
              <w:rPr>
                <w:sz w:val="18"/>
                <w:szCs w:val="18"/>
              </w:rPr>
            </w:pPr>
            <w:r w:rsidRPr="002759BA">
              <w:rPr>
                <w:sz w:val="18"/>
                <w:szCs w:val="18"/>
              </w:rPr>
              <w:t>53.9 (53.4–54.4)</w:t>
            </w:r>
          </w:p>
        </w:tc>
        <w:tc>
          <w:tcPr>
            <w:tcW w:w="950" w:type="dxa"/>
            <w:hideMark/>
          </w:tcPr>
          <w:p w14:paraId="18909DCC" w14:textId="77777777" w:rsidR="00B575B7" w:rsidRPr="002759BA" w:rsidRDefault="00B575B7" w:rsidP="00240EAF">
            <w:pPr>
              <w:pStyle w:val="NormalWeb"/>
              <w:jc w:val="center"/>
              <w:rPr>
                <w:sz w:val="18"/>
                <w:szCs w:val="18"/>
              </w:rPr>
            </w:pPr>
            <w:r w:rsidRPr="002759BA">
              <w:rPr>
                <w:sz w:val="18"/>
                <w:szCs w:val="18"/>
              </w:rPr>
              <w:t>0.430</w:t>
            </w:r>
          </w:p>
        </w:tc>
      </w:tr>
      <w:tr w:rsidR="00FD19FF" w:rsidRPr="002759BA" w14:paraId="0E229303" w14:textId="77777777" w:rsidTr="00A35124">
        <w:trPr>
          <w:cnfStyle w:val="000000010000" w:firstRow="0" w:lastRow="0" w:firstColumn="0" w:lastColumn="0" w:oddVBand="0" w:evenVBand="0" w:oddHBand="0" w:evenHBand="1" w:firstRowFirstColumn="0" w:firstRowLastColumn="0" w:lastRowFirstColumn="0" w:lastRowLastColumn="0"/>
        </w:trPr>
        <w:tc>
          <w:tcPr>
            <w:tcW w:w="3544" w:type="dxa"/>
            <w:hideMark/>
          </w:tcPr>
          <w:p w14:paraId="17CF93AF" w14:textId="77777777" w:rsidR="00B575B7" w:rsidRPr="002759BA" w:rsidRDefault="00B575B7">
            <w:pPr>
              <w:pStyle w:val="NormalWeb"/>
              <w:rPr>
                <w:sz w:val="18"/>
                <w:szCs w:val="18"/>
              </w:rPr>
            </w:pPr>
            <w:r w:rsidRPr="002759BA">
              <w:rPr>
                <w:sz w:val="18"/>
                <w:szCs w:val="18"/>
              </w:rPr>
              <w:t>Inner regional</w:t>
            </w:r>
          </w:p>
        </w:tc>
        <w:tc>
          <w:tcPr>
            <w:tcW w:w="1089" w:type="dxa"/>
            <w:hideMark/>
          </w:tcPr>
          <w:p w14:paraId="1161528E" w14:textId="77777777" w:rsidR="00B575B7" w:rsidRPr="002759BA" w:rsidRDefault="00B575B7" w:rsidP="00240EAF">
            <w:pPr>
              <w:pStyle w:val="NormalWeb"/>
              <w:jc w:val="center"/>
              <w:rPr>
                <w:sz w:val="18"/>
                <w:szCs w:val="18"/>
              </w:rPr>
            </w:pPr>
            <w:r w:rsidRPr="002759BA">
              <w:rPr>
                <w:sz w:val="18"/>
                <w:szCs w:val="18"/>
              </w:rPr>
              <w:t>207</w:t>
            </w:r>
          </w:p>
        </w:tc>
        <w:tc>
          <w:tcPr>
            <w:tcW w:w="0" w:type="auto"/>
            <w:hideMark/>
          </w:tcPr>
          <w:p w14:paraId="5DA8CAFB" w14:textId="77777777" w:rsidR="00B575B7" w:rsidRPr="002759BA" w:rsidRDefault="00B575B7" w:rsidP="00240EAF">
            <w:pPr>
              <w:pStyle w:val="NormalWeb"/>
              <w:jc w:val="center"/>
              <w:rPr>
                <w:sz w:val="18"/>
                <w:szCs w:val="18"/>
              </w:rPr>
            </w:pPr>
            <w:r w:rsidRPr="002759BA">
              <w:rPr>
                <w:sz w:val="18"/>
                <w:szCs w:val="18"/>
              </w:rPr>
              <w:t>53.6</w:t>
            </w:r>
          </w:p>
        </w:tc>
        <w:tc>
          <w:tcPr>
            <w:tcW w:w="0" w:type="auto"/>
            <w:hideMark/>
          </w:tcPr>
          <w:p w14:paraId="2F7FDE45" w14:textId="77777777" w:rsidR="00B575B7" w:rsidRPr="002759BA" w:rsidRDefault="00B575B7" w:rsidP="00240EAF">
            <w:pPr>
              <w:pStyle w:val="NormalWeb"/>
              <w:jc w:val="center"/>
              <w:rPr>
                <w:sz w:val="18"/>
                <w:szCs w:val="18"/>
              </w:rPr>
            </w:pPr>
            <w:r w:rsidRPr="002759BA">
              <w:rPr>
                <w:sz w:val="18"/>
                <w:szCs w:val="18"/>
              </w:rPr>
              <w:t>50.4 (42.4–58.4)</w:t>
            </w:r>
          </w:p>
        </w:tc>
        <w:tc>
          <w:tcPr>
            <w:tcW w:w="0" w:type="auto"/>
            <w:hideMark/>
          </w:tcPr>
          <w:p w14:paraId="577EC3CC" w14:textId="77777777" w:rsidR="00B575B7" w:rsidRPr="002759BA" w:rsidRDefault="00B575B7" w:rsidP="00240EAF">
            <w:pPr>
              <w:pStyle w:val="NormalWeb"/>
              <w:jc w:val="center"/>
              <w:rPr>
                <w:sz w:val="18"/>
                <w:szCs w:val="18"/>
              </w:rPr>
            </w:pPr>
            <w:r w:rsidRPr="002759BA">
              <w:rPr>
                <w:sz w:val="18"/>
                <w:szCs w:val="18"/>
              </w:rPr>
              <w:t>31,196</w:t>
            </w:r>
          </w:p>
        </w:tc>
        <w:tc>
          <w:tcPr>
            <w:tcW w:w="0" w:type="auto"/>
            <w:hideMark/>
          </w:tcPr>
          <w:p w14:paraId="352A54EF" w14:textId="77777777" w:rsidR="00B575B7" w:rsidRPr="002759BA" w:rsidRDefault="00B575B7" w:rsidP="00240EAF">
            <w:pPr>
              <w:pStyle w:val="NormalWeb"/>
              <w:jc w:val="center"/>
              <w:rPr>
                <w:sz w:val="18"/>
                <w:szCs w:val="18"/>
              </w:rPr>
            </w:pPr>
            <w:r w:rsidRPr="002759BA">
              <w:rPr>
                <w:sz w:val="18"/>
                <w:szCs w:val="18"/>
              </w:rPr>
              <w:t>55.8</w:t>
            </w:r>
          </w:p>
        </w:tc>
        <w:tc>
          <w:tcPr>
            <w:tcW w:w="2240" w:type="dxa"/>
            <w:hideMark/>
          </w:tcPr>
          <w:p w14:paraId="340916E9" w14:textId="77777777" w:rsidR="00B575B7" w:rsidRPr="002759BA" w:rsidRDefault="00B575B7" w:rsidP="00240EAF">
            <w:pPr>
              <w:pStyle w:val="NormalWeb"/>
              <w:jc w:val="center"/>
              <w:rPr>
                <w:sz w:val="18"/>
                <w:szCs w:val="18"/>
              </w:rPr>
            </w:pPr>
            <w:r w:rsidRPr="002759BA">
              <w:rPr>
                <w:sz w:val="18"/>
                <w:szCs w:val="18"/>
              </w:rPr>
              <w:t>52.2 (51.6–52.8)</w:t>
            </w:r>
          </w:p>
        </w:tc>
        <w:tc>
          <w:tcPr>
            <w:tcW w:w="950" w:type="dxa"/>
            <w:hideMark/>
          </w:tcPr>
          <w:p w14:paraId="5BC0CA6D" w14:textId="77777777" w:rsidR="00B575B7" w:rsidRPr="002759BA" w:rsidRDefault="00B575B7" w:rsidP="00240EAF">
            <w:pPr>
              <w:pStyle w:val="NormalWeb"/>
              <w:jc w:val="center"/>
              <w:rPr>
                <w:sz w:val="18"/>
                <w:szCs w:val="18"/>
              </w:rPr>
            </w:pPr>
            <w:r w:rsidRPr="002759BA">
              <w:rPr>
                <w:sz w:val="18"/>
                <w:szCs w:val="18"/>
              </w:rPr>
              <w:t>0.660</w:t>
            </w:r>
          </w:p>
        </w:tc>
      </w:tr>
      <w:tr w:rsidR="00D74A2A" w:rsidRPr="002759BA" w14:paraId="02150FD0" w14:textId="77777777" w:rsidTr="00A35124">
        <w:tc>
          <w:tcPr>
            <w:tcW w:w="3544" w:type="dxa"/>
            <w:hideMark/>
          </w:tcPr>
          <w:p w14:paraId="5F6EA4A4" w14:textId="77777777" w:rsidR="00B575B7" w:rsidRPr="002759BA" w:rsidRDefault="00B575B7">
            <w:pPr>
              <w:pStyle w:val="NormalWeb"/>
              <w:rPr>
                <w:sz w:val="18"/>
                <w:szCs w:val="18"/>
              </w:rPr>
            </w:pPr>
            <w:r w:rsidRPr="002759BA">
              <w:rPr>
                <w:sz w:val="18"/>
                <w:szCs w:val="18"/>
              </w:rPr>
              <w:t>Outer regional/remote/very remote</w:t>
            </w:r>
          </w:p>
        </w:tc>
        <w:tc>
          <w:tcPr>
            <w:tcW w:w="1089" w:type="dxa"/>
            <w:hideMark/>
          </w:tcPr>
          <w:p w14:paraId="32AF1D84" w14:textId="77777777" w:rsidR="00B575B7" w:rsidRPr="002759BA" w:rsidRDefault="00B575B7" w:rsidP="00240EAF">
            <w:pPr>
              <w:pStyle w:val="NormalWeb"/>
              <w:jc w:val="center"/>
              <w:rPr>
                <w:sz w:val="18"/>
                <w:szCs w:val="18"/>
              </w:rPr>
            </w:pPr>
            <w:r w:rsidRPr="002759BA">
              <w:rPr>
                <w:sz w:val="18"/>
                <w:szCs w:val="18"/>
              </w:rPr>
              <w:t>114</w:t>
            </w:r>
          </w:p>
        </w:tc>
        <w:tc>
          <w:tcPr>
            <w:tcW w:w="0" w:type="auto"/>
            <w:hideMark/>
          </w:tcPr>
          <w:p w14:paraId="030C270D" w14:textId="77777777" w:rsidR="00B575B7" w:rsidRPr="002759BA" w:rsidRDefault="00B575B7" w:rsidP="00240EAF">
            <w:pPr>
              <w:pStyle w:val="NormalWeb"/>
              <w:jc w:val="center"/>
              <w:rPr>
                <w:sz w:val="18"/>
                <w:szCs w:val="18"/>
              </w:rPr>
            </w:pPr>
            <w:r w:rsidRPr="002759BA">
              <w:rPr>
                <w:sz w:val="18"/>
                <w:szCs w:val="18"/>
              </w:rPr>
              <w:t>52.6</w:t>
            </w:r>
          </w:p>
        </w:tc>
        <w:tc>
          <w:tcPr>
            <w:tcW w:w="0" w:type="auto"/>
            <w:hideMark/>
          </w:tcPr>
          <w:p w14:paraId="0442C5E3" w14:textId="77777777" w:rsidR="00B575B7" w:rsidRPr="002759BA" w:rsidRDefault="00B575B7" w:rsidP="00240EAF">
            <w:pPr>
              <w:pStyle w:val="NormalWeb"/>
              <w:jc w:val="center"/>
              <w:rPr>
                <w:sz w:val="18"/>
                <w:szCs w:val="18"/>
              </w:rPr>
            </w:pPr>
            <w:r w:rsidRPr="002759BA">
              <w:rPr>
                <w:sz w:val="18"/>
                <w:szCs w:val="18"/>
              </w:rPr>
              <w:t>51.2 (42.2–60.3)</w:t>
            </w:r>
          </w:p>
        </w:tc>
        <w:tc>
          <w:tcPr>
            <w:tcW w:w="0" w:type="auto"/>
            <w:hideMark/>
          </w:tcPr>
          <w:p w14:paraId="10AE56BC" w14:textId="77777777" w:rsidR="00B575B7" w:rsidRPr="002759BA" w:rsidRDefault="00B575B7" w:rsidP="00240EAF">
            <w:pPr>
              <w:pStyle w:val="NormalWeb"/>
              <w:jc w:val="center"/>
              <w:rPr>
                <w:sz w:val="18"/>
                <w:szCs w:val="18"/>
              </w:rPr>
            </w:pPr>
            <w:r w:rsidRPr="002759BA">
              <w:rPr>
                <w:sz w:val="18"/>
                <w:szCs w:val="18"/>
              </w:rPr>
              <w:t>10,094</w:t>
            </w:r>
          </w:p>
        </w:tc>
        <w:tc>
          <w:tcPr>
            <w:tcW w:w="0" w:type="auto"/>
            <w:hideMark/>
          </w:tcPr>
          <w:p w14:paraId="0B42166C" w14:textId="77777777" w:rsidR="00B575B7" w:rsidRPr="002759BA" w:rsidRDefault="00B575B7" w:rsidP="00240EAF">
            <w:pPr>
              <w:pStyle w:val="NormalWeb"/>
              <w:jc w:val="center"/>
              <w:rPr>
                <w:sz w:val="18"/>
                <w:szCs w:val="18"/>
              </w:rPr>
            </w:pPr>
            <w:r w:rsidRPr="002759BA">
              <w:rPr>
                <w:sz w:val="18"/>
                <w:szCs w:val="18"/>
              </w:rPr>
              <w:t>53.2</w:t>
            </w:r>
          </w:p>
        </w:tc>
        <w:tc>
          <w:tcPr>
            <w:tcW w:w="2240" w:type="dxa"/>
            <w:hideMark/>
          </w:tcPr>
          <w:p w14:paraId="0162F74E" w14:textId="77777777" w:rsidR="00B575B7" w:rsidRPr="002759BA" w:rsidRDefault="00B575B7" w:rsidP="00240EAF">
            <w:pPr>
              <w:pStyle w:val="NormalWeb"/>
              <w:jc w:val="center"/>
              <w:rPr>
                <w:sz w:val="18"/>
                <w:szCs w:val="18"/>
              </w:rPr>
            </w:pPr>
            <w:r w:rsidRPr="002759BA">
              <w:rPr>
                <w:sz w:val="18"/>
                <w:szCs w:val="18"/>
              </w:rPr>
              <w:t>49.9 (48.9–50.9)</w:t>
            </w:r>
          </w:p>
        </w:tc>
        <w:tc>
          <w:tcPr>
            <w:tcW w:w="950" w:type="dxa"/>
            <w:hideMark/>
          </w:tcPr>
          <w:p w14:paraId="4CB620CC" w14:textId="77777777" w:rsidR="00B575B7" w:rsidRPr="002759BA" w:rsidRDefault="00B575B7" w:rsidP="00240EAF">
            <w:pPr>
              <w:pStyle w:val="NormalWeb"/>
              <w:jc w:val="center"/>
              <w:rPr>
                <w:sz w:val="18"/>
                <w:szCs w:val="18"/>
              </w:rPr>
            </w:pPr>
            <w:r w:rsidRPr="002759BA">
              <w:rPr>
                <w:sz w:val="18"/>
                <w:szCs w:val="18"/>
              </w:rPr>
              <w:t>0.779</w:t>
            </w:r>
          </w:p>
        </w:tc>
      </w:tr>
      <w:tr w:rsidR="00FD19FF" w:rsidRPr="002759BA" w14:paraId="6D93EE38" w14:textId="77777777" w:rsidTr="00A35124">
        <w:trPr>
          <w:cnfStyle w:val="000000010000" w:firstRow="0" w:lastRow="0" w:firstColumn="0" w:lastColumn="0" w:oddVBand="0" w:evenVBand="0" w:oddHBand="0" w:evenHBand="1" w:firstRowFirstColumn="0" w:firstRowLastColumn="0" w:lastRowFirstColumn="0" w:lastRowLastColumn="0"/>
        </w:trPr>
        <w:tc>
          <w:tcPr>
            <w:tcW w:w="3544" w:type="dxa"/>
            <w:hideMark/>
          </w:tcPr>
          <w:p w14:paraId="7D0C4FC9" w14:textId="77777777" w:rsidR="00B575B7" w:rsidRPr="002759BA" w:rsidRDefault="00B575B7">
            <w:pPr>
              <w:pStyle w:val="NormalWeb"/>
              <w:rPr>
                <w:b/>
                <w:sz w:val="18"/>
                <w:szCs w:val="18"/>
              </w:rPr>
            </w:pPr>
            <w:r w:rsidRPr="002759BA">
              <w:rPr>
                <w:b/>
                <w:sz w:val="18"/>
                <w:szCs w:val="18"/>
              </w:rPr>
              <w:t>Annual household income ($AUD)</w:t>
            </w:r>
          </w:p>
        </w:tc>
        <w:tc>
          <w:tcPr>
            <w:tcW w:w="1089" w:type="dxa"/>
            <w:hideMark/>
          </w:tcPr>
          <w:p w14:paraId="5C5DDF2F" w14:textId="77777777" w:rsidR="00B575B7" w:rsidRPr="002759BA" w:rsidRDefault="00B575B7" w:rsidP="00240EAF">
            <w:pPr>
              <w:jc w:val="center"/>
              <w:rPr>
                <w:b/>
                <w:sz w:val="18"/>
                <w:szCs w:val="18"/>
              </w:rPr>
            </w:pPr>
          </w:p>
        </w:tc>
        <w:tc>
          <w:tcPr>
            <w:tcW w:w="0" w:type="auto"/>
            <w:hideMark/>
          </w:tcPr>
          <w:p w14:paraId="18480716" w14:textId="77777777" w:rsidR="00B575B7" w:rsidRPr="002759BA" w:rsidRDefault="00B575B7" w:rsidP="00240EAF">
            <w:pPr>
              <w:jc w:val="center"/>
              <w:rPr>
                <w:rFonts w:eastAsia="Times New Roman"/>
                <w:b/>
                <w:sz w:val="18"/>
                <w:szCs w:val="18"/>
              </w:rPr>
            </w:pPr>
          </w:p>
        </w:tc>
        <w:tc>
          <w:tcPr>
            <w:tcW w:w="0" w:type="auto"/>
            <w:hideMark/>
          </w:tcPr>
          <w:p w14:paraId="1E4497E2" w14:textId="77777777" w:rsidR="00B575B7" w:rsidRPr="002759BA" w:rsidRDefault="00B575B7" w:rsidP="00240EAF">
            <w:pPr>
              <w:jc w:val="center"/>
              <w:rPr>
                <w:rFonts w:eastAsia="Times New Roman"/>
                <w:b/>
                <w:sz w:val="18"/>
                <w:szCs w:val="18"/>
              </w:rPr>
            </w:pPr>
          </w:p>
        </w:tc>
        <w:tc>
          <w:tcPr>
            <w:tcW w:w="0" w:type="auto"/>
            <w:hideMark/>
          </w:tcPr>
          <w:p w14:paraId="4883781E" w14:textId="77777777" w:rsidR="00B575B7" w:rsidRPr="002759BA" w:rsidRDefault="00B575B7" w:rsidP="00240EAF">
            <w:pPr>
              <w:jc w:val="center"/>
              <w:rPr>
                <w:rFonts w:eastAsia="Times New Roman"/>
                <w:b/>
                <w:sz w:val="18"/>
                <w:szCs w:val="18"/>
              </w:rPr>
            </w:pPr>
          </w:p>
        </w:tc>
        <w:tc>
          <w:tcPr>
            <w:tcW w:w="0" w:type="auto"/>
            <w:hideMark/>
          </w:tcPr>
          <w:p w14:paraId="76A3E785" w14:textId="77777777" w:rsidR="00B575B7" w:rsidRPr="002759BA" w:rsidRDefault="00B575B7" w:rsidP="00240EAF">
            <w:pPr>
              <w:jc w:val="center"/>
              <w:rPr>
                <w:rFonts w:eastAsia="Times New Roman"/>
                <w:b/>
                <w:sz w:val="18"/>
                <w:szCs w:val="18"/>
              </w:rPr>
            </w:pPr>
          </w:p>
        </w:tc>
        <w:tc>
          <w:tcPr>
            <w:tcW w:w="2240" w:type="dxa"/>
            <w:hideMark/>
          </w:tcPr>
          <w:p w14:paraId="08F5C43E" w14:textId="77777777" w:rsidR="00B575B7" w:rsidRPr="002759BA" w:rsidRDefault="00B575B7" w:rsidP="00240EAF">
            <w:pPr>
              <w:jc w:val="center"/>
              <w:rPr>
                <w:rFonts w:eastAsia="Times New Roman"/>
                <w:b/>
                <w:sz w:val="18"/>
                <w:szCs w:val="18"/>
              </w:rPr>
            </w:pPr>
          </w:p>
        </w:tc>
        <w:tc>
          <w:tcPr>
            <w:tcW w:w="950" w:type="dxa"/>
            <w:hideMark/>
          </w:tcPr>
          <w:p w14:paraId="577639CA" w14:textId="77777777" w:rsidR="00B575B7" w:rsidRPr="002759BA" w:rsidRDefault="00B575B7" w:rsidP="00240EAF">
            <w:pPr>
              <w:jc w:val="center"/>
              <w:rPr>
                <w:rFonts w:eastAsia="Times New Roman"/>
                <w:b/>
                <w:sz w:val="18"/>
                <w:szCs w:val="18"/>
              </w:rPr>
            </w:pPr>
          </w:p>
        </w:tc>
      </w:tr>
      <w:tr w:rsidR="00D74A2A" w:rsidRPr="002759BA" w14:paraId="5C1842CD" w14:textId="77777777" w:rsidTr="00A35124">
        <w:tc>
          <w:tcPr>
            <w:tcW w:w="3544" w:type="dxa"/>
            <w:hideMark/>
          </w:tcPr>
          <w:p w14:paraId="5F26D380" w14:textId="77777777" w:rsidR="00B575B7" w:rsidRPr="002759BA" w:rsidRDefault="00B575B7">
            <w:pPr>
              <w:pStyle w:val="NormalWeb"/>
              <w:rPr>
                <w:sz w:val="18"/>
                <w:szCs w:val="18"/>
              </w:rPr>
            </w:pPr>
            <w:r w:rsidRPr="002759BA">
              <w:rPr>
                <w:sz w:val="18"/>
                <w:szCs w:val="18"/>
              </w:rPr>
              <w:t>&lt;50,000</w:t>
            </w:r>
          </w:p>
        </w:tc>
        <w:tc>
          <w:tcPr>
            <w:tcW w:w="1089" w:type="dxa"/>
            <w:hideMark/>
          </w:tcPr>
          <w:p w14:paraId="6F8CCAC3" w14:textId="77777777" w:rsidR="00B575B7" w:rsidRPr="002759BA" w:rsidRDefault="00B575B7" w:rsidP="00240EAF">
            <w:pPr>
              <w:pStyle w:val="NormalWeb"/>
              <w:jc w:val="center"/>
              <w:rPr>
                <w:sz w:val="18"/>
                <w:szCs w:val="18"/>
              </w:rPr>
            </w:pPr>
            <w:r w:rsidRPr="002759BA">
              <w:rPr>
                <w:sz w:val="18"/>
                <w:szCs w:val="18"/>
              </w:rPr>
              <w:t>273</w:t>
            </w:r>
          </w:p>
        </w:tc>
        <w:tc>
          <w:tcPr>
            <w:tcW w:w="0" w:type="auto"/>
            <w:hideMark/>
          </w:tcPr>
          <w:p w14:paraId="074B7EF3" w14:textId="77777777" w:rsidR="00B575B7" w:rsidRPr="002759BA" w:rsidRDefault="00B575B7" w:rsidP="00240EAF">
            <w:pPr>
              <w:pStyle w:val="NormalWeb"/>
              <w:jc w:val="center"/>
              <w:rPr>
                <w:sz w:val="18"/>
                <w:szCs w:val="18"/>
              </w:rPr>
            </w:pPr>
            <w:r w:rsidRPr="002759BA">
              <w:rPr>
                <w:sz w:val="18"/>
                <w:szCs w:val="18"/>
              </w:rPr>
              <w:t>56.8</w:t>
            </w:r>
          </w:p>
        </w:tc>
        <w:tc>
          <w:tcPr>
            <w:tcW w:w="0" w:type="auto"/>
            <w:hideMark/>
          </w:tcPr>
          <w:p w14:paraId="7651D72A" w14:textId="77777777" w:rsidR="00B575B7" w:rsidRPr="002759BA" w:rsidRDefault="00B575B7" w:rsidP="00240EAF">
            <w:pPr>
              <w:pStyle w:val="NormalWeb"/>
              <w:jc w:val="center"/>
              <w:rPr>
                <w:sz w:val="18"/>
                <w:szCs w:val="18"/>
              </w:rPr>
            </w:pPr>
            <w:r w:rsidRPr="002759BA">
              <w:rPr>
                <w:sz w:val="18"/>
                <w:szCs w:val="18"/>
              </w:rPr>
              <w:t>58.3 (51.9–64.7)</w:t>
            </w:r>
          </w:p>
        </w:tc>
        <w:tc>
          <w:tcPr>
            <w:tcW w:w="0" w:type="auto"/>
            <w:hideMark/>
          </w:tcPr>
          <w:p w14:paraId="3CB84A83" w14:textId="77777777" w:rsidR="00B575B7" w:rsidRPr="002759BA" w:rsidRDefault="00B575B7" w:rsidP="00240EAF">
            <w:pPr>
              <w:pStyle w:val="NormalWeb"/>
              <w:jc w:val="center"/>
              <w:rPr>
                <w:sz w:val="18"/>
                <w:szCs w:val="18"/>
              </w:rPr>
            </w:pPr>
            <w:r w:rsidRPr="002759BA">
              <w:rPr>
                <w:sz w:val="18"/>
                <w:szCs w:val="18"/>
              </w:rPr>
              <w:t>31,458</w:t>
            </w:r>
          </w:p>
        </w:tc>
        <w:tc>
          <w:tcPr>
            <w:tcW w:w="0" w:type="auto"/>
            <w:hideMark/>
          </w:tcPr>
          <w:p w14:paraId="050F5EEE" w14:textId="77777777" w:rsidR="00B575B7" w:rsidRPr="002759BA" w:rsidRDefault="00B575B7" w:rsidP="00240EAF">
            <w:pPr>
              <w:pStyle w:val="NormalWeb"/>
              <w:jc w:val="center"/>
              <w:rPr>
                <w:sz w:val="18"/>
                <w:szCs w:val="18"/>
              </w:rPr>
            </w:pPr>
            <w:r w:rsidRPr="002759BA">
              <w:rPr>
                <w:sz w:val="18"/>
                <w:szCs w:val="18"/>
              </w:rPr>
              <w:t>61.5</w:t>
            </w:r>
          </w:p>
        </w:tc>
        <w:tc>
          <w:tcPr>
            <w:tcW w:w="2240" w:type="dxa"/>
            <w:hideMark/>
          </w:tcPr>
          <w:p w14:paraId="39B9940C" w14:textId="77777777" w:rsidR="00B575B7" w:rsidRPr="002759BA" w:rsidRDefault="00B575B7" w:rsidP="00240EAF">
            <w:pPr>
              <w:pStyle w:val="NormalWeb"/>
              <w:jc w:val="center"/>
              <w:rPr>
                <w:sz w:val="18"/>
                <w:szCs w:val="18"/>
              </w:rPr>
            </w:pPr>
            <w:r w:rsidRPr="002759BA">
              <w:rPr>
                <w:sz w:val="18"/>
                <w:szCs w:val="18"/>
              </w:rPr>
              <w:t>51.1 (50.4–51.9)</w:t>
            </w:r>
          </w:p>
        </w:tc>
        <w:tc>
          <w:tcPr>
            <w:tcW w:w="950" w:type="dxa"/>
            <w:hideMark/>
          </w:tcPr>
          <w:p w14:paraId="1F71640E" w14:textId="77777777" w:rsidR="00B575B7" w:rsidRPr="002759BA" w:rsidRDefault="00B575B7" w:rsidP="00240EAF">
            <w:pPr>
              <w:pStyle w:val="NormalWeb"/>
              <w:jc w:val="center"/>
              <w:rPr>
                <w:sz w:val="18"/>
                <w:szCs w:val="18"/>
              </w:rPr>
            </w:pPr>
            <w:r w:rsidRPr="002759BA">
              <w:rPr>
                <w:sz w:val="18"/>
                <w:szCs w:val="18"/>
              </w:rPr>
              <w:t>0.029</w:t>
            </w:r>
          </w:p>
        </w:tc>
      </w:tr>
      <w:tr w:rsidR="00FD19FF" w:rsidRPr="002759BA" w14:paraId="2DD2DA87" w14:textId="77777777" w:rsidTr="00A35124">
        <w:trPr>
          <w:cnfStyle w:val="000000010000" w:firstRow="0" w:lastRow="0" w:firstColumn="0" w:lastColumn="0" w:oddVBand="0" w:evenVBand="0" w:oddHBand="0" w:evenHBand="1" w:firstRowFirstColumn="0" w:firstRowLastColumn="0" w:lastRowFirstColumn="0" w:lastRowLastColumn="0"/>
        </w:trPr>
        <w:tc>
          <w:tcPr>
            <w:tcW w:w="3544" w:type="dxa"/>
            <w:hideMark/>
          </w:tcPr>
          <w:p w14:paraId="29C7AAE2" w14:textId="77777777" w:rsidR="00B575B7" w:rsidRPr="002759BA" w:rsidRDefault="00B575B7">
            <w:pPr>
              <w:pStyle w:val="NormalWeb"/>
              <w:rPr>
                <w:sz w:val="18"/>
                <w:szCs w:val="18"/>
              </w:rPr>
            </w:pPr>
            <w:r w:rsidRPr="002759BA">
              <w:rPr>
                <w:sz w:val="18"/>
                <w:szCs w:val="18"/>
              </w:rPr>
              <w:t>&gt;50,000</w:t>
            </w:r>
          </w:p>
        </w:tc>
        <w:tc>
          <w:tcPr>
            <w:tcW w:w="1089" w:type="dxa"/>
            <w:hideMark/>
          </w:tcPr>
          <w:p w14:paraId="6BF375F8" w14:textId="77777777" w:rsidR="00B575B7" w:rsidRPr="002759BA" w:rsidRDefault="00B575B7" w:rsidP="00240EAF">
            <w:pPr>
              <w:pStyle w:val="NormalWeb"/>
              <w:jc w:val="center"/>
              <w:rPr>
                <w:sz w:val="18"/>
                <w:szCs w:val="18"/>
              </w:rPr>
            </w:pPr>
            <w:r w:rsidRPr="002759BA">
              <w:rPr>
                <w:sz w:val="18"/>
                <w:szCs w:val="18"/>
              </w:rPr>
              <w:t>253</w:t>
            </w:r>
          </w:p>
        </w:tc>
        <w:tc>
          <w:tcPr>
            <w:tcW w:w="0" w:type="auto"/>
            <w:hideMark/>
          </w:tcPr>
          <w:p w14:paraId="76018B13" w14:textId="77777777" w:rsidR="00B575B7" w:rsidRPr="002759BA" w:rsidRDefault="00B575B7" w:rsidP="00240EAF">
            <w:pPr>
              <w:pStyle w:val="NormalWeb"/>
              <w:jc w:val="center"/>
              <w:rPr>
                <w:sz w:val="18"/>
                <w:szCs w:val="18"/>
              </w:rPr>
            </w:pPr>
            <w:r w:rsidRPr="002759BA">
              <w:rPr>
                <w:sz w:val="18"/>
                <w:szCs w:val="18"/>
              </w:rPr>
              <w:t>51.4</w:t>
            </w:r>
          </w:p>
        </w:tc>
        <w:tc>
          <w:tcPr>
            <w:tcW w:w="0" w:type="auto"/>
            <w:hideMark/>
          </w:tcPr>
          <w:p w14:paraId="34414BF8" w14:textId="77777777" w:rsidR="00B575B7" w:rsidRPr="002759BA" w:rsidRDefault="00B575B7" w:rsidP="00240EAF">
            <w:pPr>
              <w:pStyle w:val="NormalWeb"/>
              <w:jc w:val="center"/>
              <w:rPr>
                <w:sz w:val="18"/>
                <w:szCs w:val="18"/>
              </w:rPr>
            </w:pPr>
            <w:r w:rsidRPr="002759BA">
              <w:rPr>
                <w:sz w:val="18"/>
                <w:szCs w:val="18"/>
              </w:rPr>
              <w:t>53.7 (46.6–60.7)</w:t>
            </w:r>
          </w:p>
        </w:tc>
        <w:tc>
          <w:tcPr>
            <w:tcW w:w="0" w:type="auto"/>
            <w:hideMark/>
          </w:tcPr>
          <w:p w14:paraId="480C2A82" w14:textId="77777777" w:rsidR="00B575B7" w:rsidRPr="002759BA" w:rsidRDefault="00B575B7" w:rsidP="00240EAF">
            <w:pPr>
              <w:pStyle w:val="NormalWeb"/>
              <w:jc w:val="center"/>
              <w:rPr>
                <w:sz w:val="18"/>
                <w:szCs w:val="18"/>
              </w:rPr>
            </w:pPr>
            <w:r w:rsidRPr="002759BA">
              <w:rPr>
                <w:sz w:val="18"/>
                <w:szCs w:val="18"/>
              </w:rPr>
              <w:t>44,958</w:t>
            </w:r>
          </w:p>
        </w:tc>
        <w:tc>
          <w:tcPr>
            <w:tcW w:w="0" w:type="auto"/>
            <w:hideMark/>
          </w:tcPr>
          <w:p w14:paraId="15C786A9" w14:textId="77777777" w:rsidR="00B575B7" w:rsidRPr="002759BA" w:rsidRDefault="00B575B7" w:rsidP="00240EAF">
            <w:pPr>
              <w:pStyle w:val="NormalWeb"/>
              <w:jc w:val="center"/>
              <w:rPr>
                <w:sz w:val="18"/>
                <w:szCs w:val="18"/>
              </w:rPr>
            </w:pPr>
            <w:r w:rsidRPr="002759BA">
              <w:rPr>
                <w:sz w:val="18"/>
                <w:szCs w:val="18"/>
              </w:rPr>
              <w:t>50.8</w:t>
            </w:r>
          </w:p>
        </w:tc>
        <w:tc>
          <w:tcPr>
            <w:tcW w:w="2240" w:type="dxa"/>
            <w:hideMark/>
          </w:tcPr>
          <w:p w14:paraId="2285B52C" w14:textId="77777777" w:rsidR="00B575B7" w:rsidRPr="002759BA" w:rsidRDefault="00B575B7" w:rsidP="00240EAF">
            <w:pPr>
              <w:pStyle w:val="NormalWeb"/>
              <w:jc w:val="center"/>
              <w:rPr>
                <w:sz w:val="18"/>
                <w:szCs w:val="18"/>
              </w:rPr>
            </w:pPr>
            <w:r w:rsidRPr="002759BA">
              <w:rPr>
                <w:sz w:val="18"/>
                <w:szCs w:val="18"/>
              </w:rPr>
              <w:t>53.2 (52.8–53.7)</w:t>
            </w:r>
          </w:p>
        </w:tc>
        <w:tc>
          <w:tcPr>
            <w:tcW w:w="950" w:type="dxa"/>
            <w:hideMark/>
          </w:tcPr>
          <w:p w14:paraId="7E84202A" w14:textId="77777777" w:rsidR="00B575B7" w:rsidRPr="002759BA" w:rsidRDefault="00B575B7" w:rsidP="00240EAF">
            <w:pPr>
              <w:pStyle w:val="NormalWeb"/>
              <w:jc w:val="center"/>
              <w:rPr>
                <w:sz w:val="18"/>
                <w:szCs w:val="18"/>
              </w:rPr>
            </w:pPr>
            <w:r w:rsidRPr="002759BA">
              <w:rPr>
                <w:sz w:val="18"/>
                <w:szCs w:val="18"/>
              </w:rPr>
              <w:t>0.889</w:t>
            </w:r>
          </w:p>
        </w:tc>
      </w:tr>
      <w:tr w:rsidR="00D74A2A" w:rsidRPr="002759BA" w14:paraId="36CDCB27" w14:textId="77777777" w:rsidTr="00A35124">
        <w:tc>
          <w:tcPr>
            <w:tcW w:w="3544" w:type="dxa"/>
            <w:hideMark/>
          </w:tcPr>
          <w:p w14:paraId="0D163CD8" w14:textId="77777777" w:rsidR="00B575B7" w:rsidRPr="002759BA" w:rsidRDefault="00B575B7">
            <w:pPr>
              <w:pStyle w:val="NormalWeb"/>
              <w:rPr>
                <w:b/>
                <w:sz w:val="18"/>
                <w:szCs w:val="18"/>
              </w:rPr>
            </w:pPr>
            <w:r w:rsidRPr="002759BA">
              <w:rPr>
                <w:b/>
                <w:sz w:val="18"/>
                <w:szCs w:val="18"/>
              </w:rPr>
              <w:t>University education</w:t>
            </w:r>
          </w:p>
        </w:tc>
        <w:tc>
          <w:tcPr>
            <w:tcW w:w="1089" w:type="dxa"/>
            <w:hideMark/>
          </w:tcPr>
          <w:p w14:paraId="2928EF1B" w14:textId="77777777" w:rsidR="00B575B7" w:rsidRPr="002759BA" w:rsidRDefault="00B575B7" w:rsidP="00240EAF">
            <w:pPr>
              <w:jc w:val="center"/>
              <w:rPr>
                <w:b/>
                <w:sz w:val="18"/>
                <w:szCs w:val="18"/>
              </w:rPr>
            </w:pPr>
          </w:p>
        </w:tc>
        <w:tc>
          <w:tcPr>
            <w:tcW w:w="0" w:type="auto"/>
            <w:hideMark/>
          </w:tcPr>
          <w:p w14:paraId="2269A0F9" w14:textId="77777777" w:rsidR="00B575B7" w:rsidRPr="002759BA" w:rsidRDefault="00B575B7" w:rsidP="00240EAF">
            <w:pPr>
              <w:jc w:val="center"/>
              <w:rPr>
                <w:rFonts w:eastAsia="Times New Roman"/>
                <w:b/>
                <w:sz w:val="18"/>
                <w:szCs w:val="18"/>
              </w:rPr>
            </w:pPr>
          </w:p>
        </w:tc>
        <w:tc>
          <w:tcPr>
            <w:tcW w:w="0" w:type="auto"/>
            <w:hideMark/>
          </w:tcPr>
          <w:p w14:paraId="495132D8" w14:textId="77777777" w:rsidR="00B575B7" w:rsidRPr="002759BA" w:rsidRDefault="00B575B7" w:rsidP="00240EAF">
            <w:pPr>
              <w:jc w:val="center"/>
              <w:rPr>
                <w:rFonts w:eastAsia="Times New Roman"/>
                <w:b/>
                <w:sz w:val="18"/>
                <w:szCs w:val="18"/>
              </w:rPr>
            </w:pPr>
          </w:p>
        </w:tc>
        <w:tc>
          <w:tcPr>
            <w:tcW w:w="0" w:type="auto"/>
            <w:hideMark/>
          </w:tcPr>
          <w:p w14:paraId="4B185FC3" w14:textId="77777777" w:rsidR="00B575B7" w:rsidRPr="002759BA" w:rsidRDefault="00B575B7" w:rsidP="00240EAF">
            <w:pPr>
              <w:jc w:val="center"/>
              <w:rPr>
                <w:rFonts w:eastAsia="Times New Roman"/>
                <w:b/>
                <w:sz w:val="18"/>
                <w:szCs w:val="18"/>
              </w:rPr>
            </w:pPr>
          </w:p>
        </w:tc>
        <w:tc>
          <w:tcPr>
            <w:tcW w:w="0" w:type="auto"/>
            <w:hideMark/>
          </w:tcPr>
          <w:p w14:paraId="011E86C6" w14:textId="77777777" w:rsidR="00B575B7" w:rsidRPr="002759BA" w:rsidRDefault="00B575B7" w:rsidP="00240EAF">
            <w:pPr>
              <w:jc w:val="center"/>
              <w:rPr>
                <w:rFonts w:eastAsia="Times New Roman"/>
                <w:b/>
                <w:sz w:val="18"/>
                <w:szCs w:val="18"/>
              </w:rPr>
            </w:pPr>
          </w:p>
        </w:tc>
        <w:tc>
          <w:tcPr>
            <w:tcW w:w="2240" w:type="dxa"/>
            <w:hideMark/>
          </w:tcPr>
          <w:p w14:paraId="0B24FF9F" w14:textId="77777777" w:rsidR="00B575B7" w:rsidRPr="002759BA" w:rsidRDefault="00B575B7" w:rsidP="00240EAF">
            <w:pPr>
              <w:jc w:val="center"/>
              <w:rPr>
                <w:rFonts w:eastAsia="Times New Roman"/>
                <w:b/>
                <w:sz w:val="18"/>
                <w:szCs w:val="18"/>
              </w:rPr>
            </w:pPr>
          </w:p>
        </w:tc>
        <w:tc>
          <w:tcPr>
            <w:tcW w:w="950" w:type="dxa"/>
            <w:hideMark/>
          </w:tcPr>
          <w:p w14:paraId="256F3841" w14:textId="77777777" w:rsidR="00B575B7" w:rsidRPr="002759BA" w:rsidRDefault="00B575B7" w:rsidP="00240EAF">
            <w:pPr>
              <w:jc w:val="center"/>
              <w:rPr>
                <w:rFonts w:eastAsia="Times New Roman"/>
                <w:b/>
                <w:sz w:val="18"/>
                <w:szCs w:val="18"/>
              </w:rPr>
            </w:pPr>
          </w:p>
        </w:tc>
      </w:tr>
      <w:tr w:rsidR="00FD19FF" w:rsidRPr="002759BA" w14:paraId="6C1D1DB8" w14:textId="77777777" w:rsidTr="00A35124">
        <w:trPr>
          <w:cnfStyle w:val="000000010000" w:firstRow="0" w:lastRow="0" w:firstColumn="0" w:lastColumn="0" w:oddVBand="0" w:evenVBand="0" w:oddHBand="0" w:evenHBand="1" w:firstRowFirstColumn="0" w:firstRowLastColumn="0" w:lastRowFirstColumn="0" w:lastRowLastColumn="0"/>
        </w:trPr>
        <w:tc>
          <w:tcPr>
            <w:tcW w:w="3544" w:type="dxa"/>
            <w:hideMark/>
          </w:tcPr>
          <w:p w14:paraId="0FF75579" w14:textId="77777777" w:rsidR="00B575B7" w:rsidRPr="002759BA" w:rsidRDefault="00B575B7">
            <w:pPr>
              <w:pStyle w:val="NormalWeb"/>
              <w:rPr>
                <w:sz w:val="18"/>
                <w:szCs w:val="18"/>
              </w:rPr>
            </w:pPr>
            <w:r w:rsidRPr="002759BA">
              <w:rPr>
                <w:sz w:val="18"/>
                <w:szCs w:val="18"/>
              </w:rPr>
              <w:t>No</w:t>
            </w:r>
          </w:p>
        </w:tc>
        <w:tc>
          <w:tcPr>
            <w:tcW w:w="1089" w:type="dxa"/>
            <w:hideMark/>
          </w:tcPr>
          <w:p w14:paraId="1E96CAE4" w14:textId="77777777" w:rsidR="00B575B7" w:rsidRPr="002759BA" w:rsidRDefault="00B575B7" w:rsidP="00240EAF">
            <w:pPr>
              <w:pStyle w:val="NormalWeb"/>
              <w:jc w:val="center"/>
              <w:rPr>
                <w:sz w:val="18"/>
                <w:szCs w:val="18"/>
              </w:rPr>
            </w:pPr>
            <w:r w:rsidRPr="002759BA">
              <w:rPr>
                <w:sz w:val="18"/>
                <w:szCs w:val="18"/>
              </w:rPr>
              <w:t>449</w:t>
            </w:r>
          </w:p>
        </w:tc>
        <w:tc>
          <w:tcPr>
            <w:tcW w:w="0" w:type="auto"/>
            <w:hideMark/>
          </w:tcPr>
          <w:p w14:paraId="19F24EB1" w14:textId="77777777" w:rsidR="00B575B7" w:rsidRPr="002759BA" w:rsidRDefault="00B575B7" w:rsidP="00240EAF">
            <w:pPr>
              <w:pStyle w:val="NormalWeb"/>
              <w:jc w:val="center"/>
              <w:rPr>
                <w:sz w:val="18"/>
                <w:szCs w:val="18"/>
              </w:rPr>
            </w:pPr>
            <w:r w:rsidRPr="002759BA">
              <w:rPr>
                <w:sz w:val="18"/>
                <w:szCs w:val="18"/>
              </w:rPr>
              <w:t>53.0</w:t>
            </w:r>
          </w:p>
        </w:tc>
        <w:tc>
          <w:tcPr>
            <w:tcW w:w="0" w:type="auto"/>
            <w:hideMark/>
          </w:tcPr>
          <w:p w14:paraId="7FC1A92C" w14:textId="77777777" w:rsidR="00B575B7" w:rsidRPr="002759BA" w:rsidRDefault="00B575B7" w:rsidP="00240EAF">
            <w:pPr>
              <w:pStyle w:val="NormalWeb"/>
              <w:jc w:val="center"/>
              <w:rPr>
                <w:sz w:val="18"/>
                <w:szCs w:val="18"/>
              </w:rPr>
            </w:pPr>
            <w:r w:rsidRPr="002759BA">
              <w:rPr>
                <w:sz w:val="18"/>
                <w:szCs w:val="18"/>
              </w:rPr>
              <w:t>52.1 (47.1–57.1)</w:t>
            </w:r>
          </w:p>
        </w:tc>
        <w:tc>
          <w:tcPr>
            <w:tcW w:w="0" w:type="auto"/>
            <w:hideMark/>
          </w:tcPr>
          <w:p w14:paraId="43840B20" w14:textId="77777777" w:rsidR="00B575B7" w:rsidRPr="002759BA" w:rsidRDefault="00B575B7" w:rsidP="00240EAF">
            <w:pPr>
              <w:pStyle w:val="NormalWeb"/>
              <w:jc w:val="center"/>
              <w:rPr>
                <w:sz w:val="18"/>
                <w:szCs w:val="18"/>
              </w:rPr>
            </w:pPr>
            <w:r w:rsidRPr="002759BA">
              <w:rPr>
                <w:sz w:val="18"/>
                <w:szCs w:val="18"/>
              </w:rPr>
              <w:t>58,057</w:t>
            </w:r>
          </w:p>
        </w:tc>
        <w:tc>
          <w:tcPr>
            <w:tcW w:w="0" w:type="auto"/>
            <w:hideMark/>
          </w:tcPr>
          <w:p w14:paraId="3BAB9421" w14:textId="77777777" w:rsidR="00B575B7" w:rsidRPr="002759BA" w:rsidRDefault="00B575B7" w:rsidP="00240EAF">
            <w:pPr>
              <w:pStyle w:val="NormalWeb"/>
              <w:jc w:val="center"/>
              <w:rPr>
                <w:sz w:val="18"/>
                <w:szCs w:val="18"/>
              </w:rPr>
            </w:pPr>
            <w:r w:rsidRPr="002759BA">
              <w:rPr>
                <w:sz w:val="18"/>
                <w:szCs w:val="18"/>
              </w:rPr>
              <w:t>57.1</w:t>
            </w:r>
          </w:p>
        </w:tc>
        <w:tc>
          <w:tcPr>
            <w:tcW w:w="2240" w:type="dxa"/>
            <w:hideMark/>
          </w:tcPr>
          <w:p w14:paraId="405E9718" w14:textId="77777777" w:rsidR="00B575B7" w:rsidRPr="002759BA" w:rsidRDefault="00B575B7" w:rsidP="00240EAF">
            <w:pPr>
              <w:pStyle w:val="NormalWeb"/>
              <w:jc w:val="center"/>
              <w:rPr>
                <w:sz w:val="18"/>
                <w:szCs w:val="18"/>
              </w:rPr>
            </w:pPr>
            <w:r w:rsidRPr="002759BA">
              <w:rPr>
                <w:sz w:val="18"/>
                <w:szCs w:val="18"/>
              </w:rPr>
              <w:t>52.3 (51.8–52.7)</w:t>
            </w:r>
          </w:p>
        </w:tc>
        <w:tc>
          <w:tcPr>
            <w:tcW w:w="950" w:type="dxa"/>
            <w:hideMark/>
          </w:tcPr>
          <w:p w14:paraId="07D75D26" w14:textId="77777777" w:rsidR="00B575B7" w:rsidRPr="002759BA" w:rsidRDefault="00B575B7" w:rsidP="00240EAF">
            <w:pPr>
              <w:pStyle w:val="NormalWeb"/>
              <w:jc w:val="center"/>
              <w:rPr>
                <w:sz w:val="18"/>
                <w:szCs w:val="18"/>
              </w:rPr>
            </w:pPr>
            <w:r w:rsidRPr="002759BA">
              <w:rPr>
                <w:sz w:val="18"/>
                <w:szCs w:val="18"/>
              </w:rPr>
              <w:t>0.937</w:t>
            </w:r>
          </w:p>
        </w:tc>
      </w:tr>
      <w:tr w:rsidR="00D74A2A" w:rsidRPr="002759BA" w14:paraId="60A33BE2" w14:textId="77777777" w:rsidTr="00A35124">
        <w:tc>
          <w:tcPr>
            <w:tcW w:w="3544" w:type="dxa"/>
            <w:hideMark/>
          </w:tcPr>
          <w:p w14:paraId="340A0E69" w14:textId="77777777" w:rsidR="00B575B7" w:rsidRPr="002759BA" w:rsidRDefault="00B575B7">
            <w:pPr>
              <w:pStyle w:val="NormalWeb"/>
              <w:rPr>
                <w:sz w:val="18"/>
                <w:szCs w:val="18"/>
              </w:rPr>
            </w:pPr>
            <w:proofErr w:type="spellStart"/>
            <w:r w:rsidRPr="002759BA">
              <w:rPr>
                <w:sz w:val="18"/>
                <w:szCs w:val="18"/>
              </w:rPr>
              <w:t>Yes</w:t>
            </w:r>
            <w:r w:rsidRPr="002759BA">
              <w:rPr>
                <w:sz w:val="18"/>
                <w:szCs w:val="18"/>
                <w:vertAlign w:val="superscript"/>
              </w:rPr>
              <w:t>b</w:t>
            </w:r>
            <w:proofErr w:type="spellEnd"/>
          </w:p>
        </w:tc>
        <w:tc>
          <w:tcPr>
            <w:tcW w:w="1089" w:type="dxa"/>
            <w:hideMark/>
          </w:tcPr>
          <w:p w14:paraId="00D7A1A6" w14:textId="77777777" w:rsidR="00B575B7" w:rsidRPr="002759BA" w:rsidRDefault="00B575B7" w:rsidP="00240EAF">
            <w:pPr>
              <w:pStyle w:val="NormalWeb"/>
              <w:jc w:val="center"/>
              <w:rPr>
                <w:sz w:val="18"/>
                <w:szCs w:val="18"/>
              </w:rPr>
            </w:pPr>
            <w:r w:rsidRPr="002759BA">
              <w:rPr>
                <w:sz w:val="18"/>
                <w:szCs w:val="18"/>
              </w:rPr>
              <w:t>106</w:t>
            </w:r>
          </w:p>
        </w:tc>
        <w:tc>
          <w:tcPr>
            <w:tcW w:w="0" w:type="auto"/>
            <w:hideMark/>
          </w:tcPr>
          <w:p w14:paraId="6B610610" w14:textId="77777777" w:rsidR="00B575B7" w:rsidRPr="002759BA" w:rsidRDefault="00B575B7" w:rsidP="00240EAF">
            <w:pPr>
              <w:pStyle w:val="NormalWeb"/>
              <w:jc w:val="center"/>
              <w:rPr>
                <w:sz w:val="18"/>
                <w:szCs w:val="18"/>
              </w:rPr>
            </w:pPr>
            <w:r w:rsidRPr="002759BA">
              <w:rPr>
                <w:sz w:val="18"/>
                <w:szCs w:val="18"/>
              </w:rPr>
              <w:t>59.4</w:t>
            </w:r>
          </w:p>
        </w:tc>
        <w:tc>
          <w:tcPr>
            <w:tcW w:w="0" w:type="auto"/>
            <w:hideMark/>
          </w:tcPr>
          <w:p w14:paraId="04328CD4" w14:textId="77777777" w:rsidR="00B575B7" w:rsidRPr="002759BA" w:rsidRDefault="00B575B7" w:rsidP="00240EAF">
            <w:pPr>
              <w:pStyle w:val="NormalWeb"/>
              <w:jc w:val="center"/>
              <w:rPr>
                <w:sz w:val="18"/>
                <w:szCs w:val="18"/>
              </w:rPr>
            </w:pPr>
            <w:r w:rsidRPr="002759BA">
              <w:rPr>
                <w:sz w:val="18"/>
                <w:szCs w:val="18"/>
              </w:rPr>
              <w:t>59.2 (50.8–67.6)</w:t>
            </w:r>
          </w:p>
        </w:tc>
        <w:tc>
          <w:tcPr>
            <w:tcW w:w="0" w:type="auto"/>
            <w:hideMark/>
          </w:tcPr>
          <w:p w14:paraId="22514728" w14:textId="77777777" w:rsidR="00B575B7" w:rsidRPr="002759BA" w:rsidRDefault="00B575B7" w:rsidP="00240EAF">
            <w:pPr>
              <w:pStyle w:val="NormalWeb"/>
              <w:jc w:val="center"/>
              <w:rPr>
                <w:sz w:val="18"/>
                <w:szCs w:val="18"/>
              </w:rPr>
            </w:pPr>
            <w:r w:rsidRPr="002759BA">
              <w:rPr>
                <w:sz w:val="18"/>
                <w:szCs w:val="18"/>
              </w:rPr>
              <w:t>21,963</w:t>
            </w:r>
          </w:p>
        </w:tc>
        <w:tc>
          <w:tcPr>
            <w:tcW w:w="0" w:type="auto"/>
            <w:hideMark/>
          </w:tcPr>
          <w:p w14:paraId="23238E78" w14:textId="77777777" w:rsidR="00B575B7" w:rsidRPr="002759BA" w:rsidRDefault="00B575B7" w:rsidP="00240EAF">
            <w:pPr>
              <w:pStyle w:val="NormalWeb"/>
              <w:jc w:val="center"/>
              <w:rPr>
                <w:sz w:val="18"/>
                <w:szCs w:val="18"/>
              </w:rPr>
            </w:pPr>
            <w:r w:rsidRPr="002759BA">
              <w:rPr>
                <w:sz w:val="18"/>
                <w:szCs w:val="18"/>
              </w:rPr>
              <w:t>52.2</w:t>
            </w:r>
          </w:p>
        </w:tc>
        <w:tc>
          <w:tcPr>
            <w:tcW w:w="2240" w:type="dxa"/>
            <w:hideMark/>
          </w:tcPr>
          <w:p w14:paraId="261D4944" w14:textId="77777777" w:rsidR="00B575B7" w:rsidRPr="002759BA" w:rsidRDefault="00B575B7" w:rsidP="00240EAF">
            <w:pPr>
              <w:pStyle w:val="NormalWeb"/>
              <w:jc w:val="center"/>
              <w:rPr>
                <w:sz w:val="18"/>
                <w:szCs w:val="18"/>
              </w:rPr>
            </w:pPr>
            <w:r w:rsidRPr="002759BA">
              <w:rPr>
                <w:sz w:val="18"/>
                <w:szCs w:val="18"/>
              </w:rPr>
              <w:t>53.6 (52.9–54.3)</w:t>
            </w:r>
          </w:p>
        </w:tc>
        <w:tc>
          <w:tcPr>
            <w:tcW w:w="950" w:type="dxa"/>
            <w:hideMark/>
          </w:tcPr>
          <w:p w14:paraId="4C908DF8" w14:textId="77777777" w:rsidR="00B575B7" w:rsidRPr="002759BA" w:rsidRDefault="00B575B7" w:rsidP="00240EAF">
            <w:pPr>
              <w:pStyle w:val="NormalWeb"/>
              <w:jc w:val="center"/>
              <w:rPr>
                <w:sz w:val="18"/>
                <w:szCs w:val="18"/>
              </w:rPr>
            </w:pPr>
            <w:r w:rsidRPr="002759BA">
              <w:rPr>
                <w:sz w:val="18"/>
                <w:szCs w:val="18"/>
              </w:rPr>
              <w:t>0.192</w:t>
            </w:r>
          </w:p>
        </w:tc>
      </w:tr>
      <w:tr w:rsidR="00FD19FF" w:rsidRPr="002759BA" w14:paraId="64D73D9C" w14:textId="77777777" w:rsidTr="00A35124">
        <w:trPr>
          <w:cnfStyle w:val="000000010000" w:firstRow="0" w:lastRow="0" w:firstColumn="0" w:lastColumn="0" w:oddVBand="0" w:evenVBand="0" w:oddHBand="0" w:evenHBand="1" w:firstRowFirstColumn="0" w:firstRowLastColumn="0" w:lastRowFirstColumn="0" w:lastRowLastColumn="0"/>
        </w:trPr>
        <w:tc>
          <w:tcPr>
            <w:tcW w:w="3544" w:type="dxa"/>
            <w:hideMark/>
          </w:tcPr>
          <w:p w14:paraId="713D304E" w14:textId="77777777" w:rsidR="00B575B7" w:rsidRPr="002759BA" w:rsidRDefault="00B575B7">
            <w:pPr>
              <w:pStyle w:val="NormalWeb"/>
              <w:rPr>
                <w:b/>
                <w:sz w:val="18"/>
                <w:szCs w:val="18"/>
              </w:rPr>
            </w:pPr>
            <w:r w:rsidRPr="002759BA">
              <w:rPr>
                <w:b/>
                <w:sz w:val="18"/>
                <w:szCs w:val="18"/>
              </w:rPr>
              <w:t>Paid employment</w:t>
            </w:r>
          </w:p>
        </w:tc>
        <w:tc>
          <w:tcPr>
            <w:tcW w:w="1089" w:type="dxa"/>
            <w:hideMark/>
          </w:tcPr>
          <w:p w14:paraId="53730D0E" w14:textId="77777777" w:rsidR="00B575B7" w:rsidRPr="002759BA" w:rsidRDefault="00B575B7" w:rsidP="00240EAF">
            <w:pPr>
              <w:jc w:val="center"/>
              <w:rPr>
                <w:b/>
                <w:sz w:val="18"/>
                <w:szCs w:val="18"/>
              </w:rPr>
            </w:pPr>
          </w:p>
        </w:tc>
        <w:tc>
          <w:tcPr>
            <w:tcW w:w="0" w:type="auto"/>
            <w:hideMark/>
          </w:tcPr>
          <w:p w14:paraId="7FC8C180" w14:textId="77777777" w:rsidR="00B575B7" w:rsidRPr="002759BA" w:rsidRDefault="00B575B7" w:rsidP="00240EAF">
            <w:pPr>
              <w:jc w:val="center"/>
              <w:rPr>
                <w:rFonts w:eastAsia="Times New Roman"/>
                <w:b/>
                <w:sz w:val="18"/>
                <w:szCs w:val="18"/>
              </w:rPr>
            </w:pPr>
          </w:p>
        </w:tc>
        <w:tc>
          <w:tcPr>
            <w:tcW w:w="0" w:type="auto"/>
            <w:hideMark/>
          </w:tcPr>
          <w:p w14:paraId="53B44F86" w14:textId="77777777" w:rsidR="00B575B7" w:rsidRPr="002759BA" w:rsidRDefault="00B575B7" w:rsidP="00240EAF">
            <w:pPr>
              <w:jc w:val="center"/>
              <w:rPr>
                <w:rFonts w:eastAsia="Times New Roman"/>
                <w:b/>
                <w:sz w:val="18"/>
                <w:szCs w:val="18"/>
              </w:rPr>
            </w:pPr>
          </w:p>
        </w:tc>
        <w:tc>
          <w:tcPr>
            <w:tcW w:w="0" w:type="auto"/>
            <w:hideMark/>
          </w:tcPr>
          <w:p w14:paraId="475BA39E" w14:textId="77777777" w:rsidR="00B575B7" w:rsidRPr="002759BA" w:rsidRDefault="00B575B7" w:rsidP="00240EAF">
            <w:pPr>
              <w:jc w:val="center"/>
              <w:rPr>
                <w:rFonts w:eastAsia="Times New Roman"/>
                <w:b/>
                <w:sz w:val="18"/>
                <w:szCs w:val="18"/>
              </w:rPr>
            </w:pPr>
          </w:p>
        </w:tc>
        <w:tc>
          <w:tcPr>
            <w:tcW w:w="0" w:type="auto"/>
            <w:hideMark/>
          </w:tcPr>
          <w:p w14:paraId="21A0B95F" w14:textId="77777777" w:rsidR="00B575B7" w:rsidRPr="002759BA" w:rsidRDefault="00B575B7" w:rsidP="00240EAF">
            <w:pPr>
              <w:jc w:val="center"/>
              <w:rPr>
                <w:rFonts w:eastAsia="Times New Roman"/>
                <w:b/>
                <w:sz w:val="18"/>
                <w:szCs w:val="18"/>
              </w:rPr>
            </w:pPr>
          </w:p>
        </w:tc>
        <w:tc>
          <w:tcPr>
            <w:tcW w:w="2240" w:type="dxa"/>
            <w:hideMark/>
          </w:tcPr>
          <w:p w14:paraId="2DF4243D" w14:textId="77777777" w:rsidR="00B575B7" w:rsidRPr="002759BA" w:rsidRDefault="00B575B7" w:rsidP="00240EAF">
            <w:pPr>
              <w:jc w:val="center"/>
              <w:rPr>
                <w:rFonts w:eastAsia="Times New Roman"/>
                <w:b/>
                <w:sz w:val="18"/>
                <w:szCs w:val="18"/>
              </w:rPr>
            </w:pPr>
          </w:p>
        </w:tc>
        <w:tc>
          <w:tcPr>
            <w:tcW w:w="950" w:type="dxa"/>
            <w:hideMark/>
          </w:tcPr>
          <w:p w14:paraId="0A1F10E1" w14:textId="77777777" w:rsidR="00B575B7" w:rsidRPr="002759BA" w:rsidRDefault="00B575B7" w:rsidP="00240EAF">
            <w:pPr>
              <w:jc w:val="center"/>
              <w:rPr>
                <w:rFonts w:eastAsia="Times New Roman"/>
                <w:b/>
                <w:sz w:val="18"/>
                <w:szCs w:val="18"/>
              </w:rPr>
            </w:pPr>
          </w:p>
        </w:tc>
      </w:tr>
      <w:tr w:rsidR="00D74A2A" w:rsidRPr="002759BA" w14:paraId="657575BE" w14:textId="77777777" w:rsidTr="00A35124">
        <w:tc>
          <w:tcPr>
            <w:tcW w:w="3544" w:type="dxa"/>
            <w:hideMark/>
          </w:tcPr>
          <w:p w14:paraId="30637A84" w14:textId="77777777" w:rsidR="00B575B7" w:rsidRPr="002759BA" w:rsidRDefault="00B575B7">
            <w:pPr>
              <w:pStyle w:val="NormalWeb"/>
              <w:rPr>
                <w:sz w:val="18"/>
                <w:szCs w:val="18"/>
              </w:rPr>
            </w:pPr>
            <w:r w:rsidRPr="002759BA">
              <w:rPr>
                <w:sz w:val="18"/>
                <w:szCs w:val="18"/>
              </w:rPr>
              <w:lastRenderedPageBreak/>
              <w:t>No</w:t>
            </w:r>
          </w:p>
        </w:tc>
        <w:tc>
          <w:tcPr>
            <w:tcW w:w="1089" w:type="dxa"/>
            <w:hideMark/>
          </w:tcPr>
          <w:p w14:paraId="735FE28E" w14:textId="77777777" w:rsidR="00B575B7" w:rsidRPr="002759BA" w:rsidRDefault="00B575B7" w:rsidP="00240EAF">
            <w:pPr>
              <w:pStyle w:val="NormalWeb"/>
              <w:jc w:val="center"/>
              <w:rPr>
                <w:sz w:val="18"/>
                <w:szCs w:val="18"/>
              </w:rPr>
            </w:pPr>
            <w:r w:rsidRPr="002759BA">
              <w:rPr>
                <w:sz w:val="18"/>
                <w:szCs w:val="18"/>
              </w:rPr>
              <w:t>339</w:t>
            </w:r>
          </w:p>
        </w:tc>
        <w:tc>
          <w:tcPr>
            <w:tcW w:w="0" w:type="auto"/>
            <w:hideMark/>
          </w:tcPr>
          <w:p w14:paraId="4083622A" w14:textId="77777777" w:rsidR="00B575B7" w:rsidRPr="002759BA" w:rsidRDefault="00B575B7" w:rsidP="00240EAF">
            <w:pPr>
              <w:pStyle w:val="NormalWeb"/>
              <w:jc w:val="center"/>
              <w:rPr>
                <w:sz w:val="18"/>
                <w:szCs w:val="18"/>
              </w:rPr>
            </w:pPr>
            <w:r w:rsidRPr="002759BA">
              <w:rPr>
                <w:sz w:val="18"/>
                <w:szCs w:val="18"/>
              </w:rPr>
              <w:t>60.2</w:t>
            </w:r>
          </w:p>
        </w:tc>
        <w:tc>
          <w:tcPr>
            <w:tcW w:w="0" w:type="auto"/>
            <w:hideMark/>
          </w:tcPr>
          <w:p w14:paraId="0B59B369" w14:textId="77777777" w:rsidR="00B575B7" w:rsidRPr="002759BA" w:rsidRDefault="00B575B7" w:rsidP="00240EAF">
            <w:pPr>
              <w:pStyle w:val="NormalWeb"/>
              <w:jc w:val="center"/>
              <w:rPr>
                <w:sz w:val="18"/>
                <w:szCs w:val="18"/>
              </w:rPr>
            </w:pPr>
            <w:r w:rsidRPr="002759BA">
              <w:rPr>
                <w:sz w:val="18"/>
                <w:szCs w:val="18"/>
              </w:rPr>
              <w:t>54.9 (48.6–61.1)</w:t>
            </w:r>
          </w:p>
        </w:tc>
        <w:tc>
          <w:tcPr>
            <w:tcW w:w="0" w:type="auto"/>
            <w:hideMark/>
          </w:tcPr>
          <w:p w14:paraId="0B4487EF" w14:textId="77777777" w:rsidR="00B575B7" w:rsidRPr="002759BA" w:rsidRDefault="00B575B7" w:rsidP="00240EAF">
            <w:pPr>
              <w:pStyle w:val="NormalWeb"/>
              <w:jc w:val="center"/>
              <w:rPr>
                <w:sz w:val="18"/>
                <w:szCs w:val="18"/>
              </w:rPr>
            </w:pPr>
            <w:r w:rsidRPr="002759BA">
              <w:rPr>
                <w:sz w:val="18"/>
                <w:szCs w:val="18"/>
              </w:rPr>
              <w:t>47,107</w:t>
            </w:r>
          </w:p>
        </w:tc>
        <w:tc>
          <w:tcPr>
            <w:tcW w:w="0" w:type="auto"/>
            <w:hideMark/>
          </w:tcPr>
          <w:p w14:paraId="5F1F858F" w14:textId="77777777" w:rsidR="00B575B7" w:rsidRPr="002759BA" w:rsidRDefault="00B575B7" w:rsidP="00240EAF">
            <w:pPr>
              <w:pStyle w:val="NormalWeb"/>
              <w:jc w:val="center"/>
              <w:rPr>
                <w:sz w:val="18"/>
                <w:szCs w:val="18"/>
              </w:rPr>
            </w:pPr>
            <w:r w:rsidRPr="002759BA">
              <w:rPr>
                <w:sz w:val="18"/>
                <w:szCs w:val="18"/>
              </w:rPr>
              <w:t>65.5</w:t>
            </w:r>
          </w:p>
        </w:tc>
        <w:tc>
          <w:tcPr>
            <w:tcW w:w="2240" w:type="dxa"/>
            <w:hideMark/>
          </w:tcPr>
          <w:p w14:paraId="57539F75" w14:textId="77777777" w:rsidR="00B575B7" w:rsidRPr="002759BA" w:rsidRDefault="00B575B7" w:rsidP="00240EAF">
            <w:pPr>
              <w:pStyle w:val="NormalWeb"/>
              <w:jc w:val="center"/>
              <w:rPr>
                <w:sz w:val="18"/>
                <w:szCs w:val="18"/>
              </w:rPr>
            </w:pPr>
            <w:r w:rsidRPr="002759BA">
              <w:rPr>
                <w:sz w:val="18"/>
                <w:szCs w:val="18"/>
              </w:rPr>
              <w:t>53.5 (52.7–54.3)</w:t>
            </w:r>
          </w:p>
        </w:tc>
        <w:tc>
          <w:tcPr>
            <w:tcW w:w="950" w:type="dxa"/>
            <w:hideMark/>
          </w:tcPr>
          <w:p w14:paraId="3E19238C" w14:textId="77777777" w:rsidR="00B575B7" w:rsidRPr="002759BA" w:rsidRDefault="00B575B7" w:rsidP="00240EAF">
            <w:pPr>
              <w:pStyle w:val="NormalWeb"/>
              <w:jc w:val="center"/>
              <w:rPr>
                <w:sz w:val="18"/>
                <w:szCs w:val="18"/>
              </w:rPr>
            </w:pPr>
            <w:r w:rsidRPr="002759BA">
              <w:rPr>
                <w:sz w:val="18"/>
                <w:szCs w:val="18"/>
              </w:rPr>
              <w:t>0.663</w:t>
            </w:r>
          </w:p>
        </w:tc>
      </w:tr>
      <w:tr w:rsidR="00FD19FF" w:rsidRPr="002759BA" w14:paraId="1AD8ABA8" w14:textId="77777777" w:rsidTr="00A35124">
        <w:trPr>
          <w:cnfStyle w:val="000000010000" w:firstRow="0" w:lastRow="0" w:firstColumn="0" w:lastColumn="0" w:oddVBand="0" w:evenVBand="0" w:oddHBand="0" w:evenHBand="1" w:firstRowFirstColumn="0" w:firstRowLastColumn="0" w:lastRowFirstColumn="0" w:lastRowLastColumn="0"/>
        </w:trPr>
        <w:tc>
          <w:tcPr>
            <w:tcW w:w="3544" w:type="dxa"/>
            <w:hideMark/>
          </w:tcPr>
          <w:p w14:paraId="6632E997" w14:textId="77777777" w:rsidR="00B575B7" w:rsidRPr="002759BA" w:rsidRDefault="00B575B7">
            <w:pPr>
              <w:pStyle w:val="NormalWeb"/>
              <w:rPr>
                <w:sz w:val="18"/>
                <w:szCs w:val="18"/>
              </w:rPr>
            </w:pPr>
            <w:proofErr w:type="spellStart"/>
            <w:r w:rsidRPr="002759BA">
              <w:rPr>
                <w:sz w:val="18"/>
                <w:szCs w:val="18"/>
              </w:rPr>
              <w:t>Yes</w:t>
            </w:r>
            <w:r w:rsidRPr="002759BA">
              <w:rPr>
                <w:sz w:val="18"/>
                <w:szCs w:val="18"/>
                <w:vertAlign w:val="superscript"/>
              </w:rPr>
              <w:t>b</w:t>
            </w:r>
            <w:proofErr w:type="spellEnd"/>
          </w:p>
        </w:tc>
        <w:tc>
          <w:tcPr>
            <w:tcW w:w="1089" w:type="dxa"/>
            <w:hideMark/>
          </w:tcPr>
          <w:p w14:paraId="4A383174" w14:textId="77777777" w:rsidR="00B575B7" w:rsidRPr="002759BA" w:rsidRDefault="00B575B7" w:rsidP="00240EAF">
            <w:pPr>
              <w:pStyle w:val="NormalWeb"/>
              <w:jc w:val="center"/>
              <w:rPr>
                <w:sz w:val="18"/>
                <w:szCs w:val="18"/>
              </w:rPr>
            </w:pPr>
            <w:r w:rsidRPr="002759BA">
              <w:rPr>
                <w:sz w:val="18"/>
                <w:szCs w:val="18"/>
              </w:rPr>
              <w:t>220</w:t>
            </w:r>
          </w:p>
        </w:tc>
        <w:tc>
          <w:tcPr>
            <w:tcW w:w="0" w:type="auto"/>
            <w:hideMark/>
          </w:tcPr>
          <w:p w14:paraId="68CE02AF" w14:textId="77777777" w:rsidR="00B575B7" w:rsidRPr="002759BA" w:rsidRDefault="00B575B7" w:rsidP="00240EAF">
            <w:pPr>
              <w:pStyle w:val="NormalWeb"/>
              <w:jc w:val="center"/>
              <w:rPr>
                <w:sz w:val="18"/>
                <w:szCs w:val="18"/>
              </w:rPr>
            </w:pPr>
            <w:r w:rsidRPr="002759BA">
              <w:rPr>
                <w:sz w:val="18"/>
                <w:szCs w:val="18"/>
              </w:rPr>
              <w:t>45.4</w:t>
            </w:r>
          </w:p>
        </w:tc>
        <w:tc>
          <w:tcPr>
            <w:tcW w:w="0" w:type="auto"/>
            <w:hideMark/>
          </w:tcPr>
          <w:p w14:paraId="4249E1B8" w14:textId="77777777" w:rsidR="00B575B7" w:rsidRPr="002759BA" w:rsidRDefault="00B575B7" w:rsidP="00240EAF">
            <w:pPr>
              <w:pStyle w:val="NormalWeb"/>
              <w:jc w:val="center"/>
              <w:rPr>
                <w:sz w:val="18"/>
                <w:szCs w:val="18"/>
              </w:rPr>
            </w:pPr>
            <w:r w:rsidRPr="002759BA">
              <w:rPr>
                <w:sz w:val="18"/>
                <w:szCs w:val="18"/>
              </w:rPr>
              <w:t>41.4 (31.6–51.1)</w:t>
            </w:r>
          </w:p>
        </w:tc>
        <w:tc>
          <w:tcPr>
            <w:tcW w:w="0" w:type="auto"/>
            <w:hideMark/>
          </w:tcPr>
          <w:p w14:paraId="27652A22" w14:textId="77777777" w:rsidR="00B575B7" w:rsidRPr="002759BA" w:rsidRDefault="00B575B7" w:rsidP="00240EAF">
            <w:pPr>
              <w:pStyle w:val="NormalWeb"/>
              <w:jc w:val="center"/>
              <w:rPr>
                <w:sz w:val="18"/>
                <w:szCs w:val="18"/>
              </w:rPr>
            </w:pPr>
            <w:r w:rsidRPr="002759BA">
              <w:rPr>
                <w:sz w:val="18"/>
                <w:szCs w:val="18"/>
              </w:rPr>
              <w:t>33,548</w:t>
            </w:r>
          </w:p>
        </w:tc>
        <w:tc>
          <w:tcPr>
            <w:tcW w:w="0" w:type="auto"/>
            <w:hideMark/>
          </w:tcPr>
          <w:p w14:paraId="6F0E2F78" w14:textId="77777777" w:rsidR="00B575B7" w:rsidRPr="002759BA" w:rsidRDefault="00B575B7" w:rsidP="00240EAF">
            <w:pPr>
              <w:pStyle w:val="NormalWeb"/>
              <w:jc w:val="center"/>
              <w:rPr>
                <w:sz w:val="18"/>
                <w:szCs w:val="18"/>
              </w:rPr>
            </w:pPr>
            <w:r w:rsidRPr="002759BA">
              <w:rPr>
                <w:sz w:val="18"/>
                <w:szCs w:val="18"/>
              </w:rPr>
              <w:t>42.2</w:t>
            </w:r>
          </w:p>
        </w:tc>
        <w:tc>
          <w:tcPr>
            <w:tcW w:w="2240" w:type="dxa"/>
            <w:hideMark/>
          </w:tcPr>
          <w:p w14:paraId="0E3FF5A0" w14:textId="77777777" w:rsidR="00B575B7" w:rsidRPr="002759BA" w:rsidRDefault="00B575B7" w:rsidP="00240EAF">
            <w:pPr>
              <w:pStyle w:val="NormalWeb"/>
              <w:jc w:val="center"/>
              <w:rPr>
                <w:sz w:val="18"/>
                <w:szCs w:val="18"/>
              </w:rPr>
            </w:pPr>
            <w:r w:rsidRPr="002759BA">
              <w:rPr>
                <w:sz w:val="18"/>
                <w:szCs w:val="18"/>
              </w:rPr>
              <w:t>49.5 (48.7–50.3)</w:t>
            </w:r>
          </w:p>
        </w:tc>
        <w:tc>
          <w:tcPr>
            <w:tcW w:w="950" w:type="dxa"/>
            <w:hideMark/>
          </w:tcPr>
          <w:p w14:paraId="46BEA54F" w14:textId="77777777" w:rsidR="00B575B7" w:rsidRPr="002759BA" w:rsidRDefault="00B575B7" w:rsidP="00240EAF">
            <w:pPr>
              <w:pStyle w:val="NormalWeb"/>
              <w:jc w:val="center"/>
              <w:rPr>
                <w:sz w:val="18"/>
                <w:szCs w:val="18"/>
              </w:rPr>
            </w:pPr>
            <w:r w:rsidRPr="002759BA">
              <w:rPr>
                <w:sz w:val="18"/>
                <w:szCs w:val="18"/>
              </w:rPr>
              <w:t>0.104</w:t>
            </w:r>
          </w:p>
        </w:tc>
      </w:tr>
      <w:tr w:rsidR="00D74A2A" w:rsidRPr="002759BA" w14:paraId="3267A7FA" w14:textId="77777777" w:rsidTr="00A35124">
        <w:tc>
          <w:tcPr>
            <w:tcW w:w="3544" w:type="dxa"/>
            <w:hideMark/>
          </w:tcPr>
          <w:p w14:paraId="053E0B59" w14:textId="77777777" w:rsidR="00B575B7" w:rsidRPr="002759BA" w:rsidRDefault="00B575B7">
            <w:pPr>
              <w:pStyle w:val="NormalWeb"/>
              <w:rPr>
                <w:b/>
                <w:sz w:val="18"/>
                <w:szCs w:val="18"/>
              </w:rPr>
            </w:pPr>
            <w:r w:rsidRPr="002759BA">
              <w:rPr>
                <w:b/>
                <w:sz w:val="18"/>
                <w:szCs w:val="18"/>
              </w:rPr>
              <w:t>Smoking</w:t>
            </w:r>
          </w:p>
        </w:tc>
        <w:tc>
          <w:tcPr>
            <w:tcW w:w="1089" w:type="dxa"/>
            <w:hideMark/>
          </w:tcPr>
          <w:p w14:paraId="38461B77" w14:textId="77777777" w:rsidR="00B575B7" w:rsidRPr="002759BA" w:rsidRDefault="00B575B7" w:rsidP="00240EAF">
            <w:pPr>
              <w:jc w:val="center"/>
              <w:rPr>
                <w:b/>
                <w:sz w:val="18"/>
                <w:szCs w:val="18"/>
              </w:rPr>
            </w:pPr>
          </w:p>
        </w:tc>
        <w:tc>
          <w:tcPr>
            <w:tcW w:w="0" w:type="auto"/>
            <w:hideMark/>
          </w:tcPr>
          <w:p w14:paraId="74987EAB" w14:textId="77777777" w:rsidR="00B575B7" w:rsidRPr="002759BA" w:rsidRDefault="00B575B7" w:rsidP="00240EAF">
            <w:pPr>
              <w:jc w:val="center"/>
              <w:rPr>
                <w:rFonts w:eastAsia="Times New Roman"/>
                <w:b/>
                <w:sz w:val="18"/>
                <w:szCs w:val="18"/>
              </w:rPr>
            </w:pPr>
          </w:p>
        </w:tc>
        <w:tc>
          <w:tcPr>
            <w:tcW w:w="0" w:type="auto"/>
            <w:hideMark/>
          </w:tcPr>
          <w:p w14:paraId="1940492E" w14:textId="77777777" w:rsidR="00B575B7" w:rsidRPr="002759BA" w:rsidRDefault="00B575B7" w:rsidP="00240EAF">
            <w:pPr>
              <w:jc w:val="center"/>
              <w:rPr>
                <w:rFonts w:eastAsia="Times New Roman"/>
                <w:b/>
                <w:sz w:val="18"/>
                <w:szCs w:val="18"/>
              </w:rPr>
            </w:pPr>
          </w:p>
        </w:tc>
        <w:tc>
          <w:tcPr>
            <w:tcW w:w="0" w:type="auto"/>
            <w:hideMark/>
          </w:tcPr>
          <w:p w14:paraId="52442248" w14:textId="77777777" w:rsidR="00B575B7" w:rsidRPr="002759BA" w:rsidRDefault="00B575B7" w:rsidP="00240EAF">
            <w:pPr>
              <w:jc w:val="center"/>
              <w:rPr>
                <w:rFonts w:eastAsia="Times New Roman"/>
                <w:b/>
                <w:sz w:val="18"/>
                <w:szCs w:val="18"/>
              </w:rPr>
            </w:pPr>
          </w:p>
        </w:tc>
        <w:tc>
          <w:tcPr>
            <w:tcW w:w="0" w:type="auto"/>
            <w:hideMark/>
          </w:tcPr>
          <w:p w14:paraId="1AE40351" w14:textId="77777777" w:rsidR="00B575B7" w:rsidRPr="002759BA" w:rsidRDefault="00B575B7" w:rsidP="00240EAF">
            <w:pPr>
              <w:jc w:val="center"/>
              <w:rPr>
                <w:rFonts w:eastAsia="Times New Roman"/>
                <w:b/>
                <w:sz w:val="18"/>
                <w:szCs w:val="18"/>
              </w:rPr>
            </w:pPr>
          </w:p>
        </w:tc>
        <w:tc>
          <w:tcPr>
            <w:tcW w:w="2240" w:type="dxa"/>
            <w:hideMark/>
          </w:tcPr>
          <w:p w14:paraId="38600821" w14:textId="77777777" w:rsidR="00B575B7" w:rsidRPr="002759BA" w:rsidRDefault="00B575B7" w:rsidP="00240EAF">
            <w:pPr>
              <w:jc w:val="center"/>
              <w:rPr>
                <w:rFonts w:eastAsia="Times New Roman"/>
                <w:b/>
                <w:sz w:val="18"/>
                <w:szCs w:val="18"/>
              </w:rPr>
            </w:pPr>
          </w:p>
        </w:tc>
        <w:tc>
          <w:tcPr>
            <w:tcW w:w="950" w:type="dxa"/>
            <w:hideMark/>
          </w:tcPr>
          <w:p w14:paraId="57249B53" w14:textId="77777777" w:rsidR="00B575B7" w:rsidRPr="002759BA" w:rsidRDefault="00B575B7" w:rsidP="00240EAF">
            <w:pPr>
              <w:jc w:val="center"/>
              <w:rPr>
                <w:rFonts w:eastAsia="Times New Roman"/>
                <w:b/>
                <w:sz w:val="18"/>
                <w:szCs w:val="18"/>
              </w:rPr>
            </w:pPr>
          </w:p>
        </w:tc>
      </w:tr>
      <w:tr w:rsidR="00FD19FF" w:rsidRPr="002759BA" w14:paraId="30AC97C8" w14:textId="77777777" w:rsidTr="00A35124">
        <w:trPr>
          <w:cnfStyle w:val="000000010000" w:firstRow="0" w:lastRow="0" w:firstColumn="0" w:lastColumn="0" w:oddVBand="0" w:evenVBand="0" w:oddHBand="0" w:evenHBand="1" w:firstRowFirstColumn="0" w:firstRowLastColumn="0" w:lastRowFirstColumn="0" w:lastRowLastColumn="0"/>
        </w:trPr>
        <w:tc>
          <w:tcPr>
            <w:tcW w:w="3544" w:type="dxa"/>
            <w:hideMark/>
          </w:tcPr>
          <w:p w14:paraId="4DA40014" w14:textId="77777777" w:rsidR="00B575B7" w:rsidRPr="002759BA" w:rsidRDefault="00B575B7">
            <w:pPr>
              <w:pStyle w:val="NormalWeb"/>
              <w:rPr>
                <w:sz w:val="18"/>
                <w:szCs w:val="18"/>
              </w:rPr>
            </w:pPr>
            <w:r w:rsidRPr="002759BA">
              <w:rPr>
                <w:sz w:val="18"/>
                <w:szCs w:val="18"/>
              </w:rPr>
              <w:t>Never</w:t>
            </w:r>
          </w:p>
        </w:tc>
        <w:tc>
          <w:tcPr>
            <w:tcW w:w="1089" w:type="dxa"/>
            <w:hideMark/>
          </w:tcPr>
          <w:p w14:paraId="27A3EC70" w14:textId="77777777" w:rsidR="00B575B7" w:rsidRPr="002759BA" w:rsidRDefault="00B575B7" w:rsidP="00240EAF">
            <w:pPr>
              <w:pStyle w:val="NormalWeb"/>
              <w:jc w:val="center"/>
              <w:rPr>
                <w:sz w:val="18"/>
                <w:szCs w:val="18"/>
              </w:rPr>
            </w:pPr>
            <w:r w:rsidRPr="002759BA">
              <w:rPr>
                <w:sz w:val="18"/>
                <w:szCs w:val="18"/>
              </w:rPr>
              <w:t>259</w:t>
            </w:r>
          </w:p>
        </w:tc>
        <w:tc>
          <w:tcPr>
            <w:tcW w:w="0" w:type="auto"/>
            <w:hideMark/>
          </w:tcPr>
          <w:p w14:paraId="56B2511D" w14:textId="77777777" w:rsidR="00B575B7" w:rsidRPr="002759BA" w:rsidRDefault="00B575B7" w:rsidP="00240EAF">
            <w:pPr>
              <w:pStyle w:val="NormalWeb"/>
              <w:jc w:val="center"/>
              <w:rPr>
                <w:sz w:val="18"/>
                <w:szCs w:val="18"/>
              </w:rPr>
            </w:pPr>
            <w:r w:rsidRPr="002759BA">
              <w:rPr>
                <w:sz w:val="18"/>
                <w:szCs w:val="18"/>
              </w:rPr>
              <w:t>54.4</w:t>
            </w:r>
          </w:p>
        </w:tc>
        <w:tc>
          <w:tcPr>
            <w:tcW w:w="0" w:type="auto"/>
            <w:hideMark/>
          </w:tcPr>
          <w:p w14:paraId="11DEA9DE" w14:textId="77777777" w:rsidR="00B575B7" w:rsidRPr="002759BA" w:rsidRDefault="00B575B7" w:rsidP="00240EAF">
            <w:pPr>
              <w:pStyle w:val="NormalWeb"/>
              <w:jc w:val="center"/>
              <w:rPr>
                <w:sz w:val="18"/>
                <w:szCs w:val="18"/>
              </w:rPr>
            </w:pPr>
            <w:r w:rsidRPr="002759BA">
              <w:rPr>
                <w:sz w:val="18"/>
                <w:szCs w:val="18"/>
              </w:rPr>
              <w:t>54.2 (47.6–60.9)</w:t>
            </w:r>
          </w:p>
        </w:tc>
        <w:tc>
          <w:tcPr>
            <w:tcW w:w="0" w:type="auto"/>
            <w:hideMark/>
          </w:tcPr>
          <w:p w14:paraId="26276571" w14:textId="77777777" w:rsidR="00B575B7" w:rsidRPr="002759BA" w:rsidRDefault="00B575B7" w:rsidP="00240EAF">
            <w:pPr>
              <w:pStyle w:val="NormalWeb"/>
              <w:jc w:val="center"/>
              <w:rPr>
                <w:sz w:val="18"/>
                <w:szCs w:val="18"/>
              </w:rPr>
            </w:pPr>
            <w:r w:rsidRPr="002759BA">
              <w:rPr>
                <w:sz w:val="18"/>
                <w:szCs w:val="18"/>
              </w:rPr>
              <w:t>49,538</w:t>
            </w:r>
          </w:p>
        </w:tc>
        <w:tc>
          <w:tcPr>
            <w:tcW w:w="0" w:type="auto"/>
            <w:hideMark/>
          </w:tcPr>
          <w:p w14:paraId="506B77F1" w14:textId="77777777" w:rsidR="00B575B7" w:rsidRPr="002759BA" w:rsidRDefault="00B575B7" w:rsidP="00240EAF">
            <w:pPr>
              <w:pStyle w:val="NormalWeb"/>
              <w:jc w:val="center"/>
              <w:rPr>
                <w:sz w:val="18"/>
                <w:szCs w:val="18"/>
              </w:rPr>
            </w:pPr>
            <w:r w:rsidRPr="002759BA">
              <w:rPr>
                <w:sz w:val="18"/>
                <w:szCs w:val="18"/>
              </w:rPr>
              <w:t>55.7</w:t>
            </w:r>
          </w:p>
        </w:tc>
        <w:tc>
          <w:tcPr>
            <w:tcW w:w="2240" w:type="dxa"/>
            <w:hideMark/>
          </w:tcPr>
          <w:p w14:paraId="45E534DD" w14:textId="77777777" w:rsidR="00B575B7" w:rsidRPr="002759BA" w:rsidRDefault="00B575B7" w:rsidP="00240EAF">
            <w:pPr>
              <w:pStyle w:val="NormalWeb"/>
              <w:jc w:val="center"/>
              <w:rPr>
                <w:sz w:val="18"/>
                <w:szCs w:val="18"/>
              </w:rPr>
            </w:pPr>
            <w:r w:rsidRPr="002759BA">
              <w:rPr>
                <w:sz w:val="18"/>
                <w:szCs w:val="18"/>
              </w:rPr>
              <w:t>52.8 (52.3–53.2)</w:t>
            </w:r>
          </w:p>
        </w:tc>
        <w:tc>
          <w:tcPr>
            <w:tcW w:w="950" w:type="dxa"/>
            <w:hideMark/>
          </w:tcPr>
          <w:p w14:paraId="0529D3BC" w14:textId="77777777" w:rsidR="00B575B7" w:rsidRPr="002759BA" w:rsidRDefault="00B575B7" w:rsidP="00240EAF">
            <w:pPr>
              <w:pStyle w:val="NormalWeb"/>
              <w:jc w:val="center"/>
              <w:rPr>
                <w:sz w:val="18"/>
                <w:szCs w:val="18"/>
              </w:rPr>
            </w:pPr>
            <w:r w:rsidRPr="002759BA">
              <w:rPr>
                <w:sz w:val="18"/>
                <w:szCs w:val="18"/>
              </w:rPr>
              <w:t>0.680</w:t>
            </w:r>
          </w:p>
        </w:tc>
      </w:tr>
      <w:tr w:rsidR="00D74A2A" w:rsidRPr="002759BA" w14:paraId="2696537A" w14:textId="77777777" w:rsidTr="00A35124">
        <w:tc>
          <w:tcPr>
            <w:tcW w:w="3544" w:type="dxa"/>
            <w:hideMark/>
          </w:tcPr>
          <w:p w14:paraId="6847AE3E" w14:textId="77777777" w:rsidR="00B575B7" w:rsidRPr="002759BA" w:rsidRDefault="00B575B7">
            <w:pPr>
              <w:pStyle w:val="NormalWeb"/>
              <w:rPr>
                <w:sz w:val="18"/>
                <w:szCs w:val="18"/>
              </w:rPr>
            </w:pPr>
            <w:r w:rsidRPr="002759BA">
              <w:rPr>
                <w:sz w:val="18"/>
                <w:szCs w:val="18"/>
              </w:rPr>
              <w:t>Past</w:t>
            </w:r>
          </w:p>
        </w:tc>
        <w:tc>
          <w:tcPr>
            <w:tcW w:w="1089" w:type="dxa"/>
            <w:hideMark/>
          </w:tcPr>
          <w:p w14:paraId="20F47184" w14:textId="77777777" w:rsidR="00B575B7" w:rsidRPr="002759BA" w:rsidRDefault="00B575B7" w:rsidP="00240EAF">
            <w:pPr>
              <w:pStyle w:val="NormalWeb"/>
              <w:jc w:val="center"/>
              <w:rPr>
                <w:sz w:val="18"/>
                <w:szCs w:val="18"/>
              </w:rPr>
            </w:pPr>
            <w:r w:rsidRPr="002759BA">
              <w:rPr>
                <w:sz w:val="18"/>
                <w:szCs w:val="18"/>
              </w:rPr>
              <w:t>233</w:t>
            </w:r>
          </w:p>
        </w:tc>
        <w:tc>
          <w:tcPr>
            <w:tcW w:w="0" w:type="auto"/>
            <w:hideMark/>
          </w:tcPr>
          <w:p w14:paraId="5CB3AB7E" w14:textId="77777777" w:rsidR="00B575B7" w:rsidRPr="002759BA" w:rsidRDefault="00B575B7" w:rsidP="00240EAF">
            <w:pPr>
              <w:pStyle w:val="NormalWeb"/>
              <w:jc w:val="center"/>
              <w:rPr>
                <w:sz w:val="18"/>
                <w:szCs w:val="18"/>
              </w:rPr>
            </w:pPr>
            <w:r w:rsidRPr="002759BA">
              <w:rPr>
                <w:sz w:val="18"/>
                <w:szCs w:val="18"/>
              </w:rPr>
              <w:t>56.6</w:t>
            </w:r>
          </w:p>
        </w:tc>
        <w:tc>
          <w:tcPr>
            <w:tcW w:w="0" w:type="auto"/>
            <w:hideMark/>
          </w:tcPr>
          <w:p w14:paraId="73C6F91B" w14:textId="77777777" w:rsidR="00B575B7" w:rsidRPr="002759BA" w:rsidRDefault="00B575B7" w:rsidP="00240EAF">
            <w:pPr>
              <w:pStyle w:val="NormalWeb"/>
              <w:jc w:val="center"/>
              <w:rPr>
                <w:sz w:val="18"/>
                <w:szCs w:val="18"/>
              </w:rPr>
            </w:pPr>
            <w:r w:rsidRPr="002759BA">
              <w:rPr>
                <w:sz w:val="18"/>
                <w:szCs w:val="18"/>
              </w:rPr>
              <w:t>57.3 (50.4–64.2)</w:t>
            </w:r>
          </w:p>
        </w:tc>
        <w:tc>
          <w:tcPr>
            <w:tcW w:w="0" w:type="auto"/>
            <w:hideMark/>
          </w:tcPr>
          <w:p w14:paraId="334F7613" w14:textId="77777777" w:rsidR="00B575B7" w:rsidRPr="002759BA" w:rsidRDefault="00B575B7" w:rsidP="00240EAF">
            <w:pPr>
              <w:pStyle w:val="NormalWeb"/>
              <w:jc w:val="center"/>
              <w:rPr>
                <w:sz w:val="18"/>
                <w:szCs w:val="18"/>
              </w:rPr>
            </w:pPr>
            <w:r w:rsidRPr="002759BA">
              <w:rPr>
                <w:sz w:val="18"/>
                <w:szCs w:val="18"/>
              </w:rPr>
              <w:t>26,945</w:t>
            </w:r>
          </w:p>
        </w:tc>
        <w:tc>
          <w:tcPr>
            <w:tcW w:w="0" w:type="auto"/>
            <w:hideMark/>
          </w:tcPr>
          <w:p w14:paraId="0A7174B9" w14:textId="77777777" w:rsidR="00B575B7" w:rsidRPr="002759BA" w:rsidRDefault="00B575B7" w:rsidP="00240EAF">
            <w:pPr>
              <w:pStyle w:val="NormalWeb"/>
              <w:jc w:val="center"/>
              <w:rPr>
                <w:sz w:val="18"/>
                <w:szCs w:val="18"/>
              </w:rPr>
            </w:pPr>
            <w:r w:rsidRPr="002759BA">
              <w:rPr>
                <w:sz w:val="18"/>
                <w:szCs w:val="18"/>
              </w:rPr>
              <w:t>57.6</w:t>
            </w:r>
          </w:p>
        </w:tc>
        <w:tc>
          <w:tcPr>
            <w:tcW w:w="2240" w:type="dxa"/>
            <w:hideMark/>
          </w:tcPr>
          <w:p w14:paraId="3D978B10" w14:textId="77777777" w:rsidR="00B575B7" w:rsidRPr="002759BA" w:rsidRDefault="00B575B7" w:rsidP="00240EAF">
            <w:pPr>
              <w:pStyle w:val="NormalWeb"/>
              <w:jc w:val="center"/>
              <w:rPr>
                <w:sz w:val="18"/>
                <w:szCs w:val="18"/>
              </w:rPr>
            </w:pPr>
            <w:r w:rsidRPr="002759BA">
              <w:rPr>
                <w:sz w:val="18"/>
                <w:szCs w:val="18"/>
              </w:rPr>
              <w:t>53.7 (53.1–54.4)</w:t>
            </w:r>
          </w:p>
        </w:tc>
        <w:tc>
          <w:tcPr>
            <w:tcW w:w="950" w:type="dxa"/>
            <w:hideMark/>
          </w:tcPr>
          <w:p w14:paraId="79BEC4F1" w14:textId="77777777" w:rsidR="00B575B7" w:rsidRPr="002759BA" w:rsidRDefault="00B575B7" w:rsidP="00240EAF">
            <w:pPr>
              <w:pStyle w:val="NormalWeb"/>
              <w:jc w:val="center"/>
              <w:rPr>
                <w:sz w:val="18"/>
                <w:szCs w:val="18"/>
              </w:rPr>
            </w:pPr>
            <w:r w:rsidRPr="002759BA">
              <w:rPr>
                <w:sz w:val="18"/>
                <w:szCs w:val="18"/>
              </w:rPr>
              <w:t>0.308</w:t>
            </w:r>
          </w:p>
        </w:tc>
      </w:tr>
      <w:tr w:rsidR="00FD19FF" w:rsidRPr="002759BA" w14:paraId="64521CCA" w14:textId="77777777" w:rsidTr="00A35124">
        <w:trPr>
          <w:cnfStyle w:val="000000010000" w:firstRow="0" w:lastRow="0" w:firstColumn="0" w:lastColumn="0" w:oddVBand="0" w:evenVBand="0" w:oddHBand="0" w:evenHBand="1" w:firstRowFirstColumn="0" w:firstRowLastColumn="0" w:lastRowFirstColumn="0" w:lastRowLastColumn="0"/>
        </w:trPr>
        <w:tc>
          <w:tcPr>
            <w:tcW w:w="3544" w:type="dxa"/>
            <w:hideMark/>
          </w:tcPr>
          <w:p w14:paraId="700D47F5" w14:textId="77777777" w:rsidR="00B575B7" w:rsidRPr="002759BA" w:rsidRDefault="00B575B7">
            <w:pPr>
              <w:pStyle w:val="NormalWeb"/>
              <w:rPr>
                <w:sz w:val="18"/>
                <w:szCs w:val="18"/>
              </w:rPr>
            </w:pPr>
            <w:r w:rsidRPr="002759BA">
              <w:rPr>
                <w:sz w:val="18"/>
                <w:szCs w:val="18"/>
              </w:rPr>
              <w:t>Current</w:t>
            </w:r>
          </w:p>
        </w:tc>
        <w:tc>
          <w:tcPr>
            <w:tcW w:w="1089" w:type="dxa"/>
            <w:hideMark/>
          </w:tcPr>
          <w:p w14:paraId="488E7DA3" w14:textId="77777777" w:rsidR="00B575B7" w:rsidRPr="002759BA" w:rsidRDefault="00B575B7" w:rsidP="00240EAF">
            <w:pPr>
              <w:pStyle w:val="NormalWeb"/>
              <w:jc w:val="center"/>
              <w:rPr>
                <w:sz w:val="18"/>
                <w:szCs w:val="18"/>
              </w:rPr>
            </w:pPr>
            <w:r w:rsidRPr="002759BA">
              <w:rPr>
                <w:sz w:val="18"/>
                <w:szCs w:val="18"/>
              </w:rPr>
              <w:t>60</w:t>
            </w:r>
          </w:p>
        </w:tc>
        <w:tc>
          <w:tcPr>
            <w:tcW w:w="0" w:type="auto"/>
            <w:hideMark/>
          </w:tcPr>
          <w:p w14:paraId="1D76A4F8" w14:textId="77777777" w:rsidR="00B575B7" w:rsidRPr="002759BA" w:rsidRDefault="00B575B7" w:rsidP="00240EAF">
            <w:pPr>
              <w:pStyle w:val="NormalWeb"/>
              <w:jc w:val="center"/>
              <w:rPr>
                <w:sz w:val="18"/>
                <w:szCs w:val="18"/>
              </w:rPr>
            </w:pPr>
            <w:r w:rsidRPr="002759BA">
              <w:rPr>
                <w:sz w:val="18"/>
                <w:szCs w:val="18"/>
              </w:rPr>
              <w:t>46.7</w:t>
            </w:r>
          </w:p>
        </w:tc>
        <w:tc>
          <w:tcPr>
            <w:tcW w:w="0" w:type="auto"/>
            <w:hideMark/>
          </w:tcPr>
          <w:p w14:paraId="6BA36DE5" w14:textId="77777777" w:rsidR="00B575B7" w:rsidRPr="002759BA" w:rsidRDefault="00B575B7" w:rsidP="00240EAF">
            <w:pPr>
              <w:pStyle w:val="NormalWeb"/>
              <w:jc w:val="center"/>
              <w:rPr>
                <w:sz w:val="18"/>
                <w:szCs w:val="18"/>
              </w:rPr>
            </w:pPr>
            <w:r w:rsidRPr="002759BA">
              <w:rPr>
                <w:sz w:val="18"/>
                <w:szCs w:val="18"/>
              </w:rPr>
              <w:t>40.7 (29.6–51.8)</w:t>
            </w:r>
          </w:p>
        </w:tc>
        <w:tc>
          <w:tcPr>
            <w:tcW w:w="0" w:type="auto"/>
            <w:hideMark/>
          </w:tcPr>
          <w:p w14:paraId="77BBE60B" w14:textId="77777777" w:rsidR="00B575B7" w:rsidRPr="002759BA" w:rsidRDefault="00B575B7" w:rsidP="00240EAF">
            <w:pPr>
              <w:pStyle w:val="NormalWeb"/>
              <w:jc w:val="center"/>
              <w:rPr>
                <w:sz w:val="18"/>
                <w:szCs w:val="18"/>
              </w:rPr>
            </w:pPr>
            <w:r w:rsidRPr="002759BA">
              <w:rPr>
                <w:sz w:val="18"/>
                <w:szCs w:val="18"/>
              </w:rPr>
              <w:t>3,183</w:t>
            </w:r>
          </w:p>
        </w:tc>
        <w:tc>
          <w:tcPr>
            <w:tcW w:w="0" w:type="auto"/>
            <w:hideMark/>
          </w:tcPr>
          <w:p w14:paraId="7E753DF0" w14:textId="77777777" w:rsidR="00B575B7" w:rsidRPr="002759BA" w:rsidRDefault="00B575B7" w:rsidP="00240EAF">
            <w:pPr>
              <w:pStyle w:val="NormalWeb"/>
              <w:jc w:val="center"/>
              <w:rPr>
                <w:sz w:val="18"/>
                <w:szCs w:val="18"/>
              </w:rPr>
            </w:pPr>
            <w:r w:rsidRPr="002759BA">
              <w:rPr>
                <w:sz w:val="18"/>
                <w:szCs w:val="18"/>
              </w:rPr>
              <w:t>39.9</w:t>
            </w:r>
          </w:p>
        </w:tc>
        <w:tc>
          <w:tcPr>
            <w:tcW w:w="2240" w:type="dxa"/>
            <w:hideMark/>
          </w:tcPr>
          <w:p w14:paraId="72D60975" w14:textId="77777777" w:rsidR="00B575B7" w:rsidRPr="002759BA" w:rsidRDefault="00B575B7" w:rsidP="00240EAF">
            <w:pPr>
              <w:pStyle w:val="NormalWeb"/>
              <w:jc w:val="center"/>
              <w:rPr>
                <w:sz w:val="18"/>
                <w:szCs w:val="18"/>
              </w:rPr>
            </w:pPr>
            <w:r w:rsidRPr="002759BA">
              <w:rPr>
                <w:sz w:val="18"/>
                <w:szCs w:val="18"/>
              </w:rPr>
              <w:t>44.8 (42.8–46.8)</w:t>
            </w:r>
          </w:p>
        </w:tc>
        <w:tc>
          <w:tcPr>
            <w:tcW w:w="950" w:type="dxa"/>
            <w:hideMark/>
          </w:tcPr>
          <w:p w14:paraId="1835D5A7" w14:textId="77777777" w:rsidR="00B575B7" w:rsidRPr="002759BA" w:rsidRDefault="00B575B7" w:rsidP="00240EAF">
            <w:pPr>
              <w:pStyle w:val="NormalWeb"/>
              <w:jc w:val="center"/>
              <w:rPr>
                <w:sz w:val="18"/>
                <w:szCs w:val="18"/>
              </w:rPr>
            </w:pPr>
            <w:r w:rsidRPr="002759BA">
              <w:rPr>
                <w:sz w:val="18"/>
                <w:szCs w:val="18"/>
              </w:rPr>
              <w:t>0.476</w:t>
            </w:r>
          </w:p>
        </w:tc>
      </w:tr>
      <w:tr w:rsidR="00D74A2A" w:rsidRPr="002759BA" w14:paraId="428E2034" w14:textId="77777777" w:rsidTr="00A35124">
        <w:tc>
          <w:tcPr>
            <w:tcW w:w="3544" w:type="dxa"/>
            <w:hideMark/>
          </w:tcPr>
          <w:p w14:paraId="3D276945" w14:textId="77777777" w:rsidR="00B575B7" w:rsidRPr="002759BA" w:rsidRDefault="00B575B7">
            <w:pPr>
              <w:pStyle w:val="NormalWeb"/>
              <w:rPr>
                <w:b/>
                <w:sz w:val="18"/>
                <w:szCs w:val="18"/>
              </w:rPr>
            </w:pPr>
            <w:r w:rsidRPr="002759BA">
              <w:rPr>
                <w:b/>
                <w:sz w:val="18"/>
                <w:szCs w:val="18"/>
              </w:rPr>
              <w:t>Alcohol consumption/week</w:t>
            </w:r>
          </w:p>
        </w:tc>
        <w:tc>
          <w:tcPr>
            <w:tcW w:w="1089" w:type="dxa"/>
            <w:hideMark/>
          </w:tcPr>
          <w:p w14:paraId="2BFE4785" w14:textId="77777777" w:rsidR="00B575B7" w:rsidRPr="002759BA" w:rsidRDefault="00B575B7" w:rsidP="00240EAF">
            <w:pPr>
              <w:jc w:val="center"/>
              <w:rPr>
                <w:b/>
                <w:sz w:val="18"/>
                <w:szCs w:val="18"/>
              </w:rPr>
            </w:pPr>
          </w:p>
        </w:tc>
        <w:tc>
          <w:tcPr>
            <w:tcW w:w="0" w:type="auto"/>
            <w:hideMark/>
          </w:tcPr>
          <w:p w14:paraId="550A8FC8" w14:textId="77777777" w:rsidR="00B575B7" w:rsidRPr="002759BA" w:rsidRDefault="00B575B7" w:rsidP="00240EAF">
            <w:pPr>
              <w:jc w:val="center"/>
              <w:rPr>
                <w:rFonts w:eastAsia="Times New Roman"/>
                <w:b/>
                <w:sz w:val="18"/>
                <w:szCs w:val="18"/>
              </w:rPr>
            </w:pPr>
          </w:p>
        </w:tc>
        <w:tc>
          <w:tcPr>
            <w:tcW w:w="0" w:type="auto"/>
            <w:hideMark/>
          </w:tcPr>
          <w:p w14:paraId="113ADD07" w14:textId="77777777" w:rsidR="00B575B7" w:rsidRPr="002759BA" w:rsidRDefault="00B575B7" w:rsidP="00240EAF">
            <w:pPr>
              <w:jc w:val="center"/>
              <w:rPr>
                <w:rFonts w:eastAsia="Times New Roman"/>
                <w:b/>
                <w:sz w:val="18"/>
                <w:szCs w:val="18"/>
              </w:rPr>
            </w:pPr>
          </w:p>
        </w:tc>
        <w:tc>
          <w:tcPr>
            <w:tcW w:w="0" w:type="auto"/>
            <w:hideMark/>
          </w:tcPr>
          <w:p w14:paraId="1A3E0234" w14:textId="77777777" w:rsidR="00B575B7" w:rsidRPr="002759BA" w:rsidRDefault="00B575B7" w:rsidP="00240EAF">
            <w:pPr>
              <w:jc w:val="center"/>
              <w:rPr>
                <w:rFonts w:eastAsia="Times New Roman"/>
                <w:b/>
                <w:sz w:val="18"/>
                <w:szCs w:val="18"/>
              </w:rPr>
            </w:pPr>
          </w:p>
        </w:tc>
        <w:tc>
          <w:tcPr>
            <w:tcW w:w="0" w:type="auto"/>
            <w:hideMark/>
          </w:tcPr>
          <w:p w14:paraId="57E74241" w14:textId="77777777" w:rsidR="00B575B7" w:rsidRPr="002759BA" w:rsidRDefault="00B575B7" w:rsidP="00240EAF">
            <w:pPr>
              <w:jc w:val="center"/>
              <w:rPr>
                <w:rFonts w:eastAsia="Times New Roman"/>
                <w:b/>
                <w:sz w:val="18"/>
                <w:szCs w:val="18"/>
              </w:rPr>
            </w:pPr>
          </w:p>
        </w:tc>
        <w:tc>
          <w:tcPr>
            <w:tcW w:w="2240" w:type="dxa"/>
            <w:hideMark/>
          </w:tcPr>
          <w:p w14:paraId="5DE5AEBF" w14:textId="77777777" w:rsidR="00B575B7" w:rsidRPr="002759BA" w:rsidRDefault="00B575B7" w:rsidP="00240EAF">
            <w:pPr>
              <w:jc w:val="center"/>
              <w:rPr>
                <w:rFonts w:eastAsia="Times New Roman"/>
                <w:b/>
                <w:sz w:val="18"/>
                <w:szCs w:val="18"/>
              </w:rPr>
            </w:pPr>
          </w:p>
        </w:tc>
        <w:tc>
          <w:tcPr>
            <w:tcW w:w="950" w:type="dxa"/>
            <w:hideMark/>
          </w:tcPr>
          <w:p w14:paraId="4F6DCE3F" w14:textId="77777777" w:rsidR="00B575B7" w:rsidRPr="002759BA" w:rsidRDefault="00B575B7" w:rsidP="00240EAF">
            <w:pPr>
              <w:jc w:val="center"/>
              <w:rPr>
                <w:rFonts w:eastAsia="Times New Roman"/>
                <w:b/>
                <w:sz w:val="18"/>
                <w:szCs w:val="18"/>
              </w:rPr>
            </w:pPr>
          </w:p>
        </w:tc>
      </w:tr>
      <w:tr w:rsidR="00FD19FF" w:rsidRPr="002759BA" w14:paraId="736E33A1" w14:textId="77777777" w:rsidTr="00A35124">
        <w:trPr>
          <w:cnfStyle w:val="000000010000" w:firstRow="0" w:lastRow="0" w:firstColumn="0" w:lastColumn="0" w:oddVBand="0" w:evenVBand="0" w:oddHBand="0" w:evenHBand="1" w:firstRowFirstColumn="0" w:firstRowLastColumn="0" w:lastRowFirstColumn="0" w:lastRowLastColumn="0"/>
        </w:trPr>
        <w:tc>
          <w:tcPr>
            <w:tcW w:w="3544" w:type="dxa"/>
            <w:hideMark/>
          </w:tcPr>
          <w:p w14:paraId="61763225" w14:textId="77777777" w:rsidR="00B575B7" w:rsidRPr="002759BA" w:rsidRDefault="00B575B7">
            <w:pPr>
              <w:pStyle w:val="NormalWeb"/>
              <w:rPr>
                <w:sz w:val="18"/>
                <w:szCs w:val="18"/>
              </w:rPr>
            </w:pPr>
            <w:r w:rsidRPr="002759BA">
              <w:rPr>
                <w:sz w:val="18"/>
                <w:szCs w:val="18"/>
              </w:rPr>
              <w:t>None</w:t>
            </w:r>
          </w:p>
        </w:tc>
        <w:tc>
          <w:tcPr>
            <w:tcW w:w="1089" w:type="dxa"/>
            <w:hideMark/>
          </w:tcPr>
          <w:p w14:paraId="0E6EABAE" w14:textId="77777777" w:rsidR="00B575B7" w:rsidRPr="002759BA" w:rsidRDefault="00B575B7" w:rsidP="00240EAF">
            <w:pPr>
              <w:pStyle w:val="NormalWeb"/>
              <w:jc w:val="center"/>
              <w:rPr>
                <w:sz w:val="18"/>
                <w:szCs w:val="18"/>
              </w:rPr>
            </w:pPr>
            <w:r w:rsidRPr="002759BA">
              <w:rPr>
                <w:sz w:val="18"/>
                <w:szCs w:val="18"/>
              </w:rPr>
              <w:t>229</w:t>
            </w:r>
          </w:p>
        </w:tc>
        <w:tc>
          <w:tcPr>
            <w:tcW w:w="0" w:type="auto"/>
            <w:hideMark/>
          </w:tcPr>
          <w:p w14:paraId="46BCFDD0" w14:textId="77777777" w:rsidR="00B575B7" w:rsidRPr="002759BA" w:rsidRDefault="00B575B7" w:rsidP="00240EAF">
            <w:pPr>
              <w:pStyle w:val="NormalWeb"/>
              <w:jc w:val="center"/>
              <w:rPr>
                <w:sz w:val="18"/>
                <w:szCs w:val="18"/>
              </w:rPr>
            </w:pPr>
            <w:r w:rsidRPr="002759BA">
              <w:rPr>
                <w:sz w:val="18"/>
                <w:szCs w:val="18"/>
              </w:rPr>
              <w:t>56.7</w:t>
            </w:r>
          </w:p>
        </w:tc>
        <w:tc>
          <w:tcPr>
            <w:tcW w:w="0" w:type="auto"/>
            <w:hideMark/>
          </w:tcPr>
          <w:p w14:paraId="5B61F8F7" w14:textId="77777777" w:rsidR="00B575B7" w:rsidRPr="002759BA" w:rsidRDefault="00B575B7" w:rsidP="00240EAF">
            <w:pPr>
              <w:pStyle w:val="NormalWeb"/>
              <w:jc w:val="center"/>
              <w:rPr>
                <w:sz w:val="18"/>
                <w:szCs w:val="18"/>
              </w:rPr>
            </w:pPr>
            <w:r w:rsidRPr="002759BA">
              <w:rPr>
                <w:sz w:val="18"/>
                <w:szCs w:val="18"/>
              </w:rPr>
              <w:t>55.4 (48.0–62.7)</w:t>
            </w:r>
          </w:p>
        </w:tc>
        <w:tc>
          <w:tcPr>
            <w:tcW w:w="0" w:type="auto"/>
            <w:hideMark/>
          </w:tcPr>
          <w:p w14:paraId="589904DB" w14:textId="77777777" w:rsidR="00B575B7" w:rsidRPr="002759BA" w:rsidRDefault="00B575B7" w:rsidP="00240EAF">
            <w:pPr>
              <w:pStyle w:val="NormalWeb"/>
              <w:jc w:val="center"/>
              <w:rPr>
                <w:sz w:val="18"/>
                <w:szCs w:val="18"/>
              </w:rPr>
            </w:pPr>
            <w:r w:rsidRPr="002759BA">
              <w:rPr>
                <w:sz w:val="18"/>
                <w:szCs w:val="18"/>
              </w:rPr>
              <w:t>24,874</w:t>
            </w:r>
          </w:p>
        </w:tc>
        <w:tc>
          <w:tcPr>
            <w:tcW w:w="0" w:type="auto"/>
            <w:hideMark/>
          </w:tcPr>
          <w:p w14:paraId="015C1955" w14:textId="77777777" w:rsidR="00B575B7" w:rsidRPr="002759BA" w:rsidRDefault="00B575B7" w:rsidP="00240EAF">
            <w:pPr>
              <w:pStyle w:val="NormalWeb"/>
              <w:jc w:val="center"/>
              <w:rPr>
                <w:sz w:val="18"/>
                <w:szCs w:val="18"/>
              </w:rPr>
            </w:pPr>
            <w:r w:rsidRPr="002759BA">
              <w:rPr>
                <w:sz w:val="18"/>
                <w:szCs w:val="18"/>
              </w:rPr>
              <w:t>58.7</w:t>
            </w:r>
          </w:p>
        </w:tc>
        <w:tc>
          <w:tcPr>
            <w:tcW w:w="2240" w:type="dxa"/>
            <w:hideMark/>
          </w:tcPr>
          <w:p w14:paraId="45448834" w14:textId="77777777" w:rsidR="00B575B7" w:rsidRPr="002759BA" w:rsidRDefault="00B575B7" w:rsidP="00240EAF">
            <w:pPr>
              <w:pStyle w:val="NormalWeb"/>
              <w:jc w:val="center"/>
              <w:rPr>
                <w:sz w:val="18"/>
                <w:szCs w:val="18"/>
              </w:rPr>
            </w:pPr>
            <w:r w:rsidRPr="002759BA">
              <w:rPr>
                <w:sz w:val="18"/>
                <w:szCs w:val="18"/>
              </w:rPr>
              <w:t>53.4 (52.7–54.1)</w:t>
            </w:r>
          </w:p>
        </w:tc>
        <w:tc>
          <w:tcPr>
            <w:tcW w:w="950" w:type="dxa"/>
            <w:hideMark/>
          </w:tcPr>
          <w:p w14:paraId="712A00D1" w14:textId="77777777" w:rsidR="00B575B7" w:rsidRPr="002759BA" w:rsidRDefault="00B575B7" w:rsidP="00240EAF">
            <w:pPr>
              <w:pStyle w:val="NormalWeb"/>
              <w:jc w:val="center"/>
              <w:rPr>
                <w:sz w:val="18"/>
                <w:szCs w:val="18"/>
              </w:rPr>
            </w:pPr>
            <w:r w:rsidRPr="002759BA">
              <w:rPr>
                <w:sz w:val="18"/>
                <w:szCs w:val="18"/>
              </w:rPr>
              <w:t>0.595</w:t>
            </w:r>
          </w:p>
        </w:tc>
      </w:tr>
      <w:tr w:rsidR="00D74A2A" w:rsidRPr="002759BA" w14:paraId="4D889E38" w14:textId="77777777" w:rsidTr="00A35124">
        <w:tc>
          <w:tcPr>
            <w:tcW w:w="3544" w:type="dxa"/>
            <w:hideMark/>
          </w:tcPr>
          <w:p w14:paraId="65BFA24B" w14:textId="77777777" w:rsidR="00B575B7" w:rsidRPr="002759BA" w:rsidRDefault="00B575B7">
            <w:pPr>
              <w:pStyle w:val="NormalWeb"/>
              <w:rPr>
                <w:sz w:val="18"/>
                <w:szCs w:val="18"/>
              </w:rPr>
            </w:pPr>
            <w:r w:rsidRPr="002759BA">
              <w:rPr>
                <w:sz w:val="18"/>
                <w:szCs w:val="18"/>
              </w:rPr>
              <w:t xml:space="preserve">1–7 </w:t>
            </w:r>
            <w:proofErr w:type="spellStart"/>
            <w:r w:rsidRPr="002759BA">
              <w:rPr>
                <w:sz w:val="18"/>
                <w:szCs w:val="18"/>
              </w:rPr>
              <w:t>drinks</w:t>
            </w:r>
            <w:r w:rsidRPr="002759BA">
              <w:rPr>
                <w:sz w:val="18"/>
                <w:szCs w:val="18"/>
                <w:vertAlign w:val="superscript"/>
              </w:rPr>
              <w:t>b</w:t>
            </w:r>
            <w:proofErr w:type="spellEnd"/>
          </w:p>
        </w:tc>
        <w:tc>
          <w:tcPr>
            <w:tcW w:w="1089" w:type="dxa"/>
            <w:hideMark/>
          </w:tcPr>
          <w:p w14:paraId="03C20C5D" w14:textId="77777777" w:rsidR="00B575B7" w:rsidRPr="002759BA" w:rsidRDefault="00B575B7" w:rsidP="00240EAF">
            <w:pPr>
              <w:pStyle w:val="NormalWeb"/>
              <w:jc w:val="center"/>
              <w:rPr>
                <w:sz w:val="18"/>
                <w:szCs w:val="18"/>
              </w:rPr>
            </w:pPr>
            <w:r w:rsidRPr="002759BA">
              <w:rPr>
                <w:sz w:val="18"/>
                <w:szCs w:val="18"/>
              </w:rPr>
              <w:t>158</w:t>
            </w:r>
          </w:p>
        </w:tc>
        <w:tc>
          <w:tcPr>
            <w:tcW w:w="0" w:type="auto"/>
            <w:hideMark/>
          </w:tcPr>
          <w:p w14:paraId="4660FB97" w14:textId="77777777" w:rsidR="00B575B7" w:rsidRPr="002759BA" w:rsidRDefault="00B575B7" w:rsidP="00240EAF">
            <w:pPr>
              <w:pStyle w:val="NormalWeb"/>
              <w:jc w:val="center"/>
              <w:rPr>
                <w:sz w:val="18"/>
                <w:szCs w:val="18"/>
              </w:rPr>
            </w:pPr>
            <w:r w:rsidRPr="002759BA">
              <w:rPr>
                <w:sz w:val="18"/>
                <w:szCs w:val="18"/>
              </w:rPr>
              <w:t>59.5</w:t>
            </w:r>
          </w:p>
        </w:tc>
        <w:tc>
          <w:tcPr>
            <w:tcW w:w="0" w:type="auto"/>
            <w:hideMark/>
          </w:tcPr>
          <w:p w14:paraId="11A0A55A" w14:textId="77777777" w:rsidR="00B575B7" w:rsidRPr="002759BA" w:rsidRDefault="00B575B7" w:rsidP="00240EAF">
            <w:pPr>
              <w:pStyle w:val="NormalWeb"/>
              <w:jc w:val="center"/>
              <w:rPr>
                <w:sz w:val="18"/>
                <w:szCs w:val="18"/>
              </w:rPr>
            </w:pPr>
            <w:r w:rsidRPr="002759BA">
              <w:rPr>
                <w:sz w:val="18"/>
                <w:szCs w:val="18"/>
              </w:rPr>
              <w:t>60.8 (52.6–68.9)</w:t>
            </w:r>
          </w:p>
        </w:tc>
        <w:tc>
          <w:tcPr>
            <w:tcW w:w="0" w:type="auto"/>
            <w:hideMark/>
          </w:tcPr>
          <w:p w14:paraId="5AF42AD6" w14:textId="77777777" w:rsidR="00B575B7" w:rsidRPr="002759BA" w:rsidRDefault="00B575B7" w:rsidP="00240EAF">
            <w:pPr>
              <w:pStyle w:val="NormalWeb"/>
              <w:jc w:val="center"/>
              <w:rPr>
                <w:sz w:val="18"/>
                <w:szCs w:val="18"/>
              </w:rPr>
            </w:pPr>
            <w:r w:rsidRPr="002759BA">
              <w:rPr>
                <w:sz w:val="18"/>
                <w:szCs w:val="18"/>
              </w:rPr>
              <w:t>29,071</w:t>
            </w:r>
          </w:p>
        </w:tc>
        <w:tc>
          <w:tcPr>
            <w:tcW w:w="0" w:type="auto"/>
            <w:hideMark/>
          </w:tcPr>
          <w:p w14:paraId="641C35F9" w14:textId="77777777" w:rsidR="00B575B7" w:rsidRPr="002759BA" w:rsidRDefault="00B575B7" w:rsidP="00240EAF">
            <w:pPr>
              <w:pStyle w:val="NormalWeb"/>
              <w:jc w:val="center"/>
              <w:rPr>
                <w:sz w:val="18"/>
                <w:szCs w:val="18"/>
              </w:rPr>
            </w:pPr>
            <w:r w:rsidRPr="002759BA">
              <w:rPr>
                <w:sz w:val="18"/>
                <w:szCs w:val="18"/>
              </w:rPr>
              <w:t>56.5</w:t>
            </w:r>
          </w:p>
        </w:tc>
        <w:tc>
          <w:tcPr>
            <w:tcW w:w="2240" w:type="dxa"/>
            <w:hideMark/>
          </w:tcPr>
          <w:p w14:paraId="294F7051" w14:textId="77777777" w:rsidR="00B575B7" w:rsidRPr="002759BA" w:rsidRDefault="00B575B7" w:rsidP="00240EAF">
            <w:pPr>
              <w:pStyle w:val="NormalWeb"/>
              <w:jc w:val="center"/>
              <w:rPr>
                <w:sz w:val="18"/>
                <w:szCs w:val="18"/>
              </w:rPr>
            </w:pPr>
            <w:r w:rsidRPr="002759BA">
              <w:rPr>
                <w:sz w:val="18"/>
                <w:szCs w:val="18"/>
              </w:rPr>
              <w:t>54.4 (53.8–55.0)</w:t>
            </w:r>
          </w:p>
        </w:tc>
        <w:tc>
          <w:tcPr>
            <w:tcW w:w="950" w:type="dxa"/>
            <w:hideMark/>
          </w:tcPr>
          <w:p w14:paraId="6794AB9D" w14:textId="77777777" w:rsidR="00B575B7" w:rsidRPr="002759BA" w:rsidRDefault="00B575B7" w:rsidP="00240EAF">
            <w:pPr>
              <w:pStyle w:val="NormalWeb"/>
              <w:jc w:val="center"/>
              <w:rPr>
                <w:sz w:val="18"/>
                <w:szCs w:val="18"/>
              </w:rPr>
            </w:pPr>
            <w:r w:rsidRPr="002759BA">
              <w:rPr>
                <w:sz w:val="18"/>
                <w:szCs w:val="18"/>
              </w:rPr>
              <w:t>0.124</w:t>
            </w:r>
          </w:p>
        </w:tc>
      </w:tr>
      <w:tr w:rsidR="00FD19FF" w:rsidRPr="002759BA" w14:paraId="170C4198" w14:textId="77777777" w:rsidTr="00A35124">
        <w:trPr>
          <w:cnfStyle w:val="000000010000" w:firstRow="0" w:lastRow="0" w:firstColumn="0" w:lastColumn="0" w:oddVBand="0" w:evenVBand="0" w:oddHBand="0" w:evenHBand="1" w:firstRowFirstColumn="0" w:firstRowLastColumn="0" w:lastRowFirstColumn="0" w:lastRowLastColumn="0"/>
        </w:trPr>
        <w:tc>
          <w:tcPr>
            <w:tcW w:w="3544" w:type="dxa"/>
            <w:hideMark/>
          </w:tcPr>
          <w:p w14:paraId="0D2AB1AC" w14:textId="77777777" w:rsidR="00B575B7" w:rsidRPr="002759BA" w:rsidRDefault="00B575B7">
            <w:pPr>
              <w:pStyle w:val="NormalWeb"/>
              <w:rPr>
                <w:sz w:val="18"/>
                <w:szCs w:val="18"/>
              </w:rPr>
            </w:pPr>
            <w:r w:rsidRPr="002759BA">
              <w:rPr>
                <w:sz w:val="18"/>
                <w:szCs w:val="18"/>
              </w:rPr>
              <w:t>&gt;7 drinks</w:t>
            </w:r>
          </w:p>
        </w:tc>
        <w:tc>
          <w:tcPr>
            <w:tcW w:w="1089" w:type="dxa"/>
            <w:hideMark/>
          </w:tcPr>
          <w:p w14:paraId="39EED978" w14:textId="77777777" w:rsidR="00B575B7" w:rsidRPr="002759BA" w:rsidRDefault="00B575B7" w:rsidP="00240EAF">
            <w:pPr>
              <w:pStyle w:val="NormalWeb"/>
              <w:jc w:val="center"/>
              <w:rPr>
                <w:sz w:val="18"/>
                <w:szCs w:val="18"/>
              </w:rPr>
            </w:pPr>
            <w:r w:rsidRPr="002759BA">
              <w:rPr>
                <w:sz w:val="18"/>
                <w:szCs w:val="18"/>
              </w:rPr>
              <w:t>172</w:t>
            </w:r>
          </w:p>
        </w:tc>
        <w:tc>
          <w:tcPr>
            <w:tcW w:w="0" w:type="auto"/>
            <w:hideMark/>
          </w:tcPr>
          <w:p w14:paraId="1B199D19" w14:textId="77777777" w:rsidR="00B575B7" w:rsidRPr="002759BA" w:rsidRDefault="00B575B7" w:rsidP="00240EAF">
            <w:pPr>
              <w:pStyle w:val="NormalWeb"/>
              <w:jc w:val="center"/>
              <w:rPr>
                <w:sz w:val="18"/>
                <w:szCs w:val="18"/>
              </w:rPr>
            </w:pPr>
            <w:r w:rsidRPr="002759BA">
              <w:rPr>
                <w:sz w:val="18"/>
                <w:szCs w:val="18"/>
              </w:rPr>
              <w:t>46.5</w:t>
            </w:r>
          </w:p>
        </w:tc>
        <w:tc>
          <w:tcPr>
            <w:tcW w:w="0" w:type="auto"/>
            <w:hideMark/>
          </w:tcPr>
          <w:p w14:paraId="40AC8D04" w14:textId="77777777" w:rsidR="00B575B7" w:rsidRPr="002759BA" w:rsidRDefault="00B575B7" w:rsidP="00240EAF">
            <w:pPr>
              <w:pStyle w:val="NormalWeb"/>
              <w:jc w:val="center"/>
              <w:rPr>
                <w:sz w:val="18"/>
                <w:szCs w:val="18"/>
              </w:rPr>
            </w:pPr>
            <w:r w:rsidRPr="002759BA">
              <w:rPr>
                <w:sz w:val="18"/>
                <w:szCs w:val="18"/>
              </w:rPr>
              <w:t>46.9 (38.2–55.6)</w:t>
            </w:r>
          </w:p>
        </w:tc>
        <w:tc>
          <w:tcPr>
            <w:tcW w:w="0" w:type="auto"/>
            <w:hideMark/>
          </w:tcPr>
          <w:p w14:paraId="36AAB07D" w14:textId="77777777" w:rsidR="00B575B7" w:rsidRPr="002759BA" w:rsidRDefault="00B575B7" w:rsidP="00240EAF">
            <w:pPr>
              <w:pStyle w:val="NormalWeb"/>
              <w:jc w:val="center"/>
              <w:rPr>
                <w:sz w:val="18"/>
                <w:szCs w:val="18"/>
              </w:rPr>
            </w:pPr>
            <w:r w:rsidRPr="002759BA">
              <w:rPr>
                <w:sz w:val="18"/>
                <w:szCs w:val="18"/>
              </w:rPr>
              <w:t>26,710</w:t>
            </w:r>
          </w:p>
        </w:tc>
        <w:tc>
          <w:tcPr>
            <w:tcW w:w="0" w:type="auto"/>
            <w:hideMark/>
          </w:tcPr>
          <w:p w14:paraId="4D4183AD" w14:textId="77777777" w:rsidR="00B575B7" w:rsidRPr="002759BA" w:rsidRDefault="00B575B7" w:rsidP="00240EAF">
            <w:pPr>
              <w:pStyle w:val="NormalWeb"/>
              <w:jc w:val="center"/>
              <w:rPr>
                <w:sz w:val="18"/>
                <w:szCs w:val="18"/>
              </w:rPr>
            </w:pPr>
            <w:r w:rsidRPr="002759BA">
              <w:rPr>
                <w:sz w:val="18"/>
                <w:szCs w:val="18"/>
              </w:rPr>
              <w:t>52.3</w:t>
            </w:r>
          </w:p>
        </w:tc>
        <w:tc>
          <w:tcPr>
            <w:tcW w:w="2240" w:type="dxa"/>
            <w:hideMark/>
          </w:tcPr>
          <w:p w14:paraId="65655CA3" w14:textId="77777777" w:rsidR="00B575B7" w:rsidRPr="002759BA" w:rsidRDefault="00B575B7" w:rsidP="00240EAF">
            <w:pPr>
              <w:pStyle w:val="NormalWeb"/>
              <w:jc w:val="center"/>
              <w:rPr>
                <w:sz w:val="18"/>
                <w:szCs w:val="18"/>
              </w:rPr>
            </w:pPr>
            <w:r w:rsidRPr="002759BA">
              <w:rPr>
                <w:sz w:val="18"/>
                <w:szCs w:val="18"/>
              </w:rPr>
              <w:t>50.5 (49.9–51.1)</w:t>
            </w:r>
          </w:p>
        </w:tc>
        <w:tc>
          <w:tcPr>
            <w:tcW w:w="950" w:type="dxa"/>
            <w:hideMark/>
          </w:tcPr>
          <w:p w14:paraId="7C9FBC6B" w14:textId="77777777" w:rsidR="00B575B7" w:rsidRPr="002759BA" w:rsidRDefault="00B575B7" w:rsidP="00240EAF">
            <w:pPr>
              <w:pStyle w:val="NormalWeb"/>
              <w:jc w:val="center"/>
              <w:rPr>
                <w:sz w:val="18"/>
                <w:szCs w:val="18"/>
              </w:rPr>
            </w:pPr>
            <w:r w:rsidRPr="002759BA">
              <w:rPr>
                <w:sz w:val="18"/>
                <w:szCs w:val="18"/>
              </w:rPr>
              <w:t>0.418</w:t>
            </w:r>
          </w:p>
        </w:tc>
      </w:tr>
      <w:tr w:rsidR="00D74A2A" w:rsidRPr="002759BA" w14:paraId="145D8F66" w14:textId="77777777" w:rsidTr="00A35124">
        <w:tc>
          <w:tcPr>
            <w:tcW w:w="3544" w:type="dxa"/>
            <w:hideMark/>
          </w:tcPr>
          <w:p w14:paraId="4C3D2D46" w14:textId="77777777" w:rsidR="00B575B7" w:rsidRPr="002759BA" w:rsidRDefault="00B575B7">
            <w:pPr>
              <w:pStyle w:val="NormalWeb"/>
              <w:rPr>
                <w:b/>
                <w:sz w:val="18"/>
                <w:szCs w:val="18"/>
              </w:rPr>
            </w:pPr>
            <w:r w:rsidRPr="002759BA">
              <w:rPr>
                <w:b/>
                <w:sz w:val="18"/>
                <w:szCs w:val="18"/>
              </w:rPr>
              <w:t>BMI (kg/m2)</w:t>
            </w:r>
          </w:p>
        </w:tc>
        <w:tc>
          <w:tcPr>
            <w:tcW w:w="1089" w:type="dxa"/>
            <w:hideMark/>
          </w:tcPr>
          <w:p w14:paraId="61FEB417" w14:textId="77777777" w:rsidR="00B575B7" w:rsidRPr="002759BA" w:rsidRDefault="00B575B7" w:rsidP="00240EAF">
            <w:pPr>
              <w:jc w:val="center"/>
              <w:rPr>
                <w:b/>
                <w:sz w:val="18"/>
                <w:szCs w:val="18"/>
              </w:rPr>
            </w:pPr>
          </w:p>
        </w:tc>
        <w:tc>
          <w:tcPr>
            <w:tcW w:w="0" w:type="auto"/>
            <w:hideMark/>
          </w:tcPr>
          <w:p w14:paraId="034FB226" w14:textId="77777777" w:rsidR="00B575B7" w:rsidRPr="002759BA" w:rsidRDefault="00B575B7" w:rsidP="00240EAF">
            <w:pPr>
              <w:jc w:val="center"/>
              <w:rPr>
                <w:rFonts w:eastAsia="Times New Roman"/>
                <w:b/>
                <w:sz w:val="18"/>
                <w:szCs w:val="18"/>
              </w:rPr>
            </w:pPr>
          </w:p>
        </w:tc>
        <w:tc>
          <w:tcPr>
            <w:tcW w:w="0" w:type="auto"/>
            <w:hideMark/>
          </w:tcPr>
          <w:p w14:paraId="2371FC7A" w14:textId="77777777" w:rsidR="00B575B7" w:rsidRPr="002759BA" w:rsidRDefault="00B575B7" w:rsidP="00240EAF">
            <w:pPr>
              <w:jc w:val="center"/>
              <w:rPr>
                <w:rFonts w:eastAsia="Times New Roman"/>
                <w:b/>
                <w:sz w:val="18"/>
                <w:szCs w:val="18"/>
              </w:rPr>
            </w:pPr>
          </w:p>
        </w:tc>
        <w:tc>
          <w:tcPr>
            <w:tcW w:w="0" w:type="auto"/>
            <w:hideMark/>
          </w:tcPr>
          <w:p w14:paraId="66EF8F4A" w14:textId="77777777" w:rsidR="00B575B7" w:rsidRPr="002759BA" w:rsidRDefault="00B575B7" w:rsidP="00240EAF">
            <w:pPr>
              <w:jc w:val="center"/>
              <w:rPr>
                <w:rFonts w:eastAsia="Times New Roman"/>
                <w:b/>
                <w:sz w:val="18"/>
                <w:szCs w:val="18"/>
              </w:rPr>
            </w:pPr>
          </w:p>
        </w:tc>
        <w:tc>
          <w:tcPr>
            <w:tcW w:w="0" w:type="auto"/>
            <w:hideMark/>
          </w:tcPr>
          <w:p w14:paraId="0F58F8DB" w14:textId="77777777" w:rsidR="00B575B7" w:rsidRPr="002759BA" w:rsidRDefault="00B575B7" w:rsidP="00240EAF">
            <w:pPr>
              <w:jc w:val="center"/>
              <w:rPr>
                <w:rFonts w:eastAsia="Times New Roman"/>
                <w:b/>
                <w:sz w:val="18"/>
                <w:szCs w:val="18"/>
              </w:rPr>
            </w:pPr>
          </w:p>
        </w:tc>
        <w:tc>
          <w:tcPr>
            <w:tcW w:w="2240" w:type="dxa"/>
            <w:hideMark/>
          </w:tcPr>
          <w:p w14:paraId="634F9D68" w14:textId="77777777" w:rsidR="00B575B7" w:rsidRPr="002759BA" w:rsidRDefault="00B575B7" w:rsidP="00240EAF">
            <w:pPr>
              <w:jc w:val="center"/>
              <w:rPr>
                <w:rFonts w:eastAsia="Times New Roman"/>
                <w:b/>
                <w:sz w:val="18"/>
                <w:szCs w:val="18"/>
              </w:rPr>
            </w:pPr>
          </w:p>
        </w:tc>
        <w:tc>
          <w:tcPr>
            <w:tcW w:w="950" w:type="dxa"/>
            <w:hideMark/>
          </w:tcPr>
          <w:p w14:paraId="0056934D" w14:textId="77777777" w:rsidR="00B575B7" w:rsidRPr="002759BA" w:rsidRDefault="00B575B7" w:rsidP="00240EAF">
            <w:pPr>
              <w:jc w:val="center"/>
              <w:rPr>
                <w:rFonts w:eastAsia="Times New Roman"/>
                <w:b/>
                <w:sz w:val="18"/>
                <w:szCs w:val="18"/>
              </w:rPr>
            </w:pPr>
          </w:p>
        </w:tc>
      </w:tr>
      <w:tr w:rsidR="00FD19FF" w:rsidRPr="002759BA" w14:paraId="4572D72C" w14:textId="77777777" w:rsidTr="00A35124">
        <w:trPr>
          <w:cnfStyle w:val="000000010000" w:firstRow="0" w:lastRow="0" w:firstColumn="0" w:lastColumn="0" w:oddVBand="0" w:evenVBand="0" w:oddHBand="0" w:evenHBand="1" w:firstRowFirstColumn="0" w:firstRowLastColumn="0" w:lastRowFirstColumn="0" w:lastRowLastColumn="0"/>
        </w:trPr>
        <w:tc>
          <w:tcPr>
            <w:tcW w:w="3544" w:type="dxa"/>
            <w:hideMark/>
          </w:tcPr>
          <w:p w14:paraId="6452E5CA" w14:textId="77777777" w:rsidR="00B575B7" w:rsidRPr="002759BA" w:rsidRDefault="00B575B7">
            <w:pPr>
              <w:pStyle w:val="NormalWeb"/>
              <w:rPr>
                <w:sz w:val="18"/>
                <w:szCs w:val="18"/>
              </w:rPr>
            </w:pPr>
            <w:r w:rsidRPr="002759BA">
              <w:rPr>
                <w:sz w:val="18"/>
                <w:szCs w:val="18"/>
              </w:rPr>
              <w:t>&lt;18.5</w:t>
            </w:r>
          </w:p>
        </w:tc>
        <w:tc>
          <w:tcPr>
            <w:tcW w:w="1089" w:type="dxa"/>
            <w:hideMark/>
          </w:tcPr>
          <w:p w14:paraId="5B466542" w14:textId="77777777" w:rsidR="00B575B7" w:rsidRPr="002759BA" w:rsidRDefault="00B575B7" w:rsidP="00240EAF">
            <w:pPr>
              <w:pStyle w:val="NormalWeb"/>
              <w:jc w:val="center"/>
              <w:rPr>
                <w:sz w:val="18"/>
                <w:szCs w:val="18"/>
              </w:rPr>
            </w:pPr>
            <w:proofErr w:type="spellStart"/>
            <w:r w:rsidRPr="002759BA">
              <w:rPr>
                <w:sz w:val="18"/>
                <w:szCs w:val="18"/>
              </w:rPr>
              <w:t>NC</w:t>
            </w:r>
            <w:r w:rsidRPr="002759BA">
              <w:rPr>
                <w:sz w:val="18"/>
                <w:szCs w:val="18"/>
                <w:vertAlign w:val="superscript"/>
              </w:rPr>
              <w:t>c</w:t>
            </w:r>
            <w:proofErr w:type="spellEnd"/>
          </w:p>
        </w:tc>
        <w:tc>
          <w:tcPr>
            <w:tcW w:w="0" w:type="auto"/>
            <w:hideMark/>
          </w:tcPr>
          <w:p w14:paraId="36A77017" w14:textId="77777777" w:rsidR="00B575B7" w:rsidRPr="002759BA" w:rsidRDefault="00B575B7" w:rsidP="00240EAF">
            <w:pPr>
              <w:pStyle w:val="NormalWeb"/>
              <w:jc w:val="center"/>
              <w:rPr>
                <w:sz w:val="18"/>
                <w:szCs w:val="18"/>
              </w:rPr>
            </w:pPr>
            <w:r w:rsidRPr="002759BA">
              <w:rPr>
                <w:sz w:val="18"/>
                <w:szCs w:val="18"/>
              </w:rPr>
              <w:t>–</w:t>
            </w:r>
          </w:p>
        </w:tc>
        <w:tc>
          <w:tcPr>
            <w:tcW w:w="0" w:type="auto"/>
            <w:hideMark/>
          </w:tcPr>
          <w:p w14:paraId="5083F766" w14:textId="77777777" w:rsidR="00B575B7" w:rsidRPr="002759BA" w:rsidRDefault="00B575B7" w:rsidP="00240EAF">
            <w:pPr>
              <w:pStyle w:val="NormalWeb"/>
              <w:jc w:val="center"/>
              <w:rPr>
                <w:sz w:val="18"/>
                <w:szCs w:val="18"/>
              </w:rPr>
            </w:pPr>
            <w:r w:rsidRPr="002759BA">
              <w:rPr>
                <w:sz w:val="18"/>
                <w:szCs w:val="18"/>
              </w:rPr>
              <w:t>–</w:t>
            </w:r>
          </w:p>
        </w:tc>
        <w:tc>
          <w:tcPr>
            <w:tcW w:w="0" w:type="auto"/>
            <w:hideMark/>
          </w:tcPr>
          <w:p w14:paraId="71B6E41C" w14:textId="77777777" w:rsidR="00B575B7" w:rsidRPr="002759BA" w:rsidRDefault="00B575B7" w:rsidP="00240EAF">
            <w:pPr>
              <w:pStyle w:val="NormalWeb"/>
              <w:jc w:val="center"/>
              <w:rPr>
                <w:sz w:val="18"/>
                <w:szCs w:val="18"/>
              </w:rPr>
            </w:pPr>
            <w:r w:rsidRPr="002759BA">
              <w:rPr>
                <w:sz w:val="18"/>
                <w:szCs w:val="18"/>
              </w:rPr>
              <w:t>717</w:t>
            </w:r>
          </w:p>
        </w:tc>
        <w:tc>
          <w:tcPr>
            <w:tcW w:w="0" w:type="auto"/>
            <w:hideMark/>
          </w:tcPr>
          <w:p w14:paraId="105A0122" w14:textId="77777777" w:rsidR="00B575B7" w:rsidRPr="002759BA" w:rsidRDefault="00B575B7" w:rsidP="00240EAF">
            <w:pPr>
              <w:pStyle w:val="NormalWeb"/>
              <w:jc w:val="center"/>
              <w:rPr>
                <w:sz w:val="18"/>
                <w:szCs w:val="18"/>
              </w:rPr>
            </w:pPr>
            <w:r w:rsidRPr="002759BA">
              <w:rPr>
                <w:sz w:val="18"/>
                <w:szCs w:val="18"/>
              </w:rPr>
              <w:t>53.9</w:t>
            </w:r>
          </w:p>
        </w:tc>
        <w:tc>
          <w:tcPr>
            <w:tcW w:w="2240" w:type="dxa"/>
            <w:hideMark/>
          </w:tcPr>
          <w:p w14:paraId="67EA2BAC" w14:textId="77777777" w:rsidR="00B575B7" w:rsidRPr="002759BA" w:rsidRDefault="00B575B7" w:rsidP="00240EAF">
            <w:pPr>
              <w:pStyle w:val="NormalWeb"/>
              <w:jc w:val="center"/>
              <w:rPr>
                <w:sz w:val="18"/>
                <w:szCs w:val="18"/>
              </w:rPr>
            </w:pPr>
            <w:r w:rsidRPr="002759BA">
              <w:rPr>
                <w:sz w:val="18"/>
                <w:szCs w:val="18"/>
              </w:rPr>
              <w:t>49.0 (45.3–52.6)</w:t>
            </w:r>
          </w:p>
        </w:tc>
        <w:tc>
          <w:tcPr>
            <w:tcW w:w="950" w:type="dxa"/>
            <w:hideMark/>
          </w:tcPr>
          <w:p w14:paraId="1D9A59C7" w14:textId="77777777" w:rsidR="00B575B7" w:rsidRPr="002759BA" w:rsidRDefault="00B575B7" w:rsidP="00240EAF">
            <w:pPr>
              <w:pStyle w:val="NormalWeb"/>
              <w:jc w:val="center"/>
              <w:rPr>
                <w:sz w:val="18"/>
                <w:szCs w:val="18"/>
              </w:rPr>
            </w:pPr>
            <w:r w:rsidRPr="002759BA">
              <w:rPr>
                <w:sz w:val="18"/>
                <w:szCs w:val="18"/>
              </w:rPr>
              <w:t>–</w:t>
            </w:r>
          </w:p>
        </w:tc>
      </w:tr>
      <w:tr w:rsidR="00D74A2A" w:rsidRPr="002759BA" w14:paraId="6DB16873" w14:textId="77777777" w:rsidTr="00A35124">
        <w:tc>
          <w:tcPr>
            <w:tcW w:w="3544" w:type="dxa"/>
            <w:hideMark/>
          </w:tcPr>
          <w:p w14:paraId="61B58F72" w14:textId="77777777" w:rsidR="00B575B7" w:rsidRPr="002759BA" w:rsidRDefault="00B575B7">
            <w:pPr>
              <w:pStyle w:val="NormalWeb"/>
              <w:rPr>
                <w:sz w:val="18"/>
                <w:szCs w:val="18"/>
              </w:rPr>
            </w:pPr>
            <w:r w:rsidRPr="002759BA">
              <w:rPr>
                <w:sz w:val="18"/>
                <w:szCs w:val="18"/>
              </w:rPr>
              <w:t>18.5–24.9</w:t>
            </w:r>
          </w:p>
        </w:tc>
        <w:tc>
          <w:tcPr>
            <w:tcW w:w="1089" w:type="dxa"/>
            <w:hideMark/>
          </w:tcPr>
          <w:p w14:paraId="0D4CE7CD" w14:textId="77777777" w:rsidR="00B575B7" w:rsidRPr="002759BA" w:rsidRDefault="00B575B7" w:rsidP="00240EAF">
            <w:pPr>
              <w:pStyle w:val="NormalWeb"/>
              <w:jc w:val="center"/>
              <w:rPr>
                <w:sz w:val="18"/>
                <w:szCs w:val="18"/>
              </w:rPr>
            </w:pPr>
            <w:r w:rsidRPr="002759BA">
              <w:rPr>
                <w:sz w:val="18"/>
                <w:szCs w:val="18"/>
              </w:rPr>
              <w:t>113</w:t>
            </w:r>
          </w:p>
        </w:tc>
        <w:tc>
          <w:tcPr>
            <w:tcW w:w="0" w:type="auto"/>
            <w:hideMark/>
          </w:tcPr>
          <w:p w14:paraId="5A655FB7" w14:textId="77777777" w:rsidR="00B575B7" w:rsidRPr="002759BA" w:rsidRDefault="00B575B7" w:rsidP="00240EAF">
            <w:pPr>
              <w:pStyle w:val="NormalWeb"/>
              <w:jc w:val="center"/>
              <w:rPr>
                <w:sz w:val="18"/>
                <w:szCs w:val="18"/>
              </w:rPr>
            </w:pPr>
            <w:r w:rsidRPr="002759BA">
              <w:rPr>
                <w:sz w:val="18"/>
                <w:szCs w:val="18"/>
              </w:rPr>
              <w:t>45.1</w:t>
            </w:r>
          </w:p>
        </w:tc>
        <w:tc>
          <w:tcPr>
            <w:tcW w:w="0" w:type="auto"/>
            <w:hideMark/>
          </w:tcPr>
          <w:p w14:paraId="7E15CAD1" w14:textId="77777777" w:rsidR="00B575B7" w:rsidRPr="002759BA" w:rsidRDefault="00B575B7" w:rsidP="00240EAF">
            <w:pPr>
              <w:pStyle w:val="NormalWeb"/>
              <w:jc w:val="center"/>
              <w:rPr>
                <w:sz w:val="18"/>
                <w:szCs w:val="18"/>
              </w:rPr>
            </w:pPr>
            <w:r w:rsidRPr="002759BA">
              <w:rPr>
                <w:sz w:val="18"/>
                <w:szCs w:val="18"/>
              </w:rPr>
              <w:t>48.7 (40.5–56.9)</w:t>
            </w:r>
          </w:p>
        </w:tc>
        <w:tc>
          <w:tcPr>
            <w:tcW w:w="0" w:type="auto"/>
            <w:hideMark/>
          </w:tcPr>
          <w:p w14:paraId="25129DE0" w14:textId="77777777" w:rsidR="00B575B7" w:rsidRPr="002759BA" w:rsidRDefault="00B575B7" w:rsidP="00240EAF">
            <w:pPr>
              <w:pStyle w:val="NormalWeb"/>
              <w:jc w:val="center"/>
              <w:rPr>
                <w:sz w:val="18"/>
                <w:szCs w:val="18"/>
              </w:rPr>
            </w:pPr>
            <w:r w:rsidRPr="002759BA">
              <w:rPr>
                <w:sz w:val="18"/>
                <w:szCs w:val="18"/>
              </w:rPr>
              <w:t>27,251</w:t>
            </w:r>
          </w:p>
        </w:tc>
        <w:tc>
          <w:tcPr>
            <w:tcW w:w="0" w:type="auto"/>
            <w:hideMark/>
          </w:tcPr>
          <w:p w14:paraId="563F6E38" w14:textId="77777777" w:rsidR="00B575B7" w:rsidRPr="002759BA" w:rsidRDefault="00B575B7" w:rsidP="00240EAF">
            <w:pPr>
              <w:pStyle w:val="NormalWeb"/>
              <w:jc w:val="center"/>
              <w:rPr>
                <w:sz w:val="18"/>
                <w:szCs w:val="18"/>
              </w:rPr>
            </w:pPr>
            <w:r w:rsidRPr="002759BA">
              <w:rPr>
                <w:sz w:val="18"/>
                <w:szCs w:val="18"/>
              </w:rPr>
              <w:t>52.9</w:t>
            </w:r>
          </w:p>
        </w:tc>
        <w:tc>
          <w:tcPr>
            <w:tcW w:w="2240" w:type="dxa"/>
            <w:hideMark/>
          </w:tcPr>
          <w:p w14:paraId="5A743DFF" w14:textId="77777777" w:rsidR="00B575B7" w:rsidRPr="002759BA" w:rsidRDefault="00B575B7" w:rsidP="00240EAF">
            <w:pPr>
              <w:pStyle w:val="NormalWeb"/>
              <w:jc w:val="center"/>
              <w:rPr>
                <w:sz w:val="18"/>
                <w:szCs w:val="18"/>
              </w:rPr>
            </w:pPr>
            <w:r w:rsidRPr="002759BA">
              <w:rPr>
                <w:sz w:val="18"/>
                <w:szCs w:val="18"/>
              </w:rPr>
              <w:t>50.4 (49.8–51.0)</w:t>
            </w:r>
          </w:p>
        </w:tc>
        <w:tc>
          <w:tcPr>
            <w:tcW w:w="950" w:type="dxa"/>
            <w:hideMark/>
          </w:tcPr>
          <w:p w14:paraId="387B4FCE" w14:textId="77777777" w:rsidR="00B575B7" w:rsidRPr="002759BA" w:rsidRDefault="00B575B7" w:rsidP="00240EAF">
            <w:pPr>
              <w:pStyle w:val="NormalWeb"/>
              <w:jc w:val="center"/>
              <w:rPr>
                <w:sz w:val="18"/>
                <w:szCs w:val="18"/>
              </w:rPr>
            </w:pPr>
            <w:r w:rsidRPr="002759BA">
              <w:rPr>
                <w:sz w:val="18"/>
                <w:szCs w:val="18"/>
              </w:rPr>
              <w:t>0.685</w:t>
            </w:r>
          </w:p>
        </w:tc>
      </w:tr>
      <w:tr w:rsidR="00FD19FF" w:rsidRPr="002759BA" w14:paraId="4201F4A1" w14:textId="77777777" w:rsidTr="00A35124">
        <w:trPr>
          <w:cnfStyle w:val="000000010000" w:firstRow="0" w:lastRow="0" w:firstColumn="0" w:lastColumn="0" w:oddVBand="0" w:evenVBand="0" w:oddHBand="0" w:evenHBand="1" w:firstRowFirstColumn="0" w:firstRowLastColumn="0" w:lastRowFirstColumn="0" w:lastRowLastColumn="0"/>
        </w:trPr>
        <w:tc>
          <w:tcPr>
            <w:tcW w:w="3544" w:type="dxa"/>
            <w:hideMark/>
          </w:tcPr>
          <w:p w14:paraId="4A010315" w14:textId="77777777" w:rsidR="00B575B7" w:rsidRPr="002759BA" w:rsidRDefault="00B575B7">
            <w:pPr>
              <w:pStyle w:val="NormalWeb"/>
              <w:rPr>
                <w:sz w:val="18"/>
                <w:szCs w:val="18"/>
              </w:rPr>
            </w:pPr>
            <w:r w:rsidRPr="002759BA">
              <w:rPr>
                <w:sz w:val="18"/>
                <w:szCs w:val="18"/>
              </w:rPr>
              <w:t>25–29.9</w:t>
            </w:r>
          </w:p>
        </w:tc>
        <w:tc>
          <w:tcPr>
            <w:tcW w:w="1089" w:type="dxa"/>
            <w:hideMark/>
          </w:tcPr>
          <w:p w14:paraId="23E0077C" w14:textId="77777777" w:rsidR="00B575B7" w:rsidRPr="002759BA" w:rsidRDefault="00B575B7" w:rsidP="00240EAF">
            <w:pPr>
              <w:pStyle w:val="NormalWeb"/>
              <w:jc w:val="center"/>
              <w:rPr>
                <w:sz w:val="18"/>
                <w:szCs w:val="18"/>
              </w:rPr>
            </w:pPr>
            <w:r w:rsidRPr="002759BA">
              <w:rPr>
                <w:sz w:val="18"/>
                <w:szCs w:val="18"/>
              </w:rPr>
              <w:t>210</w:t>
            </w:r>
          </w:p>
        </w:tc>
        <w:tc>
          <w:tcPr>
            <w:tcW w:w="0" w:type="auto"/>
            <w:hideMark/>
          </w:tcPr>
          <w:p w14:paraId="648BE521" w14:textId="77777777" w:rsidR="00B575B7" w:rsidRPr="002759BA" w:rsidRDefault="00B575B7" w:rsidP="00240EAF">
            <w:pPr>
              <w:pStyle w:val="NormalWeb"/>
              <w:jc w:val="center"/>
              <w:rPr>
                <w:sz w:val="18"/>
                <w:szCs w:val="18"/>
              </w:rPr>
            </w:pPr>
            <w:r w:rsidRPr="002759BA">
              <w:rPr>
                <w:sz w:val="18"/>
                <w:szCs w:val="18"/>
              </w:rPr>
              <w:t>51.9</w:t>
            </w:r>
          </w:p>
        </w:tc>
        <w:tc>
          <w:tcPr>
            <w:tcW w:w="0" w:type="auto"/>
            <w:hideMark/>
          </w:tcPr>
          <w:p w14:paraId="65E20EF5" w14:textId="77777777" w:rsidR="00B575B7" w:rsidRPr="002759BA" w:rsidRDefault="00B575B7" w:rsidP="00240EAF">
            <w:pPr>
              <w:pStyle w:val="NormalWeb"/>
              <w:jc w:val="center"/>
              <w:rPr>
                <w:sz w:val="18"/>
                <w:szCs w:val="18"/>
              </w:rPr>
            </w:pPr>
            <w:r w:rsidRPr="002759BA">
              <w:rPr>
                <w:sz w:val="18"/>
                <w:szCs w:val="18"/>
              </w:rPr>
              <w:t>52.2 (44.4–59.9)</w:t>
            </w:r>
          </w:p>
        </w:tc>
        <w:tc>
          <w:tcPr>
            <w:tcW w:w="0" w:type="auto"/>
            <w:hideMark/>
          </w:tcPr>
          <w:p w14:paraId="2C64C364" w14:textId="77777777" w:rsidR="00B575B7" w:rsidRPr="002759BA" w:rsidRDefault="00B575B7" w:rsidP="00240EAF">
            <w:pPr>
              <w:pStyle w:val="NormalWeb"/>
              <w:jc w:val="center"/>
              <w:rPr>
                <w:sz w:val="18"/>
                <w:szCs w:val="18"/>
              </w:rPr>
            </w:pPr>
            <w:r w:rsidRPr="002759BA">
              <w:rPr>
                <w:sz w:val="18"/>
                <w:szCs w:val="18"/>
              </w:rPr>
              <w:t>30,292</w:t>
            </w:r>
          </w:p>
        </w:tc>
        <w:tc>
          <w:tcPr>
            <w:tcW w:w="0" w:type="auto"/>
            <w:hideMark/>
          </w:tcPr>
          <w:p w14:paraId="30A8ACDE" w14:textId="77777777" w:rsidR="00B575B7" w:rsidRPr="002759BA" w:rsidRDefault="00B575B7" w:rsidP="00240EAF">
            <w:pPr>
              <w:pStyle w:val="NormalWeb"/>
              <w:jc w:val="center"/>
              <w:rPr>
                <w:sz w:val="18"/>
                <w:szCs w:val="18"/>
              </w:rPr>
            </w:pPr>
            <w:r w:rsidRPr="002759BA">
              <w:rPr>
                <w:sz w:val="18"/>
                <w:szCs w:val="18"/>
              </w:rPr>
              <w:t>56.5</w:t>
            </w:r>
          </w:p>
        </w:tc>
        <w:tc>
          <w:tcPr>
            <w:tcW w:w="2240" w:type="dxa"/>
            <w:hideMark/>
          </w:tcPr>
          <w:p w14:paraId="51FC9CCF" w14:textId="77777777" w:rsidR="00B575B7" w:rsidRPr="002759BA" w:rsidRDefault="00B575B7" w:rsidP="00240EAF">
            <w:pPr>
              <w:pStyle w:val="NormalWeb"/>
              <w:jc w:val="center"/>
              <w:rPr>
                <w:sz w:val="18"/>
                <w:szCs w:val="18"/>
              </w:rPr>
            </w:pPr>
            <w:r w:rsidRPr="002759BA">
              <w:rPr>
                <w:sz w:val="18"/>
                <w:szCs w:val="18"/>
              </w:rPr>
              <w:t>52.5 (51.9–53.1)</w:t>
            </w:r>
          </w:p>
        </w:tc>
        <w:tc>
          <w:tcPr>
            <w:tcW w:w="950" w:type="dxa"/>
            <w:hideMark/>
          </w:tcPr>
          <w:p w14:paraId="63189B12" w14:textId="77777777" w:rsidR="00B575B7" w:rsidRPr="002759BA" w:rsidRDefault="00B575B7" w:rsidP="00240EAF">
            <w:pPr>
              <w:pStyle w:val="NormalWeb"/>
              <w:jc w:val="center"/>
              <w:rPr>
                <w:sz w:val="18"/>
                <w:szCs w:val="18"/>
              </w:rPr>
            </w:pPr>
            <w:r w:rsidRPr="002759BA">
              <w:rPr>
                <w:sz w:val="18"/>
                <w:szCs w:val="18"/>
              </w:rPr>
              <w:t>0.939</w:t>
            </w:r>
          </w:p>
        </w:tc>
      </w:tr>
      <w:tr w:rsidR="00D74A2A" w:rsidRPr="002759BA" w14:paraId="468E171F" w14:textId="77777777" w:rsidTr="00A35124">
        <w:tc>
          <w:tcPr>
            <w:tcW w:w="3544" w:type="dxa"/>
            <w:hideMark/>
          </w:tcPr>
          <w:p w14:paraId="60129E53" w14:textId="77777777" w:rsidR="00B575B7" w:rsidRPr="002759BA" w:rsidRDefault="00B575B7">
            <w:pPr>
              <w:pStyle w:val="NormalWeb"/>
              <w:rPr>
                <w:sz w:val="18"/>
                <w:szCs w:val="18"/>
              </w:rPr>
            </w:pPr>
            <w:r w:rsidRPr="002759BA">
              <w:rPr>
                <w:sz w:val="18"/>
                <w:szCs w:val="18"/>
              </w:rPr>
              <w:t>&gt;30</w:t>
            </w:r>
            <w:r w:rsidRPr="002759BA">
              <w:rPr>
                <w:sz w:val="18"/>
                <w:szCs w:val="18"/>
                <w:vertAlign w:val="superscript"/>
              </w:rPr>
              <w:t>b</w:t>
            </w:r>
          </w:p>
        </w:tc>
        <w:tc>
          <w:tcPr>
            <w:tcW w:w="1089" w:type="dxa"/>
            <w:hideMark/>
          </w:tcPr>
          <w:p w14:paraId="4550CE30" w14:textId="77777777" w:rsidR="00B575B7" w:rsidRPr="002759BA" w:rsidRDefault="00B575B7" w:rsidP="00240EAF">
            <w:pPr>
              <w:pStyle w:val="NormalWeb"/>
              <w:jc w:val="center"/>
              <w:rPr>
                <w:sz w:val="18"/>
                <w:szCs w:val="18"/>
              </w:rPr>
            </w:pPr>
            <w:r w:rsidRPr="002759BA">
              <w:rPr>
                <w:sz w:val="18"/>
                <w:szCs w:val="18"/>
              </w:rPr>
              <w:t>172</w:t>
            </w:r>
          </w:p>
        </w:tc>
        <w:tc>
          <w:tcPr>
            <w:tcW w:w="0" w:type="auto"/>
            <w:hideMark/>
          </w:tcPr>
          <w:p w14:paraId="4802E0D4" w14:textId="77777777" w:rsidR="00B575B7" w:rsidRPr="002759BA" w:rsidRDefault="00B575B7" w:rsidP="00240EAF">
            <w:pPr>
              <w:pStyle w:val="NormalWeb"/>
              <w:jc w:val="center"/>
              <w:rPr>
                <w:sz w:val="18"/>
                <w:szCs w:val="18"/>
              </w:rPr>
            </w:pPr>
            <w:r w:rsidRPr="002759BA">
              <w:rPr>
                <w:sz w:val="18"/>
                <w:szCs w:val="18"/>
              </w:rPr>
              <w:t>64.5</w:t>
            </w:r>
          </w:p>
        </w:tc>
        <w:tc>
          <w:tcPr>
            <w:tcW w:w="0" w:type="auto"/>
            <w:hideMark/>
          </w:tcPr>
          <w:p w14:paraId="3177F33E" w14:textId="77777777" w:rsidR="00B575B7" w:rsidRPr="002759BA" w:rsidRDefault="00B575B7" w:rsidP="00240EAF">
            <w:pPr>
              <w:pStyle w:val="NormalWeb"/>
              <w:jc w:val="center"/>
              <w:rPr>
                <w:sz w:val="18"/>
                <w:szCs w:val="18"/>
              </w:rPr>
            </w:pPr>
            <w:r w:rsidRPr="002759BA">
              <w:rPr>
                <w:sz w:val="18"/>
                <w:szCs w:val="18"/>
              </w:rPr>
              <w:t>61.7 (53.0–70.4)</w:t>
            </w:r>
          </w:p>
        </w:tc>
        <w:tc>
          <w:tcPr>
            <w:tcW w:w="0" w:type="auto"/>
            <w:hideMark/>
          </w:tcPr>
          <w:p w14:paraId="61BB5D46" w14:textId="77777777" w:rsidR="00B575B7" w:rsidRPr="002759BA" w:rsidRDefault="00B575B7" w:rsidP="00240EAF">
            <w:pPr>
              <w:pStyle w:val="NormalWeb"/>
              <w:jc w:val="center"/>
              <w:rPr>
                <w:sz w:val="18"/>
                <w:szCs w:val="18"/>
              </w:rPr>
            </w:pPr>
            <w:r w:rsidRPr="002759BA">
              <w:rPr>
                <w:sz w:val="18"/>
                <w:szCs w:val="18"/>
              </w:rPr>
              <w:t>17,009</w:t>
            </w:r>
          </w:p>
        </w:tc>
        <w:tc>
          <w:tcPr>
            <w:tcW w:w="0" w:type="auto"/>
            <w:hideMark/>
          </w:tcPr>
          <w:p w14:paraId="6BF638C5" w14:textId="77777777" w:rsidR="00B575B7" w:rsidRPr="002759BA" w:rsidRDefault="00B575B7" w:rsidP="00240EAF">
            <w:pPr>
              <w:pStyle w:val="NormalWeb"/>
              <w:jc w:val="center"/>
              <w:rPr>
                <w:sz w:val="18"/>
                <w:szCs w:val="18"/>
              </w:rPr>
            </w:pPr>
            <w:r w:rsidRPr="002759BA">
              <w:rPr>
                <w:sz w:val="18"/>
                <w:szCs w:val="18"/>
              </w:rPr>
              <w:t>58.9</w:t>
            </w:r>
          </w:p>
        </w:tc>
        <w:tc>
          <w:tcPr>
            <w:tcW w:w="2240" w:type="dxa"/>
            <w:hideMark/>
          </w:tcPr>
          <w:p w14:paraId="5FECBE72" w14:textId="77777777" w:rsidR="00B575B7" w:rsidRPr="002759BA" w:rsidRDefault="00B575B7" w:rsidP="00240EAF">
            <w:pPr>
              <w:pStyle w:val="NormalWeb"/>
              <w:jc w:val="center"/>
              <w:rPr>
                <w:sz w:val="18"/>
                <w:szCs w:val="18"/>
              </w:rPr>
            </w:pPr>
            <w:r w:rsidRPr="002759BA">
              <w:rPr>
                <w:sz w:val="18"/>
                <w:szCs w:val="18"/>
              </w:rPr>
              <w:t>56.6 (55.8–57.4)</w:t>
            </w:r>
          </w:p>
        </w:tc>
        <w:tc>
          <w:tcPr>
            <w:tcW w:w="950" w:type="dxa"/>
            <w:hideMark/>
          </w:tcPr>
          <w:p w14:paraId="18531660" w14:textId="77777777" w:rsidR="00B575B7" w:rsidRPr="002759BA" w:rsidRDefault="00B575B7" w:rsidP="00240EAF">
            <w:pPr>
              <w:pStyle w:val="NormalWeb"/>
              <w:jc w:val="center"/>
              <w:rPr>
                <w:sz w:val="18"/>
                <w:szCs w:val="18"/>
              </w:rPr>
            </w:pPr>
            <w:r w:rsidRPr="002759BA">
              <w:rPr>
                <w:sz w:val="18"/>
                <w:szCs w:val="18"/>
              </w:rPr>
              <w:t>0.252</w:t>
            </w:r>
          </w:p>
        </w:tc>
      </w:tr>
      <w:tr w:rsidR="00FD19FF" w:rsidRPr="002759BA" w14:paraId="0B0984EE" w14:textId="77777777" w:rsidTr="00A35124">
        <w:trPr>
          <w:cnfStyle w:val="000000010000" w:firstRow="0" w:lastRow="0" w:firstColumn="0" w:lastColumn="0" w:oddVBand="0" w:evenVBand="0" w:oddHBand="0" w:evenHBand="1" w:firstRowFirstColumn="0" w:firstRowLastColumn="0" w:lastRowFirstColumn="0" w:lastRowLastColumn="0"/>
        </w:trPr>
        <w:tc>
          <w:tcPr>
            <w:tcW w:w="3544" w:type="dxa"/>
            <w:hideMark/>
          </w:tcPr>
          <w:p w14:paraId="5419ED95" w14:textId="77777777" w:rsidR="00B575B7" w:rsidRPr="002759BA" w:rsidRDefault="00B575B7">
            <w:pPr>
              <w:pStyle w:val="NormalWeb"/>
              <w:rPr>
                <w:sz w:val="18"/>
                <w:szCs w:val="18"/>
              </w:rPr>
            </w:pPr>
            <w:r w:rsidRPr="002759BA">
              <w:rPr>
                <w:sz w:val="18"/>
                <w:szCs w:val="18"/>
              </w:rPr>
              <w:t>Missing</w:t>
            </w:r>
          </w:p>
        </w:tc>
        <w:tc>
          <w:tcPr>
            <w:tcW w:w="1089" w:type="dxa"/>
            <w:hideMark/>
          </w:tcPr>
          <w:p w14:paraId="01BC477F" w14:textId="77777777" w:rsidR="00B575B7" w:rsidRPr="002759BA" w:rsidRDefault="00B575B7" w:rsidP="00240EAF">
            <w:pPr>
              <w:pStyle w:val="NormalWeb"/>
              <w:jc w:val="center"/>
              <w:rPr>
                <w:sz w:val="18"/>
                <w:szCs w:val="18"/>
              </w:rPr>
            </w:pPr>
            <w:r w:rsidRPr="002759BA">
              <w:rPr>
                <w:sz w:val="18"/>
                <w:szCs w:val="18"/>
              </w:rPr>
              <w:t>54</w:t>
            </w:r>
          </w:p>
        </w:tc>
        <w:tc>
          <w:tcPr>
            <w:tcW w:w="0" w:type="auto"/>
            <w:hideMark/>
          </w:tcPr>
          <w:p w14:paraId="2F0F88DD" w14:textId="77777777" w:rsidR="00B575B7" w:rsidRPr="002759BA" w:rsidRDefault="00B575B7" w:rsidP="00240EAF">
            <w:pPr>
              <w:pStyle w:val="NormalWeb"/>
              <w:jc w:val="center"/>
              <w:rPr>
                <w:sz w:val="18"/>
                <w:szCs w:val="18"/>
              </w:rPr>
            </w:pPr>
            <w:r w:rsidRPr="002759BA">
              <w:rPr>
                <w:sz w:val="18"/>
                <w:szCs w:val="18"/>
              </w:rPr>
              <w:t>48.1</w:t>
            </w:r>
          </w:p>
        </w:tc>
        <w:tc>
          <w:tcPr>
            <w:tcW w:w="0" w:type="auto"/>
            <w:hideMark/>
          </w:tcPr>
          <w:p w14:paraId="020242D5" w14:textId="77777777" w:rsidR="00B575B7" w:rsidRPr="002759BA" w:rsidRDefault="00B575B7" w:rsidP="00240EAF">
            <w:pPr>
              <w:pStyle w:val="NormalWeb"/>
              <w:jc w:val="center"/>
              <w:rPr>
                <w:sz w:val="18"/>
                <w:szCs w:val="18"/>
              </w:rPr>
            </w:pPr>
            <w:r w:rsidRPr="002759BA">
              <w:rPr>
                <w:sz w:val="18"/>
                <w:szCs w:val="18"/>
              </w:rPr>
              <w:t>49.8 (36.9–62.7)</w:t>
            </w:r>
          </w:p>
        </w:tc>
        <w:tc>
          <w:tcPr>
            <w:tcW w:w="0" w:type="auto"/>
            <w:hideMark/>
          </w:tcPr>
          <w:p w14:paraId="2BCAA6DE" w14:textId="77777777" w:rsidR="00B575B7" w:rsidRPr="002759BA" w:rsidRDefault="00B575B7" w:rsidP="00240EAF">
            <w:pPr>
              <w:pStyle w:val="NormalWeb"/>
              <w:jc w:val="center"/>
              <w:rPr>
                <w:sz w:val="18"/>
                <w:szCs w:val="18"/>
              </w:rPr>
            </w:pPr>
            <w:r w:rsidRPr="002759BA">
              <w:rPr>
                <w:sz w:val="18"/>
                <w:szCs w:val="18"/>
              </w:rPr>
              <w:t>5,386</w:t>
            </w:r>
          </w:p>
        </w:tc>
        <w:tc>
          <w:tcPr>
            <w:tcW w:w="0" w:type="auto"/>
            <w:hideMark/>
          </w:tcPr>
          <w:p w14:paraId="1870630D" w14:textId="77777777" w:rsidR="00B575B7" w:rsidRPr="002759BA" w:rsidRDefault="00B575B7" w:rsidP="00240EAF">
            <w:pPr>
              <w:pStyle w:val="NormalWeb"/>
              <w:jc w:val="center"/>
              <w:rPr>
                <w:sz w:val="18"/>
                <w:szCs w:val="18"/>
              </w:rPr>
            </w:pPr>
            <w:r w:rsidRPr="002759BA">
              <w:rPr>
                <w:sz w:val="18"/>
                <w:szCs w:val="18"/>
              </w:rPr>
              <w:t>56.9</w:t>
            </w:r>
          </w:p>
        </w:tc>
        <w:tc>
          <w:tcPr>
            <w:tcW w:w="2240" w:type="dxa"/>
            <w:hideMark/>
          </w:tcPr>
          <w:p w14:paraId="2A94B062" w14:textId="77777777" w:rsidR="00B575B7" w:rsidRPr="002759BA" w:rsidRDefault="00B575B7" w:rsidP="00240EAF">
            <w:pPr>
              <w:pStyle w:val="NormalWeb"/>
              <w:jc w:val="center"/>
              <w:rPr>
                <w:sz w:val="18"/>
                <w:szCs w:val="18"/>
              </w:rPr>
            </w:pPr>
            <w:r w:rsidRPr="002759BA">
              <w:rPr>
                <w:sz w:val="18"/>
                <w:szCs w:val="18"/>
              </w:rPr>
              <w:t>52.8 (51.4–54.2)</w:t>
            </w:r>
          </w:p>
        </w:tc>
        <w:tc>
          <w:tcPr>
            <w:tcW w:w="950" w:type="dxa"/>
            <w:hideMark/>
          </w:tcPr>
          <w:p w14:paraId="253F5E18" w14:textId="77777777" w:rsidR="00B575B7" w:rsidRPr="002759BA" w:rsidRDefault="00B575B7" w:rsidP="00240EAF">
            <w:pPr>
              <w:pStyle w:val="NormalWeb"/>
              <w:jc w:val="center"/>
              <w:rPr>
                <w:sz w:val="18"/>
                <w:szCs w:val="18"/>
              </w:rPr>
            </w:pPr>
            <w:r w:rsidRPr="002759BA">
              <w:rPr>
                <w:sz w:val="18"/>
                <w:szCs w:val="18"/>
              </w:rPr>
              <w:t>0.650</w:t>
            </w:r>
          </w:p>
        </w:tc>
      </w:tr>
      <w:tr w:rsidR="00D74A2A" w:rsidRPr="002759BA" w14:paraId="61D475F1" w14:textId="77777777" w:rsidTr="00A35124">
        <w:tc>
          <w:tcPr>
            <w:tcW w:w="3544" w:type="dxa"/>
            <w:hideMark/>
          </w:tcPr>
          <w:p w14:paraId="073D5982" w14:textId="77777777" w:rsidR="00B575B7" w:rsidRPr="002759BA" w:rsidRDefault="00B575B7">
            <w:pPr>
              <w:pStyle w:val="NormalWeb"/>
              <w:rPr>
                <w:b/>
                <w:sz w:val="18"/>
                <w:szCs w:val="18"/>
              </w:rPr>
            </w:pPr>
            <w:r w:rsidRPr="002759BA">
              <w:rPr>
                <w:b/>
                <w:sz w:val="18"/>
                <w:szCs w:val="18"/>
              </w:rPr>
              <w:t xml:space="preserve">Medical </w:t>
            </w:r>
            <w:proofErr w:type="spellStart"/>
            <w:r w:rsidRPr="002759BA">
              <w:rPr>
                <w:b/>
                <w:sz w:val="18"/>
                <w:szCs w:val="18"/>
              </w:rPr>
              <w:t>conditions</w:t>
            </w:r>
            <w:r w:rsidRPr="002759BA">
              <w:rPr>
                <w:b/>
                <w:sz w:val="18"/>
                <w:szCs w:val="18"/>
                <w:vertAlign w:val="superscript"/>
              </w:rPr>
              <w:t>d</w:t>
            </w:r>
            <w:proofErr w:type="spellEnd"/>
            <w:r w:rsidRPr="002759BA">
              <w:rPr>
                <w:b/>
                <w:sz w:val="18"/>
                <w:szCs w:val="18"/>
              </w:rPr>
              <w:t xml:space="preserve"> and age</w:t>
            </w:r>
          </w:p>
        </w:tc>
        <w:tc>
          <w:tcPr>
            <w:tcW w:w="1089" w:type="dxa"/>
            <w:hideMark/>
          </w:tcPr>
          <w:p w14:paraId="579F88CC" w14:textId="77777777" w:rsidR="00B575B7" w:rsidRPr="002759BA" w:rsidRDefault="00B575B7" w:rsidP="00240EAF">
            <w:pPr>
              <w:jc w:val="center"/>
              <w:rPr>
                <w:b/>
                <w:sz w:val="18"/>
                <w:szCs w:val="18"/>
              </w:rPr>
            </w:pPr>
          </w:p>
        </w:tc>
        <w:tc>
          <w:tcPr>
            <w:tcW w:w="0" w:type="auto"/>
            <w:hideMark/>
          </w:tcPr>
          <w:p w14:paraId="1E4FD945" w14:textId="77777777" w:rsidR="00B575B7" w:rsidRPr="002759BA" w:rsidRDefault="00B575B7" w:rsidP="00240EAF">
            <w:pPr>
              <w:jc w:val="center"/>
              <w:rPr>
                <w:rFonts w:eastAsia="Times New Roman"/>
                <w:b/>
                <w:sz w:val="18"/>
                <w:szCs w:val="18"/>
              </w:rPr>
            </w:pPr>
          </w:p>
        </w:tc>
        <w:tc>
          <w:tcPr>
            <w:tcW w:w="0" w:type="auto"/>
            <w:hideMark/>
          </w:tcPr>
          <w:p w14:paraId="784EF9C4" w14:textId="77777777" w:rsidR="00B575B7" w:rsidRPr="002759BA" w:rsidRDefault="00B575B7" w:rsidP="00240EAF">
            <w:pPr>
              <w:jc w:val="center"/>
              <w:rPr>
                <w:rFonts w:eastAsia="Times New Roman"/>
                <w:b/>
                <w:sz w:val="18"/>
                <w:szCs w:val="18"/>
              </w:rPr>
            </w:pPr>
          </w:p>
        </w:tc>
        <w:tc>
          <w:tcPr>
            <w:tcW w:w="0" w:type="auto"/>
            <w:hideMark/>
          </w:tcPr>
          <w:p w14:paraId="08D0BBE8" w14:textId="77777777" w:rsidR="00B575B7" w:rsidRPr="002759BA" w:rsidRDefault="00B575B7" w:rsidP="00240EAF">
            <w:pPr>
              <w:jc w:val="center"/>
              <w:rPr>
                <w:rFonts w:eastAsia="Times New Roman"/>
                <w:b/>
                <w:sz w:val="18"/>
                <w:szCs w:val="18"/>
              </w:rPr>
            </w:pPr>
          </w:p>
        </w:tc>
        <w:tc>
          <w:tcPr>
            <w:tcW w:w="0" w:type="auto"/>
            <w:hideMark/>
          </w:tcPr>
          <w:p w14:paraId="4AC575BE" w14:textId="77777777" w:rsidR="00B575B7" w:rsidRPr="002759BA" w:rsidRDefault="00B575B7" w:rsidP="00240EAF">
            <w:pPr>
              <w:jc w:val="center"/>
              <w:rPr>
                <w:rFonts w:eastAsia="Times New Roman"/>
                <w:b/>
                <w:sz w:val="18"/>
                <w:szCs w:val="18"/>
              </w:rPr>
            </w:pPr>
          </w:p>
        </w:tc>
        <w:tc>
          <w:tcPr>
            <w:tcW w:w="2240" w:type="dxa"/>
            <w:hideMark/>
          </w:tcPr>
          <w:p w14:paraId="1442D849" w14:textId="77777777" w:rsidR="00B575B7" w:rsidRPr="002759BA" w:rsidRDefault="00B575B7" w:rsidP="00240EAF">
            <w:pPr>
              <w:jc w:val="center"/>
              <w:rPr>
                <w:rFonts w:eastAsia="Times New Roman"/>
                <w:b/>
                <w:sz w:val="18"/>
                <w:szCs w:val="18"/>
              </w:rPr>
            </w:pPr>
          </w:p>
        </w:tc>
        <w:tc>
          <w:tcPr>
            <w:tcW w:w="950" w:type="dxa"/>
            <w:hideMark/>
          </w:tcPr>
          <w:p w14:paraId="63702F53" w14:textId="77777777" w:rsidR="00B575B7" w:rsidRPr="002759BA" w:rsidRDefault="00B575B7" w:rsidP="00240EAF">
            <w:pPr>
              <w:jc w:val="center"/>
              <w:rPr>
                <w:rFonts w:eastAsia="Times New Roman"/>
                <w:b/>
                <w:sz w:val="18"/>
                <w:szCs w:val="18"/>
              </w:rPr>
            </w:pPr>
          </w:p>
        </w:tc>
      </w:tr>
      <w:tr w:rsidR="00FD19FF" w:rsidRPr="002759BA" w14:paraId="7DA5D736" w14:textId="77777777" w:rsidTr="00A35124">
        <w:trPr>
          <w:cnfStyle w:val="000000010000" w:firstRow="0" w:lastRow="0" w:firstColumn="0" w:lastColumn="0" w:oddVBand="0" w:evenVBand="0" w:oddHBand="0" w:evenHBand="1" w:firstRowFirstColumn="0" w:firstRowLastColumn="0" w:lastRowFirstColumn="0" w:lastRowLastColumn="0"/>
        </w:trPr>
        <w:tc>
          <w:tcPr>
            <w:tcW w:w="3544" w:type="dxa"/>
            <w:hideMark/>
          </w:tcPr>
          <w:p w14:paraId="2EBD82E2" w14:textId="77777777" w:rsidR="00B575B7" w:rsidRPr="002759BA" w:rsidRDefault="00B575B7">
            <w:pPr>
              <w:pStyle w:val="NormalWeb"/>
              <w:rPr>
                <w:sz w:val="18"/>
                <w:szCs w:val="18"/>
              </w:rPr>
            </w:pPr>
            <w:r w:rsidRPr="002759BA">
              <w:rPr>
                <w:sz w:val="18"/>
                <w:szCs w:val="18"/>
              </w:rPr>
              <w:t>No</w:t>
            </w:r>
          </w:p>
        </w:tc>
        <w:tc>
          <w:tcPr>
            <w:tcW w:w="1089" w:type="dxa"/>
            <w:hideMark/>
          </w:tcPr>
          <w:p w14:paraId="3752D3E5" w14:textId="77777777" w:rsidR="00B575B7" w:rsidRPr="002759BA" w:rsidRDefault="00B575B7" w:rsidP="00240EAF">
            <w:pPr>
              <w:pStyle w:val="NormalWeb"/>
              <w:jc w:val="center"/>
              <w:rPr>
                <w:sz w:val="18"/>
                <w:szCs w:val="18"/>
              </w:rPr>
            </w:pPr>
            <w:r w:rsidRPr="002759BA">
              <w:rPr>
                <w:sz w:val="18"/>
                <w:szCs w:val="18"/>
              </w:rPr>
              <w:t>330</w:t>
            </w:r>
          </w:p>
        </w:tc>
        <w:tc>
          <w:tcPr>
            <w:tcW w:w="0" w:type="auto"/>
            <w:hideMark/>
          </w:tcPr>
          <w:p w14:paraId="7F97D014" w14:textId="77777777" w:rsidR="00B575B7" w:rsidRPr="002759BA" w:rsidRDefault="00B575B7" w:rsidP="00240EAF">
            <w:pPr>
              <w:pStyle w:val="NormalWeb"/>
              <w:jc w:val="center"/>
              <w:rPr>
                <w:sz w:val="18"/>
                <w:szCs w:val="18"/>
              </w:rPr>
            </w:pPr>
            <w:r w:rsidRPr="002759BA">
              <w:rPr>
                <w:sz w:val="18"/>
                <w:szCs w:val="18"/>
              </w:rPr>
              <w:t>47.3</w:t>
            </w:r>
          </w:p>
        </w:tc>
        <w:tc>
          <w:tcPr>
            <w:tcW w:w="0" w:type="auto"/>
            <w:hideMark/>
          </w:tcPr>
          <w:p w14:paraId="7E1691F0" w14:textId="77777777" w:rsidR="00B575B7" w:rsidRPr="002759BA" w:rsidRDefault="00B575B7" w:rsidP="00240EAF">
            <w:pPr>
              <w:pStyle w:val="NormalWeb"/>
              <w:jc w:val="center"/>
              <w:rPr>
                <w:sz w:val="18"/>
                <w:szCs w:val="18"/>
              </w:rPr>
            </w:pPr>
            <w:r w:rsidRPr="002759BA">
              <w:rPr>
                <w:sz w:val="18"/>
                <w:szCs w:val="18"/>
              </w:rPr>
              <w:t>50.3 (44.6–55.9)</w:t>
            </w:r>
          </w:p>
        </w:tc>
        <w:tc>
          <w:tcPr>
            <w:tcW w:w="0" w:type="auto"/>
            <w:hideMark/>
          </w:tcPr>
          <w:p w14:paraId="42E99BFF" w14:textId="77777777" w:rsidR="00B575B7" w:rsidRPr="002759BA" w:rsidRDefault="00B575B7" w:rsidP="00240EAF">
            <w:pPr>
              <w:pStyle w:val="NormalWeb"/>
              <w:jc w:val="center"/>
              <w:rPr>
                <w:sz w:val="18"/>
                <w:szCs w:val="18"/>
              </w:rPr>
            </w:pPr>
            <w:r w:rsidRPr="002759BA">
              <w:rPr>
                <w:sz w:val="18"/>
                <w:szCs w:val="18"/>
              </w:rPr>
              <w:t>55,910</w:t>
            </w:r>
          </w:p>
        </w:tc>
        <w:tc>
          <w:tcPr>
            <w:tcW w:w="0" w:type="auto"/>
            <w:hideMark/>
          </w:tcPr>
          <w:p w14:paraId="17127090" w14:textId="77777777" w:rsidR="00B575B7" w:rsidRPr="002759BA" w:rsidRDefault="00B575B7" w:rsidP="00240EAF">
            <w:pPr>
              <w:pStyle w:val="NormalWeb"/>
              <w:jc w:val="center"/>
              <w:rPr>
                <w:sz w:val="18"/>
                <w:szCs w:val="18"/>
              </w:rPr>
            </w:pPr>
            <w:r w:rsidRPr="002759BA">
              <w:rPr>
                <w:sz w:val="18"/>
                <w:szCs w:val="18"/>
              </w:rPr>
              <w:t>50.9</w:t>
            </w:r>
          </w:p>
        </w:tc>
        <w:tc>
          <w:tcPr>
            <w:tcW w:w="2240" w:type="dxa"/>
            <w:hideMark/>
          </w:tcPr>
          <w:p w14:paraId="3974FF82" w14:textId="77777777" w:rsidR="00B575B7" w:rsidRPr="002759BA" w:rsidRDefault="00B575B7" w:rsidP="00240EAF">
            <w:pPr>
              <w:pStyle w:val="NormalWeb"/>
              <w:jc w:val="center"/>
              <w:rPr>
                <w:sz w:val="18"/>
                <w:szCs w:val="18"/>
              </w:rPr>
            </w:pPr>
            <w:r w:rsidRPr="002759BA">
              <w:rPr>
                <w:sz w:val="18"/>
                <w:szCs w:val="18"/>
              </w:rPr>
              <w:t>49.6 (49.2–50.1)</w:t>
            </w:r>
          </w:p>
        </w:tc>
        <w:tc>
          <w:tcPr>
            <w:tcW w:w="950" w:type="dxa"/>
            <w:hideMark/>
          </w:tcPr>
          <w:p w14:paraId="587AE4BC" w14:textId="77777777" w:rsidR="00B575B7" w:rsidRPr="002759BA" w:rsidRDefault="00B575B7" w:rsidP="00240EAF">
            <w:pPr>
              <w:pStyle w:val="NormalWeb"/>
              <w:jc w:val="center"/>
              <w:rPr>
                <w:sz w:val="18"/>
                <w:szCs w:val="18"/>
              </w:rPr>
            </w:pPr>
            <w:r w:rsidRPr="002759BA">
              <w:rPr>
                <w:sz w:val="18"/>
                <w:szCs w:val="18"/>
              </w:rPr>
              <w:t>0.808</w:t>
            </w:r>
          </w:p>
        </w:tc>
      </w:tr>
      <w:tr w:rsidR="00D74A2A" w:rsidRPr="002759BA" w14:paraId="1AF32626" w14:textId="77777777" w:rsidTr="00A35124">
        <w:tc>
          <w:tcPr>
            <w:tcW w:w="3544" w:type="dxa"/>
            <w:hideMark/>
          </w:tcPr>
          <w:p w14:paraId="5E3E276E" w14:textId="77777777" w:rsidR="00B575B7" w:rsidRPr="002759BA" w:rsidRDefault="00B575B7">
            <w:pPr>
              <w:pStyle w:val="NormalWeb"/>
              <w:rPr>
                <w:sz w:val="18"/>
                <w:szCs w:val="18"/>
              </w:rPr>
            </w:pPr>
            <w:r w:rsidRPr="002759BA">
              <w:rPr>
                <w:sz w:val="18"/>
                <w:szCs w:val="18"/>
              </w:rPr>
              <w:t xml:space="preserve">Yes (age &lt;65 </w:t>
            </w:r>
            <w:proofErr w:type="spellStart"/>
            <w:r w:rsidRPr="002759BA">
              <w:rPr>
                <w:sz w:val="18"/>
                <w:szCs w:val="18"/>
              </w:rPr>
              <w:t>yrs</w:t>
            </w:r>
            <w:proofErr w:type="spellEnd"/>
            <w:r w:rsidRPr="002759BA">
              <w:rPr>
                <w:sz w:val="18"/>
                <w:szCs w:val="18"/>
              </w:rPr>
              <w:t>)</w:t>
            </w:r>
            <w:r w:rsidRPr="002759BA">
              <w:rPr>
                <w:sz w:val="18"/>
                <w:szCs w:val="18"/>
                <w:vertAlign w:val="superscript"/>
              </w:rPr>
              <w:t>b</w:t>
            </w:r>
          </w:p>
        </w:tc>
        <w:tc>
          <w:tcPr>
            <w:tcW w:w="1089" w:type="dxa"/>
            <w:hideMark/>
          </w:tcPr>
          <w:p w14:paraId="117B87B2" w14:textId="77777777" w:rsidR="00B575B7" w:rsidRPr="002759BA" w:rsidRDefault="00B575B7" w:rsidP="00240EAF">
            <w:pPr>
              <w:pStyle w:val="NormalWeb"/>
              <w:jc w:val="center"/>
              <w:rPr>
                <w:sz w:val="18"/>
                <w:szCs w:val="18"/>
              </w:rPr>
            </w:pPr>
            <w:r w:rsidRPr="002759BA">
              <w:rPr>
                <w:sz w:val="18"/>
                <w:szCs w:val="18"/>
              </w:rPr>
              <w:t>135</w:t>
            </w:r>
          </w:p>
        </w:tc>
        <w:tc>
          <w:tcPr>
            <w:tcW w:w="0" w:type="auto"/>
            <w:hideMark/>
          </w:tcPr>
          <w:p w14:paraId="4B117E3F" w14:textId="77777777" w:rsidR="00B575B7" w:rsidRPr="002759BA" w:rsidRDefault="00B575B7" w:rsidP="00240EAF">
            <w:pPr>
              <w:pStyle w:val="NormalWeb"/>
              <w:jc w:val="center"/>
              <w:rPr>
                <w:sz w:val="18"/>
                <w:szCs w:val="18"/>
              </w:rPr>
            </w:pPr>
            <w:r w:rsidRPr="002759BA">
              <w:rPr>
                <w:sz w:val="18"/>
                <w:szCs w:val="18"/>
              </w:rPr>
              <w:t>60.0</w:t>
            </w:r>
          </w:p>
        </w:tc>
        <w:tc>
          <w:tcPr>
            <w:tcW w:w="0" w:type="auto"/>
            <w:hideMark/>
          </w:tcPr>
          <w:p w14:paraId="792514C5" w14:textId="77777777" w:rsidR="00B575B7" w:rsidRPr="002759BA" w:rsidRDefault="00B575B7" w:rsidP="00240EAF">
            <w:pPr>
              <w:pStyle w:val="NormalWeb"/>
              <w:jc w:val="center"/>
              <w:rPr>
                <w:sz w:val="18"/>
                <w:szCs w:val="18"/>
              </w:rPr>
            </w:pPr>
            <w:r w:rsidRPr="002759BA">
              <w:rPr>
                <w:sz w:val="18"/>
                <w:szCs w:val="18"/>
              </w:rPr>
              <w:t>57.6 (47.5–67.6)</w:t>
            </w:r>
          </w:p>
        </w:tc>
        <w:tc>
          <w:tcPr>
            <w:tcW w:w="0" w:type="auto"/>
            <w:hideMark/>
          </w:tcPr>
          <w:p w14:paraId="1E9ABA43" w14:textId="77777777" w:rsidR="00B575B7" w:rsidRPr="002759BA" w:rsidRDefault="00B575B7" w:rsidP="00240EAF">
            <w:pPr>
              <w:pStyle w:val="NormalWeb"/>
              <w:jc w:val="center"/>
              <w:rPr>
                <w:sz w:val="18"/>
                <w:szCs w:val="18"/>
              </w:rPr>
            </w:pPr>
            <w:r w:rsidRPr="002759BA">
              <w:rPr>
                <w:sz w:val="18"/>
                <w:szCs w:val="18"/>
              </w:rPr>
              <w:t>10,045</w:t>
            </w:r>
          </w:p>
        </w:tc>
        <w:tc>
          <w:tcPr>
            <w:tcW w:w="0" w:type="auto"/>
            <w:hideMark/>
          </w:tcPr>
          <w:p w14:paraId="30E85703" w14:textId="77777777" w:rsidR="00B575B7" w:rsidRPr="002759BA" w:rsidRDefault="00B575B7" w:rsidP="00240EAF">
            <w:pPr>
              <w:pStyle w:val="NormalWeb"/>
              <w:jc w:val="center"/>
              <w:rPr>
                <w:sz w:val="18"/>
                <w:szCs w:val="18"/>
              </w:rPr>
            </w:pPr>
            <w:r w:rsidRPr="002759BA">
              <w:rPr>
                <w:sz w:val="18"/>
                <w:szCs w:val="18"/>
              </w:rPr>
              <w:t>52.7</w:t>
            </w:r>
          </w:p>
        </w:tc>
        <w:tc>
          <w:tcPr>
            <w:tcW w:w="2240" w:type="dxa"/>
            <w:hideMark/>
          </w:tcPr>
          <w:p w14:paraId="5C5ECA2E" w14:textId="77777777" w:rsidR="00B575B7" w:rsidRPr="002759BA" w:rsidRDefault="00B575B7" w:rsidP="00240EAF">
            <w:pPr>
              <w:pStyle w:val="NormalWeb"/>
              <w:jc w:val="center"/>
              <w:rPr>
                <w:sz w:val="18"/>
                <w:szCs w:val="18"/>
              </w:rPr>
            </w:pPr>
            <w:r w:rsidRPr="002759BA">
              <w:rPr>
                <w:sz w:val="18"/>
                <w:szCs w:val="18"/>
              </w:rPr>
              <w:t>50.0 (48.9–51.2)</w:t>
            </w:r>
          </w:p>
        </w:tc>
        <w:tc>
          <w:tcPr>
            <w:tcW w:w="950" w:type="dxa"/>
            <w:hideMark/>
          </w:tcPr>
          <w:p w14:paraId="3B7F3A7A" w14:textId="77777777" w:rsidR="00B575B7" w:rsidRPr="002759BA" w:rsidRDefault="00B575B7" w:rsidP="00240EAF">
            <w:pPr>
              <w:pStyle w:val="NormalWeb"/>
              <w:jc w:val="center"/>
              <w:rPr>
                <w:sz w:val="18"/>
                <w:szCs w:val="18"/>
              </w:rPr>
            </w:pPr>
            <w:r w:rsidRPr="002759BA">
              <w:rPr>
                <w:sz w:val="18"/>
                <w:szCs w:val="18"/>
              </w:rPr>
              <w:t>0.140</w:t>
            </w:r>
          </w:p>
        </w:tc>
      </w:tr>
      <w:tr w:rsidR="00FD19FF" w:rsidRPr="002759BA" w14:paraId="7FF54840" w14:textId="77777777" w:rsidTr="00A35124">
        <w:trPr>
          <w:cnfStyle w:val="000000010000" w:firstRow="0" w:lastRow="0" w:firstColumn="0" w:lastColumn="0" w:oddVBand="0" w:evenVBand="0" w:oddHBand="0" w:evenHBand="1" w:firstRowFirstColumn="0" w:firstRowLastColumn="0" w:lastRowFirstColumn="0" w:lastRowLastColumn="0"/>
        </w:trPr>
        <w:tc>
          <w:tcPr>
            <w:tcW w:w="3544" w:type="dxa"/>
            <w:hideMark/>
          </w:tcPr>
          <w:p w14:paraId="7D0B52BF" w14:textId="77777777" w:rsidR="00B575B7" w:rsidRPr="002759BA" w:rsidRDefault="00B575B7">
            <w:pPr>
              <w:pStyle w:val="NormalWeb"/>
              <w:rPr>
                <w:sz w:val="18"/>
                <w:szCs w:val="18"/>
              </w:rPr>
            </w:pPr>
            <w:r w:rsidRPr="002759BA">
              <w:rPr>
                <w:sz w:val="18"/>
                <w:szCs w:val="18"/>
              </w:rPr>
              <w:lastRenderedPageBreak/>
              <w:t xml:space="preserve">Yes (age =&gt;65 </w:t>
            </w:r>
            <w:proofErr w:type="spellStart"/>
            <w:r w:rsidRPr="002759BA">
              <w:rPr>
                <w:sz w:val="18"/>
                <w:szCs w:val="18"/>
              </w:rPr>
              <w:t>yrs</w:t>
            </w:r>
            <w:proofErr w:type="spellEnd"/>
            <w:r w:rsidRPr="002759BA">
              <w:rPr>
                <w:sz w:val="18"/>
                <w:szCs w:val="18"/>
              </w:rPr>
              <w:t>)</w:t>
            </w:r>
            <w:r w:rsidRPr="002759BA">
              <w:rPr>
                <w:sz w:val="18"/>
                <w:szCs w:val="18"/>
                <w:vertAlign w:val="superscript"/>
              </w:rPr>
              <w:t>b</w:t>
            </w:r>
          </w:p>
        </w:tc>
        <w:tc>
          <w:tcPr>
            <w:tcW w:w="1089" w:type="dxa"/>
            <w:hideMark/>
          </w:tcPr>
          <w:p w14:paraId="36726C83" w14:textId="77777777" w:rsidR="00B575B7" w:rsidRPr="002759BA" w:rsidRDefault="00B575B7" w:rsidP="00240EAF">
            <w:pPr>
              <w:pStyle w:val="NormalWeb"/>
              <w:jc w:val="center"/>
              <w:rPr>
                <w:sz w:val="18"/>
                <w:szCs w:val="18"/>
              </w:rPr>
            </w:pPr>
            <w:r w:rsidRPr="002759BA">
              <w:rPr>
                <w:sz w:val="18"/>
                <w:szCs w:val="18"/>
              </w:rPr>
              <w:t>94</w:t>
            </w:r>
          </w:p>
        </w:tc>
        <w:tc>
          <w:tcPr>
            <w:tcW w:w="0" w:type="auto"/>
            <w:hideMark/>
          </w:tcPr>
          <w:p w14:paraId="5EB9B2A2" w14:textId="77777777" w:rsidR="00B575B7" w:rsidRPr="002759BA" w:rsidRDefault="00B575B7" w:rsidP="00240EAF">
            <w:pPr>
              <w:pStyle w:val="NormalWeb"/>
              <w:jc w:val="center"/>
              <w:rPr>
                <w:sz w:val="18"/>
                <w:szCs w:val="18"/>
              </w:rPr>
            </w:pPr>
            <w:r w:rsidRPr="002759BA">
              <w:rPr>
                <w:sz w:val="18"/>
                <w:szCs w:val="18"/>
              </w:rPr>
              <w:t>71.3</w:t>
            </w:r>
          </w:p>
        </w:tc>
        <w:tc>
          <w:tcPr>
            <w:tcW w:w="0" w:type="auto"/>
            <w:hideMark/>
          </w:tcPr>
          <w:p w14:paraId="1506D0EA" w14:textId="77777777" w:rsidR="00B575B7" w:rsidRPr="002759BA" w:rsidRDefault="00B575B7" w:rsidP="00240EAF">
            <w:pPr>
              <w:pStyle w:val="NormalWeb"/>
              <w:jc w:val="center"/>
              <w:rPr>
                <w:sz w:val="18"/>
                <w:szCs w:val="18"/>
              </w:rPr>
            </w:pPr>
            <w:r w:rsidRPr="002759BA">
              <w:rPr>
                <w:sz w:val="18"/>
                <w:szCs w:val="18"/>
              </w:rPr>
              <w:t>67.3 (56.0–78.5)</w:t>
            </w:r>
          </w:p>
        </w:tc>
        <w:tc>
          <w:tcPr>
            <w:tcW w:w="0" w:type="auto"/>
            <w:hideMark/>
          </w:tcPr>
          <w:p w14:paraId="41894F3D" w14:textId="77777777" w:rsidR="00B575B7" w:rsidRPr="002759BA" w:rsidRDefault="00B575B7" w:rsidP="00240EAF">
            <w:pPr>
              <w:pStyle w:val="NormalWeb"/>
              <w:jc w:val="center"/>
              <w:rPr>
                <w:sz w:val="18"/>
                <w:szCs w:val="18"/>
              </w:rPr>
            </w:pPr>
            <w:r w:rsidRPr="002759BA">
              <w:rPr>
                <w:sz w:val="18"/>
                <w:szCs w:val="18"/>
              </w:rPr>
              <w:t>14,700</w:t>
            </w:r>
          </w:p>
        </w:tc>
        <w:tc>
          <w:tcPr>
            <w:tcW w:w="0" w:type="auto"/>
            <w:hideMark/>
          </w:tcPr>
          <w:p w14:paraId="4BB1B3C5" w14:textId="77777777" w:rsidR="00B575B7" w:rsidRPr="002759BA" w:rsidRDefault="00B575B7" w:rsidP="00240EAF">
            <w:pPr>
              <w:pStyle w:val="NormalWeb"/>
              <w:jc w:val="center"/>
              <w:rPr>
                <w:sz w:val="18"/>
                <w:szCs w:val="18"/>
              </w:rPr>
            </w:pPr>
            <w:r w:rsidRPr="002759BA">
              <w:rPr>
                <w:sz w:val="18"/>
                <w:szCs w:val="18"/>
              </w:rPr>
              <w:t>76.5</w:t>
            </w:r>
          </w:p>
        </w:tc>
        <w:tc>
          <w:tcPr>
            <w:tcW w:w="2240" w:type="dxa"/>
            <w:hideMark/>
          </w:tcPr>
          <w:p w14:paraId="7B4A79E2" w14:textId="77777777" w:rsidR="00B575B7" w:rsidRPr="002759BA" w:rsidRDefault="00B575B7" w:rsidP="00240EAF">
            <w:pPr>
              <w:pStyle w:val="NormalWeb"/>
              <w:jc w:val="center"/>
              <w:rPr>
                <w:sz w:val="18"/>
                <w:szCs w:val="18"/>
              </w:rPr>
            </w:pPr>
            <w:r w:rsidRPr="002759BA">
              <w:rPr>
                <w:sz w:val="18"/>
                <w:szCs w:val="18"/>
              </w:rPr>
              <w:t>76.7 (76.1–77.4)</w:t>
            </w:r>
          </w:p>
        </w:tc>
        <w:tc>
          <w:tcPr>
            <w:tcW w:w="950" w:type="dxa"/>
            <w:hideMark/>
          </w:tcPr>
          <w:p w14:paraId="7332D3D3" w14:textId="77777777" w:rsidR="00B575B7" w:rsidRPr="002759BA" w:rsidRDefault="00B575B7" w:rsidP="00240EAF">
            <w:pPr>
              <w:pStyle w:val="NormalWeb"/>
              <w:jc w:val="center"/>
              <w:rPr>
                <w:sz w:val="18"/>
                <w:szCs w:val="18"/>
              </w:rPr>
            </w:pPr>
            <w:r w:rsidRPr="002759BA">
              <w:rPr>
                <w:sz w:val="18"/>
                <w:szCs w:val="18"/>
              </w:rPr>
              <w:t>0.102</w:t>
            </w:r>
          </w:p>
        </w:tc>
      </w:tr>
      <w:tr w:rsidR="00D74A2A" w:rsidRPr="002759BA" w14:paraId="4C023A91" w14:textId="77777777" w:rsidTr="00A35124">
        <w:tc>
          <w:tcPr>
            <w:tcW w:w="3544" w:type="dxa"/>
            <w:hideMark/>
          </w:tcPr>
          <w:p w14:paraId="7FE1B02A" w14:textId="77777777" w:rsidR="00B575B7" w:rsidRPr="002759BA" w:rsidRDefault="00B575B7">
            <w:pPr>
              <w:pStyle w:val="NormalWeb"/>
              <w:rPr>
                <w:b/>
                <w:sz w:val="18"/>
                <w:szCs w:val="18"/>
              </w:rPr>
            </w:pPr>
            <w:r w:rsidRPr="002759BA">
              <w:rPr>
                <w:b/>
                <w:sz w:val="18"/>
                <w:szCs w:val="18"/>
              </w:rPr>
              <w:t>Self–reported general health status</w:t>
            </w:r>
          </w:p>
        </w:tc>
        <w:tc>
          <w:tcPr>
            <w:tcW w:w="1089" w:type="dxa"/>
            <w:hideMark/>
          </w:tcPr>
          <w:p w14:paraId="10303146" w14:textId="77777777" w:rsidR="00B575B7" w:rsidRPr="002759BA" w:rsidRDefault="00B575B7" w:rsidP="00240EAF">
            <w:pPr>
              <w:jc w:val="center"/>
              <w:rPr>
                <w:b/>
                <w:sz w:val="18"/>
                <w:szCs w:val="18"/>
              </w:rPr>
            </w:pPr>
          </w:p>
        </w:tc>
        <w:tc>
          <w:tcPr>
            <w:tcW w:w="0" w:type="auto"/>
            <w:hideMark/>
          </w:tcPr>
          <w:p w14:paraId="23DF0134" w14:textId="77777777" w:rsidR="00B575B7" w:rsidRPr="002759BA" w:rsidRDefault="00B575B7" w:rsidP="00240EAF">
            <w:pPr>
              <w:jc w:val="center"/>
              <w:rPr>
                <w:rFonts w:eastAsia="Times New Roman"/>
                <w:b/>
                <w:sz w:val="18"/>
                <w:szCs w:val="18"/>
              </w:rPr>
            </w:pPr>
          </w:p>
        </w:tc>
        <w:tc>
          <w:tcPr>
            <w:tcW w:w="0" w:type="auto"/>
            <w:hideMark/>
          </w:tcPr>
          <w:p w14:paraId="3D3DF943" w14:textId="77777777" w:rsidR="00B575B7" w:rsidRPr="002759BA" w:rsidRDefault="00B575B7" w:rsidP="00240EAF">
            <w:pPr>
              <w:jc w:val="center"/>
              <w:rPr>
                <w:rFonts w:eastAsia="Times New Roman"/>
                <w:b/>
                <w:sz w:val="18"/>
                <w:szCs w:val="18"/>
              </w:rPr>
            </w:pPr>
          </w:p>
        </w:tc>
        <w:tc>
          <w:tcPr>
            <w:tcW w:w="0" w:type="auto"/>
            <w:hideMark/>
          </w:tcPr>
          <w:p w14:paraId="0D906339" w14:textId="77777777" w:rsidR="00B575B7" w:rsidRPr="002759BA" w:rsidRDefault="00B575B7" w:rsidP="00240EAF">
            <w:pPr>
              <w:jc w:val="center"/>
              <w:rPr>
                <w:rFonts w:eastAsia="Times New Roman"/>
                <w:b/>
                <w:sz w:val="18"/>
                <w:szCs w:val="18"/>
              </w:rPr>
            </w:pPr>
          </w:p>
        </w:tc>
        <w:tc>
          <w:tcPr>
            <w:tcW w:w="0" w:type="auto"/>
            <w:hideMark/>
          </w:tcPr>
          <w:p w14:paraId="773B3A0D" w14:textId="77777777" w:rsidR="00B575B7" w:rsidRPr="002759BA" w:rsidRDefault="00B575B7" w:rsidP="00240EAF">
            <w:pPr>
              <w:jc w:val="center"/>
              <w:rPr>
                <w:rFonts w:eastAsia="Times New Roman"/>
                <w:b/>
                <w:sz w:val="18"/>
                <w:szCs w:val="18"/>
              </w:rPr>
            </w:pPr>
          </w:p>
        </w:tc>
        <w:tc>
          <w:tcPr>
            <w:tcW w:w="2240" w:type="dxa"/>
            <w:hideMark/>
          </w:tcPr>
          <w:p w14:paraId="362EF557" w14:textId="77777777" w:rsidR="00B575B7" w:rsidRPr="002759BA" w:rsidRDefault="00B575B7" w:rsidP="00240EAF">
            <w:pPr>
              <w:jc w:val="center"/>
              <w:rPr>
                <w:rFonts w:eastAsia="Times New Roman"/>
                <w:b/>
                <w:sz w:val="18"/>
                <w:szCs w:val="18"/>
              </w:rPr>
            </w:pPr>
          </w:p>
        </w:tc>
        <w:tc>
          <w:tcPr>
            <w:tcW w:w="950" w:type="dxa"/>
            <w:hideMark/>
          </w:tcPr>
          <w:p w14:paraId="4286E4BF" w14:textId="77777777" w:rsidR="00B575B7" w:rsidRPr="002759BA" w:rsidRDefault="00B575B7" w:rsidP="00240EAF">
            <w:pPr>
              <w:jc w:val="center"/>
              <w:rPr>
                <w:rFonts w:eastAsia="Times New Roman"/>
                <w:b/>
                <w:sz w:val="18"/>
                <w:szCs w:val="18"/>
              </w:rPr>
            </w:pPr>
          </w:p>
        </w:tc>
      </w:tr>
      <w:tr w:rsidR="00FD19FF" w:rsidRPr="002759BA" w14:paraId="6F4C979E" w14:textId="77777777" w:rsidTr="00A35124">
        <w:trPr>
          <w:cnfStyle w:val="000000010000" w:firstRow="0" w:lastRow="0" w:firstColumn="0" w:lastColumn="0" w:oddVBand="0" w:evenVBand="0" w:oddHBand="0" w:evenHBand="1" w:firstRowFirstColumn="0" w:firstRowLastColumn="0" w:lastRowFirstColumn="0" w:lastRowLastColumn="0"/>
        </w:trPr>
        <w:tc>
          <w:tcPr>
            <w:tcW w:w="3544" w:type="dxa"/>
            <w:hideMark/>
          </w:tcPr>
          <w:p w14:paraId="0C8DBBF3" w14:textId="77777777" w:rsidR="00B575B7" w:rsidRPr="002759BA" w:rsidRDefault="00B575B7">
            <w:pPr>
              <w:pStyle w:val="NormalWeb"/>
              <w:rPr>
                <w:sz w:val="18"/>
                <w:szCs w:val="18"/>
              </w:rPr>
            </w:pPr>
            <w:r w:rsidRPr="002759BA">
              <w:rPr>
                <w:sz w:val="18"/>
                <w:szCs w:val="18"/>
              </w:rPr>
              <w:t>Excellent</w:t>
            </w:r>
          </w:p>
        </w:tc>
        <w:tc>
          <w:tcPr>
            <w:tcW w:w="1089" w:type="dxa"/>
            <w:hideMark/>
          </w:tcPr>
          <w:p w14:paraId="347002A4" w14:textId="77777777" w:rsidR="00B575B7" w:rsidRPr="002759BA" w:rsidRDefault="00B575B7" w:rsidP="00240EAF">
            <w:pPr>
              <w:pStyle w:val="NormalWeb"/>
              <w:jc w:val="center"/>
              <w:rPr>
                <w:sz w:val="18"/>
                <w:szCs w:val="18"/>
              </w:rPr>
            </w:pPr>
            <w:r w:rsidRPr="002759BA">
              <w:rPr>
                <w:sz w:val="18"/>
                <w:szCs w:val="18"/>
              </w:rPr>
              <w:t>46</w:t>
            </w:r>
          </w:p>
        </w:tc>
        <w:tc>
          <w:tcPr>
            <w:tcW w:w="0" w:type="auto"/>
            <w:hideMark/>
          </w:tcPr>
          <w:p w14:paraId="48220B3E" w14:textId="77777777" w:rsidR="00B575B7" w:rsidRPr="002759BA" w:rsidRDefault="00B575B7" w:rsidP="00240EAF">
            <w:pPr>
              <w:pStyle w:val="NormalWeb"/>
              <w:jc w:val="center"/>
              <w:rPr>
                <w:sz w:val="18"/>
                <w:szCs w:val="18"/>
              </w:rPr>
            </w:pPr>
            <w:r w:rsidRPr="002759BA">
              <w:rPr>
                <w:sz w:val="18"/>
                <w:szCs w:val="18"/>
              </w:rPr>
              <w:t>41.3</w:t>
            </w:r>
          </w:p>
        </w:tc>
        <w:tc>
          <w:tcPr>
            <w:tcW w:w="0" w:type="auto"/>
            <w:hideMark/>
          </w:tcPr>
          <w:p w14:paraId="5D16362B" w14:textId="77777777" w:rsidR="00B575B7" w:rsidRPr="002759BA" w:rsidRDefault="00B575B7" w:rsidP="00240EAF">
            <w:pPr>
              <w:pStyle w:val="NormalWeb"/>
              <w:jc w:val="center"/>
              <w:rPr>
                <w:sz w:val="18"/>
                <w:szCs w:val="18"/>
              </w:rPr>
            </w:pPr>
            <w:r w:rsidRPr="002759BA">
              <w:rPr>
                <w:sz w:val="18"/>
                <w:szCs w:val="18"/>
              </w:rPr>
              <w:t>45.8 (31.2–60.5)</w:t>
            </w:r>
          </w:p>
        </w:tc>
        <w:tc>
          <w:tcPr>
            <w:tcW w:w="0" w:type="auto"/>
            <w:hideMark/>
          </w:tcPr>
          <w:p w14:paraId="3828F7FF" w14:textId="77777777" w:rsidR="00B575B7" w:rsidRPr="002759BA" w:rsidRDefault="00B575B7" w:rsidP="00240EAF">
            <w:pPr>
              <w:pStyle w:val="NormalWeb"/>
              <w:jc w:val="center"/>
              <w:rPr>
                <w:sz w:val="18"/>
                <w:szCs w:val="18"/>
              </w:rPr>
            </w:pPr>
            <w:r w:rsidRPr="002759BA">
              <w:rPr>
                <w:sz w:val="18"/>
                <w:szCs w:val="18"/>
              </w:rPr>
              <w:t>11,955</w:t>
            </w:r>
          </w:p>
        </w:tc>
        <w:tc>
          <w:tcPr>
            <w:tcW w:w="0" w:type="auto"/>
            <w:hideMark/>
          </w:tcPr>
          <w:p w14:paraId="16BECC74" w14:textId="77777777" w:rsidR="00B575B7" w:rsidRPr="002759BA" w:rsidRDefault="00B575B7" w:rsidP="00240EAF">
            <w:pPr>
              <w:pStyle w:val="NormalWeb"/>
              <w:jc w:val="center"/>
              <w:rPr>
                <w:sz w:val="18"/>
                <w:szCs w:val="18"/>
              </w:rPr>
            </w:pPr>
            <w:r w:rsidRPr="002759BA">
              <w:rPr>
                <w:sz w:val="18"/>
                <w:szCs w:val="18"/>
              </w:rPr>
              <w:t>43.3</w:t>
            </w:r>
          </w:p>
        </w:tc>
        <w:tc>
          <w:tcPr>
            <w:tcW w:w="2240" w:type="dxa"/>
            <w:hideMark/>
          </w:tcPr>
          <w:p w14:paraId="30B63750" w14:textId="77777777" w:rsidR="00B575B7" w:rsidRPr="002759BA" w:rsidRDefault="00B575B7" w:rsidP="00240EAF">
            <w:pPr>
              <w:pStyle w:val="NormalWeb"/>
              <w:jc w:val="center"/>
              <w:rPr>
                <w:sz w:val="18"/>
                <w:szCs w:val="18"/>
              </w:rPr>
            </w:pPr>
            <w:r w:rsidRPr="002759BA">
              <w:rPr>
                <w:sz w:val="18"/>
                <w:szCs w:val="18"/>
              </w:rPr>
              <w:t>46.4 (45.5–47.4)</w:t>
            </w:r>
          </w:p>
        </w:tc>
        <w:tc>
          <w:tcPr>
            <w:tcW w:w="950" w:type="dxa"/>
            <w:hideMark/>
          </w:tcPr>
          <w:p w14:paraId="5974C23E" w14:textId="77777777" w:rsidR="00B575B7" w:rsidRPr="002759BA" w:rsidRDefault="00B575B7" w:rsidP="00240EAF">
            <w:pPr>
              <w:pStyle w:val="NormalWeb"/>
              <w:jc w:val="center"/>
              <w:rPr>
                <w:sz w:val="18"/>
                <w:szCs w:val="18"/>
              </w:rPr>
            </w:pPr>
            <w:r w:rsidRPr="002759BA">
              <w:rPr>
                <w:sz w:val="18"/>
                <w:szCs w:val="18"/>
              </w:rPr>
              <w:t>0.936</w:t>
            </w:r>
          </w:p>
        </w:tc>
      </w:tr>
      <w:tr w:rsidR="00D74A2A" w:rsidRPr="002759BA" w14:paraId="311AED01" w14:textId="77777777" w:rsidTr="00A35124">
        <w:tc>
          <w:tcPr>
            <w:tcW w:w="3544" w:type="dxa"/>
            <w:hideMark/>
          </w:tcPr>
          <w:p w14:paraId="68617318" w14:textId="77777777" w:rsidR="00B575B7" w:rsidRPr="002759BA" w:rsidRDefault="00B575B7">
            <w:pPr>
              <w:pStyle w:val="NormalWeb"/>
              <w:rPr>
                <w:sz w:val="18"/>
                <w:szCs w:val="18"/>
              </w:rPr>
            </w:pPr>
            <w:r w:rsidRPr="002759BA">
              <w:rPr>
                <w:sz w:val="18"/>
                <w:szCs w:val="18"/>
              </w:rPr>
              <w:t>Very good/good</w:t>
            </w:r>
          </w:p>
        </w:tc>
        <w:tc>
          <w:tcPr>
            <w:tcW w:w="1089" w:type="dxa"/>
            <w:hideMark/>
          </w:tcPr>
          <w:p w14:paraId="7D8952BB" w14:textId="77777777" w:rsidR="00B575B7" w:rsidRPr="002759BA" w:rsidRDefault="00B575B7" w:rsidP="00240EAF">
            <w:pPr>
              <w:pStyle w:val="NormalWeb"/>
              <w:jc w:val="center"/>
              <w:rPr>
                <w:sz w:val="18"/>
                <w:szCs w:val="18"/>
              </w:rPr>
            </w:pPr>
            <w:r w:rsidRPr="002759BA">
              <w:rPr>
                <w:sz w:val="18"/>
                <w:szCs w:val="18"/>
              </w:rPr>
              <w:t>365</w:t>
            </w:r>
          </w:p>
        </w:tc>
        <w:tc>
          <w:tcPr>
            <w:tcW w:w="0" w:type="auto"/>
            <w:hideMark/>
          </w:tcPr>
          <w:p w14:paraId="1837C92C" w14:textId="77777777" w:rsidR="00B575B7" w:rsidRPr="002759BA" w:rsidRDefault="00B575B7" w:rsidP="00240EAF">
            <w:pPr>
              <w:pStyle w:val="NormalWeb"/>
              <w:jc w:val="center"/>
              <w:rPr>
                <w:sz w:val="18"/>
                <w:szCs w:val="18"/>
              </w:rPr>
            </w:pPr>
            <w:r w:rsidRPr="002759BA">
              <w:rPr>
                <w:sz w:val="18"/>
                <w:szCs w:val="18"/>
              </w:rPr>
              <w:t>52.0</w:t>
            </w:r>
          </w:p>
        </w:tc>
        <w:tc>
          <w:tcPr>
            <w:tcW w:w="0" w:type="auto"/>
            <w:hideMark/>
          </w:tcPr>
          <w:p w14:paraId="2F2D4C91" w14:textId="77777777" w:rsidR="00B575B7" w:rsidRPr="002759BA" w:rsidRDefault="00B575B7" w:rsidP="00240EAF">
            <w:pPr>
              <w:pStyle w:val="NormalWeb"/>
              <w:jc w:val="center"/>
              <w:rPr>
                <w:sz w:val="18"/>
                <w:szCs w:val="18"/>
              </w:rPr>
            </w:pPr>
            <w:r w:rsidRPr="002759BA">
              <w:rPr>
                <w:sz w:val="18"/>
                <w:szCs w:val="18"/>
              </w:rPr>
              <w:t>52.4 (46.9–57.9)</w:t>
            </w:r>
          </w:p>
        </w:tc>
        <w:tc>
          <w:tcPr>
            <w:tcW w:w="0" w:type="auto"/>
            <w:hideMark/>
          </w:tcPr>
          <w:p w14:paraId="77DF1743" w14:textId="77777777" w:rsidR="00B575B7" w:rsidRPr="002759BA" w:rsidRDefault="00B575B7" w:rsidP="00240EAF">
            <w:pPr>
              <w:pStyle w:val="NormalWeb"/>
              <w:jc w:val="center"/>
              <w:rPr>
                <w:sz w:val="18"/>
                <w:szCs w:val="18"/>
              </w:rPr>
            </w:pPr>
            <w:r w:rsidRPr="002759BA">
              <w:rPr>
                <w:sz w:val="18"/>
                <w:szCs w:val="18"/>
              </w:rPr>
              <w:t>57, 443</w:t>
            </w:r>
          </w:p>
        </w:tc>
        <w:tc>
          <w:tcPr>
            <w:tcW w:w="0" w:type="auto"/>
            <w:hideMark/>
          </w:tcPr>
          <w:p w14:paraId="448C5535" w14:textId="77777777" w:rsidR="00B575B7" w:rsidRPr="002759BA" w:rsidRDefault="00B575B7" w:rsidP="00240EAF">
            <w:pPr>
              <w:pStyle w:val="NormalWeb"/>
              <w:jc w:val="center"/>
              <w:rPr>
                <w:sz w:val="18"/>
                <w:szCs w:val="18"/>
              </w:rPr>
            </w:pPr>
            <w:r w:rsidRPr="002759BA">
              <w:rPr>
                <w:sz w:val="18"/>
                <w:szCs w:val="18"/>
              </w:rPr>
              <w:t>56.3</w:t>
            </w:r>
          </w:p>
        </w:tc>
        <w:tc>
          <w:tcPr>
            <w:tcW w:w="2240" w:type="dxa"/>
            <w:hideMark/>
          </w:tcPr>
          <w:p w14:paraId="56ADB36F" w14:textId="77777777" w:rsidR="00B575B7" w:rsidRPr="002759BA" w:rsidRDefault="00B575B7" w:rsidP="00240EAF">
            <w:pPr>
              <w:pStyle w:val="NormalWeb"/>
              <w:jc w:val="center"/>
              <w:rPr>
                <w:sz w:val="18"/>
                <w:szCs w:val="18"/>
              </w:rPr>
            </w:pPr>
            <w:r w:rsidRPr="002759BA">
              <w:rPr>
                <w:sz w:val="18"/>
                <w:szCs w:val="18"/>
              </w:rPr>
              <w:t>53.0 (52.6–53.4)</w:t>
            </w:r>
          </w:p>
        </w:tc>
        <w:tc>
          <w:tcPr>
            <w:tcW w:w="950" w:type="dxa"/>
            <w:hideMark/>
          </w:tcPr>
          <w:p w14:paraId="60C999B7" w14:textId="77777777" w:rsidR="00B575B7" w:rsidRPr="002759BA" w:rsidRDefault="00B575B7" w:rsidP="00240EAF">
            <w:pPr>
              <w:pStyle w:val="NormalWeb"/>
              <w:jc w:val="center"/>
              <w:rPr>
                <w:sz w:val="18"/>
                <w:szCs w:val="18"/>
              </w:rPr>
            </w:pPr>
            <w:r w:rsidRPr="002759BA">
              <w:rPr>
                <w:sz w:val="18"/>
                <w:szCs w:val="18"/>
              </w:rPr>
              <w:t>0.831</w:t>
            </w:r>
          </w:p>
        </w:tc>
      </w:tr>
      <w:tr w:rsidR="00FD19FF" w:rsidRPr="002759BA" w14:paraId="502F5C11" w14:textId="77777777" w:rsidTr="00A35124">
        <w:trPr>
          <w:cnfStyle w:val="000000010000" w:firstRow="0" w:lastRow="0" w:firstColumn="0" w:lastColumn="0" w:oddVBand="0" w:evenVBand="0" w:oddHBand="0" w:evenHBand="1" w:firstRowFirstColumn="0" w:firstRowLastColumn="0" w:lastRowFirstColumn="0" w:lastRowLastColumn="0"/>
        </w:trPr>
        <w:tc>
          <w:tcPr>
            <w:tcW w:w="3544" w:type="dxa"/>
            <w:hideMark/>
          </w:tcPr>
          <w:p w14:paraId="71030BF0" w14:textId="77777777" w:rsidR="00B575B7" w:rsidRPr="002759BA" w:rsidRDefault="00B575B7">
            <w:pPr>
              <w:pStyle w:val="NormalWeb"/>
              <w:rPr>
                <w:sz w:val="18"/>
                <w:szCs w:val="18"/>
              </w:rPr>
            </w:pPr>
            <w:r w:rsidRPr="002759BA">
              <w:rPr>
                <w:sz w:val="18"/>
                <w:szCs w:val="18"/>
              </w:rPr>
              <w:t>Fair/poor</w:t>
            </w:r>
          </w:p>
        </w:tc>
        <w:tc>
          <w:tcPr>
            <w:tcW w:w="1089" w:type="dxa"/>
            <w:hideMark/>
          </w:tcPr>
          <w:p w14:paraId="1CEDE875" w14:textId="77777777" w:rsidR="00B575B7" w:rsidRPr="002759BA" w:rsidRDefault="00B575B7" w:rsidP="00240EAF">
            <w:pPr>
              <w:pStyle w:val="NormalWeb"/>
              <w:jc w:val="center"/>
              <w:rPr>
                <w:sz w:val="18"/>
                <w:szCs w:val="18"/>
              </w:rPr>
            </w:pPr>
            <w:r w:rsidRPr="002759BA">
              <w:rPr>
                <w:sz w:val="18"/>
                <w:szCs w:val="18"/>
              </w:rPr>
              <w:t>128</w:t>
            </w:r>
          </w:p>
        </w:tc>
        <w:tc>
          <w:tcPr>
            <w:tcW w:w="0" w:type="auto"/>
            <w:hideMark/>
          </w:tcPr>
          <w:p w14:paraId="6DFB8421" w14:textId="77777777" w:rsidR="00B575B7" w:rsidRPr="002759BA" w:rsidRDefault="00B575B7" w:rsidP="00240EAF">
            <w:pPr>
              <w:pStyle w:val="NormalWeb"/>
              <w:jc w:val="center"/>
              <w:rPr>
                <w:sz w:val="18"/>
                <w:szCs w:val="18"/>
              </w:rPr>
            </w:pPr>
            <w:r w:rsidRPr="002759BA">
              <w:rPr>
                <w:sz w:val="18"/>
                <w:szCs w:val="18"/>
              </w:rPr>
              <w:t>62.5</w:t>
            </w:r>
          </w:p>
        </w:tc>
        <w:tc>
          <w:tcPr>
            <w:tcW w:w="0" w:type="auto"/>
            <w:hideMark/>
          </w:tcPr>
          <w:p w14:paraId="6508C598" w14:textId="77777777" w:rsidR="00B575B7" w:rsidRPr="002759BA" w:rsidRDefault="00B575B7" w:rsidP="00240EAF">
            <w:pPr>
              <w:pStyle w:val="NormalWeb"/>
              <w:jc w:val="center"/>
              <w:rPr>
                <w:sz w:val="18"/>
                <w:szCs w:val="18"/>
              </w:rPr>
            </w:pPr>
            <w:r w:rsidRPr="002759BA">
              <w:rPr>
                <w:sz w:val="18"/>
                <w:szCs w:val="18"/>
              </w:rPr>
              <w:t>63.4 (54.4–72.4)</w:t>
            </w:r>
          </w:p>
        </w:tc>
        <w:tc>
          <w:tcPr>
            <w:tcW w:w="0" w:type="auto"/>
            <w:hideMark/>
          </w:tcPr>
          <w:p w14:paraId="1C914FBB" w14:textId="77777777" w:rsidR="00B575B7" w:rsidRPr="002759BA" w:rsidRDefault="00B575B7" w:rsidP="00240EAF">
            <w:pPr>
              <w:pStyle w:val="NormalWeb"/>
              <w:jc w:val="center"/>
              <w:rPr>
                <w:sz w:val="18"/>
                <w:szCs w:val="18"/>
              </w:rPr>
            </w:pPr>
            <w:r w:rsidRPr="002759BA">
              <w:rPr>
                <w:sz w:val="18"/>
                <w:szCs w:val="18"/>
              </w:rPr>
              <w:t>9,922</w:t>
            </w:r>
          </w:p>
        </w:tc>
        <w:tc>
          <w:tcPr>
            <w:tcW w:w="0" w:type="auto"/>
            <w:hideMark/>
          </w:tcPr>
          <w:p w14:paraId="0DAC87E9" w14:textId="77777777" w:rsidR="00B575B7" w:rsidRPr="002759BA" w:rsidRDefault="00B575B7" w:rsidP="00240EAF">
            <w:pPr>
              <w:pStyle w:val="NormalWeb"/>
              <w:jc w:val="center"/>
              <w:rPr>
                <w:sz w:val="18"/>
                <w:szCs w:val="18"/>
              </w:rPr>
            </w:pPr>
            <w:r w:rsidRPr="002759BA">
              <w:rPr>
                <w:sz w:val="18"/>
                <w:szCs w:val="18"/>
              </w:rPr>
              <w:t>66.6</w:t>
            </w:r>
          </w:p>
        </w:tc>
        <w:tc>
          <w:tcPr>
            <w:tcW w:w="2240" w:type="dxa"/>
            <w:hideMark/>
          </w:tcPr>
          <w:p w14:paraId="2EE6BA5B" w14:textId="77777777" w:rsidR="00B575B7" w:rsidRPr="002759BA" w:rsidRDefault="00B575B7" w:rsidP="00240EAF">
            <w:pPr>
              <w:pStyle w:val="NormalWeb"/>
              <w:jc w:val="center"/>
              <w:rPr>
                <w:sz w:val="18"/>
                <w:szCs w:val="18"/>
              </w:rPr>
            </w:pPr>
            <w:r w:rsidRPr="002759BA">
              <w:rPr>
                <w:sz w:val="18"/>
                <w:szCs w:val="18"/>
              </w:rPr>
              <w:t>59.6 (58.5–60.7)</w:t>
            </w:r>
          </w:p>
        </w:tc>
        <w:tc>
          <w:tcPr>
            <w:tcW w:w="950" w:type="dxa"/>
            <w:hideMark/>
          </w:tcPr>
          <w:p w14:paraId="6487FE30" w14:textId="77777777" w:rsidR="00B575B7" w:rsidRPr="002759BA" w:rsidRDefault="00B575B7" w:rsidP="00240EAF">
            <w:pPr>
              <w:pStyle w:val="NormalWeb"/>
              <w:jc w:val="center"/>
              <w:rPr>
                <w:sz w:val="18"/>
                <w:szCs w:val="18"/>
              </w:rPr>
            </w:pPr>
            <w:r w:rsidRPr="002759BA">
              <w:rPr>
                <w:sz w:val="18"/>
                <w:szCs w:val="18"/>
              </w:rPr>
              <w:t>0.500</w:t>
            </w:r>
          </w:p>
        </w:tc>
      </w:tr>
    </w:tbl>
    <w:p w14:paraId="43EBCFD8" w14:textId="77777777" w:rsidR="00B575B7" w:rsidRDefault="00B575B7" w:rsidP="008F67CA">
      <w:pPr>
        <w:pStyle w:val="CDIfootnotes"/>
        <w:spacing w:line="240" w:lineRule="auto"/>
        <w:ind w:left="720" w:hanging="720"/>
      </w:pPr>
      <w:r>
        <w:t>a</w:t>
      </w:r>
      <w:r>
        <w:tab/>
        <w:t>Two-sample test of difference in proportions between age-standardised vaccination coverage for Aboriginal and non-Indigenous adults</w:t>
      </w:r>
    </w:p>
    <w:p w14:paraId="489158E0" w14:textId="77777777" w:rsidR="00B575B7" w:rsidRDefault="00B575B7" w:rsidP="008F67CA">
      <w:pPr>
        <w:pStyle w:val="CDIfootnotes"/>
        <w:spacing w:line="240" w:lineRule="auto"/>
        <w:ind w:left="720" w:hanging="720"/>
      </w:pPr>
      <w:r>
        <w:t>b</w:t>
      </w:r>
      <w:r>
        <w:tab/>
        <w:t>Difference in age-standardised vaccination coverage between Aboriginal and non-Indigenous adults greater than 5 percentage points</w:t>
      </w:r>
    </w:p>
    <w:p w14:paraId="0B0B6730" w14:textId="77777777" w:rsidR="00B575B7" w:rsidRDefault="00B575B7" w:rsidP="008F67CA">
      <w:pPr>
        <w:pStyle w:val="CDIfootnotes"/>
        <w:spacing w:line="240" w:lineRule="auto"/>
        <w:ind w:left="720" w:hanging="720"/>
      </w:pPr>
      <w:r>
        <w:t>c</w:t>
      </w:r>
      <w:r>
        <w:tab/>
        <w:t>not calculated due to small numbers</w:t>
      </w:r>
    </w:p>
    <w:p w14:paraId="4F825FCC" w14:textId="77777777" w:rsidR="00B575B7" w:rsidRDefault="00B575B7" w:rsidP="008F67CA">
      <w:pPr>
        <w:pStyle w:val="CDIfootnotes"/>
        <w:spacing w:line="240" w:lineRule="auto"/>
        <w:ind w:left="720" w:hanging="720"/>
      </w:pPr>
      <w:r>
        <w:t>d</w:t>
      </w:r>
      <w:r>
        <w:tab/>
        <w:t xml:space="preserve">Stroke, asthma, diabetes, heart disease, Parkinson’s </w:t>
      </w:r>
      <w:proofErr w:type="gramStart"/>
      <w:r>
        <w:t>disease</w:t>
      </w:r>
      <w:proofErr w:type="gramEnd"/>
      <w:r>
        <w:t xml:space="preserve"> and cancer</w:t>
      </w:r>
    </w:p>
    <w:p w14:paraId="57A1FA43" w14:textId="77777777" w:rsidR="002342DE" w:rsidRDefault="002342DE" w:rsidP="00FF23DC">
      <w:pPr>
        <w:pStyle w:val="CDIFigures"/>
        <w:sectPr w:rsidR="002342DE" w:rsidSect="002342DE">
          <w:pgSz w:w="16838" w:h="11906" w:orient="landscape"/>
          <w:pgMar w:top="720" w:right="720" w:bottom="720" w:left="1134" w:header="709" w:footer="284" w:gutter="0"/>
          <w:cols w:space="708"/>
          <w:titlePg/>
          <w:docGrid w:linePitch="360"/>
        </w:sectPr>
      </w:pPr>
    </w:p>
    <w:p w14:paraId="7C0ABE6B" w14:textId="77777777" w:rsidR="00B575B7" w:rsidRDefault="00B575B7" w:rsidP="00FF23DC">
      <w:pPr>
        <w:pStyle w:val="CDIFigures"/>
      </w:pPr>
      <w:r>
        <w:lastRenderedPageBreak/>
        <w:t xml:space="preserve">Table 3: Age- and sex-adjusted odds ratio for association between various characteristics and influenza vaccination in Aboriginal and </w:t>
      </w:r>
      <w:r>
        <w:rPr>
          <w:lang w:val="en-US"/>
        </w:rPr>
        <w:t xml:space="preserve">Australian-born </w:t>
      </w:r>
      <w:r>
        <w:t>non-Indigenous adults</w:t>
      </w:r>
    </w:p>
    <w:tbl>
      <w:tblPr>
        <w:tblStyle w:val="CDI-StandardTable"/>
        <w:tblW w:w="0" w:type="auto"/>
        <w:tblCellMar>
          <w:top w:w="57" w:type="dxa"/>
          <w:left w:w="57" w:type="dxa"/>
          <w:bottom w:w="57" w:type="dxa"/>
          <w:right w:w="57" w:type="dxa"/>
        </w:tblCellMar>
        <w:tblLook w:val="04A0" w:firstRow="1" w:lastRow="0" w:firstColumn="1" w:lastColumn="0" w:noHBand="0" w:noVBand="1"/>
        <w:tblDescription w:val="Odd ratios reported for participant characteristics for association with influenza vaccination in Aboriginal and Australian-born non-Indigenous adults. In Aboriginal adults odds ratio of 3.02 (0.71–12.93) for adults aged &gt;65 years compared to those aged 49-64 years. Odds ratio for those reporting fair/poor health 2.57 (1.26–5.20) compared to those reporting excellent health. &#10;For Australian-born Non-Indigenous adults odds ratio of 6.44 (5.91–7.01) for adults aged &gt;65 years compared to those aged 49-64 years. Odds ratio of 1.22 (1.18–1.25) for women compared to men. &#10;Odds ratio for those aged &lt;65 years reporting a medical condition 1.93 (1.83–2.02) and &gt;65 years reporting a medical condition 1.44 (1.37–1.51), compared to those reporting no medical condition. Odds ratio for those reporting fair/poor health 1.93 (1.82–2.05) compared to those reporting excellent health. "/>
      </w:tblPr>
      <w:tblGrid>
        <w:gridCol w:w="2758"/>
        <w:gridCol w:w="3841"/>
        <w:gridCol w:w="3841"/>
      </w:tblGrid>
      <w:tr w:rsidR="007A5478" w:rsidRPr="009B57B3" w14:paraId="3A3C16D8" w14:textId="77777777" w:rsidTr="005D5071">
        <w:trPr>
          <w:cnfStyle w:val="100000000000" w:firstRow="1" w:lastRow="0" w:firstColumn="0" w:lastColumn="0" w:oddVBand="0" w:evenVBand="0" w:oddHBand="0" w:evenHBand="0" w:firstRowFirstColumn="0" w:firstRowLastColumn="0" w:lastRowFirstColumn="0" w:lastRowLastColumn="0"/>
          <w:tblHeader/>
        </w:trPr>
        <w:tc>
          <w:tcPr>
            <w:tcW w:w="0" w:type="auto"/>
            <w:hideMark/>
          </w:tcPr>
          <w:p w14:paraId="43380628" w14:textId="77777777" w:rsidR="00B575B7" w:rsidRPr="009B57B3" w:rsidRDefault="00B575B7">
            <w:pPr>
              <w:pStyle w:val="NormalWeb"/>
              <w:rPr>
                <w:b w:val="0"/>
                <w:color w:val="FFFFFF" w:themeColor="background1"/>
                <w:sz w:val="18"/>
                <w:szCs w:val="18"/>
              </w:rPr>
            </w:pPr>
            <w:r w:rsidRPr="009B57B3">
              <w:rPr>
                <w:color w:val="FFFFFF" w:themeColor="background1"/>
                <w:sz w:val="18"/>
                <w:szCs w:val="18"/>
              </w:rPr>
              <w:t>Characteristics</w:t>
            </w:r>
          </w:p>
        </w:tc>
        <w:tc>
          <w:tcPr>
            <w:tcW w:w="3841" w:type="dxa"/>
            <w:hideMark/>
          </w:tcPr>
          <w:p w14:paraId="57510CF6" w14:textId="77777777" w:rsidR="00B575B7" w:rsidRPr="009B57B3" w:rsidRDefault="00B575B7" w:rsidP="007A5478">
            <w:pPr>
              <w:pStyle w:val="NormalWeb"/>
              <w:jc w:val="center"/>
              <w:rPr>
                <w:color w:val="FFFFFF" w:themeColor="background1"/>
                <w:sz w:val="18"/>
                <w:szCs w:val="18"/>
              </w:rPr>
            </w:pPr>
            <w:r w:rsidRPr="009B57B3">
              <w:rPr>
                <w:color w:val="FFFFFF" w:themeColor="background1"/>
                <w:sz w:val="18"/>
                <w:szCs w:val="18"/>
              </w:rPr>
              <w:t>Aboriginal adults</w:t>
            </w:r>
          </w:p>
        </w:tc>
        <w:tc>
          <w:tcPr>
            <w:tcW w:w="3841" w:type="dxa"/>
            <w:hideMark/>
          </w:tcPr>
          <w:p w14:paraId="5B6B30CD" w14:textId="77777777" w:rsidR="00B575B7" w:rsidRPr="009B57B3" w:rsidRDefault="00B575B7" w:rsidP="007A5478">
            <w:pPr>
              <w:pStyle w:val="NormalWeb"/>
              <w:jc w:val="center"/>
              <w:rPr>
                <w:color w:val="FFFFFF" w:themeColor="background1"/>
                <w:sz w:val="18"/>
                <w:szCs w:val="18"/>
              </w:rPr>
            </w:pPr>
            <w:r w:rsidRPr="009B57B3">
              <w:rPr>
                <w:color w:val="FFFFFF" w:themeColor="background1"/>
                <w:sz w:val="18"/>
                <w:szCs w:val="18"/>
              </w:rPr>
              <w:t xml:space="preserve">Australian-born </w:t>
            </w:r>
            <w:proofErr w:type="gramStart"/>
            <w:r w:rsidRPr="009B57B3">
              <w:rPr>
                <w:color w:val="FFFFFF" w:themeColor="background1"/>
                <w:sz w:val="18"/>
                <w:szCs w:val="18"/>
              </w:rPr>
              <w:t>Non-Indigenous</w:t>
            </w:r>
            <w:proofErr w:type="gramEnd"/>
            <w:r w:rsidRPr="009B57B3">
              <w:rPr>
                <w:color w:val="FFFFFF" w:themeColor="background1"/>
                <w:sz w:val="18"/>
                <w:szCs w:val="18"/>
              </w:rPr>
              <w:t xml:space="preserve"> adults</w:t>
            </w:r>
          </w:p>
        </w:tc>
      </w:tr>
      <w:tr w:rsidR="00B575B7" w:rsidRPr="009B57B3" w14:paraId="5A66E51D" w14:textId="77777777" w:rsidTr="005D5071">
        <w:tc>
          <w:tcPr>
            <w:tcW w:w="0" w:type="auto"/>
            <w:hideMark/>
          </w:tcPr>
          <w:p w14:paraId="2E45254D" w14:textId="77777777" w:rsidR="00B575B7" w:rsidRPr="009B57B3" w:rsidRDefault="00B575B7">
            <w:pPr>
              <w:pStyle w:val="NormalWeb"/>
              <w:rPr>
                <w:b/>
                <w:sz w:val="18"/>
                <w:szCs w:val="18"/>
              </w:rPr>
            </w:pPr>
            <w:r w:rsidRPr="009B57B3">
              <w:rPr>
                <w:b/>
                <w:sz w:val="18"/>
                <w:szCs w:val="18"/>
              </w:rPr>
              <w:t>Age group (years)</w:t>
            </w:r>
          </w:p>
        </w:tc>
        <w:tc>
          <w:tcPr>
            <w:tcW w:w="3841" w:type="dxa"/>
            <w:hideMark/>
          </w:tcPr>
          <w:p w14:paraId="2DB4C3BB" w14:textId="77777777" w:rsidR="00B575B7" w:rsidRPr="009B57B3" w:rsidRDefault="00B575B7" w:rsidP="007A5478">
            <w:pPr>
              <w:jc w:val="center"/>
              <w:rPr>
                <w:b/>
                <w:sz w:val="18"/>
                <w:szCs w:val="18"/>
              </w:rPr>
            </w:pPr>
          </w:p>
        </w:tc>
        <w:tc>
          <w:tcPr>
            <w:tcW w:w="3841" w:type="dxa"/>
            <w:hideMark/>
          </w:tcPr>
          <w:p w14:paraId="0AC59EB9" w14:textId="77777777" w:rsidR="00B575B7" w:rsidRPr="009B57B3" w:rsidRDefault="00B575B7" w:rsidP="007A5478">
            <w:pPr>
              <w:jc w:val="center"/>
              <w:rPr>
                <w:rFonts w:eastAsia="Times New Roman"/>
                <w:b/>
                <w:sz w:val="18"/>
                <w:szCs w:val="18"/>
              </w:rPr>
            </w:pPr>
          </w:p>
        </w:tc>
      </w:tr>
      <w:tr w:rsidR="00B575B7" w:rsidRPr="009B57B3" w14:paraId="40F9AD58" w14:textId="77777777" w:rsidTr="005D5071">
        <w:trPr>
          <w:cnfStyle w:val="000000010000" w:firstRow="0" w:lastRow="0" w:firstColumn="0" w:lastColumn="0" w:oddVBand="0" w:evenVBand="0" w:oddHBand="0" w:evenHBand="1" w:firstRowFirstColumn="0" w:firstRowLastColumn="0" w:lastRowFirstColumn="0" w:lastRowLastColumn="0"/>
        </w:trPr>
        <w:tc>
          <w:tcPr>
            <w:tcW w:w="0" w:type="auto"/>
            <w:hideMark/>
          </w:tcPr>
          <w:p w14:paraId="3870756F" w14:textId="77777777" w:rsidR="00B575B7" w:rsidRPr="009B57B3" w:rsidRDefault="00B575B7">
            <w:pPr>
              <w:pStyle w:val="NormalWeb"/>
              <w:rPr>
                <w:sz w:val="18"/>
                <w:szCs w:val="18"/>
              </w:rPr>
            </w:pPr>
            <w:r w:rsidRPr="009B57B3">
              <w:rPr>
                <w:sz w:val="18"/>
                <w:szCs w:val="18"/>
              </w:rPr>
              <w:t>49–64</w:t>
            </w:r>
          </w:p>
        </w:tc>
        <w:tc>
          <w:tcPr>
            <w:tcW w:w="3841" w:type="dxa"/>
            <w:hideMark/>
          </w:tcPr>
          <w:p w14:paraId="4D55EC61" w14:textId="77777777" w:rsidR="00B575B7" w:rsidRPr="009B57B3" w:rsidRDefault="00B575B7" w:rsidP="007A5478">
            <w:pPr>
              <w:pStyle w:val="NormalWeb"/>
              <w:jc w:val="center"/>
              <w:rPr>
                <w:sz w:val="18"/>
                <w:szCs w:val="18"/>
              </w:rPr>
            </w:pPr>
            <w:r w:rsidRPr="009B57B3">
              <w:rPr>
                <w:sz w:val="18"/>
                <w:szCs w:val="18"/>
              </w:rPr>
              <w:t>1.00</w:t>
            </w:r>
          </w:p>
        </w:tc>
        <w:tc>
          <w:tcPr>
            <w:tcW w:w="3841" w:type="dxa"/>
            <w:hideMark/>
          </w:tcPr>
          <w:p w14:paraId="745A22E5" w14:textId="77777777" w:rsidR="00B575B7" w:rsidRPr="009B57B3" w:rsidRDefault="00B575B7" w:rsidP="007A5478">
            <w:pPr>
              <w:pStyle w:val="NormalWeb"/>
              <w:jc w:val="center"/>
              <w:rPr>
                <w:sz w:val="18"/>
                <w:szCs w:val="18"/>
              </w:rPr>
            </w:pPr>
            <w:r w:rsidRPr="009B57B3">
              <w:rPr>
                <w:sz w:val="18"/>
                <w:szCs w:val="18"/>
              </w:rPr>
              <w:t>1.00</w:t>
            </w:r>
          </w:p>
        </w:tc>
      </w:tr>
      <w:tr w:rsidR="00B575B7" w:rsidRPr="009B57B3" w14:paraId="66E10EF3" w14:textId="77777777" w:rsidTr="005D5071">
        <w:tc>
          <w:tcPr>
            <w:tcW w:w="0" w:type="auto"/>
            <w:hideMark/>
          </w:tcPr>
          <w:p w14:paraId="457BD013" w14:textId="77777777" w:rsidR="00B575B7" w:rsidRPr="009B57B3" w:rsidRDefault="00B575B7">
            <w:pPr>
              <w:pStyle w:val="NormalWeb"/>
              <w:rPr>
                <w:sz w:val="18"/>
                <w:szCs w:val="18"/>
              </w:rPr>
            </w:pPr>
            <w:r w:rsidRPr="009B57B3">
              <w:rPr>
                <w:sz w:val="18"/>
                <w:szCs w:val="18"/>
              </w:rPr>
              <w:t>&gt;65</w:t>
            </w:r>
          </w:p>
        </w:tc>
        <w:tc>
          <w:tcPr>
            <w:tcW w:w="3841" w:type="dxa"/>
            <w:hideMark/>
          </w:tcPr>
          <w:p w14:paraId="39EA5134" w14:textId="77777777" w:rsidR="00B575B7" w:rsidRPr="009B57B3" w:rsidRDefault="00B575B7" w:rsidP="007A5478">
            <w:pPr>
              <w:pStyle w:val="NormalWeb"/>
              <w:jc w:val="center"/>
              <w:rPr>
                <w:sz w:val="18"/>
                <w:szCs w:val="18"/>
              </w:rPr>
            </w:pPr>
            <w:r w:rsidRPr="009B57B3">
              <w:rPr>
                <w:sz w:val="18"/>
                <w:szCs w:val="18"/>
              </w:rPr>
              <w:t>3.02 (0.71–12.93)</w:t>
            </w:r>
          </w:p>
        </w:tc>
        <w:tc>
          <w:tcPr>
            <w:tcW w:w="3841" w:type="dxa"/>
            <w:hideMark/>
          </w:tcPr>
          <w:p w14:paraId="6D3A0BBC" w14:textId="77777777" w:rsidR="00B575B7" w:rsidRPr="009B57B3" w:rsidRDefault="00B575B7" w:rsidP="007A5478">
            <w:pPr>
              <w:pStyle w:val="NormalWeb"/>
              <w:jc w:val="center"/>
              <w:rPr>
                <w:sz w:val="18"/>
                <w:szCs w:val="18"/>
              </w:rPr>
            </w:pPr>
            <w:r w:rsidRPr="009B57B3">
              <w:rPr>
                <w:sz w:val="18"/>
                <w:szCs w:val="18"/>
              </w:rPr>
              <w:t>6.44 (5.91–7.01)</w:t>
            </w:r>
          </w:p>
        </w:tc>
      </w:tr>
      <w:tr w:rsidR="00B575B7" w:rsidRPr="009B57B3" w14:paraId="0FE16B05" w14:textId="77777777" w:rsidTr="005D5071">
        <w:trPr>
          <w:cnfStyle w:val="000000010000" w:firstRow="0" w:lastRow="0" w:firstColumn="0" w:lastColumn="0" w:oddVBand="0" w:evenVBand="0" w:oddHBand="0" w:evenHBand="1" w:firstRowFirstColumn="0" w:firstRowLastColumn="0" w:lastRowFirstColumn="0" w:lastRowLastColumn="0"/>
        </w:trPr>
        <w:tc>
          <w:tcPr>
            <w:tcW w:w="0" w:type="auto"/>
            <w:hideMark/>
          </w:tcPr>
          <w:p w14:paraId="63077098" w14:textId="77777777" w:rsidR="00B575B7" w:rsidRPr="009B57B3" w:rsidRDefault="00B575B7">
            <w:pPr>
              <w:pStyle w:val="NormalWeb"/>
              <w:rPr>
                <w:b/>
                <w:sz w:val="18"/>
                <w:szCs w:val="18"/>
              </w:rPr>
            </w:pPr>
            <w:r w:rsidRPr="009B57B3">
              <w:rPr>
                <w:b/>
                <w:sz w:val="18"/>
                <w:szCs w:val="18"/>
              </w:rPr>
              <w:t>Sex</w:t>
            </w:r>
          </w:p>
        </w:tc>
        <w:tc>
          <w:tcPr>
            <w:tcW w:w="3841" w:type="dxa"/>
            <w:hideMark/>
          </w:tcPr>
          <w:p w14:paraId="2F775BC6" w14:textId="77777777" w:rsidR="00B575B7" w:rsidRPr="009B57B3" w:rsidRDefault="00B575B7" w:rsidP="007A5478">
            <w:pPr>
              <w:jc w:val="center"/>
              <w:rPr>
                <w:b/>
                <w:sz w:val="18"/>
                <w:szCs w:val="18"/>
              </w:rPr>
            </w:pPr>
          </w:p>
        </w:tc>
        <w:tc>
          <w:tcPr>
            <w:tcW w:w="3841" w:type="dxa"/>
            <w:hideMark/>
          </w:tcPr>
          <w:p w14:paraId="11088BA1" w14:textId="77777777" w:rsidR="00B575B7" w:rsidRPr="009B57B3" w:rsidRDefault="00B575B7" w:rsidP="007A5478">
            <w:pPr>
              <w:jc w:val="center"/>
              <w:rPr>
                <w:rFonts w:eastAsia="Times New Roman"/>
                <w:b/>
                <w:sz w:val="18"/>
                <w:szCs w:val="18"/>
              </w:rPr>
            </w:pPr>
          </w:p>
        </w:tc>
      </w:tr>
      <w:tr w:rsidR="00B575B7" w:rsidRPr="009B57B3" w14:paraId="11B878CD" w14:textId="77777777" w:rsidTr="005D5071">
        <w:tc>
          <w:tcPr>
            <w:tcW w:w="0" w:type="auto"/>
            <w:hideMark/>
          </w:tcPr>
          <w:p w14:paraId="55D355E3" w14:textId="77777777" w:rsidR="00B575B7" w:rsidRPr="009B57B3" w:rsidRDefault="00B575B7">
            <w:pPr>
              <w:pStyle w:val="NormalWeb"/>
              <w:rPr>
                <w:sz w:val="18"/>
                <w:szCs w:val="18"/>
              </w:rPr>
            </w:pPr>
            <w:r w:rsidRPr="009B57B3">
              <w:rPr>
                <w:sz w:val="18"/>
                <w:szCs w:val="18"/>
              </w:rPr>
              <w:t>Men</w:t>
            </w:r>
          </w:p>
        </w:tc>
        <w:tc>
          <w:tcPr>
            <w:tcW w:w="3841" w:type="dxa"/>
            <w:hideMark/>
          </w:tcPr>
          <w:p w14:paraId="2792D2B6" w14:textId="77777777" w:rsidR="00B575B7" w:rsidRPr="009B57B3" w:rsidRDefault="00B575B7" w:rsidP="007A5478">
            <w:pPr>
              <w:pStyle w:val="NormalWeb"/>
              <w:jc w:val="center"/>
              <w:rPr>
                <w:sz w:val="18"/>
                <w:szCs w:val="18"/>
              </w:rPr>
            </w:pPr>
            <w:r w:rsidRPr="009B57B3">
              <w:rPr>
                <w:sz w:val="18"/>
                <w:szCs w:val="18"/>
              </w:rPr>
              <w:t>1.00</w:t>
            </w:r>
          </w:p>
        </w:tc>
        <w:tc>
          <w:tcPr>
            <w:tcW w:w="3841" w:type="dxa"/>
            <w:hideMark/>
          </w:tcPr>
          <w:p w14:paraId="46AA6383" w14:textId="77777777" w:rsidR="00B575B7" w:rsidRPr="009B57B3" w:rsidRDefault="00B575B7" w:rsidP="007A5478">
            <w:pPr>
              <w:pStyle w:val="NormalWeb"/>
              <w:jc w:val="center"/>
              <w:rPr>
                <w:sz w:val="18"/>
                <w:szCs w:val="18"/>
              </w:rPr>
            </w:pPr>
            <w:r w:rsidRPr="009B57B3">
              <w:rPr>
                <w:sz w:val="18"/>
                <w:szCs w:val="18"/>
              </w:rPr>
              <w:t>1.00</w:t>
            </w:r>
          </w:p>
        </w:tc>
      </w:tr>
      <w:tr w:rsidR="00B575B7" w:rsidRPr="009B57B3" w14:paraId="56213E9C" w14:textId="77777777" w:rsidTr="005D5071">
        <w:trPr>
          <w:cnfStyle w:val="000000010000" w:firstRow="0" w:lastRow="0" w:firstColumn="0" w:lastColumn="0" w:oddVBand="0" w:evenVBand="0" w:oddHBand="0" w:evenHBand="1" w:firstRowFirstColumn="0" w:firstRowLastColumn="0" w:lastRowFirstColumn="0" w:lastRowLastColumn="0"/>
        </w:trPr>
        <w:tc>
          <w:tcPr>
            <w:tcW w:w="0" w:type="auto"/>
            <w:hideMark/>
          </w:tcPr>
          <w:p w14:paraId="6CFF0CA3" w14:textId="77777777" w:rsidR="00B575B7" w:rsidRPr="009B57B3" w:rsidRDefault="00B575B7">
            <w:pPr>
              <w:pStyle w:val="NormalWeb"/>
              <w:rPr>
                <w:sz w:val="18"/>
                <w:szCs w:val="18"/>
              </w:rPr>
            </w:pPr>
            <w:r w:rsidRPr="009B57B3">
              <w:rPr>
                <w:sz w:val="18"/>
                <w:szCs w:val="18"/>
              </w:rPr>
              <w:t>Women</w:t>
            </w:r>
          </w:p>
        </w:tc>
        <w:tc>
          <w:tcPr>
            <w:tcW w:w="3841" w:type="dxa"/>
            <w:hideMark/>
          </w:tcPr>
          <w:p w14:paraId="0F94C3F3" w14:textId="77777777" w:rsidR="00B575B7" w:rsidRPr="009B57B3" w:rsidRDefault="00B575B7" w:rsidP="007A5478">
            <w:pPr>
              <w:pStyle w:val="NormalWeb"/>
              <w:jc w:val="center"/>
              <w:rPr>
                <w:sz w:val="18"/>
                <w:szCs w:val="18"/>
              </w:rPr>
            </w:pPr>
            <w:r w:rsidRPr="009B57B3">
              <w:rPr>
                <w:sz w:val="18"/>
                <w:szCs w:val="18"/>
              </w:rPr>
              <w:t>1.26 (0.89–1.79)</w:t>
            </w:r>
          </w:p>
        </w:tc>
        <w:tc>
          <w:tcPr>
            <w:tcW w:w="3841" w:type="dxa"/>
            <w:hideMark/>
          </w:tcPr>
          <w:p w14:paraId="592E0922" w14:textId="77777777" w:rsidR="00B575B7" w:rsidRPr="009B57B3" w:rsidRDefault="00B575B7" w:rsidP="007A5478">
            <w:pPr>
              <w:pStyle w:val="NormalWeb"/>
              <w:jc w:val="center"/>
              <w:rPr>
                <w:sz w:val="18"/>
                <w:szCs w:val="18"/>
              </w:rPr>
            </w:pPr>
            <w:r w:rsidRPr="009B57B3">
              <w:rPr>
                <w:sz w:val="18"/>
                <w:szCs w:val="18"/>
              </w:rPr>
              <w:t>1.22 (1.18–1.25)</w:t>
            </w:r>
          </w:p>
        </w:tc>
      </w:tr>
      <w:tr w:rsidR="00B575B7" w:rsidRPr="009B57B3" w14:paraId="757A5E3B" w14:textId="77777777" w:rsidTr="005D5071">
        <w:tc>
          <w:tcPr>
            <w:tcW w:w="0" w:type="auto"/>
            <w:hideMark/>
          </w:tcPr>
          <w:p w14:paraId="546BB7AB" w14:textId="77777777" w:rsidR="00B575B7" w:rsidRPr="009B57B3" w:rsidRDefault="00B575B7">
            <w:pPr>
              <w:pStyle w:val="NormalWeb"/>
              <w:rPr>
                <w:b/>
                <w:sz w:val="18"/>
                <w:szCs w:val="18"/>
              </w:rPr>
            </w:pPr>
            <w:r w:rsidRPr="009B57B3">
              <w:rPr>
                <w:b/>
                <w:sz w:val="18"/>
                <w:szCs w:val="18"/>
              </w:rPr>
              <w:t>Place of residence</w:t>
            </w:r>
          </w:p>
        </w:tc>
        <w:tc>
          <w:tcPr>
            <w:tcW w:w="3841" w:type="dxa"/>
            <w:hideMark/>
          </w:tcPr>
          <w:p w14:paraId="43720286" w14:textId="77777777" w:rsidR="00B575B7" w:rsidRPr="009B57B3" w:rsidRDefault="00B575B7" w:rsidP="007A5478">
            <w:pPr>
              <w:jc w:val="center"/>
              <w:rPr>
                <w:b/>
                <w:sz w:val="18"/>
                <w:szCs w:val="18"/>
              </w:rPr>
            </w:pPr>
          </w:p>
        </w:tc>
        <w:tc>
          <w:tcPr>
            <w:tcW w:w="3841" w:type="dxa"/>
            <w:hideMark/>
          </w:tcPr>
          <w:p w14:paraId="07D79BA3" w14:textId="77777777" w:rsidR="00B575B7" w:rsidRPr="009B57B3" w:rsidRDefault="00B575B7" w:rsidP="007A5478">
            <w:pPr>
              <w:jc w:val="center"/>
              <w:rPr>
                <w:rFonts w:eastAsia="Times New Roman"/>
                <w:b/>
                <w:sz w:val="18"/>
                <w:szCs w:val="18"/>
              </w:rPr>
            </w:pPr>
          </w:p>
        </w:tc>
      </w:tr>
      <w:tr w:rsidR="00B575B7" w:rsidRPr="009B57B3" w14:paraId="18BEF9FD" w14:textId="77777777" w:rsidTr="005D5071">
        <w:trPr>
          <w:cnfStyle w:val="000000010000" w:firstRow="0" w:lastRow="0" w:firstColumn="0" w:lastColumn="0" w:oddVBand="0" w:evenVBand="0" w:oddHBand="0" w:evenHBand="1" w:firstRowFirstColumn="0" w:firstRowLastColumn="0" w:lastRowFirstColumn="0" w:lastRowLastColumn="0"/>
        </w:trPr>
        <w:tc>
          <w:tcPr>
            <w:tcW w:w="0" w:type="auto"/>
            <w:hideMark/>
          </w:tcPr>
          <w:p w14:paraId="727DE91A" w14:textId="77777777" w:rsidR="00B575B7" w:rsidRPr="009B57B3" w:rsidRDefault="00B575B7">
            <w:pPr>
              <w:pStyle w:val="NormalWeb"/>
              <w:rPr>
                <w:sz w:val="18"/>
                <w:szCs w:val="18"/>
              </w:rPr>
            </w:pPr>
            <w:r w:rsidRPr="009B57B3">
              <w:rPr>
                <w:sz w:val="18"/>
                <w:szCs w:val="18"/>
              </w:rPr>
              <w:t>Major cities</w:t>
            </w:r>
          </w:p>
        </w:tc>
        <w:tc>
          <w:tcPr>
            <w:tcW w:w="3841" w:type="dxa"/>
            <w:hideMark/>
          </w:tcPr>
          <w:p w14:paraId="63648B65" w14:textId="77777777" w:rsidR="00B575B7" w:rsidRPr="009B57B3" w:rsidRDefault="00B575B7" w:rsidP="007A5478">
            <w:pPr>
              <w:pStyle w:val="NormalWeb"/>
              <w:jc w:val="center"/>
              <w:rPr>
                <w:sz w:val="18"/>
                <w:szCs w:val="18"/>
              </w:rPr>
            </w:pPr>
            <w:r w:rsidRPr="009B57B3">
              <w:rPr>
                <w:sz w:val="18"/>
                <w:szCs w:val="18"/>
              </w:rPr>
              <w:t>1.00</w:t>
            </w:r>
          </w:p>
        </w:tc>
        <w:tc>
          <w:tcPr>
            <w:tcW w:w="3841" w:type="dxa"/>
            <w:hideMark/>
          </w:tcPr>
          <w:p w14:paraId="234492C3" w14:textId="77777777" w:rsidR="00B575B7" w:rsidRPr="009B57B3" w:rsidRDefault="00B575B7" w:rsidP="007A5478">
            <w:pPr>
              <w:pStyle w:val="NormalWeb"/>
              <w:jc w:val="center"/>
              <w:rPr>
                <w:sz w:val="18"/>
                <w:szCs w:val="18"/>
              </w:rPr>
            </w:pPr>
            <w:r w:rsidRPr="009B57B3">
              <w:rPr>
                <w:sz w:val="18"/>
                <w:szCs w:val="18"/>
              </w:rPr>
              <w:t>1.00</w:t>
            </w:r>
          </w:p>
        </w:tc>
      </w:tr>
      <w:tr w:rsidR="00B575B7" w:rsidRPr="009B57B3" w14:paraId="78C4F6A5" w14:textId="77777777" w:rsidTr="005D5071">
        <w:tc>
          <w:tcPr>
            <w:tcW w:w="0" w:type="auto"/>
            <w:hideMark/>
          </w:tcPr>
          <w:p w14:paraId="71892CC2" w14:textId="77777777" w:rsidR="00B575B7" w:rsidRPr="009B57B3" w:rsidRDefault="00B575B7">
            <w:pPr>
              <w:pStyle w:val="NormalWeb"/>
              <w:rPr>
                <w:sz w:val="18"/>
                <w:szCs w:val="18"/>
              </w:rPr>
            </w:pPr>
            <w:r w:rsidRPr="009B57B3">
              <w:rPr>
                <w:sz w:val="18"/>
                <w:szCs w:val="18"/>
              </w:rPr>
              <w:t>Inner regional</w:t>
            </w:r>
          </w:p>
        </w:tc>
        <w:tc>
          <w:tcPr>
            <w:tcW w:w="3841" w:type="dxa"/>
            <w:hideMark/>
          </w:tcPr>
          <w:p w14:paraId="3687041D" w14:textId="77777777" w:rsidR="00B575B7" w:rsidRPr="009B57B3" w:rsidRDefault="00B575B7" w:rsidP="007A5478">
            <w:pPr>
              <w:pStyle w:val="NormalWeb"/>
              <w:jc w:val="center"/>
              <w:rPr>
                <w:sz w:val="18"/>
                <w:szCs w:val="18"/>
              </w:rPr>
            </w:pPr>
            <w:r w:rsidRPr="009B57B3">
              <w:rPr>
                <w:sz w:val="18"/>
                <w:szCs w:val="18"/>
              </w:rPr>
              <w:t>0.88 (0.60–1.30)</w:t>
            </w:r>
          </w:p>
        </w:tc>
        <w:tc>
          <w:tcPr>
            <w:tcW w:w="3841" w:type="dxa"/>
            <w:hideMark/>
          </w:tcPr>
          <w:p w14:paraId="74B5AD44" w14:textId="77777777" w:rsidR="00B575B7" w:rsidRPr="009B57B3" w:rsidRDefault="00B575B7" w:rsidP="007A5478">
            <w:pPr>
              <w:pStyle w:val="NormalWeb"/>
              <w:jc w:val="center"/>
              <w:rPr>
                <w:sz w:val="18"/>
                <w:szCs w:val="18"/>
              </w:rPr>
            </w:pPr>
            <w:r w:rsidRPr="009B57B3">
              <w:rPr>
                <w:sz w:val="18"/>
                <w:szCs w:val="18"/>
              </w:rPr>
              <w:t>0.93 (0.90–0.96)</w:t>
            </w:r>
          </w:p>
        </w:tc>
      </w:tr>
      <w:tr w:rsidR="00B575B7" w:rsidRPr="009B57B3" w14:paraId="3E949192" w14:textId="77777777" w:rsidTr="005D5071">
        <w:trPr>
          <w:cnfStyle w:val="000000010000" w:firstRow="0" w:lastRow="0" w:firstColumn="0" w:lastColumn="0" w:oddVBand="0" w:evenVBand="0" w:oddHBand="0" w:evenHBand="1" w:firstRowFirstColumn="0" w:firstRowLastColumn="0" w:lastRowFirstColumn="0" w:lastRowLastColumn="0"/>
        </w:trPr>
        <w:tc>
          <w:tcPr>
            <w:tcW w:w="0" w:type="auto"/>
            <w:hideMark/>
          </w:tcPr>
          <w:p w14:paraId="37371C57" w14:textId="77777777" w:rsidR="00B575B7" w:rsidRPr="009B57B3" w:rsidRDefault="00B575B7">
            <w:pPr>
              <w:pStyle w:val="NormalWeb"/>
              <w:rPr>
                <w:sz w:val="18"/>
                <w:szCs w:val="18"/>
              </w:rPr>
            </w:pPr>
            <w:r w:rsidRPr="009B57B3">
              <w:rPr>
                <w:sz w:val="18"/>
                <w:szCs w:val="18"/>
              </w:rPr>
              <w:t>Outer regional/remote/very remote</w:t>
            </w:r>
          </w:p>
        </w:tc>
        <w:tc>
          <w:tcPr>
            <w:tcW w:w="3841" w:type="dxa"/>
            <w:hideMark/>
          </w:tcPr>
          <w:p w14:paraId="58470DF2" w14:textId="77777777" w:rsidR="00B575B7" w:rsidRPr="009B57B3" w:rsidRDefault="00B575B7" w:rsidP="007A5478">
            <w:pPr>
              <w:pStyle w:val="NormalWeb"/>
              <w:jc w:val="center"/>
              <w:rPr>
                <w:sz w:val="18"/>
                <w:szCs w:val="18"/>
              </w:rPr>
            </w:pPr>
            <w:r w:rsidRPr="009B57B3">
              <w:rPr>
                <w:sz w:val="18"/>
                <w:szCs w:val="18"/>
              </w:rPr>
              <w:t>0.93 (0.58–1.48)</w:t>
            </w:r>
          </w:p>
        </w:tc>
        <w:tc>
          <w:tcPr>
            <w:tcW w:w="3841" w:type="dxa"/>
            <w:hideMark/>
          </w:tcPr>
          <w:p w14:paraId="38EEDCAC" w14:textId="77777777" w:rsidR="00B575B7" w:rsidRPr="009B57B3" w:rsidRDefault="00B575B7" w:rsidP="007A5478">
            <w:pPr>
              <w:pStyle w:val="NormalWeb"/>
              <w:jc w:val="center"/>
              <w:rPr>
                <w:sz w:val="18"/>
                <w:szCs w:val="18"/>
              </w:rPr>
            </w:pPr>
            <w:r w:rsidRPr="009B57B3">
              <w:rPr>
                <w:sz w:val="18"/>
                <w:szCs w:val="18"/>
              </w:rPr>
              <w:t>0.84 (0.80–0.87)</w:t>
            </w:r>
          </w:p>
        </w:tc>
      </w:tr>
      <w:tr w:rsidR="00B575B7" w:rsidRPr="009B57B3" w14:paraId="47EB274A" w14:textId="77777777" w:rsidTr="005D5071">
        <w:tc>
          <w:tcPr>
            <w:tcW w:w="0" w:type="auto"/>
            <w:hideMark/>
          </w:tcPr>
          <w:p w14:paraId="64A154C5" w14:textId="77777777" w:rsidR="00B575B7" w:rsidRPr="009B57B3" w:rsidRDefault="00B575B7">
            <w:pPr>
              <w:pStyle w:val="NormalWeb"/>
              <w:rPr>
                <w:b/>
                <w:sz w:val="18"/>
                <w:szCs w:val="18"/>
              </w:rPr>
            </w:pPr>
            <w:r w:rsidRPr="009B57B3">
              <w:rPr>
                <w:b/>
                <w:sz w:val="18"/>
                <w:szCs w:val="18"/>
              </w:rPr>
              <w:t>Annual household income ($)</w:t>
            </w:r>
          </w:p>
        </w:tc>
        <w:tc>
          <w:tcPr>
            <w:tcW w:w="3841" w:type="dxa"/>
            <w:hideMark/>
          </w:tcPr>
          <w:p w14:paraId="1C3DF564" w14:textId="77777777" w:rsidR="00B575B7" w:rsidRPr="009B57B3" w:rsidRDefault="00B575B7" w:rsidP="007A5478">
            <w:pPr>
              <w:jc w:val="center"/>
              <w:rPr>
                <w:b/>
                <w:sz w:val="18"/>
                <w:szCs w:val="18"/>
              </w:rPr>
            </w:pPr>
          </w:p>
        </w:tc>
        <w:tc>
          <w:tcPr>
            <w:tcW w:w="3841" w:type="dxa"/>
            <w:hideMark/>
          </w:tcPr>
          <w:p w14:paraId="0FFBBF6B" w14:textId="77777777" w:rsidR="00B575B7" w:rsidRPr="009B57B3" w:rsidRDefault="00B575B7" w:rsidP="007A5478">
            <w:pPr>
              <w:jc w:val="center"/>
              <w:rPr>
                <w:rFonts w:eastAsia="Times New Roman"/>
                <w:b/>
                <w:sz w:val="18"/>
                <w:szCs w:val="18"/>
              </w:rPr>
            </w:pPr>
          </w:p>
        </w:tc>
      </w:tr>
      <w:tr w:rsidR="00B575B7" w:rsidRPr="009B57B3" w14:paraId="1F1EE279" w14:textId="77777777" w:rsidTr="005D5071">
        <w:trPr>
          <w:cnfStyle w:val="000000010000" w:firstRow="0" w:lastRow="0" w:firstColumn="0" w:lastColumn="0" w:oddVBand="0" w:evenVBand="0" w:oddHBand="0" w:evenHBand="1" w:firstRowFirstColumn="0" w:firstRowLastColumn="0" w:lastRowFirstColumn="0" w:lastRowLastColumn="0"/>
        </w:trPr>
        <w:tc>
          <w:tcPr>
            <w:tcW w:w="0" w:type="auto"/>
            <w:hideMark/>
          </w:tcPr>
          <w:p w14:paraId="234F1D4C" w14:textId="77777777" w:rsidR="00B575B7" w:rsidRPr="009B57B3" w:rsidRDefault="00B575B7">
            <w:pPr>
              <w:pStyle w:val="NormalWeb"/>
              <w:rPr>
                <w:sz w:val="18"/>
                <w:szCs w:val="18"/>
              </w:rPr>
            </w:pPr>
            <w:r w:rsidRPr="009B57B3">
              <w:rPr>
                <w:sz w:val="18"/>
                <w:szCs w:val="18"/>
              </w:rPr>
              <w:t>&lt;50,000</w:t>
            </w:r>
          </w:p>
        </w:tc>
        <w:tc>
          <w:tcPr>
            <w:tcW w:w="3841" w:type="dxa"/>
            <w:hideMark/>
          </w:tcPr>
          <w:p w14:paraId="2D23B72A" w14:textId="77777777" w:rsidR="00B575B7" w:rsidRPr="009B57B3" w:rsidRDefault="00B575B7" w:rsidP="007A5478">
            <w:pPr>
              <w:pStyle w:val="NormalWeb"/>
              <w:jc w:val="center"/>
              <w:rPr>
                <w:sz w:val="18"/>
                <w:szCs w:val="18"/>
              </w:rPr>
            </w:pPr>
            <w:r w:rsidRPr="009B57B3">
              <w:rPr>
                <w:sz w:val="18"/>
                <w:szCs w:val="18"/>
              </w:rPr>
              <w:t>1.00</w:t>
            </w:r>
          </w:p>
        </w:tc>
        <w:tc>
          <w:tcPr>
            <w:tcW w:w="3841" w:type="dxa"/>
            <w:hideMark/>
          </w:tcPr>
          <w:p w14:paraId="4E3695D5" w14:textId="77777777" w:rsidR="00B575B7" w:rsidRPr="009B57B3" w:rsidRDefault="00B575B7" w:rsidP="007A5478">
            <w:pPr>
              <w:pStyle w:val="NormalWeb"/>
              <w:jc w:val="center"/>
              <w:rPr>
                <w:sz w:val="18"/>
                <w:szCs w:val="18"/>
              </w:rPr>
            </w:pPr>
            <w:r w:rsidRPr="009B57B3">
              <w:rPr>
                <w:sz w:val="18"/>
                <w:szCs w:val="18"/>
              </w:rPr>
              <w:t>1.00</w:t>
            </w:r>
          </w:p>
        </w:tc>
      </w:tr>
      <w:tr w:rsidR="00B575B7" w:rsidRPr="009B57B3" w14:paraId="4EC799D6" w14:textId="77777777" w:rsidTr="005D5071">
        <w:tc>
          <w:tcPr>
            <w:tcW w:w="0" w:type="auto"/>
            <w:hideMark/>
          </w:tcPr>
          <w:p w14:paraId="7EE30A7A" w14:textId="77777777" w:rsidR="00B575B7" w:rsidRPr="009B57B3" w:rsidRDefault="00B575B7">
            <w:pPr>
              <w:pStyle w:val="NormalWeb"/>
              <w:rPr>
                <w:sz w:val="18"/>
                <w:szCs w:val="18"/>
              </w:rPr>
            </w:pPr>
            <w:r w:rsidRPr="009B57B3">
              <w:rPr>
                <w:sz w:val="18"/>
                <w:szCs w:val="18"/>
              </w:rPr>
              <w:t>&gt;50, 000</w:t>
            </w:r>
          </w:p>
        </w:tc>
        <w:tc>
          <w:tcPr>
            <w:tcW w:w="3841" w:type="dxa"/>
            <w:hideMark/>
          </w:tcPr>
          <w:p w14:paraId="6715F84F" w14:textId="77777777" w:rsidR="00B575B7" w:rsidRPr="009B57B3" w:rsidRDefault="00B575B7" w:rsidP="007A5478">
            <w:pPr>
              <w:pStyle w:val="NormalWeb"/>
              <w:jc w:val="center"/>
              <w:rPr>
                <w:sz w:val="18"/>
                <w:szCs w:val="18"/>
              </w:rPr>
            </w:pPr>
            <w:r w:rsidRPr="009B57B3">
              <w:rPr>
                <w:sz w:val="18"/>
                <w:szCs w:val="18"/>
              </w:rPr>
              <w:t>1.02 (0.71–1.47)</w:t>
            </w:r>
          </w:p>
        </w:tc>
        <w:tc>
          <w:tcPr>
            <w:tcW w:w="3841" w:type="dxa"/>
            <w:hideMark/>
          </w:tcPr>
          <w:p w14:paraId="50E3D0A1" w14:textId="77777777" w:rsidR="00B575B7" w:rsidRPr="009B57B3" w:rsidRDefault="00B575B7" w:rsidP="007A5478">
            <w:pPr>
              <w:pStyle w:val="NormalWeb"/>
              <w:jc w:val="center"/>
              <w:rPr>
                <w:sz w:val="18"/>
                <w:szCs w:val="18"/>
              </w:rPr>
            </w:pPr>
            <w:r w:rsidRPr="009B57B3">
              <w:rPr>
                <w:sz w:val="18"/>
                <w:szCs w:val="18"/>
              </w:rPr>
              <w:t>1.06 (1.02–1.09)</w:t>
            </w:r>
          </w:p>
        </w:tc>
      </w:tr>
      <w:tr w:rsidR="00B575B7" w:rsidRPr="009B57B3" w14:paraId="6A722EA8" w14:textId="77777777" w:rsidTr="005D5071">
        <w:trPr>
          <w:cnfStyle w:val="000000010000" w:firstRow="0" w:lastRow="0" w:firstColumn="0" w:lastColumn="0" w:oddVBand="0" w:evenVBand="0" w:oddHBand="0" w:evenHBand="1" w:firstRowFirstColumn="0" w:firstRowLastColumn="0" w:lastRowFirstColumn="0" w:lastRowLastColumn="0"/>
        </w:trPr>
        <w:tc>
          <w:tcPr>
            <w:tcW w:w="0" w:type="auto"/>
            <w:hideMark/>
          </w:tcPr>
          <w:p w14:paraId="5A658F6A" w14:textId="77777777" w:rsidR="00B575B7" w:rsidRPr="009B57B3" w:rsidRDefault="00B575B7">
            <w:pPr>
              <w:pStyle w:val="NormalWeb"/>
              <w:rPr>
                <w:b/>
                <w:sz w:val="18"/>
                <w:szCs w:val="18"/>
              </w:rPr>
            </w:pPr>
            <w:r w:rsidRPr="009B57B3">
              <w:rPr>
                <w:b/>
                <w:sz w:val="18"/>
                <w:szCs w:val="18"/>
              </w:rPr>
              <w:t>University Education</w:t>
            </w:r>
          </w:p>
        </w:tc>
        <w:tc>
          <w:tcPr>
            <w:tcW w:w="3841" w:type="dxa"/>
            <w:hideMark/>
          </w:tcPr>
          <w:p w14:paraId="053BCC33" w14:textId="77777777" w:rsidR="00B575B7" w:rsidRPr="009B57B3" w:rsidRDefault="00B575B7" w:rsidP="007A5478">
            <w:pPr>
              <w:jc w:val="center"/>
              <w:rPr>
                <w:b/>
                <w:sz w:val="18"/>
                <w:szCs w:val="18"/>
              </w:rPr>
            </w:pPr>
          </w:p>
        </w:tc>
        <w:tc>
          <w:tcPr>
            <w:tcW w:w="3841" w:type="dxa"/>
            <w:hideMark/>
          </w:tcPr>
          <w:p w14:paraId="62156936" w14:textId="77777777" w:rsidR="00B575B7" w:rsidRPr="009B57B3" w:rsidRDefault="00B575B7" w:rsidP="007A5478">
            <w:pPr>
              <w:jc w:val="center"/>
              <w:rPr>
                <w:rFonts w:eastAsia="Times New Roman"/>
                <w:b/>
                <w:sz w:val="18"/>
                <w:szCs w:val="18"/>
              </w:rPr>
            </w:pPr>
          </w:p>
        </w:tc>
      </w:tr>
      <w:tr w:rsidR="00B575B7" w:rsidRPr="009B57B3" w14:paraId="4C917367" w14:textId="77777777" w:rsidTr="005D5071">
        <w:tc>
          <w:tcPr>
            <w:tcW w:w="0" w:type="auto"/>
            <w:hideMark/>
          </w:tcPr>
          <w:p w14:paraId="3974CE67" w14:textId="77777777" w:rsidR="00B575B7" w:rsidRPr="009B57B3" w:rsidRDefault="00B575B7">
            <w:pPr>
              <w:pStyle w:val="NormalWeb"/>
              <w:rPr>
                <w:sz w:val="18"/>
                <w:szCs w:val="18"/>
              </w:rPr>
            </w:pPr>
            <w:r w:rsidRPr="009B57B3">
              <w:rPr>
                <w:sz w:val="18"/>
                <w:szCs w:val="18"/>
              </w:rPr>
              <w:t>No</w:t>
            </w:r>
          </w:p>
        </w:tc>
        <w:tc>
          <w:tcPr>
            <w:tcW w:w="3841" w:type="dxa"/>
            <w:hideMark/>
          </w:tcPr>
          <w:p w14:paraId="511F2A6C" w14:textId="77777777" w:rsidR="00B575B7" w:rsidRPr="009B57B3" w:rsidRDefault="00B575B7" w:rsidP="007A5478">
            <w:pPr>
              <w:pStyle w:val="NormalWeb"/>
              <w:jc w:val="center"/>
              <w:rPr>
                <w:sz w:val="18"/>
                <w:szCs w:val="18"/>
              </w:rPr>
            </w:pPr>
            <w:r w:rsidRPr="009B57B3">
              <w:rPr>
                <w:sz w:val="18"/>
                <w:szCs w:val="18"/>
              </w:rPr>
              <w:t>1.00</w:t>
            </w:r>
          </w:p>
        </w:tc>
        <w:tc>
          <w:tcPr>
            <w:tcW w:w="3841" w:type="dxa"/>
            <w:hideMark/>
          </w:tcPr>
          <w:p w14:paraId="33AB4561" w14:textId="77777777" w:rsidR="00B575B7" w:rsidRPr="009B57B3" w:rsidRDefault="00B575B7" w:rsidP="007A5478">
            <w:pPr>
              <w:pStyle w:val="NormalWeb"/>
              <w:jc w:val="center"/>
              <w:rPr>
                <w:sz w:val="18"/>
                <w:szCs w:val="18"/>
              </w:rPr>
            </w:pPr>
            <w:r w:rsidRPr="009B57B3">
              <w:rPr>
                <w:sz w:val="18"/>
                <w:szCs w:val="18"/>
              </w:rPr>
              <w:t>1.00</w:t>
            </w:r>
          </w:p>
        </w:tc>
      </w:tr>
      <w:tr w:rsidR="00B575B7" w:rsidRPr="009B57B3" w14:paraId="59A0A3B5" w14:textId="77777777" w:rsidTr="005D5071">
        <w:trPr>
          <w:cnfStyle w:val="000000010000" w:firstRow="0" w:lastRow="0" w:firstColumn="0" w:lastColumn="0" w:oddVBand="0" w:evenVBand="0" w:oddHBand="0" w:evenHBand="1" w:firstRowFirstColumn="0" w:firstRowLastColumn="0" w:lastRowFirstColumn="0" w:lastRowLastColumn="0"/>
        </w:trPr>
        <w:tc>
          <w:tcPr>
            <w:tcW w:w="0" w:type="auto"/>
            <w:hideMark/>
          </w:tcPr>
          <w:p w14:paraId="0305161B" w14:textId="77777777" w:rsidR="00B575B7" w:rsidRPr="009B57B3" w:rsidRDefault="00B575B7">
            <w:pPr>
              <w:pStyle w:val="NormalWeb"/>
              <w:rPr>
                <w:sz w:val="18"/>
                <w:szCs w:val="18"/>
              </w:rPr>
            </w:pPr>
            <w:r w:rsidRPr="009B57B3">
              <w:rPr>
                <w:sz w:val="18"/>
                <w:szCs w:val="18"/>
              </w:rPr>
              <w:t>Yes</w:t>
            </w:r>
          </w:p>
        </w:tc>
        <w:tc>
          <w:tcPr>
            <w:tcW w:w="3841" w:type="dxa"/>
            <w:hideMark/>
          </w:tcPr>
          <w:p w14:paraId="752DBB8F" w14:textId="77777777" w:rsidR="00B575B7" w:rsidRPr="009B57B3" w:rsidRDefault="00B575B7" w:rsidP="007A5478">
            <w:pPr>
              <w:pStyle w:val="NormalWeb"/>
              <w:jc w:val="center"/>
              <w:rPr>
                <w:sz w:val="18"/>
                <w:szCs w:val="18"/>
              </w:rPr>
            </w:pPr>
            <w:r w:rsidRPr="009B57B3">
              <w:rPr>
                <w:sz w:val="18"/>
                <w:szCs w:val="18"/>
              </w:rPr>
              <w:t>1.50 (0.97–2.35)</w:t>
            </w:r>
          </w:p>
        </w:tc>
        <w:tc>
          <w:tcPr>
            <w:tcW w:w="3841" w:type="dxa"/>
            <w:hideMark/>
          </w:tcPr>
          <w:p w14:paraId="76814E2A" w14:textId="77777777" w:rsidR="00B575B7" w:rsidRPr="009B57B3" w:rsidRDefault="00B575B7" w:rsidP="007A5478">
            <w:pPr>
              <w:pStyle w:val="NormalWeb"/>
              <w:jc w:val="center"/>
              <w:rPr>
                <w:sz w:val="18"/>
                <w:szCs w:val="18"/>
              </w:rPr>
            </w:pPr>
            <w:r w:rsidRPr="009B57B3">
              <w:rPr>
                <w:sz w:val="18"/>
                <w:szCs w:val="18"/>
              </w:rPr>
              <w:t>1.04 (1.01–1.08)</w:t>
            </w:r>
          </w:p>
        </w:tc>
      </w:tr>
      <w:tr w:rsidR="00B575B7" w:rsidRPr="009B57B3" w14:paraId="31543E50" w14:textId="77777777" w:rsidTr="005D5071">
        <w:tc>
          <w:tcPr>
            <w:tcW w:w="0" w:type="auto"/>
            <w:hideMark/>
          </w:tcPr>
          <w:p w14:paraId="02B539BD" w14:textId="77777777" w:rsidR="00B575B7" w:rsidRPr="009B57B3" w:rsidRDefault="00B575B7">
            <w:pPr>
              <w:pStyle w:val="NormalWeb"/>
              <w:rPr>
                <w:b/>
                <w:sz w:val="18"/>
                <w:szCs w:val="18"/>
              </w:rPr>
            </w:pPr>
            <w:r w:rsidRPr="009B57B3">
              <w:rPr>
                <w:b/>
                <w:sz w:val="18"/>
                <w:szCs w:val="18"/>
              </w:rPr>
              <w:t>In paid employment</w:t>
            </w:r>
          </w:p>
        </w:tc>
        <w:tc>
          <w:tcPr>
            <w:tcW w:w="3841" w:type="dxa"/>
            <w:hideMark/>
          </w:tcPr>
          <w:p w14:paraId="7D74B91C" w14:textId="77777777" w:rsidR="00B575B7" w:rsidRPr="009B57B3" w:rsidRDefault="00B575B7" w:rsidP="007A5478">
            <w:pPr>
              <w:jc w:val="center"/>
              <w:rPr>
                <w:b/>
                <w:sz w:val="18"/>
                <w:szCs w:val="18"/>
              </w:rPr>
            </w:pPr>
          </w:p>
        </w:tc>
        <w:tc>
          <w:tcPr>
            <w:tcW w:w="3841" w:type="dxa"/>
            <w:hideMark/>
          </w:tcPr>
          <w:p w14:paraId="01EE62E3" w14:textId="77777777" w:rsidR="00B575B7" w:rsidRPr="009B57B3" w:rsidRDefault="00B575B7" w:rsidP="007A5478">
            <w:pPr>
              <w:jc w:val="center"/>
              <w:rPr>
                <w:rFonts w:eastAsia="Times New Roman"/>
                <w:b/>
                <w:sz w:val="18"/>
                <w:szCs w:val="18"/>
              </w:rPr>
            </w:pPr>
          </w:p>
        </w:tc>
      </w:tr>
      <w:tr w:rsidR="00B575B7" w:rsidRPr="009B57B3" w14:paraId="1797BD36" w14:textId="77777777" w:rsidTr="005D5071">
        <w:trPr>
          <w:cnfStyle w:val="000000010000" w:firstRow="0" w:lastRow="0" w:firstColumn="0" w:lastColumn="0" w:oddVBand="0" w:evenVBand="0" w:oddHBand="0" w:evenHBand="1" w:firstRowFirstColumn="0" w:firstRowLastColumn="0" w:lastRowFirstColumn="0" w:lastRowLastColumn="0"/>
        </w:trPr>
        <w:tc>
          <w:tcPr>
            <w:tcW w:w="0" w:type="auto"/>
            <w:hideMark/>
          </w:tcPr>
          <w:p w14:paraId="07E73E1D" w14:textId="77777777" w:rsidR="00B575B7" w:rsidRPr="009B57B3" w:rsidRDefault="00B575B7">
            <w:pPr>
              <w:pStyle w:val="NormalWeb"/>
              <w:rPr>
                <w:sz w:val="18"/>
                <w:szCs w:val="18"/>
              </w:rPr>
            </w:pPr>
            <w:r w:rsidRPr="009B57B3">
              <w:rPr>
                <w:sz w:val="18"/>
                <w:szCs w:val="18"/>
              </w:rPr>
              <w:t>No</w:t>
            </w:r>
          </w:p>
        </w:tc>
        <w:tc>
          <w:tcPr>
            <w:tcW w:w="3841" w:type="dxa"/>
            <w:hideMark/>
          </w:tcPr>
          <w:p w14:paraId="4D4687BF" w14:textId="77777777" w:rsidR="00B575B7" w:rsidRPr="009B57B3" w:rsidRDefault="00B575B7" w:rsidP="007A5478">
            <w:pPr>
              <w:pStyle w:val="NormalWeb"/>
              <w:jc w:val="center"/>
              <w:rPr>
                <w:sz w:val="18"/>
                <w:szCs w:val="18"/>
              </w:rPr>
            </w:pPr>
            <w:r w:rsidRPr="009B57B3">
              <w:rPr>
                <w:sz w:val="18"/>
                <w:szCs w:val="18"/>
              </w:rPr>
              <w:t>1.00</w:t>
            </w:r>
          </w:p>
        </w:tc>
        <w:tc>
          <w:tcPr>
            <w:tcW w:w="3841" w:type="dxa"/>
            <w:hideMark/>
          </w:tcPr>
          <w:p w14:paraId="25D2807B" w14:textId="77777777" w:rsidR="00B575B7" w:rsidRPr="009B57B3" w:rsidRDefault="00B575B7" w:rsidP="007A5478">
            <w:pPr>
              <w:pStyle w:val="NormalWeb"/>
              <w:jc w:val="center"/>
              <w:rPr>
                <w:sz w:val="18"/>
                <w:szCs w:val="18"/>
              </w:rPr>
            </w:pPr>
            <w:r w:rsidRPr="009B57B3">
              <w:rPr>
                <w:sz w:val="18"/>
                <w:szCs w:val="18"/>
              </w:rPr>
              <w:t>1.00</w:t>
            </w:r>
          </w:p>
        </w:tc>
      </w:tr>
      <w:tr w:rsidR="00B575B7" w:rsidRPr="009B57B3" w14:paraId="6FCDE560" w14:textId="77777777" w:rsidTr="005D5071">
        <w:tc>
          <w:tcPr>
            <w:tcW w:w="0" w:type="auto"/>
            <w:hideMark/>
          </w:tcPr>
          <w:p w14:paraId="334281E1" w14:textId="77777777" w:rsidR="00B575B7" w:rsidRPr="009B57B3" w:rsidRDefault="00B575B7">
            <w:pPr>
              <w:pStyle w:val="NormalWeb"/>
              <w:rPr>
                <w:sz w:val="18"/>
                <w:szCs w:val="18"/>
              </w:rPr>
            </w:pPr>
            <w:r w:rsidRPr="009B57B3">
              <w:rPr>
                <w:sz w:val="18"/>
                <w:szCs w:val="18"/>
              </w:rPr>
              <w:t>Yes</w:t>
            </w:r>
          </w:p>
        </w:tc>
        <w:tc>
          <w:tcPr>
            <w:tcW w:w="3841" w:type="dxa"/>
            <w:hideMark/>
          </w:tcPr>
          <w:p w14:paraId="197D7699" w14:textId="77777777" w:rsidR="00B575B7" w:rsidRPr="009B57B3" w:rsidRDefault="00B575B7" w:rsidP="007A5478">
            <w:pPr>
              <w:pStyle w:val="NormalWeb"/>
              <w:jc w:val="center"/>
              <w:rPr>
                <w:sz w:val="18"/>
                <w:szCs w:val="18"/>
              </w:rPr>
            </w:pPr>
            <w:r w:rsidRPr="009B57B3">
              <w:rPr>
                <w:sz w:val="18"/>
                <w:szCs w:val="18"/>
              </w:rPr>
              <w:t>0.78 (0.53–1.15)</w:t>
            </w:r>
          </w:p>
        </w:tc>
        <w:tc>
          <w:tcPr>
            <w:tcW w:w="3841" w:type="dxa"/>
            <w:hideMark/>
          </w:tcPr>
          <w:p w14:paraId="7D3B8799" w14:textId="77777777" w:rsidR="00B575B7" w:rsidRPr="009B57B3" w:rsidRDefault="00B575B7" w:rsidP="007A5478">
            <w:pPr>
              <w:pStyle w:val="NormalWeb"/>
              <w:jc w:val="center"/>
              <w:rPr>
                <w:sz w:val="18"/>
                <w:szCs w:val="18"/>
              </w:rPr>
            </w:pPr>
            <w:r w:rsidRPr="009B57B3">
              <w:rPr>
                <w:sz w:val="18"/>
                <w:szCs w:val="18"/>
              </w:rPr>
              <w:t>0.81 (0.78–0.84)</w:t>
            </w:r>
          </w:p>
        </w:tc>
      </w:tr>
      <w:tr w:rsidR="00B575B7" w:rsidRPr="009B57B3" w14:paraId="55C1CF1E" w14:textId="77777777" w:rsidTr="005D5071">
        <w:trPr>
          <w:cnfStyle w:val="000000010000" w:firstRow="0" w:lastRow="0" w:firstColumn="0" w:lastColumn="0" w:oddVBand="0" w:evenVBand="0" w:oddHBand="0" w:evenHBand="1" w:firstRowFirstColumn="0" w:firstRowLastColumn="0" w:lastRowFirstColumn="0" w:lastRowLastColumn="0"/>
        </w:trPr>
        <w:tc>
          <w:tcPr>
            <w:tcW w:w="0" w:type="auto"/>
            <w:hideMark/>
          </w:tcPr>
          <w:p w14:paraId="48E58A30" w14:textId="77777777" w:rsidR="00B575B7" w:rsidRPr="009B57B3" w:rsidRDefault="00B575B7">
            <w:pPr>
              <w:pStyle w:val="NormalWeb"/>
              <w:rPr>
                <w:b/>
                <w:sz w:val="18"/>
                <w:szCs w:val="18"/>
              </w:rPr>
            </w:pPr>
            <w:r w:rsidRPr="009B57B3">
              <w:rPr>
                <w:b/>
                <w:sz w:val="18"/>
                <w:szCs w:val="18"/>
              </w:rPr>
              <w:t>Smoking</w:t>
            </w:r>
          </w:p>
        </w:tc>
        <w:tc>
          <w:tcPr>
            <w:tcW w:w="3841" w:type="dxa"/>
            <w:hideMark/>
          </w:tcPr>
          <w:p w14:paraId="28F32616" w14:textId="77777777" w:rsidR="00B575B7" w:rsidRPr="009B57B3" w:rsidRDefault="00B575B7" w:rsidP="007A5478">
            <w:pPr>
              <w:jc w:val="center"/>
              <w:rPr>
                <w:b/>
                <w:sz w:val="18"/>
                <w:szCs w:val="18"/>
              </w:rPr>
            </w:pPr>
          </w:p>
        </w:tc>
        <w:tc>
          <w:tcPr>
            <w:tcW w:w="3841" w:type="dxa"/>
            <w:hideMark/>
          </w:tcPr>
          <w:p w14:paraId="1308DAE2" w14:textId="77777777" w:rsidR="00B575B7" w:rsidRPr="009B57B3" w:rsidRDefault="00B575B7" w:rsidP="007A5478">
            <w:pPr>
              <w:jc w:val="center"/>
              <w:rPr>
                <w:rFonts w:eastAsia="Times New Roman"/>
                <w:b/>
                <w:sz w:val="18"/>
                <w:szCs w:val="18"/>
              </w:rPr>
            </w:pPr>
          </w:p>
        </w:tc>
      </w:tr>
      <w:tr w:rsidR="00B575B7" w:rsidRPr="009B57B3" w14:paraId="3277155A" w14:textId="77777777" w:rsidTr="005D5071">
        <w:tc>
          <w:tcPr>
            <w:tcW w:w="0" w:type="auto"/>
            <w:hideMark/>
          </w:tcPr>
          <w:p w14:paraId="07338286" w14:textId="77777777" w:rsidR="00B575B7" w:rsidRPr="009B57B3" w:rsidRDefault="00B575B7">
            <w:pPr>
              <w:pStyle w:val="NormalWeb"/>
              <w:rPr>
                <w:sz w:val="18"/>
                <w:szCs w:val="18"/>
              </w:rPr>
            </w:pPr>
            <w:r w:rsidRPr="009B57B3">
              <w:rPr>
                <w:sz w:val="18"/>
                <w:szCs w:val="18"/>
              </w:rPr>
              <w:t>Never</w:t>
            </w:r>
          </w:p>
        </w:tc>
        <w:tc>
          <w:tcPr>
            <w:tcW w:w="3841" w:type="dxa"/>
            <w:hideMark/>
          </w:tcPr>
          <w:p w14:paraId="5E23133D" w14:textId="77777777" w:rsidR="00B575B7" w:rsidRPr="009B57B3" w:rsidRDefault="00B575B7" w:rsidP="007A5478">
            <w:pPr>
              <w:pStyle w:val="NormalWeb"/>
              <w:jc w:val="center"/>
              <w:rPr>
                <w:sz w:val="18"/>
                <w:szCs w:val="18"/>
              </w:rPr>
            </w:pPr>
            <w:r w:rsidRPr="009B57B3">
              <w:rPr>
                <w:sz w:val="18"/>
                <w:szCs w:val="18"/>
              </w:rPr>
              <w:t>1.00</w:t>
            </w:r>
          </w:p>
        </w:tc>
        <w:tc>
          <w:tcPr>
            <w:tcW w:w="3841" w:type="dxa"/>
            <w:hideMark/>
          </w:tcPr>
          <w:p w14:paraId="02A5ECB9" w14:textId="77777777" w:rsidR="00B575B7" w:rsidRPr="009B57B3" w:rsidRDefault="00B575B7" w:rsidP="007A5478">
            <w:pPr>
              <w:pStyle w:val="NormalWeb"/>
              <w:jc w:val="center"/>
              <w:rPr>
                <w:sz w:val="18"/>
                <w:szCs w:val="18"/>
              </w:rPr>
            </w:pPr>
            <w:r w:rsidRPr="009B57B3">
              <w:rPr>
                <w:sz w:val="18"/>
                <w:szCs w:val="18"/>
              </w:rPr>
              <w:t>1.00</w:t>
            </w:r>
          </w:p>
        </w:tc>
      </w:tr>
      <w:tr w:rsidR="00B575B7" w:rsidRPr="009B57B3" w14:paraId="2AB2DDCE" w14:textId="77777777" w:rsidTr="005D5071">
        <w:trPr>
          <w:cnfStyle w:val="000000010000" w:firstRow="0" w:lastRow="0" w:firstColumn="0" w:lastColumn="0" w:oddVBand="0" w:evenVBand="0" w:oddHBand="0" w:evenHBand="1" w:firstRowFirstColumn="0" w:firstRowLastColumn="0" w:lastRowFirstColumn="0" w:lastRowLastColumn="0"/>
        </w:trPr>
        <w:tc>
          <w:tcPr>
            <w:tcW w:w="0" w:type="auto"/>
            <w:hideMark/>
          </w:tcPr>
          <w:p w14:paraId="1D7AF49E" w14:textId="77777777" w:rsidR="00B575B7" w:rsidRPr="009B57B3" w:rsidRDefault="00B575B7">
            <w:pPr>
              <w:pStyle w:val="NormalWeb"/>
              <w:rPr>
                <w:sz w:val="18"/>
                <w:szCs w:val="18"/>
              </w:rPr>
            </w:pPr>
            <w:r w:rsidRPr="009B57B3">
              <w:rPr>
                <w:sz w:val="18"/>
                <w:szCs w:val="18"/>
              </w:rPr>
              <w:t>Past</w:t>
            </w:r>
          </w:p>
        </w:tc>
        <w:tc>
          <w:tcPr>
            <w:tcW w:w="3841" w:type="dxa"/>
            <w:hideMark/>
          </w:tcPr>
          <w:p w14:paraId="1107107E" w14:textId="77777777" w:rsidR="00B575B7" w:rsidRPr="009B57B3" w:rsidRDefault="00B575B7" w:rsidP="007A5478">
            <w:pPr>
              <w:pStyle w:val="NormalWeb"/>
              <w:jc w:val="center"/>
              <w:rPr>
                <w:sz w:val="18"/>
                <w:szCs w:val="18"/>
              </w:rPr>
            </w:pPr>
            <w:r w:rsidRPr="009B57B3">
              <w:rPr>
                <w:sz w:val="18"/>
                <w:szCs w:val="18"/>
              </w:rPr>
              <w:t>1.12 (0.77–1.61)</w:t>
            </w:r>
          </w:p>
        </w:tc>
        <w:tc>
          <w:tcPr>
            <w:tcW w:w="3841" w:type="dxa"/>
            <w:hideMark/>
          </w:tcPr>
          <w:p w14:paraId="57106300" w14:textId="77777777" w:rsidR="00B575B7" w:rsidRPr="009B57B3" w:rsidRDefault="00B575B7" w:rsidP="007A5478">
            <w:pPr>
              <w:pStyle w:val="NormalWeb"/>
              <w:jc w:val="center"/>
              <w:rPr>
                <w:sz w:val="18"/>
                <w:szCs w:val="18"/>
              </w:rPr>
            </w:pPr>
            <w:r w:rsidRPr="009B57B3">
              <w:rPr>
                <w:sz w:val="18"/>
                <w:szCs w:val="18"/>
              </w:rPr>
              <w:t>1.09 (1.06–1.12)</w:t>
            </w:r>
          </w:p>
        </w:tc>
      </w:tr>
      <w:tr w:rsidR="00B575B7" w:rsidRPr="009B57B3" w14:paraId="1768DA10" w14:textId="77777777" w:rsidTr="005D5071">
        <w:tc>
          <w:tcPr>
            <w:tcW w:w="0" w:type="auto"/>
            <w:hideMark/>
          </w:tcPr>
          <w:p w14:paraId="2AF3E368" w14:textId="77777777" w:rsidR="00B575B7" w:rsidRPr="009B57B3" w:rsidRDefault="00B575B7">
            <w:pPr>
              <w:pStyle w:val="NormalWeb"/>
              <w:rPr>
                <w:sz w:val="18"/>
                <w:szCs w:val="18"/>
              </w:rPr>
            </w:pPr>
            <w:r w:rsidRPr="009B57B3">
              <w:rPr>
                <w:sz w:val="18"/>
                <w:szCs w:val="18"/>
              </w:rPr>
              <w:t>Current</w:t>
            </w:r>
          </w:p>
        </w:tc>
        <w:tc>
          <w:tcPr>
            <w:tcW w:w="3841" w:type="dxa"/>
            <w:hideMark/>
          </w:tcPr>
          <w:p w14:paraId="6967CFC4" w14:textId="77777777" w:rsidR="00B575B7" w:rsidRPr="009B57B3" w:rsidRDefault="00B575B7" w:rsidP="007A5478">
            <w:pPr>
              <w:pStyle w:val="NormalWeb"/>
              <w:jc w:val="center"/>
              <w:rPr>
                <w:sz w:val="18"/>
                <w:szCs w:val="18"/>
              </w:rPr>
            </w:pPr>
            <w:r w:rsidRPr="009B57B3">
              <w:rPr>
                <w:sz w:val="18"/>
                <w:szCs w:val="18"/>
              </w:rPr>
              <w:t>0.82 (0.46–1.47)</w:t>
            </w:r>
          </w:p>
        </w:tc>
        <w:tc>
          <w:tcPr>
            <w:tcW w:w="3841" w:type="dxa"/>
            <w:hideMark/>
          </w:tcPr>
          <w:p w14:paraId="4E9A7AE1" w14:textId="77777777" w:rsidR="00B575B7" w:rsidRPr="009B57B3" w:rsidRDefault="00B575B7" w:rsidP="007A5478">
            <w:pPr>
              <w:pStyle w:val="NormalWeb"/>
              <w:jc w:val="center"/>
              <w:rPr>
                <w:sz w:val="18"/>
                <w:szCs w:val="18"/>
              </w:rPr>
            </w:pPr>
            <w:r w:rsidRPr="009B57B3">
              <w:rPr>
                <w:sz w:val="18"/>
                <w:szCs w:val="18"/>
              </w:rPr>
              <w:t>0.70 (0.65–0.75)</w:t>
            </w:r>
          </w:p>
        </w:tc>
      </w:tr>
      <w:tr w:rsidR="00B575B7" w:rsidRPr="009B57B3" w14:paraId="433BCEAA" w14:textId="77777777" w:rsidTr="005D5071">
        <w:trPr>
          <w:cnfStyle w:val="000000010000" w:firstRow="0" w:lastRow="0" w:firstColumn="0" w:lastColumn="0" w:oddVBand="0" w:evenVBand="0" w:oddHBand="0" w:evenHBand="1" w:firstRowFirstColumn="0" w:firstRowLastColumn="0" w:lastRowFirstColumn="0" w:lastRowLastColumn="0"/>
        </w:trPr>
        <w:tc>
          <w:tcPr>
            <w:tcW w:w="0" w:type="auto"/>
            <w:hideMark/>
          </w:tcPr>
          <w:p w14:paraId="2C8266DD" w14:textId="77777777" w:rsidR="00B575B7" w:rsidRPr="009B57B3" w:rsidRDefault="00B575B7">
            <w:pPr>
              <w:pStyle w:val="NormalWeb"/>
              <w:rPr>
                <w:b/>
                <w:sz w:val="18"/>
                <w:szCs w:val="18"/>
              </w:rPr>
            </w:pPr>
            <w:r w:rsidRPr="009B57B3">
              <w:rPr>
                <w:b/>
                <w:sz w:val="18"/>
                <w:szCs w:val="18"/>
              </w:rPr>
              <w:t>Alcohol consumption/week</w:t>
            </w:r>
          </w:p>
        </w:tc>
        <w:tc>
          <w:tcPr>
            <w:tcW w:w="3841" w:type="dxa"/>
            <w:hideMark/>
          </w:tcPr>
          <w:p w14:paraId="21B0F7F7" w14:textId="77777777" w:rsidR="00B575B7" w:rsidRPr="009B57B3" w:rsidRDefault="00B575B7" w:rsidP="007A5478">
            <w:pPr>
              <w:jc w:val="center"/>
              <w:rPr>
                <w:b/>
                <w:sz w:val="18"/>
                <w:szCs w:val="18"/>
              </w:rPr>
            </w:pPr>
          </w:p>
        </w:tc>
        <w:tc>
          <w:tcPr>
            <w:tcW w:w="3841" w:type="dxa"/>
            <w:hideMark/>
          </w:tcPr>
          <w:p w14:paraId="1D2583BE" w14:textId="77777777" w:rsidR="00B575B7" w:rsidRPr="009B57B3" w:rsidRDefault="00B575B7" w:rsidP="007A5478">
            <w:pPr>
              <w:jc w:val="center"/>
              <w:rPr>
                <w:rFonts w:eastAsia="Times New Roman"/>
                <w:b/>
                <w:sz w:val="18"/>
                <w:szCs w:val="18"/>
              </w:rPr>
            </w:pPr>
          </w:p>
        </w:tc>
      </w:tr>
      <w:tr w:rsidR="00B575B7" w:rsidRPr="009B57B3" w14:paraId="1B64C42E" w14:textId="77777777" w:rsidTr="005D5071">
        <w:tc>
          <w:tcPr>
            <w:tcW w:w="0" w:type="auto"/>
            <w:hideMark/>
          </w:tcPr>
          <w:p w14:paraId="687423E6" w14:textId="77777777" w:rsidR="00B575B7" w:rsidRPr="009B57B3" w:rsidRDefault="00B575B7">
            <w:pPr>
              <w:pStyle w:val="NormalWeb"/>
              <w:rPr>
                <w:sz w:val="18"/>
                <w:szCs w:val="18"/>
              </w:rPr>
            </w:pPr>
            <w:r w:rsidRPr="009B57B3">
              <w:rPr>
                <w:sz w:val="18"/>
                <w:szCs w:val="18"/>
              </w:rPr>
              <w:t>None</w:t>
            </w:r>
          </w:p>
        </w:tc>
        <w:tc>
          <w:tcPr>
            <w:tcW w:w="3841" w:type="dxa"/>
            <w:hideMark/>
          </w:tcPr>
          <w:p w14:paraId="4A922E15" w14:textId="77777777" w:rsidR="00B575B7" w:rsidRPr="009B57B3" w:rsidRDefault="00B575B7" w:rsidP="007A5478">
            <w:pPr>
              <w:pStyle w:val="NormalWeb"/>
              <w:jc w:val="center"/>
              <w:rPr>
                <w:sz w:val="18"/>
                <w:szCs w:val="18"/>
              </w:rPr>
            </w:pPr>
            <w:r w:rsidRPr="009B57B3">
              <w:rPr>
                <w:sz w:val="18"/>
                <w:szCs w:val="18"/>
              </w:rPr>
              <w:t>1.00</w:t>
            </w:r>
          </w:p>
        </w:tc>
        <w:tc>
          <w:tcPr>
            <w:tcW w:w="3841" w:type="dxa"/>
            <w:hideMark/>
          </w:tcPr>
          <w:p w14:paraId="64FEBB4F" w14:textId="77777777" w:rsidR="00B575B7" w:rsidRPr="009B57B3" w:rsidRDefault="00B575B7" w:rsidP="007A5478">
            <w:pPr>
              <w:pStyle w:val="NormalWeb"/>
              <w:jc w:val="center"/>
              <w:rPr>
                <w:sz w:val="18"/>
                <w:szCs w:val="18"/>
              </w:rPr>
            </w:pPr>
            <w:r w:rsidRPr="009B57B3">
              <w:rPr>
                <w:sz w:val="18"/>
                <w:szCs w:val="18"/>
              </w:rPr>
              <w:t>1.00</w:t>
            </w:r>
          </w:p>
        </w:tc>
      </w:tr>
      <w:tr w:rsidR="00B575B7" w:rsidRPr="009B57B3" w14:paraId="492677CD" w14:textId="77777777" w:rsidTr="005D5071">
        <w:trPr>
          <w:cnfStyle w:val="000000010000" w:firstRow="0" w:lastRow="0" w:firstColumn="0" w:lastColumn="0" w:oddVBand="0" w:evenVBand="0" w:oddHBand="0" w:evenHBand="1" w:firstRowFirstColumn="0" w:firstRowLastColumn="0" w:lastRowFirstColumn="0" w:lastRowLastColumn="0"/>
        </w:trPr>
        <w:tc>
          <w:tcPr>
            <w:tcW w:w="0" w:type="auto"/>
            <w:hideMark/>
          </w:tcPr>
          <w:p w14:paraId="03C6E391" w14:textId="77777777" w:rsidR="00B575B7" w:rsidRPr="009B57B3" w:rsidRDefault="00B575B7">
            <w:pPr>
              <w:pStyle w:val="NormalWeb"/>
              <w:rPr>
                <w:sz w:val="18"/>
                <w:szCs w:val="18"/>
              </w:rPr>
            </w:pPr>
            <w:r w:rsidRPr="009B57B3">
              <w:rPr>
                <w:sz w:val="18"/>
                <w:szCs w:val="18"/>
              </w:rPr>
              <w:t>1–7 drinks</w:t>
            </w:r>
          </w:p>
        </w:tc>
        <w:tc>
          <w:tcPr>
            <w:tcW w:w="3841" w:type="dxa"/>
            <w:hideMark/>
          </w:tcPr>
          <w:p w14:paraId="0014F6C4" w14:textId="77777777" w:rsidR="00B575B7" w:rsidRPr="009B57B3" w:rsidRDefault="00B575B7" w:rsidP="007A5478">
            <w:pPr>
              <w:pStyle w:val="NormalWeb"/>
              <w:jc w:val="center"/>
              <w:rPr>
                <w:sz w:val="18"/>
                <w:szCs w:val="18"/>
              </w:rPr>
            </w:pPr>
            <w:r w:rsidRPr="009B57B3">
              <w:rPr>
                <w:sz w:val="18"/>
                <w:szCs w:val="18"/>
              </w:rPr>
              <w:t>1.16 (0.75–1.77)</w:t>
            </w:r>
          </w:p>
        </w:tc>
        <w:tc>
          <w:tcPr>
            <w:tcW w:w="3841" w:type="dxa"/>
            <w:hideMark/>
          </w:tcPr>
          <w:p w14:paraId="3F4B5C73" w14:textId="77777777" w:rsidR="00B575B7" w:rsidRPr="009B57B3" w:rsidRDefault="00B575B7" w:rsidP="007A5478">
            <w:pPr>
              <w:pStyle w:val="NormalWeb"/>
              <w:jc w:val="center"/>
              <w:rPr>
                <w:sz w:val="18"/>
                <w:szCs w:val="18"/>
              </w:rPr>
            </w:pPr>
            <w:r w:rsidRPr="009B57B3">
              <w:rPr>
                <w:sz w:val="18"/>
                <w:szCs w:val="18"/>
              </w:rPr>
              <w:t>1.07 (1.03–1.11)</w:t>
            </w:r>
          </w:p>
        </w:tc>
      </w:tr>
      <w:tr w:rsidR="00B575B7" w:rsidRPr="009B57B3" w14:paraId="1D9D8242" w14:textId="77777777" w:rsidTr="005D5071">
        <w:tc>
          <w:tcPr>
            <w:tcW w:w="0" w:type="auto"/>
            <w:hideMark/>
          </w:tcPr>
          <w:p w14:paraId="63CEDAA6" w14:textId="77777777" w:rsidR="00B575B7" w:rsidRPr="009B57B3" w:rsidRDefault="00B575B7">
            <w:pPr>
              <w:pStyle w:val="NormalWeb"/>
              <w:rPr>
                <w:sz w:val="18"/>
                <w:szCs w:val="18"/>
              </w:rPr>
            </w:pPr>
            <w:r w:rsidRPr="009B57B3">
              <w:rPr>
                <w:sz w:val="18"/>
                <w:szCs w:val="18"/>
              </w:rPr>
              <w:t>&gt;7 drinks</w:t>
            </w:r>
          </w:p>
        </w:tc>
        <w:tc>
          <w:tcPr>
            <w:tcW w:w="3841" w:type="dxa"/>
            <w:hideMark/>
          </w:tcPr>
          <w:p w14:paraId="11A6F0B8" w14:textId="77777777" w:rsidR="00B575B7" w:rsidRPr="009B57B3" w:rsidRDefault="00B575B7" w:rsidP="007A5478">
            <w:pPr>
              <w:pStyle w:val="NormalWeb"/>
              <w:jc w:val="center"/>
              <w:rPr>
                <w:sz w:val="18"/>
                <w:szCs w:val="18"/>
              </w:rPr>
            </w:pPr>
            <w:r w:rsidRPr="009B57B3">
              <w:rPr>
                <w:sz w:val="18"/>
                <w:szCs w:val="18"/>
              </w:rPr>
              <w:t>0.75 (0.49–1.15)</w:t>
            </w:r>
          </w:p>
        </w:tc>
        <w:tc>
          <w:tcPr>
            <w:tcW w:w="3841" w:type="dxa"/>
            <w:hideMark/>
          </w:tcPr>
          <w:p w14:paraId="4C6D7139" w14:textId="77777777" w:rsidR="00B575B7" w:rsidRPr="009B57B3" w:rsidRDefault="00B575B7" w:rsidP="007A5478">
            <w:pPr>
              <w:pStyle w:val="NormalWeb"/>
              <w:jc w:val="center"/>
              <w:rPr>
                <w:sz w:val="18"/>
                <w:szCs w:val="18"/>
              </w:rPr>
            </w:pPr>
            <w:r w:rsidRPr="009B57B3">
              <w:rPr>
                <w:sz w:val="18"/>
                <w:szCs w:val="18"/>
              </w:rPr>
              <w:t>0.93 (0.89–0.97)</w:t>
            </w:r>
          </w:p>
        </w:tc>
      </w:tr>
      <w:tr w:rsidR="00B575B7" w:rsidRPr="009B57B3" w14:paraId="0428F149" w14:textId="77777777" w:rsidTr="005D5071">
        <w:trPr>
          <w:cnfStyle w:val="000000010000" w:firstRow="0" w:lastRow="0" w:firstColumn="0" w:lastColumn="0" w:oddVBand="0" w:evenVBand="0" w:oddHBand="0" w:evenHBand="1" w:firstRowFirstColumn="0" w:firstRowLastColumn="0" w:lastRowFirstColumn="0" w:lastRowLastColumn="0"/>
        </w:trPr>
        <w:tc>
          <w:tcPr>
            <w:tcW w:w="0" w:type="auto"/>
            <w:hideMark/>
          </w:tcPr>
          <w:p w14:paraId="3E9ADCB1" w14:textId="77777777" w:rsidR="00B575B7" w:rsidRPr="009B57B3" w:rsidRDefault="00B575B7">
            <w:pPr>
              <w:pStyle w:val="NormalWeb"/>
              <w:rPr>
                <w:b/>
                <w:sz w:val="18"/>
                <w:szCs w:val="18"/>
              </w:rPr>
            </w:pPr>
            <w:r w:rsidRPr="009B57B3">
              <w:rPr>
                <w:b/>
                <w:sz w:val="18"/>
                <w:szCs w:val="18"/>
              </w:rPr>
              <w:t>BMI (kg/m2)</w:t>
            </w:r>
          </w:p>
        </w:tc>
        <w:tc>
          <w:tcPr>
            <w:tcW w:w="3841" w:type="dxa"/>
            <w:hideMark/>
          </w:tcPr>
          <w:p w14:paraId="56114D6A" w14:textId="77777777" w:rsidR="00B575B7" w:rsidRPr="009B57B3" w:rsidRDefault="00B575B7" w:rsidP="007A5478">
            <w:pPr>
              <w:jc w:val="center"/>
              <w:rPr>
                <w:b/>
                <w:sz w:val="18"/>
                <w:szCs w:val="18"/>
              </w:rPr>
            </w:pPr>
          </w:p>
        </w:tc>
        <w:tc>
          <w:tcPr>
            <w:tcW w:w="3841" w:type="dxa"/>
            <w:hideMark/>
          </w:tcPr>
          <w:p w14:paraId="70D3B08C" w14:textId="77777777" w:rsidR="00B575B7" w:rsidRPr="009B57B3" w:rsidRDefault="00B575B7" w:rsidP="007A5478">
            <w:pPr>
              <w:jc w:val="center"/>
              <w:rPr>
                <w:rFonts w:eastAsia="Times New Roman"/>
                <w:b/>
                <w:sz w:val="18"/>
                <w:szCs w:val="18"/>
              </w:rPr>
            </w:pPr>
          </w:p>
        </w:tc>
      </w:tr>
      <w:tr w:rsidR="00B575B7" w:rsidRPr="009B57B3" w14:paraId="130E1ACC" w14:textId="77777777" w:rsidTr="005D5071">
        <w:tc>
          <w:tcPr>
            <w:tcW w:w="0" w:type="auto"/>
            <w:hideMark/>
          </w:tcPr>
          <w:p w14:paraId="31BD2BE7" w14:textId="77777777" w:rsidR="00B575B7" w:rsidRPr="009B57B3" w:rsidRDefault="00B575B7">
            <w:pPr>
              <w:pStyle w:val="NormalWeb"/>
              <w:rPr>
                <w:sz w:val="18"/>
                <w:szCs w:val="18"/>
              </w:rPr>
            </w:pPr>
            <w:r w:rsidRPr="009B57B3">
              <w:rPr>
                <w:sz w:val="18"/>
                <w:szCs w:val="18"/>
              </w:rPr>
              <w:t>&lt;18.5</w:t>
            </w:r>
          </w:p>
        </w:tc>
        <w:tc>
          <w:tcPr>
            <w:tcW w:w="3841" w:type="dxa"/>
            <w:hideMark/>
          </w:tcPr>
          <w:p w14:paraId="414A011A" w14:textId="77777777" w:rsidR="00B575B7" w:rsidRPr="009B57B3" w:rsidRDefault="00B575B7" w:rsidP="007A5478">
            <w:pPr>
              <w:pStyle w:val="NormalWeb"/>
              <w:jc w:val="center"/>
              <w:rPr>
                <w:sz w:val="18"/>
                <w:szCs w:val="18"/>
              </w:rPr>
            </w:pPr>
            <w:r w:rsidRPr="009B57B3">
              <w:rPr>
                <w:sz w:val="18"/>
                <w:szCs w:val="18"/>
              </w:rPr>
              <w:t>3.34 (0.78–14.20)</w:t>
            </w:r>
          </w:p>
        </w:tc>
        <w:tc>
          <w:tcPr>
            <w:tcW w:w="3841" w:type="dxa"/>
            <w:hideMark/>
          </w:tcPr>
          <w:p w14:paraId="4F192786" w14:textId="77777777" w:rsidR="00B575B7" w:rsidRPr="009B57B3" w:rsidRDefault="00B575B7" w:rsidP="007A5478">
            <w:pPr>
              <w:pStyle w:val="NormalWeb"/>
              <w:jc w:val="center"/>
              <w:rPr>
                <w:sz w:val="18"/>
                <w:szCs w:val="18"/>
              </w:rPr>
            </w:pPr>
            <w:r w:rsidRPr="009B57B3">
              <w:rPr>
                <w:sz w:val="18"/>
                <w:szCs w:val="18"/>
              </w:rPr>
              <w:t>0.94 (0.80–1.11)</w:t>
            </w:r>
          </w:p>
        </w:tc>
      </w:tr>
      <w:tr w:rsidR="00B575B7" w:rsidRPr="009B57B3" w14:paraId="36E9F48E" w14:textId="77777777" w:rsidTr="005D5071">
        <w:trPr>
          <w:cnfStyle w:val="000000010000" w:firstRow="0" w:lastRow="0" w:firstColumn="0" w:lastColumn="0" w:oddVBand="0" w:evenVBand="0" w:oddHBand="0" w:evenHBand="1" w:firstRowFirstColumn="0" w:firstRowLastColumn="0" w:lastRowFirstColumn="0" w:lastRowLastColumn="0"/>
        </w:trPr>
        <w:tc>
          <w:tcPr>
            <w:tcW w:w="0" w:type="auto"/>
            <w:hideMark/>
          </w:tcPr>
          <w:p w14:paraId="1F26B2CB" w14:textId="77777777" w:rsidR="00B575B7" w:rsidRPr="009B57B3" w:rsidRDefault="00B575B7">
            <w:pPr>
              <w:pStyle w:val="NormalWeb"/>
              <w:rPr>
                <w:sz w:val="18"/>
                <w:szCs w:val="18"/>
              </w:rPr>
            </w:pPr>
            <w:r w:rsidRPr="009B57B3">
              <w:rPr>
                <w:sz w:val="18"/>
                <w:szCs w:val="18"/>
              </w:rPr>
              <w:t>18.5–24.9</w:t>
            </w:r>
          </w:p>
        </w:tc>
        <w:tc>
          <w:tcPr>
            <w:tcW w:w="3841" w:type="dxa"/>
            <w:hideMark/>
          </w:tcPr>
          <w:p w14:paraId="2AA5CF71" w14:textId="77777777" w:rsidR="00B575B7" w:rsidRPr="009B57B3" w:rsidRDefault="00B575B7" w:rsidP="007A5478">
            <w:pPr>
              <w:pStyle w:val="NormalWeb"/>
              <w:jc w:val="center"/>
              <w:rPr>
                <w:sz w:val="18"/>
                <w:szCs w:val="18"/>
              </w:rPr>
            </w:pPr>
            <w:r w:rsidRPr="009B57B3">
              <w:rPr>
                <w:sz w:val="18"/>
                <w:szCs w:val="18"/>
              </w:rPr>
              <w:t>1.00</w:t>
            </w:r>
          </w:p>
        </w:tc>
        <w:tc>
          <w:tcPr>
            <w:tcW w:w="3841" w:type="dxa"/>
            <w:hideMark/>
          </w:tcPr>
          <w:p w14:paraId="3613F6A5" w14:textId="77777777" w:rsidR="00B575B7" w:rsidRPr="009B57B3" w:rsidRDefault="00B575B7" w:rsidP="007A5478">
            <w:pPr>
              <w:pStyle w:val="NormalWeb"/>
              <w:jc w:val="center"/>
              <w:rPr>
                <w:sz w:val="18"/>
                <w:szCs w:val="18"/>
              </w:rPr>
            </w:pPr>
            <w:r w:rsidRPr="009B57B3">
              <w:rPr>
                <w:sz w:val="18"/>
                <w:szCs w:val="18"/>
              </w:rPr>
              <w:t>1.00</w:t>
            </w:r>
          </w:p>
        </w:tc>
      </w:tr>
      <w:tr w:rsidR="00B575B7" w:rsidRPr="009B57B3" w14:paraId="67D94BA1" w14:textId="77777777" w:rsidTr="005D5071">
        <w:tc>
          <w:tcPr>
            <w:tcW w:w="0" w:type="auto"/>
            <w:hideMark/>
          </w:tcPr>
          <w:p w14:paraId="4857B28B" w14:textId="77777777" w:rsidR="00B575B7" w:rsidRPr="009B57B3" w:rsidRDefault="00B575B7">
            <w:pPr>
              <w:pStyle w:val="NormalWeb"/>
              <w:rPr>
                <w:sz w:val="18"/>
                <w:szCs w:val="18"/>
              </w:rPr>
            </w:pPr>
            <w:r w:rsidRPr="009B57B3">
              <w:rPr>
                <w:sz w:val="18"/>
                <w:szCs w:val="18"/>
              </w:rPr>
              <w:t>25–29.9</w:t>
            </w:r>
          </w:p>
        </w:tc>
        <w:tc>
          <w:tcPr>
            <w:tcW w:w="3841" w:type="dxa"/>
            <w:hideMark/>
          </w:tcPr>
          <w:p w14:paraId="676958DC" w14:textId="77777777" w:rsidR="00B575B7" w:rsidRPr="009B57B3" w:rsidRDefault="00B575B7" w:rsidP="007A5478">
            <w:pPr>
              <w:pStyle w:val="NormalWeb"/>
              <w:jc w:val="center"/>
              <w:rPr>
                <w:sz w:val="18"/>
                <w:szCs w:val="18"/>
              </w:rPr>
            </w:pPr>
            <w:r w:rsidRPr="009B57B3">
              <w:rPr>
                <w:sz w:val="18"/>
                <w:szCs w:val="18"/>
              </w:rPr>
              <w:t>1.29 (0.80–2.09)</w:t>
            </w:r>
          </w:p>
        </w:tc>
        <w:tc>
          <w:tcPr>
            <w:tcW w:w="3841" w:type="dxa"/>
            <w:hideMark/>
          </w:tcPr>
          <w:p w14:paraId="4F82CC02" w14:textId="77777777" w:rsidR="00B575B7" w:rsidRPr="009B57B3" w:rsidRDefault="00B575B7" w:rsidP="007A5478">
            <w:pPr>
              <w:pStyle w:val="NormalWeb"/>
              <w:jc w:val="center"/>
              <w:rPr>
                <w:sz w:val="18"/>
                <w:szCs w:val="18"/>
              </w:rPr>
            </w:pPr>
            <w:r w:rsidRPr="009B57B3">
              <w:rPr>
                <w:sz w:val="18"/>
                <w:szCs w:val="18"/>
              </w:rPr>
              <w:t>1.17 (1.13–1.21)</w:t>
            </w:r>
          </w:p>
        </w:tc>
      </w:tr>
      <w:tr w:rsidR="00B575B7" w:rsidRPr="009B57B3" w14:paraId="2721C9BA" w14:textId="77777777" w:rsidTr="005D5071">
        <w:trPr>
          <w:cnfStyle w:val="000000010000" w:firstRow="0" w:lastRow="0" w:firstColumn="0" w:lastColumn="0" w:oddVBand="0" w:evenVBand="0" w:oddHBand="0" w:evenHBand="1" w:firstRowFirstColumn="0" w:firstRowLastColumn="0" w:lastRowFirstColumn="0" w:lastRowLastColumn="0"/>
        </w:trPr>
        <w:tc>
          <w:tcPr>
            <w:tcW w:w="0" w:type="auto"/>
            <w:hideMark/>
          </w:tcPr>
          <w:p w14:paraId="163756B4" w14:textId="77777777" w:rsidR="00B575B7" w:rsidRPr="009B57B3" w:rsidRDefault="00B575B7">
            <w:pPr>
              <w:pStyle w:val="NormalWeb"/>
              <w:rPr>
                <w:sz w:val="18"/>
                <w:szCs w:val="18"/>
              </w:rPr>
            </w:pPr>
            <w:r w:rsidRPr="009B57B3">
              <w:rPr>
                <w:sz w:val="18"/>
                <w:szCs w:val="18"/>
              </w:rPr>
              <w:t>&gt;30</w:t>
            </w:r>
          </w:p>
        </w:tc>
        <w:tc>
          <w:tcPr>
            <w:tcW w:w="3841" w:type="dxa"/>
            <w:hideMark/>
          </w:tcPr>
          <w:p w14:paraId="6405EA7D" w14:textId="77777777" w:rsidR="00B575B7" w:rsidRPr="009B57B3" w:rsidRDefault="00B575B7" w:rsidP="007A5478">
            <w:pPr>
              <w:pStyle w:val="NormalWeb"/>
              <w:jc w:val="center"/>
              <w:rPr>
                <w:sz w:val="18"/>
                <w:szCs w:val="18"/>
              </w:rPr>
            </w:pPr>
            <w:r w:rsidRPr="009B57B3">
              <w:rPr>
                <w:sz w:val="18"/>
                <w:szCs w:val="18"/>
              </w:rPr>
              <w:t>2.38 (1.44–3.94)</w:t>
            </w:r>
          </w:p>
        </w:tc>
        <w:tc>
          <w:tcPr>
            <w:tcW w:w="3841" w:type="dxa"/>
            <w:hideMark/>
          </w:tcPr>
          <w:p w14:paraId="5201B8F7" w14:textId="77777777" w:rsidR="00B575B7" w:rsidRPr="009B57B3" w:rsidRDefault="00B575B7" w:rsidP="007A5478">
            <w:pPr>
              <w:pStyle w:val="NormalWeb"/>
              <w:jc w:val="center"/>
              <w:rPr>
                <w:sz w:val="18"/>
                <w:szCs w:val="18"/>
              </w:rPr>
            </w:pPr>
            <w:r w:rsidRPr="009B57B3">
              <w:rPr>
                <w:sz w:val="18"/>
                <w:szCs w:val="18"/>
              </w:rPr>
              <w:t>1.40 (1.34–1.45)</w:t>
            </w:r>
          </w:p>
        </w:tc>
      </w:tr>
      <w:tr w:rsidR="00B575B7" w:rsidRPr="009B57B3" w14:paraId="45299727" w14:textId="77777777" w:rsidTr="005D5071">
        <w:tc>
          <w:tcPr>
            <w:tcW w:w="0" w:type="auto"/>
            <w:hideMark/>
          </w:tcPr>
          <w:p w14:paraId="5644B0EC" w14:textId="77777777" w:rsidR="00B575B7" w:rsidRPr="009B57B3" w:rsidRDefault="00B575B7">
            <w:pPr>
              <w:pStyle w:val="NormalWeb"/>
              <w:rPr>
                <w:sz w:val="18"/>
                <w:szCs w:val="18"/>
              </w:rPr>
            </w:pPr>
            <w:r w:rsidRPr="009B57B3">
              <w:rPr>
                <w:sz w:val="18"/>
                <w:szCs w:val="18"/>
              </w:rPr>
              <w:t>Missing</w:t>
            </w:r>
          </w:p>
        </w:tc>
        <w:tc>
          <w:tcPr>
            <w:tcW w:w="3841" w:type="dxa"/>
            <w:hideMark/>
          </w:tcPr>
          <w:p w14:paraId="24442B19" w14:textId="77777777" w:rsidR="00B575B7" w:rsidRPr="009B57B3" w:rsidRDefault="00B575B7" w:rsidP="007A5478">
            <w:pPr>
              <w:pStyle w:val="NormalWeb"/>
              <w:jc w:val="center"/>
              <w:rPr>
                <w:sz w:val="18"/>
                <w:szCs w:val="18"/>
              </w:rPr>
            </w:pPr>
            <w:r w:rsidRPr="009B57B3">
              <w:rPr>
                <w:sz w:val="18"/>
                <w:szCs w:val="18"/>
              </w:rPr>
              <w:t>1.09 (0.55–2.14)</w:t>
            </w:r>
          </w:p>
        </w:tc>
        <w:tc>
          <w:tcPr>
            <w:tcW w:w="3841" w:type="dxa"/>
            <w:hideMark/>
          </w:tcPr>
          <w:p w14:paraId="66361DFE" w14:textId="77777777" w:rsidR="00B575B7" w:rsidRPr="009B57B3" w:rsidRDefault="00B575B7" w:rsidP="007A5478">
            <w:pPr>
              <w:pStyle w:val="NormalWeb"/>
              <w:jc w:val="center"/>
              <w:rPr>
                <w:sz w:val="18"/>
                <w:szCs w:val="18"/>
              </w:rPr>
            </w:pPr>
            <w:r w:rsidRPr="009B57B3">
              <w:rPr>
                <w:sz w:val="18"/>
                <w:szCs w:val="18"/>
              </w:rPr>
              <w:t>1.11 (1.05–1.19)</w:t>
            </w:r>
          </w:p>
        </w:tc>
      </w:tr>
      <w:tr w:rsidR="00B575B7" w:rsidRPr="009B57B3" w14:paraId="62D09CDC" w14:textId="77777777" w:rsidTr="005D5071">
        <w:trPr>
          <w:cnfStyle w:val="000000010000" w:firstRow="0" w:lastRow="0" w:firstColumn="0" w:lastColumn="0" w:oddVBand="0" w:evenVBand="0" w:oddHBand="0" w:evenHBand="1" w:firstRowFirstColumn="0" w:firstRowLastColumn="0" w:lastRowFirstColumn="0" w:lastRowLastColumn="0"/>
        </w:trPr>
        <w:tc>
          <w:tcPr>
            <w:tcW w:w="0" w:type="auto"/>
            <w:hideMark/>
          </w:tcPr>
          <w:p w14:paraId="67989300" w14:textId="77777777" w:rsidR="00B575B7" w:rsidRPr="009B57B3" w:rsidRDefault="00B575B7">
            <w:pPr>
              <w:pStyle w:val="NormalWeb"/>
              <w:rPr>
                <w:b/>
                <w:sz w:val="18"/>
                <w:szCs w:val="18"/>
              </w:rPr>
            </w:pPr>
            <w:r w:rsidRPr="009B57B3">
              <w:rPr>
                <w:b/>
                <w:sz w:val="18"/>
                <w:szCs w:val="18"/>
              </w:rPr>
              <w:t xml:space="preserve">Medical </w:t>
            </w:r>
            <w:proofErr w:type="spellStart"/>
            <w:r w:rsidRPr="009B57B3">
              <w:rPr>
                <w:b/>
                <w:sz w:val="18"/>
                <w:szCs w:val="18"/>
              </w:rPr>
              <w:t>conditions</w:t>
            </w:r>
            <w:r w:rsidRPr="009B57B3">
              <w:rPr>
                <w:b/>
                <w:sz w:val="18"/>
                <w:szCs w:val="18"/>
                <w:vertAlign w:val="superscript"/>
              </w:rPr>
              <w:t>a</w:t>
            </w:r>
            <w:proofErr w:type="spellEnd"/>
            <w:r w:rsidRPr="009B57B3">
              <w:rPr>
                <w:b/>
                <w:sz w:val="18"/>
                <w:szCs w:val="18"/>
              </w:rPr>
              <w:t xml:space="preserve"> and age</w:t>
            </w:r>
          </w:p>
        </w:tc>
        <w:tc>
          <w:tcPr>
            <w:tcW w:w="3841" w:type="dxa"/>
            <w:hideMark/>
          </w:tcPr>
          <w:p w14:paraId="634C4D0D" w14:textId="77777777" w:rsidR="00B575B7" w:rsidRPr="009B57B3" w:rsidRDefault="00B575B7" w:rsidP="007A5478">
            <w:pPr>
              <w:jc w:val="center"/>
              <w:rPr>
                <w:b/>
                <w:sz w:val="18"/>
                <w:szCs w:val="18"/>
              </w:rPr>
            </w:pPr>
          </w:p>
        </w:tc>
        <w:tc>
          <w:tcPr>
            <w:tcW w:w="3841" w:type="dxa"/>
            <w:hideMark/>
          </w:tcPr>
          <w:p w14:paraId="0134D4B4" w14:textId="77777777" w:rsidR="00B575B7" w:rsidRPr="009B57B3" w:rsidRDefault="00B575B7" w:rsidP="007A5478">
            <w:pPr>
              <w:jc w:val="center"/>
              <w:rPr>
                <w:rFonts w:eastAsia="Times New Roman"/>
                <w:b/>
                <w:sz w:val="18"/>
                <w:szCs w:val="18"/>
              </w:rPr>
            </w:pPr>
          </w:p>
        </w:tc>
      </w:tr>
      <w:tr w:rsidR="00B575B7" w:rsidRPr="009B57B3" w14:paraId="1CF58F90" w14:textId="77777777" w:rsidTr="005D5071">
        <w:tc>
          <w:tcPr>
            <w:tcW w:w="0" w:type="auto"/>
            <w:hideMark/>
          </w:tcPr>
          <w:p w14:paraId="781E88D9" w14:textId="77777777" w:rsidR="00B575B7" w:rsidRPr="009B57B3" w:rsidRDefault="00B575B7">
            <w:pPr>
              <w:pStyle w:val="NormalWeb"/>
              <w:rPr>
                <w:sz w:val="18"/>
                <w:szCs w:val="18"/>
              </w:rPr>
            </w:pPr>
            <w:r w:rsidRPr="009B57B3">
              <w:rPr>
                <w:sz w:val="18"/>
                <w:szCs w:val="18"/>
              </w:rPr>
              <w:t>No</w:t>
            </w:r>
          </w:p>
        </w:tc>
        <w:tc>
          <w:tcPr>
            <w:tcW w:w="3841" w:type="dxa"/>
            <w:hideMark/>
          </w:tcPr>
          <w:p w14:paraId="4674EBD6" w14:textId="77777777" w:rsidR="00B575B7" w:rsidRPr="009B57B3" w:rsidRDefault="00B575B7" w:rsidP="007A5478">
            <w:pPr>
              <w:pStyle w:val="NormalWeb"/>
              <w:jc w:val="center"/>
              <w:rPr>
                <w:sz w:val="18"/>
                <w:szCs w:val="18"/>
              </w:rPr>
            </w:pPr>
            <w:r w:rsidRPr="009B57B3">
              <w:rPr>
                <w:sz w:val="18"/>
                <w:szCs w:val="18"/>
              </w:rPr>
              <w:t>1.00</w:t>
            </w:r>
          </w:p>
        </w:tc>
        <w:tc>
          <w:tcPr>
            <w:tcW w:w="3841" w:type="dxa"/>
            <w:hideMark/>
          </w:tcPr>
          <w:p w14:paraId="0E884617" w14:textId="77777777" w:rsidR="00B575B7" w:rsidRPr="009B57B3" w:rsidRDefault="00B575B7" w:rsidP="007A5478">
            <w:pPr>
              <w:pStyle w:val="NormalWeb"/>
              <w:jc w:val="center"/>
              <w:rPr>
                <w:sz w:val="18"/>
                <w:szCs w:val="18"/>
              </w:rPr>
            </w:pPr>
            <w:r w:rsidRPr="009B57B3">
              <w:rPr>
                <w:sz w:val="18"/>
                <w:szCs w:val="18"/>
              </w:rPr>
              <w:t>1.00</w:t>
            </w:r>
          </w:p>
        </w:tc>
      </w:tr>
      <w:tr w:rsidR="00B575B7" w:rsidRPr="009B57B3" w14:paraId="769CBE8E" w14:textId="77777777" w:rsidTr="005D5071">
        <w:trPr>
          <w:cnfStyle w:val="000000010000" w:firstRow="0" w:lastRow="0" w:firstColumn="0" w:lastColumn="0" w:oddVBand="0" w:evenVBand="0" w:oddHBand="0" w:evenHBand="1" w:firstRowFirstColumn="0" w:firstRowLastColumn="0" w:lastRowFirstColumn="0" w:lastRowLastColumn="0"/>
        </w:trPr>
        <w:tc>
          <w:tcPr>
            <w:tcW w:w="0" w:type="auto"/>
            <w:hideMark/>
          </w:tcPr>
          <w:p w14:paraId="13914B6D" w14:textId="77777777" w:rsidR="00B575B7" w:rsidRPr="009B57B3" w:rsidRDefault="00B575B7">
            <w:pPr>
              <w:pStyle w:val="NormalWeb"/>
              <w:rPr>
                <w:sz w:val="18"/>
                <w:szCs w:val="18"/>
              </w:rPr>
            </w:pPr>
            <w:r w:rsidRPr="009B57B3">
              <w:rPr>
                <w:sz w:val="18"/>
                <w:szCs w:val="18"/>
              </w:rPr>
              <w:t xml:space="preserve">Yes (age &lt;65 </w:t>
            </w:r>
            <w:proofErr w:type="spellStart"/>
            <w:r w:rsidRPr="009B57B3">
              <w:rPr>
                <w:sz w:val="18"/>
                <w:szCs w:val="18"/>
              </w:rPr>
              <w:t>yrs</w:t>
            </w:r>
            <w:proofErr w:type="spellEnd"/>
            <w:r w:rsidRPr="009B57B3">
              <w:rPr>
                <w:sz w:val="18"/>
                <w:szCs w:val="18"/>
              </w:rPr>
              <w:t>)</w:t>
            </w:r>
          </w:p>
        </w:tc>
        <w:tc>
          <w:tcPr>
            <w:tcW w:w="3841" w:type="dxa"/>
            <w:hideMark/>
          </w:tcPr>
          <w:p w14:paraId="48074C58" w14:textId="77777777" w:rsidR="00B575B7" w:rsidRPr="009B57B3" w:rsidRDefault="00B575B7" w:rsidP="007A5478">
            <w:pPr>
              <w:pStyle w:val="NormalWeb"/>
              <w:jc w:val="center"/>
              <w:rPr>
                <w:sz w:val="18"/>
                <w:szCs w:val="18"/>
              </w:rPr>
            </w:pPr>
            <w:r w:rsidRPr="009B57B3">
              <w:rPr>
                <w:sz w:val="18"/>
                <w:szCs w:val="18"/>
              </w:rPr>
              <w:t>2.13 (1.37–3.30)</w:t>
            </w:r>
          </w:p>
        </w:tc>
        <w:tc>
          <w:tcPr>
            <w:tcW w:w="3841" w:type="dxa"/>
            <w:hideMark/>
          </w:tcPr>
          <w:p w14:paraId="5B08AB34" w14:textId="77777777" w:rsidR="00B575B7" w:rsidRPr="009B57B3" w:rsidRDefault="00B575B7" w:rsidP="007A5478">
            <w:pPr>
              <w:pStyle w:val="NormalWeb"/>
              <w:jc w:val="center"/>
              <w:rPr>
                <w:sz w:val="18"/>
                <w:szCs w:val="18"/>
              </w:rPr>
            </w:pPr>
            <w:r w:rsidRPr="009B57B3">
              <w:rPr>
                <w:sz w:val="18"/>
                <w:szCs w:val="18"/>
              </w:rPr>
              <w:t>1.93 (1.83–2.02)</w:t>
            </w:r>
          </w:p>
        </w:tc>
      </w:tr>
      <w:tr w:rsidR="00B575B7" w:rsidRPr="009B57B3" w14:paraId="0ADF94AC" w14:textId="77777777" w:rsidTr="005D5071">
        <w:tc>
          <w:tcPr>
            <w:tcW w:w="0" w:type="auto"/>
            <w:hideMark/>
          </w:tcPr>
          <w:p w14:paraId="76475787" w14:textId="77777777" w:rsidR="00B575B7" w:rsidRPr="009B57B3" w:rsidRDefault="00B575B7">
            <w:pPr>
              <w:pStyle w:val="NormalWeb"/>
              <w:rPr>
                <w:sz w:val="18"/>
                <w:szCs w:val="18"/>
              </w:rPr>
            </w:pPr>
            <w:r w:rsidRPr="009B57B3">
              <w:rPr>
                <w:sz w:val="18"/>
                <w:szCs w:val="18"/>
              </w:rPr>
              <w:t xml:space="preserve">Yes (age &gt;65 </w:t>
            </w:r>
            <w:proofErr w:type="spellStart"/>
            <w:r w:rsidRPr="009B57B3">
              <w:rPr>
                <w:sz w:val="18"/>
                <w:szCs w:val="18"/>
              </w:rPr>
              <w:t>yrs</w:t>
            </w:r>
            <w:proofErr w:type="spellEnd"/>
            <w:r w:rsidRPr="009B57B3">
              <w:rPr>
                <w:sz w:val="18"/>
                <w:szCs w:val="18"/>
              </w:rPr>
              <w:t>)</w:t>
            </w:r>
          </w:p>
        </w:tc>
        <w:tc>
          <w:tcPr>
            <w:tcW w:w="3841" w:type="dxa"/>
            <w:hideMark/>
          </w:tcPr>
          <w:p w14:paraId="29F5BF52" w14:textId="77777777" w:rsidR="00B575B7" w:rsidRPr="009B57B3" w:rsidRDefault="00B575B7" w:rsidP="007A5478">
            <w:pPr>
              <w:pStyle w:val="NormalWeb"/>
              <w:jc w:val="center"/>
              <w:rPr>
                <w:sz w:val="18"/>
                <w:szCs w:val="18"/>
              </w:rPr>
            </w:pPr>
            <w:r w:rsidRPr="009B57B3">
              <w:rPr>
                <w:sz w:val="18"/>
                <w:szCs w:val="18"/>
              </w:rPr>
              <w:t>1.47 (0.79–2.69)</w:t>
            </w:r>
          </w:p>
        </w:tc>
        <w:tc>
          <w:tcPr>
            <w:tcW w:w="3841" w:type="dxa"/>
            <w:hideMark/>
          </w:tcPr>
          <w:p w14:paraId="53B96835" w14:textId="77777777" w:rsidR="00B575B7" w:rsidRPr="009B57B3" w:rsidRDefault="00B575B7" w:rsidP="007A5478">
            <w:pPr>
              <w:pStyle w:val="NormalWeb"/>
              <w:jc w:val="center"/>
              <w:rPr>
                <w:sz w:val="18"/>
                <w:szCs w:val="18"/>
              </w:rPr>
            </w:pPr>
            <w:r w:rsidRPr="009B57B3">
              <w:rPr>
                <w:sz w:val="18"/>
                <w:szCs w:val="18"/>
              </w:rPr>
              <w:t>1.44 (1.37–1.51)</w:t>
            </w:r>
          </w:p>
        </w:tc>
      </w:tr>
      <w:tr w:rsidR="00B575B7" w:rsidRPr="009B57B3" w14:paraId="2F3BB80B" w14:textId="77777777" w:rsidTr="005D5071">
        <w:trPr>
          <w:cnfStyle w:val="000000010000" w:firstRow="0" w:lastRow="0" w:firstColumn="0" w:lastColumn="0" w:oddVBand="0" w:evenVBand="0" w:oddHBand="0" w:evenHBand="1" w:firstRowFirstColumn="0" w:firstRowLastColumn="0" w:lastRowFirstColumn="0" w:lastRowLastColumn="0"/>
        </w:trPr>
        <w:tc>
          <w:tcPr>
            <w:tcW w:w="0" w:type="auto"/>
            <w:hideMark/>
          </w:tcPr>
          <w:p w14:paraId="3E572EAD" w14:textId="77777777" w:rsidR="00B575B7" w:rsidRPr="009B57B3" w:rsidRDefault="00B575B7">
            <w:pPr>
              <w:pStyle w:val="NormalWeb"/>
              <w:rPr>
                <w:b/>
                <w:sz w:val="18"/>
                <w:szCs w:val="18"/>
              </w:rPr>
            </w:pPr>
            <w:r w:rsidRPr="009B57B3">
              <w:rPr>
                <w:b/>
                <w:sz w:val="18"/>
                <w:szCs w:val="18"/>
              </w:rPr>
              <w:t>Self–reported general health status</w:t>
            </w:r>
          </w:p>
        </w:tc>
        <w:tc>
          <w:tcPr>
            <w:tcW w:w="3841" w:type="dxa"/>
            <w:hideMark/>
          </w:tcPr>
          <w:p w14:paraId="31A6726C" w14:textId="77777777" w:rsidR="00B575B7" w:rsidRPr="009B57B3" w:rsidRDefault="00B575B7" w:rsidP="007A5478">
            <w:pPr>
              <w:jc w:val="center"/>
              <w:rPr>
                <w:b/>
                <w:sz w:val="18"/>
                <w:szCs w:val="18"/>
              </w:rPr>
            </w:pPr>
          </w:p>
        </w:tc>
        <w:tc>
          <w:tcPr>
            <w:tcW w:w="3841" w:type="dxa"/>
            <w:hideMark/>
          </w:tcPr>
          <w:p w14:paraId="59806F53" w14:textId="77777777" w:rsidR="00B575B7" w:rsidRPr="009B57B3" w:rsidRDefault="00B575B7" w:rsidP="007A5478">
            <w:pPr>
              <w:jc w:val="center"/>
              <w:rPr>
                <w:rFonts w:eastAsia="Times New Roman"/>
                <w:b/>
                <w:sz w:val="18"/>
                <w:szCs w:val="18"/>
              </w:rPr>
            </w:pPr>
          </w:p>
        </w:tc>
      </w:tr>
      <w:tr w:rsidR="00B575B7" w:rsidRPr="009B57B3" w14:paraId="73B96045" w14:textId="77777777" w:rsidTr="005D5071">
        <w:tc>
          <w:tcPr>
            <w:tcW w:w="0" w:type="auto"/>
            <w:hideMark/>
          </w:tcPr>
          <w:p w14:paraId="21103F43" w14:textId="77777777" w:rsidR="00B575B7" w:rsidRPr="009B57B3" w:rsidRDefault="00B575B7">
            <w:pPr>
              <w:pStyle w:val="NormalWeb"/>
              <w:rPr>
                <w:sz w:val="18"/>
                <w:szCs w:val="18"/>
              </w:rPr>
            </w:pPr>
            <w:r w:rsidRPr="009B57B3">
              <w:rPr>
                <w:sz w:val="18"/>
                <w:szCs w:val="18"/>
              </w:rPr>
              <w:t>Excellent</w:t>
            </w:r>
          </w:p>
        </w:tc>
        <w:tc>
          <w:tcPr>
            <w:tcW w:w="3841" w:type="dxa"/>
            <w:hideMark/>
          </w:tcPr>
          <w:p w14:paraId="0757A8D6" w14:textId="77777777" w:rsidR="00B575B7" w:rsidRPr="009B57B3" w:rsidRDefault="00B575B7" w:rsidP="007A5478">
            <w:pPr>
              <w:pStyle w:val="NormalWeb"/>
              <w:jc w:val="center"/>
              <w:rPr>
                <w:sz w:val="18"/>
                <w:szCs w:val="18"/>
              </w:rPr>
            </w:pPr>
            <w:r w:rsidRPr="009B57B3">
              <w:rPr>
                <w:sz w:val="18"/>
                <w:szCs w:val="18"/>
              </w:rPr>
              <w:t>1.00</w:t>
            </w:r>
          </w:p>
        </w:tc>
        <w:tc>
          <w:tcPr>
            <w:tcW w:w="3841" w:type="dxa"/>
            <w:hideMark/>
          </w:tcPr>
          <w:p w14:paraId="48F4D5C2" w14:textId="77777777" w:rsidR="00B575B7" w:rsidRPr="009B57B3" w:rsidRDefault="00B575B7" w:rsidP="007A5478">
            <w:pPr>
              <w:pStyle w:val="NormalWeb"/>
              <w:jc w:val="center"/>
              <w:rPr>
                <w:sz w:val="18"/>
                <w:szCs w:val="18"/>
              </w:rPr>
            </w:pPr>
            <w:r w:rsidRPr="009B57B3">
              <w:rPr>
                <w:sz w:val="18"/>
                <w:szCs w:val="18"/>
              </w:rPr>
              <w:t>1.00</w:t>
            </w:r>
          </w:p>
        </w:tc>
      </w:tr>
      <w:tr w:rsidR="00B575B7" w:rsidRPr="009B57B3" w14:paraId="0E934714" w14:textId="77777777" w:rsidTr="005D5071">
        <w:trPr>
          <w:cnfStyle w:val="000000010000" w:firstRow="0" w:lastRow="0" w:firstColumn="0" w:lastColumn="0" w:oddVBand="0" w:evenVBand="0" w:oddHBand="0" w:evenHBand="1" w:firstRowFirstColumn="0" w:firstRowLastColumn="0" w:lastRowFirstColumn="0" w:lastRowLastColumn="0"/>
        </w:trPr>
        <w:tc>
          <w:tcPr>
            <w:tcW w:w="0" w:type="auto"/>
            <w:hideMark/>
          </w:tcPr>
          <w:p w14:paraId="29AF2D61" w14:textId="77777777" w:rsidR="00B575B7" w:rsidRPr="009B57B3" w:rsidRDefault="00B575B7">
            <w:pPr>
              <w:pStyle w:val="NormalWeb"/>
              <w:rPr>
                <w:sz w:val="18"/>
                <w:szCs w:val="18"/>
              </w:rPr>
            </w:pPr>
            <w:r w:rsidRPr="009B57B3">
              <w:rPr>
                <w:sz w:val="18"/>
                <w:szCs w:val="18"/>
              </w:rPr>
              <w:t>Very good/good</w:t>
            </w:r>
          </w:p>
        </w:tc>
        <w:tc>
          <w:tcPr>
            <w:tcW w:w="3841" w:type="dxa"/>
            <w:hideMark/>
          </w:tcPr>
          <w:p w14:paraId="406CB4E2" w14:textId="77777777" w:rsidR="00B575B7" w:rsidRPr="009B57B3" w:rsidRDefault="00B575B7" w:rsidP="007A5478">
            <w:pPr>
              <w:pStyle w:val="NormalWeb"/>
              <w:jc w:val="center"/>
              <w:rPr>
                <w:sz w:val="18"/>
                <w:szCs w:val="18"/>
              </w:rPr>
            </w:pPr>
            <w:r w:rsidRPr="009B57B3">
              <w:rPr>
                <w:sz w:val="18"/>
                <w:szCs w:val="18"/>
              </w:rPr>
              <w:t>1.56 (0.82–2.95)</w:t>
            </w:r>
          </w:p>
        </w:tc>
        <w:tc>
          <w:tcPr>
            <w:tcW w:w="3841" w:type="dxa"/>
            <w:hideMark/>
          </w:tcPr>
          <w:p w14:paraId="2564295B" w14:textId="77777777" w:rsidR="00B575B7" w:rsidRPr="009B57B3" w:rsidRDefault="00B575B7" w:rsidP="007A5478">
            <w:pPr>
              <w:pStyle w:val="NormalWeb"/>
              <w:jc w:val="center"/>
              <w:rPr>
                <w:sz w:val="18"/>
                <w:szCs w:val="18"/>
              </w:rPr>
            </w:pPr>
            <w:r w:rsidRPr="009B57B3">
              <w:rPr>
                <w:sz w:val="18"/>
                <w:szCs w:val="18"/>
              </w:rPr>
              <w:t>1.41 (1.35–1.47)</w:t>
            </w:r>
          </w:p>
        </w:tc>
      </w:tr>
      <w:tr w:rsidR="00B575B7" w:rsidRPr="009B57B3" w14:paraId="4DDD975F" w14:textId="77777777" w:rsidTr="005D5071">
        <w:tc>
          <w:tcPr>
            <w:tcW w:w="0" w:type="auto"/>
            <w:hideMark/>
          </w:tcPr>
          <w:p w14:paraId="431A7486" w14:textId="77777777" w:rsidR="00B575B7" w:rsidRPr="009B57B3" w:rsidRDefault="00B575B7">
            <w:pPr>
              <w:pStyle w:val="NormalWeb"/>
              <w:rPr>
                <w:sz w:val="18"/>
                <w:szCs w:val="18"/>
              </w:rPr>
            </w:pPr>
            <w:r w:rsidRPr="009B57B3">
              <w:rPr>
                <w:sz w:val="18"/>
                <w:szCs w:val="18"/>
              </w:rPr>
              <w:t>Fair/poor</w:t>
            </w:r>
          </w:p>
        </w:tc>
        <w:tc>
          <w:tcPr>
            <w:tcW w:w="3841" w:type="dxa"/>
            <w:hideMark/>
          </w:tcPr>
          <w:p w14:paraId="68F5239A" w14:textId="77777777" w:rsidR="00B575B7" w:rsidRPr="009B57B3" w:rsidRDefault="00B575B7" w:rsidP="007A5478">
            <w:pPr>
              <w:pStyle w:val="NormalWeb"/>
              <w:jc w:val="center"/>
              <w:rPr>
                <w:sz w:val="18"/>
                <w:szCs w:val="18"/>
              </w:rPr>
            </w:pPr>
            <w:r w:rsidRPr="009B57B3">
              <w:rPr>
                <w:sz w:val="18"/>
                <w:szCs w:val="18"/>
              </w:rPr>
              <w:t>2.57 (1.26–5.20)</w:t>
            </w:r>
          </w:p>
        </w:tc>
        <w:tc>
          <w:tcPr>
            <w:tcW w:w="3841" w:type="dxa"/>
            <w:hideMark/>
          </w:tcPr>
          <w:p w14:paraId="1F63AC81" w14:textId="77777777" w:rsidR="00B575B7" w:rsidRPr="009B57B3" w:rsidRDefault="00B575B7" w:rsidP="007A5478">
            <w:pPr>
              <w:pStyle w:val="NormalWeb"/>
              <w:jc w:val="center"/>
              <w:rPr>
                <w:sz w:val="18"/>
                <w:szCs w:val="18"/>
              </w:rPr>
            </w:pPr>
            <w:r w:rsidRPr="009B57B3">
              <w:rPr>
                <w:sz w:val="18"/>
                <w:szCs w:val="18"/>
              </w:rPr>
              <w:t>1.93 (1.82–2.05)</w:t>
            </w:r>
          </w:p>
        </w:tc>
      </w:tr>
    </w:tbl>
    <w:p w14:paraId="4904EE6E" w14:textId="77777777" w:rsidR="00B575B7" w:rsidRPr="00DA5052" w:rsidRDefault="00B575B7" w:rsidP="00DA5052">
      <w:pPr>
        <w:pStyle w:val="CDIfootnotes"/>
      </w:pPr>
      <w:r>
        <w:lastRenderedPageBreak/>
        <w:t>a</w:t>
      </w:r>
      <w:r>
        <w:tab/>
        <w:t xml:space="preserve">Stroke, asthma, diabetes, heart disease, Parkinson’s </w:t>
      </w:r>
      <w:proofErr w:type="gramStart"/>
      <w:r>
        <w:t>disease</w:t>
      </w:r>
      <w:proofErr w:type="gramEnd"/>
      <w:r>
        <w:t xml:space="preserve"> and cancer</w:t>
      </w:r>
    </w:p>
    <w:p w14:paraId="5D3BC069" w14:textId="77777777" w:rsidR="00B575B7" w:rsidRDefault="00B575B7" w:rsidP="00FF23DC">
      <w:r>
        <w:t>Unlike many other surveys of vaccination uptake, we conducted this cross-sectional analysis within an established cohort study. A more representative population sample may be preferable for a study of vaccine uptake. However, given the paucity of available information on vaccination in Aboriginal adults</w:t>
      </w:r>
      <w:r>
        <w:rPr>
          <w:vertAlign w:val="superscript"/>
        </w:rPr>
        <w:t>2</w:t>
      </w:r>
      <w:r>
        <w:t xml:space="preserve"> and the relatively large sample of participants who had completed the question on influenza vaccination, our results make a significant contribution to what is known about influenza vaccination in Aboriginal adults. Additionally, the cohort enabled us to make comparisons of vaccine uptake between Aboriginal and non-Indigenous adults who were recruited using a similar strategy, were Australian born, and had information on other characteristics enabling comparisons to be made regarding representativeness, a feature that many other studies that examine only Aboriginal populations lack. </w:t>
      </w:r>
    </w:p>
    <w:p w14:paraId="58515CCD" w14:textId="77777777" w:rsidR="00B575B7" w:rsidRDefault="00B575B7" w:rsidP="00FF23DC">
      <w:r>
        <w:t>Previous analysis comparing Aboriginal participants who responded to the 45 and Up Study baseline questionnaire to 2006 NSW Census data showed Aboriginal participants had higher education levels and a lower proportion of those ≥65 years who needed help with daily tasks.</w:t>
      </w:r>
      <w:r>
        <w:rPr>
          <w:vertAlign w:val="superscript"/>
        </w:rPr>
        <w:t>13</w:t>
      </w:r>
      <w:r>
        <w:t xml:space="preserve"> Similar to our findings, a report including 99,927 follow up participants of the 45 and Up Study found that response rates from Aboriginal participants were lower than that for non-Indigenous participants (45% compared to 61%). Factors associated with lower response were similar in both groups, with those who were ill or disadvantaged less likely to respond to the follow up questionnaire. Additionally, Aboriginal participants who reported smoking or an annual household income of &lt;$50,000 were less likely to respond than the same groups of non-Indigenous participants.</w:t>
      </w:r>
      <w:r>
        <w:rPr>
          <w:vertAlign w:val="superscript"/>
        </w:rPr>
        <w:t>25</w:t>
      </w:r>
      <w:r>
        <w:t xml:space="preserve"> These differences in response are likely to mean that our estimates of coverage are slight overestimates, with more of an overestimation in Aboriginal than in non-Indigenous adults.</w:t>
      </w:r>
      <w:r>
        <w:rPr>
          <w:vertAlign w:val="superscript"/>
        </w:rPr>
        <w:t>26</w:t>
      </w:r>
      <w:r>
        <w:t xml:space="preserve"> We were able to exclude overseas-born participants as we know from earlier studies that this group have significantly lower influenza vaccine uptake.</w:t>
      </w:r>
      <w:r>
        <w:rPr>
          <w:vertAlign w:val="superscript"/>
        </w:rPr>
        <w:t xml:space="preserve">27 </w:t>
      </w:r>
    </w:p>
    <w:p w14:paraId="44620A73" w14:textId="77777777" w:rsidR="00B575B7" w:rsidRDefault="00B575B7" w:rsidP="00FF23DC">
      <w:r>
        <w:t>We acknowledge the possibility of responder bias which will impact the representativeness and generalisability of these results. However, comparisons to other NSW data sources show that a number of characteristics within this sample of Aboriginal adults were not substantially different. Data from the 2012–2013 Australian Aboriginal and Torres Strait Islander Health Survey shows that the proportion of those never smoking was 25% and 32% in those aged 45–54 years and those aged ≥55 years respectively, compared to 47% of our sample of Aboriginal participants aged 49+ years. The same survey reports that those who are overweight or obese is 74% and 77% in the same age groups,</w:t>
      </w:r>
      <w:r>
        <w:rPr>
          <w:vertAlign w:val="superscript"/>
        </w:rPr>
        <w:t>28</w:t>
      </w:r>
      <w:r>
        <w:t xml:space="preserve"> compared to 77% in our sample. Census data from the Australian Bureau of Statistics shows a geographical population spread in NSW of 42% of </w:t>
      </w:r>
      <w:r w:rsidR="00B52F7F">
        <w:t>Aboriginal</w:t>
      </w:r>
      <w:r>
        <w:t xml:space="preserve"> adults aged ≥45 years living in major cities, 33% living in inner regional areas and 25% living in remote areas.</w:t>
      </w:r>
      <w:r>
        <w:rPr>
          <w:vertAlign w:val="superscript"/>
        </w:rPr>
        <w:t>29</w:t>
      </w:r>
      <w:r>
        <w:t xml:space="preserve"> Similarly, 42% of our sample lived in major cities, 28% in inner regional areas and 21% in remote areas. </w:t>
      </w:r>
    </w:p>
    <w:p w14:paraId="0037BFCA" w14:textId="77777777" w:rsidR="00B575B7" w:rsidRDefault="00B575B7" w:rsidP="00FF23DC">
      <w:r>
        <w:t xml:space="preserve">The study used self-report to determine vaccination </w:t>
      </w:r>
      <w:proofErr w:type="gramStart"/>
      <w:r>
        <w:t>status</w:t>
      </w:r>
      <w:proofErr w:type="gramEnd"/>
      <w:r>
        <w:t xml:space="preserve"> and this introduces the possibility of misclassification. However, self-reported influenza vaccination status has been shown to be reasonably accurate</w:t>
      </w:r>
      <w:r>
        <w:rPr>
          <w:vertAlign w:val="superscript"/>
        </w:rPr>
        <w:t>30,31</w:t>
      </w:r>
      <w:r>
        <w:t xml:space="preserve"> and it is used widely in surveys of adults to estimate coverage.</w:t>
      </w:r>
      <w:r>
        <w:rPr>
          <w:vertAlign w:val="superscript"/>
        </w:rPr>
        <w:t>23</w:t>
      </w:r>
      <w:r>
        <w:t xml:space="preserve"> Potential bias in our findings could result if accuracy of self-report differed between the comparison groups. Other limitations include the small sample size of Aboriginal participants, which leads to greater uncertainty around the point estimates and the fact our study was limited to adults in NSW. </w:t>
      </w:r>
    </w:p>
    <w:p w14:paraId="75C54BF9" w14:textId="77777777" w:rsidR="00B575B7" w:rsidRDefault="00B575B7" w:rsidP="00FF23DC">
      <w:r>
        <w:t xml:space="preserve">Increasing vaccination coverage could help to decrease hospitalisations and deaths caused by influenza in Australian adults. This is </w:t>
      </w:r>
      <w:proofErr w:type="spellStart"/>
      <w:r>
        <w:t>particulary</w:t>
      </w:r>
      <w:proofErr w:type="spellEnd"/>
      <w:r>
        <w:t xml:space="preserve"> important for Aboriginal adults who are at higher risk of complications from influenza due to higher prevalence of chronic conditions.</w:t>
      </w:r>
      <w:r>
        <w:rPr>
          <w:vertAlign w:val="superscript"/>
        </w:rPr>
        <w:t>1</w:t>
      </w:r>
      <w:r>
        <w:t xml:space="preserve"> Research suggests that whilst providing funding for vaccination is important to improve adult coverage, there are other initiatives which could improve uptake. Some strategies which have been shown to be effective include reminders for adults,</w:t>
      </w:r>
      <w:r>
        <w:rPr>
          <w:vertAlign w:val="superscript"/>
        </w:rPr>
        <w:t>32</w:t>
      </w:r>
      <w:r>
        <w:t xml:space="preserve"> working with primary health care practices to identify a staff member to drive influenza campaigns,</w:t>
      </w:r>
      <w:r>
        <w:rPr>
          <w:vertAlign w:val="superscript"/>
        </w:rPr>
        <w:t>33</w:t>
      </w:r>
      <w:r>
        <w:t xml:space="preserve"> targeting of people within geographic regions with high disease rates</w:t>
      </w:r>
      <w:r>
        <w:rPr>
          <w:vertAlign w:val="superscript"/>
        </w:rPr>
        <w:t>34</w:t>
      </w:r>
      <w:r>
        <w:t xml:space="preserve"> and specifically for Aboriginal populations having dedicated </w:t>
      </w:r>
      <w:proofErr w:type="spellStart"/>
      <w:r>
        <w:t>Aborignal</w:t>
      </w:r>
      <w:proofErr w:type="spellEnd"/>
      <w:r>
        <w:t xml:space="preserve"> Health Workers which has had </w:t>
      </w:r>
      <w:r>
        <w:lastRenderedPageBreak/>
        <w:t>a demonstrable effect on increasing vaccination coverage in Aboriginal children.</w:t>
      </w:r>
      <w:r>
        <w:rPr>
          <w:vertAlign w:val="superscript"/>
        </w:rPr>
        <w:t>35</w:t>
      </w:r>
      <w:r>
        <w:t xml:space="preserve"> Evaluating the effectiveness of programs to improve adult vaccination uptake is an important area for future research. </w:t>
      </w:r>
    </w:p>
    <w:p w14:paraId="2D007404" w14:textId="77777777" w:rsidR="00B575B7" w:rsidRPr="00211941" w:rsidRDefault="00B575B7">
      <w:pPr>
        <w:pStyle w:val="Heading1"/>
        <w:rPr>
          <w:rFonts w:eastAsia="Times New Roman"/>
          <w:kern w:val="36"/>
          <w:sz w:val="22"/>
          <w:szCs w:val="48"/>
        </w:rPr>
      </w:pPr>
      <w:r>
        <w:rPr>
          <w:rFonts w:eastAsia="Times New Roman"/>
        </w:rPr>
        <w:t>Conclusion</w:t>
      </w:r>
    </w:p>
    <w:p w14:paraId="056F762E" w14:textId="77777777" w:rsidR="00B575B7" w:rsidRDefault="00B575B7" w:rsidP="00FF23DC">
      <w:r>
        <w:t xml:space="preserve">This study adds to existing knowledge by providing estimates of vaccination coverage in Aboriginal adults and examining differences between Aboriginal and non-Indigenous adults. Overall, given responder bias, our findings suggest for those aged ≥65 years, vaccination coverage in Aboriginal adults is lower than Australian-born non-Indigenous adults, and among those 49–64 years is higher among Aboriginal compared to non-Indigenous adults. </w:t>
      </w:r>
      <w:proofErr w:type="gramStart"/>
      <w:r>
        <w:t>However</w:t>
      </w:r>
      <w:proofErr w:type="gramEnd"/>
      <w:r>
        <w:t xml:space="preserve"> given Aboriginal adults aged ≥15 years are funded by the NIP to receive annual influenza vaccine, the overall estimate of ~50% uptake in adults aged 49 years and greater, are inadequate.</w:t>
      </w:r>
      <w:r>
        <w:rPr>
          <w:vertAlign w:val="superscript"/>
        </w:rPr>
        <w:t>19</w:t>
      </w:r>
      <w:r>
        <w:t xml:space="preserve"> The introduction of the all of age Australian Immunisation Register</w:t>
      </w:r>
      <w:r>
        <w:rPr>
          <w:vertAlign w:val="superscript"/>
        </w:rPr>
        <w:t>36</w:t>
      </w:r>
      <w:r>
        <w:t xml:space="preserve"> should allow for more systematic and regular monitoring of vaccine uptake in this priority population. We also note that while our study has limitations, they also highlight the need for much better and more contemporary data on influenza vaccine uptake in Aboriginal adults. </w:t>
      </w:r>
    </w:p>
    <w:p w14:paraId="20156315" w14:textId="77777777" w:rsidR="00B575B7" w:rsidRPr="00211941" w:rsidRDefault="00B575B7">
      <w:pPr>
        <w:pStyle w:val="Heading1"/>
        <w:rPr>
          <w:rFonts w:eastAsia="Times New Roman"/>
          <w:kern w:val="36"/>
          <w:sz w:val="22"/>
          <w:szCs w:val="48"/>
        </w:rPr>
      </w:pPr>
      <w:r>
        <w:rPr>
          <w:rFonts w:eastAsia="Times New Roman"/>
        </w:rPr>
        <w:t>Acknowledgements</w:t>
      </w:r>
    </w:p>
    <w:p w14:paraId="6F86E216" w14:textId="77777777" w:rsidR="00B575B7" w:rsidRDefault="00B575B7" w:rsidP="00FF23DC">
      <w:r>
        <w:t xml:space="preserve">This research was completed using data collected through the 45 and Up Study (www.saxinstitute.org.au). The 45 and Up Study is managed by the Sax Institute in collaboration with major partner Cancer Council NSW, and partners: the National Heart Foundation of Australia (NSW Division); NSW Ministry of Health; NSW Government Family &amp; Community Services – Ageing, </w:t>
      </w:r>
      <w:proofErr w:type="gramStart"/>
      <w:r>
        <w:t>Carers</w:t>
      </w:r>
      <w:proofErr w:type="gramEnd"/>
      <w:r>
        <w:t xml:space="preserve"> and the Disability Council NSW; and the Australian Red Cross Blood Service. We thank the many thousands of people participating in the 45 and Up Study. The authors would also like to acknowledge and thank the valuable contributions provided by the Aboriginal Immunisation Reference Group. </w:t>
      </w:r>
    </w:p>
    <w:p w14:paraId="249C4E72" w14:textId="77777777" w:rsidR="00B575B7" w:rsidRDefault="00B575B7" w:rsidP="00FF23DC">
      <w:r>
        <w:t xml:space="preserve">This study was funded by NHMRC grant #1048180. AD received a NHMRC PhD scholarship. HFG, JMK, EB and BL receive NHMRC Fellowships. </w:t>
      </w:r>
    </w:p>
    <w:p w14:paraId="1B7A26FC" w14:textId="77777777" w:rsidR="007F2DDA" w:rsidRDefault="007F2DDA">
      <w:pPr>
        <w:rPr>
          <w:rFonts w:asciiTheme="majorHAnsi" w:eastAsia="Times New Roman" w:hAnsiTheme="majorHAnsi" w:cstheme="majorBidi"/>
          <w:b/>
          <w:bCs/>
          <w:sz w:val="32"/>
          <w:szCs w:val="28"/>
        </w:rPr>
      </w:pPr>
      <w:r>
        <w:rPr>
          <w:rFonts w:eastAsia="Times New Roman"/>
        </w:rPr>
        <w:br w:type="page"/>
      </w:r>
    </w:p>
    <w:p w14:paraId="38365489" w14:textId="77777777" w:rsidR="00B575B7" w:rsidRPr="00211941" w:rsidRDefault="00B575B7">
      <w:pPr>
        <w:pStyle w:val="Heading1"/>
        <w:rPr>
          <w:rFonts w:eastAsia="Times New Roman"/>
          <w:kern w:val="36"/>
          <w:sz w:val="22"/>
          <w:szCs w:val="48"/>
        </w:rPr>
      </w:pPr>
      <w:r>
        <w:rPr>
          <w:rFonts w:eastAsia="Times New Roman"/>
        </w:rPr>
        <w:lastRenderedPageBreak/>
        <w:t>Author details</w:t>
      </w:r>
    </w:p>
    <w:p w14:paraId="1755CE15" w14:textId="77777777" w:rsidR="007F2DDA" w:rsidRDefault="00B575B7" w:rsidP="00FF23DC">
      <w:r>
        <w:t>Dr Amalie Dyda</w:t>
      </w:r>
      <w:r>
        <w:rPr>
          <w:vertAlign w:val="superscript"/>
        </w:rPr>
        <w:t>1, 2</w:t>
      </w:r>
      <w:r>
        <w:t xml:space="preserve"> </w:t>
      </w:r>
    </w:p>
    <w:p w14:paraId="51CFCBF4" w14:textId="77777777" w:rsidR="007F2DDA" w:rsidRDefault="00B575B7" w:rsidP="00FF23DC">
      <w:r>
        <w:t>Dr Surendra Karki</w:t>
      </w:r>
      <w:r>
        <w:rPr>
          <w:vertAlign w:val="superscript"/>
        </w:rPr>
        <w:t>1</w:t>
      </w:r>
      <w:r>
        <w:t xml:space="preserve"> </w:t>
      </w:r>
    </w:p>
    <w:p w14:paraId="2BD01EB1" w14:textId="77777777" w:rsidR="007F2DDA" w:rsidRDefault="00B575B7" w:rsidP="00FF23DC">
      <w:r>
        <w:t>Dr Marlene Kong</w:t>
      </w:r>
      <w:r>
        <w:rPr>
          <w:vertAlign w:val="superscript"/>
        </w:rPr>
        <w:t>3</w:t>
      </w:r>
      <w:r>
        <w:t xml:space="preserve"> </w:t>
      </w:r>
    </w:p>
    <w:p w14:paraId="6A3637FA" w14:textId="77777777" w:rsidR="007F2DDA" w:rsidRDefault="00B575B7" w:rsidP="00FF23DC">
      <w:pPr>
        <w:rPr>
          <w:vertAlign w:val="superscript"/>
        </w:rPr>
      </w:pPr>
      <w:r>
        <w:t>A/Prof Heather F Gidding</w:t>
      </w:r>
      <w:r>
        <w:rPr>
          <w:vertAlign w:val="superscript"/>
        </w:rPr>
        <w:t xml:space="preserve">1,4 </w:t>
      </w:r>
    </w:p>
    <w:p w14:paraId="3D0E5D31" w14:textId="77777777" w:rsidR="007F2DDA" w:rsidRDefault="00B575B7" w:rsidP="00FF23DC">
      <w:r>
        <w:t>Prof John M Kaldor</w:t>
      </w:r>
      <w:r>
        <w:rPr>
          <w:vertAlign w:val="superscript"/>
        </w:rPr>
        <w:t>3</w:t>
      </w:r>
      <w:r>
        <w:t xml:space="preserve"> </w:t>
      </w:r>
    </w:p>
    <w:p w14:paraId="6B1A05CD" w14:textId="77777777" w:rsidR="007F2DDA" w:rsidRDefault="00B575B7" w:rsidP="00FF23DC">
      <w:r>
        <w:t>Prof Peter McIntyre</w:t>
      </w:r>
      <w:r>
        <w:rPr>
          <w:vertAlign w:val="superscript"/>
        </w:rPr>
        <w:t>4</w:t>
      </w:r>
      <w:r>
        <w:t xml:space="preserve"> </w:t>
      </w:r>
    </w:p>
    <w:p w14:paraId="605D83FB" w14:textId="77777777" w:rsidR="007F2DDA" w:rsidRDefault="00B575B7" w:rsidP="00FF23DC">
      <w:r>
        <w:t>Prof Emily Banks</w:t>
      </w:r>
      <w:r>
        <w:rPr>
          <w:vertAlign w:val="superscript"/>
        </w:rPr>
        <w:t>5</w:t>
      </w:r>
      <w:r>
        <w:t xml:space="preserve"> </w:t>
      </w:r>
    </w:p>
    <w:p w14:paraId="7E9D0D6B" w14:textId="77777777" w:rsidR="007F2DDA" w:rsidRDefault="00B575B7" w:rsidP="00FF23DC">
      <w:r>
        <w:t>Prof C Raina MacIntyre</w:t>
      </w:r>
      <w:r>
        <w:rPr>
          <w:vertAlign w:val="superscript"/>
        </w:rPr>
        <w:t>3, 6</w:t>
      </w:r>
      <w:r>
        <w:t xml:space="preserve"> </w:t>
      </w:r>
    </w:p>
    <w:p w14:paraId="6A18CEE2" w14:textId="77777777" w:rsidR="00B575B7" w:rsidRDefault="00B575B7" w:rsidP="00FF23DC">
      <w:r>
        <w:t>A/Prof Bette Liu</w:t>
      </w:r>
      <w:r>
        <w:rPr>
          <w:vertAlign w:val="superscript"/>
        </w:rPr>
        <w:t>1</w:t>
      </w:r>
      <w:r>
        <w:t xml:space="preserve"> </w:t>
      </w:r>
    </w:p>
    <w:p w14:paraId="54C5AE9C" w14:textId="77777777" w:rsidR="00FF23DC" w:rsidRPr="00FF23DC" w:rsidRDefault="00B575B7" w:rsidP="00FF23DC">
      <w:pPr>
        <w:pStyle w:val="ListParagraph"/>
        <w:numPr>
          <w:ilvl w:val="0"/>
          <w:numId w:val="11"/>
        </w:numPr>
        <w:rPr>
          <w:rFonts w:eastAsia="Times New Roman"/>
        </w:rPr>
      </w:pPr>
      <w:r w:rsidRPr="00FF23DC">
        <w:rPr>
          <w:rFonts w:eastAsia="Times New Roman"/>
        </w:rPr>
        <w:t xml:space="preserve">School of Public Health and Community Medicine, UNSW, Sydney, NSW, Australia </w:t>
      </w:r>
    </w:p>
    <w:p w14:paraId="3EC86FD6" w14:textId="77777777" w:rsidR="00B575B7" w:rsidRPr="00FF23DC" w:rsidRDefault="00B575B7" w:rsidP="00FF23DC">
      <w:pPr>
        <w:pStyle w:val="ListParagraph"/>
        <w:numPr>
          <w:ilvl w:val="0"/>
          <w:numId w:val="11"/>
        </w:numPr>
        <w:rPr>
          <w:rFonts w:eastAsia="Times New Roman"/>
        </w:rPr>
      </w:pPr>
      <w:r w:rsidRPr="00FF23DC">
        <w:rPr>
          <w:rFonts w:eastAsia="Times New Roman"/>
        </w:rPr>
        <w:t xml:space="preserve">Australian Institute of Health Innovation, Macquarie </w:t>
      </w:r>
      <w:r w:rsidR="003473F8" w:rsidRPr="00FF23DC">
        <w:rPr>
          <w:rFonts w:eastAsia="Times New Roman"/>
        </w:rPr>
        <w:t>University</w:t>
      </w:r>
      <w:r w:rsidRPr="00FF23DC">
        <w:rPr>
          <w:rFonts w:eastAsia="Times New Roman"/>
        </w:rPr>
        <w:t xml:space="preserve">, Sydney, NSW, Australia </w:t>
      </w:r>
    </w:p>
    <w:p w14:paraId="2A77446D" w14:textId="77777777" w:rsidR="00B575B7" w:rsidRPr="00FF23DC" w:rsidRDefault="00B575B7" w:rsidP="00FF23DC">
      <w:pPr>
        <w:pStyle w:val="ListParagraph"/>
        <w:numPr>
          <w:ilvl w:val="0"/>
          <w:numId w:val="11"/>
        </w:numPr>
        <w:rPr>
          <w:rFonts w:eastAsia="Times New Roman"/>
        </w:rPr>
      </w:pPr>
      <w:r w:rsidRPr="00FF23DC">
        <w:rPr>
          <w:rFonts w:eastAsia="Times New Roman"/>
        </w:rPr>
        <w:t xml:space="preserve">The Kirby Institute, UNSW, Sydney, NSW, Australia </w:t>
      </w:r>
    </w:p>
    <w:p w14:paraId="3C88E1B7" w14:textId="77777777" w:rsidR="00B575B7" w:rsidRPr="00FF23DC" w:rsidRDefault="00B575B7" w:rsidP="00FF23DC">
      <w:pPr>
        <w:pStyle w:val="ListParagraph"/>
        <w:numPr>
          <w:ilvl w:val="0"/>
          <w:numId w:val="11"/>
        </w:numPr>
        <w:rPr>
          <w:rFonts w:eastAsia="Times New Roman"/>
        </w:rPr>
      </w:pPr>
      <w:r w:rsidRPr="00FF23DC">
        <w:rPr>
          <w:rFonts w:eastAsia="Times New Roman"/>
        </w:rPr>
        <w:t xml:space="preserve">The National Centre for Immunisation Research and Surveillance of Vaccine Preventable Diseases, Children’s Hospital at Westmead and University of Sydney, Sydney, NSW, Australia </w:t>
      </w:r>
    </w:p>
    <w:p w14:paraId="6A47F455" w14:textId="77777777" w:rsidR="00B575B7" w:rsidRPr="00FF23DC" w:rsidRDefault="00B575B7" w:rsidP="00FF23DC">
      <w:pPr>
        <w:pStyle w:val="ListParagraph"/>
        <w:numPr>
          <w:ilvl w:val="0"/>
          <w:numId w:val="11"/>
        </w:numPr>
        <w:rPr>
          <w:rFonts w:eastAsia="Times New Roman"/>
        </w:rPr>
      </w:pPr>
      <w:r w:rsidRPr="00FF23DC">
        <w:rPr>
          <w:rFonts w:eastAsia="Times New Roman"/>
        </w:rPr>
        <w:t xml:space="preserve">National Centre for Epidemiology and Population Health, Research School of Population Health, The Australian National University, Acton, Australian Capital Territory, Australia </w:t>
      </w:r>
    </w:p>
    <w:p w14:paraId="65754C53" w14:textId="77777777" w:rsidR="00B575B7" w:rsidRPr="00FF23DC" w:rsidRDefault="00B575B7" w:rsidP="00FF23DC">
      <w:pPr>
        <w:pStyle w:val="ListParagraph"/>
        <w:numPr>
          <w:ilvl w:val="0"/>
          <w:numId w:val="11"/>
        </w:numPr>
        <w:rPr>
          <w:rFonts w:eastAsia="Times New Roman"/>
        </w:rPr>
      </w:pPr>
      <w:r w:rsidRPr="00FF23DC">
        <w:rPr>
          <w:rFonts w:eastAsia="Times New Roman"/>
        </w:rPr>
        <w:t xml:space="preserve">College of Public Service and Community Solutions, Arizona State University, Tempe, AZ, 85287, United States </w:t>
      </w:r>
    </w:p>
    <w:p w14:paraId="5FFDF81F" w14:textId="77777777" w:rsidR="00B575B7" w:rsidRPr="00FF23DC" w:rsidRDefault="00B575B7" w:rsidP="00FF23DC">
      <w:pPr>
        <w:pStyle w:val="Heading2"/>
      </w:pPr>
      <w:r w:rsidRPr="00FF23DC">
        <w:t xml:space="preserve">Corresponding Author </w:t>
      </w:r>
    </w:p>
    <w:p w14:paraId="2D24B3A6" w14:textId="77777777" w:rsidR="00B575B7" w:rsidRDefault="00FB2DE9" w:rsidP="00FF23DC">
      <w:r>
        <w:t xml:space="preserve">Dr Amalie </w:t>
      </w:r>
      <w:proofErr w:type="spellStart"/>
      <w:r>
        <w:t>Dyda</w:t>
      </w:r>
      <w:proofErr w:type="spellEnd"/>
      <w:r>
        <w:br/>
      </w:r>
      <w:r w:rsidR="00B575B7">
        <w:t>Department of</w:t>
      </w:r>
      <w:r>
        <w:t xml:space="preserve"> Health Systems and Populations</w:t>
      </w:r>
      <w:r>
        <w:br/>
      </w:r>
      <w:r w:rsidR="00B575B7">
        <w:t>Macquari</w:t>
      </w:r>
      <w:r>
        <w:t>e University, Sydney, Australia</w:t>
      </w:r>
      <w:r>
        <w:br/>
      </w:r>
      <w:r w:rsidR="00B575B7">
        <w:t xml:space="preserve">Email: amalie.dyda@mq.edu.au </w:t>
      </w:r>
    </w:p>
    <w:p w14:paraId="740CC0D7" w14:textId="77777777" w:rsidR="00B575B7" w:rsidRPr="00FF23DC" w:rsidRDefault="00B575B7" w:rsidP="00FF23DC">
      <w:pPr>
        <w:pStyle w:val="Heading1"/>
      </w:pPr>
      <w:r w:rsidRPr="00FF23DC">
        <w:t>References</w:t>
      </w:r>
    </w:p>
    <w:p w14:paraId="284EFAA2" w14:textId="77777777" w:rsidR="00B575B7" w:rsidRPr="00FF23DC" w:rsidRDefault="00B575B7" w:rsidP="00FF23DC">
      <w:pPr>
        <w:pStyle w:val="ListParagraph"/>
        <w:numPr>
          <w:ilvl w:val="0"/>
          <w:numId w:val="13"/>
        </w:numPr>
        <w:rPr>
          <w:rFonts w:eastAsia="Times New Roman"/>
        </w:rPr>
      </w:pPr>
      <w:r w:rsidRPr="00FF23DC">
        <w:rPr>
          <w:rFonts w:eastAsia="Times New Roman"/>
        </w:rPr>
        <w:t xml:space="preserve">Li-Kim-Moy J, Yin JK, Patel C, Beard FH, Chiu C, Macartney KK, et al. Australian vaccine preventable disease epidemiological review series: influenza 2006 to 2015. </w:t>
      </w:r>
      <w:r w:rsidRPr="00C026B3">
        <w:rPr>
          <w:rStyle w:val="Emphasis"/>
          <w:rFonts w:eastAsia="Times New Roman"/>
          <w:b w:val="0"/>
        </w:rPr>
        <w:t>Commun Dis Intell Q Rep</w:t>
      </w:r>
      <w:r w:rsidRPr="00FF23DC">
        <w:rPr>
          <w:rFonts w:eastAsia="Times New Roman"/>
        </w:rPr>
        <w:t xml:space="preserve">. 2016;40(4):E482–95. </w:t>
      </w:r>
    </w:p>
    <w:p w14:paraId="78F1DC82" w14:textId="77777777" w:rsidR="00B575B7" w:rsidRPr="00FF23DC" w:rsidRDefault="00B575B7" w:rsidP="00FF23DC">
      <w:pPr>
        <w:pStyle w:val="ListParagraph"/>
        <w:numPr>
          <w:ilvl w:val="0"/>
          <w:numId w:val="13"/>
        </w:numPr>
        <w:rPr>
          <w:rFonts w:eastAsia="Times New Roman"/>
        </w:rPr>
      </w:pPr>
      <w:proofErr w:type="spellStart"/>
      <w:r w:rsidRPr="00FF23DC">
        <w:rPr>
          <w:rFonts w:eastAsia="Times New Roman"/>
        </w:rPr>
        <w:t>Dyda</w:t>
      </w:r>
      <w:proofErr w:type="spellEnd"/>
      <w:r w:rsidRPr="00FF23DC">
        <w:rPr>
          <w:rFonts w:eastAsia="Times New Roman"/>
        </w:rPr>
        <w:t xml:space="preserve"> A, Karki S, </w:t>
      </w:r>
      <w:proofErr w:type="spellStart"/>
      <w:r w:rsidRPr="00FF23DC">
        <w:rPr>
          <w:rFonts w:eastAsia="Times New Roman"/>
        </w:rPr>
        <w:t>Hayen</w:t>
      </w:r>
      <w:proofErr w:type="spellEnd"/>
      <w:r w:rsidRPr="00FF23DC">
        <w:rPr>
          <w:rFonts w:eastAsia="Times New Roman"/>
        </w:rPr>
        <w:t xml:space="preserve"> A, </w:t>
      </w:r>
      <w:proofErr w:type="spellStart"/>
      <w:r w:rsidRPr="00FF23DC">
        <w:rPr>
          <w:rFonts w:eastAsia="Times New Roman"/>
        </w:rPr>
        <w:t>MacIntyre</w:t>
      </w:r>
      <w:proofErr w:type="spellEnd"/>
      <w:r w:rsidRPr="00FF23DC">
        <w:rPr>
          <w:rFonts w:eastAsia="Times New Roman"/>
        </w:rPr>
        <w:t xml:space="preserve"> CR, Menzies R, Banks E, et al. Influenza and pneumococcal vaccination in Australian adults: a systematic review of coverage and factors associated with uptake. </w:t>
      </w:r>
      <w:r w:rsidRPr="00C026B3">
        <w:rPr>
          <w:rStyle w:val="Emphasis"/>
          <w:rFonts w:eastAsia="Times New Roman"/>
          <w:b w:val="0"/>
        </w:rPr>
        <w:t>BMC Infect Dis</w:t>
      </w:r>
      <w:r w:rsidRPr="00FF23DC">
        <w:rPr>
          <w:rFonts w:eastAsia="Times New Roman"/>
        </w:rPr>
        <w:t xml:space="preserve">. 2016;16(1):515. </w:t>
      </w:r>
    </w:p>
    <w:p w14:paraId="71A56840" w14:textId="77777777" w:rsidR="00B575B7" w:rsidRPr="00FF23DC" w:rsidRDefault="00B575B7" w:rsidP="00FF23DC">
      <w:pPr>
        <w:pStyle w:val="ListParagraph"/>
        <w:numPr>
          <w:ilvl w:val="0"/>
          <w:numId w:val="13"/>
        </w:numPr>
        <w:rPr>
          <w:rFonts w:eastAsia="Times New Roman"/>
        </w:rPr>
      </w:pPr>
      <w:r w:rsidRPr="00FF23DC">
        <w:rPr>
          <w:rFonts w:eastAsia="Times New Roman"/>
        </w:rPr>
        <w:t xml:space="preserve">National Centre for Immunisation Research and Surveillance. Significant events in influenza vaccination practice in Australia. National Centre for Immunisation Research and Surveillance, Sydney 2018. Available from: http://www.ncirs.org.au/sites/default/files/2018-11/Influenza-history-July-2018.pdf </w:t>
      </w:r>
    </w:p>
    <w:p w14:paraId="719D575B" w14:textId="77777777" w:rsidR="00B575B7" w:rsidRPr="00FF23DC" w:rsidRDefault="00B575B7" w:rsidP="00FF23DC">
      <w:pPr>
        <w:pStyle w:val="ListParagraph"/>
        <w:numPr>
          <w:ilvl w:val="0"/>
          <w:numId w:val="13"/>
        </w:numPr>
        <w:rPr>
          <w:rFonts w:eastAsia="Times New Roman"/>
        </w:rPr>
      </w:pPr>
      <w:r w:rsidRPr="00FF23DC">
        <w:rPr>
          <w:rFonts w:eastAsia="Times New Roman"/>
        </w:rPr>
        <w:t xml:space="preserve">Pharmaceutical Benefits Advisory Committee. November 2018 PBAC Meeting—Positive Recommendations. Australian Government, Department of Health, Pharmaceutical Benefits Advisory Committee; 2018. </w:t>
      </w:r>
      <w:r w:rsidRPr="00FF23DC">
        <w:rPr>
          <w:rFonts w:eastAsia="Times New Roman"/>
        </w:rPr>
        <w:lastRenderedPageBreak/>
        <w:t xml:space="preserve">Available from: www.pbs.gov.au/industry/listing/elements/pbac-meetings/pbac-outcomes/2018-11/positive-recommendations-11-2018.docx </w:t>
      </w:r>
    </w:p>
    <w:p w14:paraId="3C2D44DB" w14:textId="77777777" w:rsidR="00B575B7" w:rsidRPr="00FF23DC" w:rsidRDefault="00B575B7" w:rsidP="00FF23DC">
      <w:pPr>
        <w:pStyle w:val="ListParagraph"/>
        <w:numPr>
          <w:ilvl w:val="0"/>
          <w:numId w:val="13"/>
        </w:numPr>
        <w:rPr>
          <w:rFonts w:eastAsia="Times New Roman"/>
        </w:rPr>
      </w:pPr>
      <w:r w:rsidRPr="00FF23DC">
        <w:rPr>
          <w:rFonts w:eastAsia="Times New Roman"/>
        </w:rPr>
        <w:t xml:space="preserve">Hanna JN, McCulloch BG. Uptake of influenza vaccine among Aboriginal and Torres Strait Island adults in north Queensland, 2002. </w:t>
      </w:r>
      <w:r w:rsidRPr="00C026B3">
        <w:rPr>
          <w:rStyle w:val="Emphasis"/>
          <w:rFonts w:eastAsia="Times New Roman"/>
          <w:b w:val="0"/>
        </w:rPr>
        <w:t>Commun Dis Intell Q Rep</w:t>
      </w:r>
      <w:r w:rsidRPr="00FF23DC">
        <w:rPr>
          <w:rFonts w:eastAsia="Times New Roman"/>
        </w:rPr>
        <w:t xml:space="preserve">. 2003;27(1):102–4. </w:t>
      </w:r>
    </w:p>
    <w:p w14:paraId="2FB756B5" w14:textId="77777777" w:rsidR="00B575B7" w:rsidRPr="00FF23DC" w:rsidRDefault="00B575B7" w:rsidP="00FF23DC">
      <w:pPr>
        <w:pStyle w:val="ListParagraph"/>
        <w:numPr>
          <w:ilvl w:val="0"/>
          <w:numId w:val="13"/>
        </w:numPr>
        <w:rPr>
          <w:rFonts w:eastAsia="Times New Roman"/>
        </w:rPr>
      </w:pPr>
      <w:r w:rsidRPr="00FF23DC">
        <w:rPr>
          <w:rFonts w:eastAsia="Times New Roman"/>
        </w:rPr>
        <w:t xml:space="preserve">Hanna JN, Morgan AK, McCulloch BG. Uptake of influenza vaccine among Aboriginal and Torres Strait Island adults in north Queensland, 2003. </w:t>
      </w:r>
      <w:r w:rsidRPr="00C026B3">
        <w:rPr>
          <w:rStyle w:val="Emphasis"/>
          <w:rFonts w:eastAsia="Times New Roman"/>
          <w:b w:val="0"/>
        </w:rPr>
        <w:t>Commun Dis Intell Q Rep</w:t>
      </w:r>
      <w:r w:rsidRPr="00FF23DC">
        <w:rPr>
          <w:rFonts w:eastAsia="Times New Roman"/>
        </w:rPr>
        <w:t xml:space="preserve">. 2004;28(1):80–2. </w:t>
      </w:r>
    </w:p>
    <w:p w14:paraId="27862CBB" w14:textId="77777777" w:rsidR="00B575B7" w:rsidRPr="00FF23DC" w:rsidRDefault="00B575B7" w:rsidP="00FF23DC">
      <w:pPr>
        <w:pStyle w:val="ListParagraph"/>
        <w:numPr>
          <w:ilvl w:val="0"/>
          <w:numId w:val="13"/>
        </w:numPr>
        <w:rPr>
          <w:rFonts w:eastAsia="Times New Roman"/>
        </w:rPr>
      </w:pPr>
      <w:r w:rsidRPr="00FF23DC">
        <w:rPr>
          <w:rFonts w:eastAsia="Times New Roman"/>
        </w:rPr>
        <w:t xml:space="preserve">Menzies R, McIntyre P, Beard F. Vaccine preventable diseases and vaccination coverage in Aboriginal and Torres Strait Islander people, Australia, 1999 to 2002. </w:t>
      </w:r>
      <w:r w:rsidRPr="00C026B3">
        <w:rPr>
          <w:rStyle w:val="Emphasis"/>
          <w:rFonts w:eastAsia="Times New Roman"/>
          <w:b w:val="0"/>
        </w:rPr>
        <w:t>Commun Dis Intell Q Rep</w:t>
      </w:r>
      <w:r w:rsidRPr="00FF23DC">
        <w:rPr>
          <w:rFonts w:eastAsia="Times New Roman"/>
        </w:rPr>
        <w:t xml:space="preserve">. 2004;28(Suppl. 1):S1–45. </w:t>
      </w:r>
    </w:p>
    <w:p w14:paraId="616EC6A4" w14:textId="77777777" w:rsidR="00B575B7" w:rsidRPr="00FF23DC" w:rsidRDefault="00B575B7" w:rsidP="00FF23DC">
      <w:pPr>
        <w:pStyle w:val="ListParagraph"/>
        <w:numPr>
          <w:ilvl w:val="0"/>
          <w:numId w:val="13"/>
        </w:numPr>
        <w:rPr>
          <w:rFonts w:eastAsia="Times New Roman"/>
        </w:rPr>
      </w:pPr>
      <w:r w:rsidRPr="00FF23DC">
        <w:rPr>
          <w:rFonts w:eastAsia="Times New Roman"/>
        </w:rPr>
        <w:t xml:space="preserve">Menzies R, </w:t>
      </w:r>
      <w:proofErr w:type="spellStart"/>
      <w:r w:rsidRPr="00FF23DC">
        <w:rPr>
          <w:rFonts w:eastAsia="Times New Roman"/>
        </w:rPr>
        <w:t>Turnour</w:t>
      </w:r>
      <w:proofErr w:type="spellEnd"/>
      <w:r w:rsidRPr="00FF23DC">
        <w:rPr>
          <w:rFonts w:eastAsia="Times New Roman"/>
        </w:rPr>
        <w:t xml:space="preserve"> C, Chiu C, McIntyre P. Vaccine preventable diseases and vaccination coverage in Aboriginal and Torres Strait Islander people, Australia 2003 to 2006. </w:t>
      </w:r>
      <w:r w:rsidRPr="00C026B3">
        <w:rPr>
          <w:rStyle w:val="Emphasis"/>
          <w:rFonts w:eastAsia="Times New Roman"/>
          <w:b w:val="0"/>
        </w:rPr>
        <w:t>Commun Dis Intell Q Rep.</w:t>
      </w:r>
      <w:r w:rsidRPr="00FF23DC">
        <w:rPr>
          <w:rFonts w:eastAsia="Times New Roman"/>
        </w:rPr>
        <w:t xml:space="preserve"> 2008;32(Suppl):S2–67. </w:t>
      </w:r>
    </w:p>
    <w:p w14:paraId="71C77112" w14:textId="77777777" w:rsidR="00B575B7" w:rsidRPr="00FF23DC" w:rsidRDefault="00B575B7" w:rsidP="00FF23DC">
      <w:pPr>
        <w:pStyle w:val="ListParagraph"/>
        <w:numPr>
          <w:ilvl w:val="0"/>
          <w:numId w:val="13"/>
        </w:numPr>
        <w:rPr>
          <w:rFonts w:eastAsia="Times New Roman"/>
        </w:rPr>
      </w:pPr>
      <w:r w:rsidRPr="00FF23DC">
        <w:rPr>
          <w:rFonts w:eastAsia="Times New Roman"/>
        </w:rPr>
        <w:t xml:space="preserve">Taylor A. </w:t>
      </w:r>
      <w:r w:rsidRPr="00C026B3">
        <w:rPr>
          <w:rStyle w:val="Emphasis"/>
          <w:rFonts w:eastAsia="Times New Roman"/>
          <w:b w:val="0"/>
        </w:rPr>
        <w:t>National Influenza Survey (A population survey of vaccination uptake in Australia)</w:t>
      </w:r>
      <w:r w:rsidRPr="00FF23DC">
        <w:rPr>
          <w:rFonts w:eastAsia="Times New Roman"/>
        </w:rPr>
        <w:t xml:space="preserve">. South Australian Department of Human Services, Adelaide; 2001. </w:t>
      </w:r>
    </w:p>
    <w:p w14:paraId="0B49A42C" w14:textId="77777777" w:rsidR="00B575B7" w:rsidRPr="00FF23DC" w:rsidRDefault="00B575B7" w:rsidP="00FF23DC">
      <w:pPr>
        <w:pStyle w:val="ListParagraph"/>
        <w:numPr>
          <w:ilvl w:val="0"/>
          <w:numId w:val="13"/>
        </w:numPr>
        <w:rPr>
          <w:rFonts w:eastAsia="Times New Roman"/>
        </w:rPr>
      </w:pPr>
      <w:r w:rsidRPr="00FF23DC">
        <w:rPr>
          <w:rFonts w:eastAsia="Times New Roman"/>
        </w:rPr>
        <w:t xml:space="preserve">Australian Health Ministers’ Advisory Council. </w:t>
      </w:r>
      <w:r w:rsidRPr="00C026B3">
        <w:rPr>
          <w:rStyle w:val="Emphasis"/>
          <w:rFonts w:eastAsia="Times New Roman"/>
          <w:b w:val="0"/>
        </w:rPr>
        <w:t>Aboriginal and Torres Strait Islander Health Performance Framework 2017 Report</w:t>
      </w:r>
      <w:r w:rsidRPr="00FF23DC">
        <w:rPr>
          <w:rFonts w:eastAsia="Times New Roman"/>
        </w:rPr>
        <w:t xml:space="preserve">. Australian Government, Australian Institute of Health and Welfare, Canberra; 2017. </w:t>
      </w:r>
    </w:p>
    <w:p w14:paraId="232BDD5D" w14:textId="77777777" w:rsidR="00B575B7" w:rsidRPr="00FF23DC" w:rsidRDefault="00B575B7" w:rsidP="00FF23DC">
      <w:pPr>
        <w:pStyle w:val="ListParagraph"/>
        <w:numPr>
          <w:ilvl w:val="0"/>
          <w:numId w:val="13"/>
        </w:numPr>
        <w:rPr>
          <w:rFonts w:eastAsia="Times New Roman"/>
        </w:rPr>
      </w:pPr>
      <w:r w:rsidRPr="00FF23DC">
        <w:rPr>
          <w:rFonts w:eastAsia="Times New Roman"/>
        </w:rPr>
        <w:t xml:space="preserve">Banks E, Redman S, </w:t>
      </w:r>
      <w:proofErr w:type="spellStart"/>
      <w:r w:rsidRPr="00FF23DC">
        <w:rPr>
          <w:rFonts w:eastAsia="Times New Roman"/>
        </w:rPr>
        <w:t>Jorm</w:t>
      </w:r>
      <w:proofErr w:type="spellEnd"/>
      <w:r w:rsidRPr="00FF23DC">
        <w:rPr>
          <w:rFonts w:eastAsia="Times New Roman"/>
        </w:rPr>
        <w:t xml:space="preserve"> L, Armstrong B, Bauman A, Beard J, et al. Cohort profile: the 45 and up study. </w:t>
      </w:r>
      <w:r w:rsidRPr="00C026B3">
        <w:rPr>
          <w:rStyle w:val="Emphasis"/>
          <w:rFonts w:eastAsia="Times New Roman"/>
          <w:b w:val="0"/>
        </w:rPr>
        <w:t>Int J Epidemiol</w:t>
      </w:r>
      <w:r w:rsidRPr="00FF23DC">
        <w:rPr>
          <w:rFonts w:eastAsia="Times New Roman"/>
        </w:rPr>
        <w:t xml:space="preserve">. 2008;37(5):941–7. </w:t>
      </w:r>
    </w:p>
    <w:p w14:paraId="64D80729" w14:textId="77777777" w:rsidR="00B575B7" w:rsidRPr="00FF23DC" w:rsidRDefault="00B575B7" w:rsidP="00FF23DC">
      <w:pPr>
        <w:pStyle w:val="ListParagraph"/>
        <w:numPr>
          <w:ilvl w:val="0"/>
          <w:numId w:val="13"/>
        </w:numPr>
        <w:rPr>
          <w:rFonts w:eastAsia="Times New Roman"/>
        </w:rPr>
      </w:pPr>
      <w:r w:rsidRPr="00FF23DC">
        <w:rPr>
          <w:rFonts w:eastAsia="Times New Roman"/>
        </w:rPr>
        <w:t xml:space="preserve">The Sax Institute. The 45 and Up Study Researcher Toolkit. 2016; Available from: https://www.saxinstitute.org.au/our-work/45-up-study/for-researchers/ . </w:t>
      </w:r>
    </w:p>
    <w:p w14:paraId="4E978995" w14:textId="77777777" w:rsidR="00B575B7" w:rsidRPr="00FF23DC" w:rsidRDefault="00B575B7" w:rsidP="00FF23DC">
      <w:pPr>
        <w:pStyle w:val="ListParagraph"/>
        <w:numPr>
          <w:ilvl w:val="0"/>
          <w:numId w:val="13"/>
        </w:numPr>
        <w:rPr>
          <w:rFonts w:eastAsia="Times New Roman"/>
        </w:rPr>
      </w:pPr>
      <w:proofErr w:type="spellStart"/>
      <w:r w:rsidRPr="00FF23DC">
        <w:rPr>
          <w:rFonts w:eastAsia="Times New Roman"/>
        </w:rPr>
        <w:t>Gubhaju</w:t>
      </w:r>
      <w:proofErr w:type="spellEnd"/>
      <w:r w:rsidRPr="00FF23DC">
        <w:rPr>
          <w:rFonts w:eastAsia="Times New Roman"/>
        </w:rPr>
        <w:t xml:space="preserve"> L, McNamara BJ, Banks E, </w:t>
      </w:r>
      <w:proofErr w:type="spellStart"/>
      <w:r w:rsidRPr="00FF23DC">
        <w:rPr>
          <w:rFonts w:eastAsia="Times New Roman"/>
        </w:rPr>
        <w:t>Joshy</w:t>
      </w:r>
      <w:proofErr w:type="spellEnd"/>
      <w:r w:rsidRPr="00FF23DC">
        <w:rPr>
          <w:rFonts w:eastAsia="Times New Roman"/>
        </w:rPr>
        <w:t xml:space="preserve"> G, Raphael B, Williamson A, et al. The overall health and risk factor profile of Australian Aboriginal and Torres Strait Islander participants from the 45 and Up study. </w:t>
      </w:r>
      <w:r w:rsidRPr="00C026B3">
        <w:rPr>
          <w:rStyle w:val="Emphasis"/>
          <w:rFonts w:eastAsia="Times New Roman"/>
          <w:b w:val="0"/>
        </w:rPr>
        <w:t>BMC Public Health</w:t>
      </w:r>
      <w:r w:rsidRPr="00FF23DC">
        <w:rPr>
          <w:rFonts w:eastAsia="Times New Roman"/>
        </w:rPr>
        <w:t xml:space="preserve">. 2013;13:661. </w:t>
      </w:r>
    </w:p>
    <w:p w14:paraId="2686033B" w14:textId="77777777" w:rsidR="00B575B7" w:rsidRPr="00FF23DC" w:rsidRDefault="00B575B7" w:rsidP="00FF23DC">
      <w:pPr>
        <w:pStyle w:val="ListParagraph"/>
        <w:numPr>
          <w:ilvl w:val="0"/>
          <w:numId w:val="13"/>
        </w:numPr>
        <w:rPr>
          <w:rFonts w:eastAsia="Times New Roman"/>
        </w:rPr>
      </w:pPr>
      <w:r w:rsidRPr="00FF23DC">
        <w:rPr>
          <w:rFonts w:eastAsia="Times New Roman"/>
        </w:rPr>
        <w:t xml:space="preserve">Australian Bureau of Statistics. </w:t>
      </w:r>
      <w:r w:rsidRPr="00C026B3">
        <w:rPr>
          <w:rStyle w:val="Emphasis"/>
          <w:rFonts w:eastAsia="Times New Roman"/>
          <w:b w:val="0"/>
        </w:rPr>
        <w:t>Population by age and sex, Australian States and Territories. 2016</w:t>
      </w:r>
      <w:r w:rsidRPr="00FF23DC">
        <w:rPr>
          <w:rFonts w:eastAsia="Times New Roman"/>
        </w:rPr>
        <w:t xml:space="preserve">. cat. no. 3101.0. Available from: https://www.abs.gov.au/AUSSTATS/abs@.nsf/Previousproducts/3101.0Feature%20Article1Jun%202016?opendocument&amp;tabname=Summary&amp;prodno=3101.0&amp;issue=Jun%202016&amp;num=&amp;view=. </w:t>
      </w:r>
    </w:p>
    <w:p w14:paraId="7E36A9B3" w14:textId="77777777" w:rsidR="00B575B7" w:rsidRPr="00FF23DC" w:rsidRDefault="00B575B7" w:rsidP="00FF23DC">
      <w:pPr>
        <w:pStyle w:val="ListParagraph"/>
        <w:numPr>
          <w:ilvl w:val="0"/>
          <w:numId w:val="13"/>
        </w:numPr>
        <w:rPr>
          <w:rFonts w:eastAsia="Times New Roman"/>
        </w:rPr>
      </w:pPr>
      <w:proofErr w:type="spellStart"/>
      <w:r w:rsidRPr="00FF23DC">
        <w:rPr>
          <w:rFonts w:eastAsia="Times New Roman"/>
        </w:rPr>
        <w:t>StataCorp</w:t>
      </w:r>
      <w:proofErr w:type="spellEnd"/>
      <w:r w:rsidRPr="00FF23DC">
        <w:rPr>
          <w:rFonts w:eastAsia="Times New Roman"/>
        </w:rPr>
        <w:t xml:space="preserve">. Stata Statistical Software: Release 12. College Station, TX: </w:t>
      </w:r>
      <w:proofErr w:type="spellStart"/>
      <w:r w:rsidRPr="00FF23DC">
        <w:rPr>
          <w:rFonts w:eastAsia="Times New Roman"/>
        </w:rPr>
        <w:t>StataCorp</w:t>
      </w:r>
      <w:proofErr w:type="spellEnd"/>
      <w:r w:rsidRPr="00FF23DC">
        <w:rPr>
          <w:rFonts w:eastAsia="Times New Roman"/>
        </w:rPr>
        <w:t xml:space="preserve"> LP. 2011. </w:t>
      </w:r>
    </w:p>
    <w:p w14:paraId="12192BDF" w14:textId="77777777" w:rsidR="00B575B7" w:rsidRPr="00FF23DC" w:rsidRDefault="00B575B7" w:rsidP="00FF23DC">
      <w:pPr>
        <w:pStyle w:val="ListParagraph"/>
        <w:numPr>
          <w:ilvl w:val="0"/>
          <w:numId w:val="13"/>
        </w:numPr>
        <w:rPr>
          <w:rFonts w:eastAsia="Times New Roman"/>
        </w:rPr>
      </w:pPr>
      <w:r w:rsidRPr="00FF23DC">
        <w:rPr>
          <w:rFonts w:eastAsia="Times New Roman"/>
        </w:rPr>
        <w:t xml:space="preserve">Australian Bureau of Statistics. </w:t>
      </w:r>
      <w:r w:rsidRPr="00C026B3">
        <w:rPr>
          <w:rStyle w:val="Emphasis"/>
          <w:rFonts w:eastAsia="Times New Roman"/>
          <w:b w:val="0"/>
        </w:rPr>
        <w:t>Census of Population and Housing – Counts of Aboriginal and Torres Strait Islander Australians, 2016</w:t>
      </w:r>
      <w:r w:rsidRPr="00FF23DC">
        <w:rPr>
          <w:rFonts w:eastAsia="Times New Roman"/>
        </w:rPr>
        <w:t xml:space="preserve">. cat. no. 2075.0. Available from: https://www.abs.gov.au/ausstats/abs@.nsf/Latestproducts/2075.0Main%20Features12016?opendocument&amp;tabname=Summary&amp;prodno=2075.0&amp;issue=2016&amp;num=&amp;view=. </w:t>
      </w:r>
    </w:p>
    <w:p w14:paraId="6AB4B697" w14:textId="77777777" w:rsidR="00B575B7" w:rsidRPr="00FF23DC" w:rsidRDefault="00B575B7" w:rsidP="00FF23DC">
      <w:pPr>
        <w:pStyle w:val="ListParagraph"/>
        <w:numPr>
          <w:ilvl w:val="0"/>
          <w:numId w:val="13"/>
        </w:numPr>
        <w:rPr>
          <w:rFonts w:eastAsia="Times New Roman"/>
        </w:rPr>
      </w:pPr>
      <w:r w:rsidRPr="00FF23DC">
        <w:rPr>
          <w:rFonts w:eastAsia="Times New Roman"/>
        </w:rPr>
        <w:t>Australian Technical Advisory Group on Immunisation (</w:t>
      </w:r>
      <w:r w:rsidRPr="00C026B3">
        <w:rPr>
          <w:rStyle w:val="Emphasis"/>
          <w:rFonts w:eastAsia="Times New Roman"/>
          <w:b w:val="0"/>
        </w:rPr>
        <w:t>ATAGI</w:t>
      </w:r>
      <w:r w:rsidRPr="00FF23DC">
        <w:rPr>
          <w:rFonts w:eastAsia="Times New Roman"/>
        </w:rPr>
        <w:t xml:space="preserve">). </w:t>
      </w:r>
      <w:r w:rsidRPr="00C026B3">
        <w:rPr>
          <w:rStyle w:val="Emphasis"/>
          <w:rFonts w:eastAsia="Times New Roman"/>
          <w:b w:val="0"/>
        </w:rPr>
        <w:t>Australian Immunisation Handbook</w:t>
      </w:r>
      <w:r w:rsidRPr="00FF23DC">
        <w:rPr>
          <w:rFonts w:eastAsia="Times New Roman"/>
        </w:rPr>
        <w:t xml:space="preserve">. Australian Government Department of Health, Canberra; 2018. Available from: immunisationhandbook.health.gov.au. </w:t>
      </w:r>
    </w:p>
    <w:p w14:paraId="31CDC1FB" w14:textId="77777777" w:rsidR="00B575B7" w:rsidRPr="00FF23DC" w:rsidRDefault="00B575B7" w:rsidP="00FF23DC">
      <w:pPr>
        <w:pStyle w:val="ListParagraph"/>
        <w:numPr>
          <w:ilvl w:val="0"/>
          <w:numId w:val="13"/>
        </w:numPr>
        <w:rPr>
          <w:rFonts w:eastAsia="Times New Roman"/>
        </w:rPr>
      </w:pPr>
      <w:r w:rsidRPr="00FF23DC">
        <w:rPr>
          <w:rFonts w:eastAsia="Times New Roman"/>
        </w:rPr>
        <w:t xml:space="preserve">Menzies RI, Leask J, Royle J, </w:t>
      </w:r>
      <w:proofErr w:type="spellStart"/>
      <w:r w:rsidRPr="00FF23DC">
        <w:rPr>
          <w:rFonts w:eastAsia="Times New Roman"/>
        </w:rPr>
        <w:t>MacIntyre</w:t>
      </w:r>
      <w:proofErr w:type="spellEnd"/>
      <w:r w:rsidRPr="00FF23DC">
        <w:rPr>
          <w:rFonts w:eastAsia="Times New Roman"/>
        </w:rPr>
        <w:t xml:space="preserve"> CR. Vaccine myopia: adult vaccination also needs attention. </w:t>
      </w:r>
      <w:r w:rsidRPr="00C026B3">
        <w:rPr>
          <w:rStyle w:val="Emphasis"/>
          <w:rFonts w:eastAsia="Times New Roman"/>
          <w:b w:val="0"/>
        </w:rPr>
        <w:t>Med J Aust</w:t>
      </w:r>
      <w:r w:rsidRPr="00FF23DC">
        <w:rPr>
          <w:rFonts w:eastAsia="Times New Roman"/>
        </w:rPr>
        <w:t xml:space="preserve">. 2017;206(6):238–9. </w:t>
      </w:r>
    </w:p>
    <w:p w14:paraId="3D978F14" w14:textId="77777777" w:rsidR="00B575B7" w:rsidRPr="00FF23DC" w:rsidRDefault="00B575B7" w:rsidP="00FF23DC">
      <w:pPr>
        <w:pStyle w:val="ListParagraph"/>
        <w:numPr>
          <w:ilvl w:val="0"/>
          <w:numId w:val="13"/>
        </w:numPr>
        <w:rPr>
          <w:rFonts w:eastAsia="Times New Roman"/>
        </w:rPr>
      </w:pPr>
      <w:proofErr w:type="spellStart"/>
      <w:r w:rsidRPr="00FF23DC">
        <w:rPr>
          <w:rFonts w:eastAsia="Times New Roman"/>
        </w:rPr>
        <w:t>Centers</w:t>
      </w:r>
      <w:proofErr w:type="spellEnd"/>
      <w:r w:rsidRPr="00FF23DC">
        <w:rPr>
          <w:rFonts w:eastAsia="Times New Roman"/>
        </w:rPr>
        <w:t xml:space="preserve"> for Disease Control and Prevention (CDC). Estimated influenza illnesses and hospitalizations averted by influenza vaccination—United States, 2012–13 influenza season. </w:t>
      </w:r>
      <w:r w:rsidRPr="00C026B3">
        <w:rPr>
          <w:rStyle w:val="Emphasis"/>
          <w:rFonts w:eastAsia="Times New Roman"/>
          <w:b w:val="0"/>
        </w:rPr>
        <w:t xml:space="preserve">MMWR </w:t>
      </w:r>
      <w:proofErr w:type="spellStart"/>
      <w:r w:rsidRPr="00C026B3">
        <w:rPr>
          <w:rStyle w:val="Emphasis"/>
          <w:rFonts w:eastAsia="Times New Roman"/>
          <w:b w:val="0"/>
        </w:rPr>
        <w:t>Morb</w:t>
      </w:r>
      <w:proofErr w:type="spellEnd"/>
      <w:r w:rsidRPr="00C026B3">
        <w:rPr>
          <w:rStyle w:val="Emphasis"/>
          <w:rFonts w:eastAsia="Times New Roman"/>
          <w:b w:val="0"/>
        </w:rPr>
        <w:t xml:space="preserve"> Mortal </w:t>
      </w:r>
      <w:proofErr w:type="spellStart"/>
      <w:r w:rsidRPr="00C026B3">
        <w:rPr>
          <w:rStyle w:val="Emphasis"/>
          <w:rFonts w:eastAsia="Times New Roman"/>
          <w:b w:val="0"/>
        </w:rPr>
        <w:t>Wkly</w:t>
      </w:r>
      <w:proofErr w:type="spellEnd"/>
      <w:r w:rsidRPr="00C026B3">
        <w:rPr>
          <w:rStyle w:val="Emphasis"/>
          <w:rFonts w:eastAsia="Times New Roman"/>
          <w:b w:val="0"/>
        </w:rPr>
        <w:t xml:space="preserve"> Rep</w:t>
      </w:r>
      <w:r w:rsidRPr="00FF23DC">
        <w:rPr>
          <w:rFonts w:eastAsia="Times New Roman"/>
        </w:rPr>
        <w:t xml:space="preserve">. 2013;62(49):997–1000. </w:t>
      </w:r>
    </w:p>
    <w:p w14:paraId="7A58C462" w14:textId="77777777" w:rsidR="00B575B7" w:rsidRPr="00FF23DC" w:rsidRDefault="00B575B7" w:rsidP="00FF23DC">
      <w:pPr>
        <w:pStyle w:val="ListParagraph"/>
        <w:numPr>
          <w:ilvl w:val="0"/>
          <w:numId w:val="13"/>
        </w:numPr>
        <w:rPr>
          <w:rFonts w:eastAsia="Times New Roman"/>
        </w:rPr>
      </w:pPr>
      <w:r w:rsidRPr="00FF23DC">
        <w:rPr>
          <w:rFonts w:eastAsia="Times New Roman"/>
        </w:rPr>
        <w:t xml:space="preserve">Tan LLJ. A review of the key factors to improve adult immunization coverage rates: What can the clinician do? </w:t>
      </w:r>
      <w:r w:rsidRPr="00C026B3">
        <w:rPr>
          <w:rStyle w:val="Emphasis"/>
          <w:rFonts w:eastAsia="Times New Roman"/>
          <w:b w:val="0"/>
        </w:rPr>
        <w:t>Vaccine</w:t>
      </w:r>
      <w:r w:rsidRPr="00FF23DC">
        <w:rPr>
          <w:rFonts w:eastAsia="Times New Roman"/>
        </w:rPr>
        <w:t xml:space="preserve">. 2018;36(36):5373–8. </w:t>
      </w:r>
    </w:p>
    <w:p w14:paraId="3A72E6CD" w14:textId="77777777" w:rsidR="00B575B7" w:rsidRPr="00FF23DC" w:rsidRDefault="00B575B7" w:rsidP="00FF23DC">
      <w:pPr>
        <w:pStyle w:val="ListParagraph"/>
        <w:numPr>
          <w:ilvl w:val="0"/>
          <w:numId w:val="13"/>
        </w:numPr>
        <w:rPr>
          <w:rFonts w:eastAsia="Times New Roman"/>
        </w:rPr>
      </w:pPr>
      <w:r w:rsidRPr="00FF23DC">
        <w:rPr>
          <w:rFonts w:eastAsia="Times New Roman"/>
        </w:rPr>
        <w:t xml:space="preserve">Lau D, Hu J, Majumdar SR, </w:t>
      </w:r>
      <w:proofErr w:type="spellStart"/>
      <w:r w:rsidRPr="00FF23DC">
        <w:rPr>
          <w:rFonts w:eastAsia="Times New Roman"/>
        </w:rPr>
        <w:t>Storie</w:t>
      </w:r>
      <w:proofErr w:type="spellEnd"/>
      <w:r w:rsidRPr="00FF23DC">
        <w:rPr>
          <w:rFonts w:eastAsia="Times New Roman"/>
        </w:rPr>
        <w:t xml:space="preserve"> DA, Rees SE, Johnson JA. Interventions to improve influenza and pneumococcal vaccination rates among community-dwelling adults: a systematic review and meta-analysis. </w:t>
      </w:r>
      <w:r w:rsidRPr="00C026B3">
        <w:rPr>
          <w:rStyle w:val="Emphasis"/>
          <w:rFonts w:eastAsia="Times New Roman"/>
          <w:b w:val="0"/>
        </w:rPr>
        <w:t>Ann Fam Med</w:t>
      </w:r>
      <w:r w:rsidRPr="00FF23DC">
        <w:rPr>
          <w:rFonts w:eastAsia="Times New Roman"/>
        </w:rPr>
        <w:t xml:space="preserve">. 2012;10(6):538–46. </w:t>
      </w:r>
    </w:p>
    <w:p w14:paraId="650D2268" w14:textId="77777777" w:rsidR="00B575B7" w:rsidRPr="00FF23DC" w:rsidRDefault="00B575B7" w:rsidP="00FF23DC">
      <w:pPr>
        <w:pStyle w:val="ListParagraph"/>
        <w:numPr>
          <w:ilvl w:val="0"/>
          <w:numId w:val="13"/>
        </w:numPr>
        <w:rPr>
          <w:rFonts w:eastAsia="Times New Roman"/>
        </w:rPr>
      </w:pPr>
      <w:r w:rsidRPr="00FF23DC">
        <w:rPr>
          <w:rFonts w:eastAsia="Times New Roman"/>
        </w:rPr>
        <w:lastRenderedPageBreak/>
        <w:t xml:space="preserve">Australian Institute of Health and Welfare. </w:t>
      </w:r>
      <w:r w:rsidRPr="00C026B3">
        <w:rPr>
          <w:rStyle w:val="Emphasis"/>
          <w:rFonts w:eastAsia="Times New Roman"/>
          <w:b w:val="0"/>
        </w:rPr>
        <w:t>Tracking progress against the Implementation Plan goals for the Aboriginal and Torres Strait Islander Health Plan 2013–2023</w:t>
      </w:r>
      <w:r w:rsidRPr="00FF23DC">
        <w:rPr>
          <w:rFonts w:eastAsia="Times New Roman"/>
        </w:rPr>
        <w:t xml:space="preserve">. Australian Government, Australian Institute of </w:t>
      </w:r>
      <w:proofErr w:type="gramStart"/>
      <w:r w:rsidRPr="00FF23DC">
        <w:rPr>
          <w:rFonts w:eastAsia="Times New Roman"/>
        </w:rPr>
        <w:t>Health</w:t>
      </w:r>
      <w:proofErr w:type="gramEnd"/>
      <w:r w:rsidRPr="00FF23DC">
        <w:rPr>
          <w:rFonts w:eastAsia="Times New Roman"/>
        </w:rPr>
        <w:t xml:space="preserve"> and Welfare; 2018. Available from: https://www.aihw.gov.au/reports/indigenous-health-welfare/tracking-progress-against-ipg-2013-2023/contents/healthy-adults-domain/goal-19 . </w:t>
      </w:r>
    </w:p>
    <w:p w14:paraId="43EDEB1D" w14:textId="77777777" w:rsidR="00B575B7" w:rsidRPr="00FF23DC" w:rsidRDefault="00B575B7" w:rsidP="00FF23DC">
      <w:pPr>
        <w:pStyle w:val="ListParagraph"/>
        <w:numPr>
          <w:ilvl w:val="0"/>
          <w:numId w:val="13"/>
        </w:numPr>
        <w:rPr>
          <w:rFonts w:eastAsia="Times New Roman"/>
        </w:rPr>
      </w:pPr>
      <w:r w:rsidRPr="00FF23DC">
        <w:rPr>
          <w:rFonts w:eastAsia="Times New Roman"/>
        </w:rPr>
        <w:t xml:space="preserve">Australian </w:t>
      </w:r>
      <w:proofErr w:type="spellStart"/>
      <w:r w:rsidRPr="00FF23DC">
        <w:rPr>
          <w:rFonts w:eastAsia="Times New Roman"/>
        </w:rPr>
        <w:t>Institue</w:t>
      </w:r>
      <w:proofErr w:type="spellEnd"/>
      <w:r w:rsidRPr="00FF23DC">
        <w:rPr>
          <w:rFonts w:eastAsia="Times New Roman"/>
        </w:rPr>
        <w:t xml:space="preserve"> of Health and Welfare. </w:t>
      </w:r>
      <w:r w:rsidRPr="00C026B3">
        <w:rPr>
          <w:rStyle w:val="Emphasis"/>
          <w:rFonts w:eastAsia="Times New Roman"/>
          <w:b w:val="0"/>
        </w:rPr>
        <w:t>2009 Adult Vaccination Survey</w:t>
      </w:r>
      <w:r w:rsidRPr="00FF23DC">
        <w:rPr>
          <w:rFonts w:eastAsia="Times New Roman"/>
        </w:rPr>
        <w:t xml:space="preserve">. Australian Government, Australian Institute of </w:t>
      </w:r>
      <w:proofErr w:type="gramStart"/>
      <w:r w:rsidRPr="00FF23DC">
        <w:rPr>
          <w:rFonts w:eastAsia="Times New Roman"/>
        </w:rPr>
        <w:t>Health</w:t>
      </w:r>
      <w:proofErr w:type="gramEnd"/>
      <w:r w:rsidRPr="00FF23DC">
        <w:rPr>
          <w:rFonts w:eastAsia="Times New Roman"/>
        </w:rPr>
        <w:t xml:space="preserve"> and Welfare; 2011. Available from: https://www.aihw.gov.au/reports/primary-health-care/2009-adult-vaccination-survey-summary-results/contents/table-of-contents. </w:t>
      </w:r>
    </w:p>
    <w:p w14:paraId="196190A1" w14:textId="77777777" w:rsidR="00B575B7" w:rsidRPr="00FF23DC" w:rsidRDefault="00B575B7" w:rsidP="00FF23DC">
      <w:pPr>
        <w:pStyle w:val="ListParagraph"/>
        <w:numPr>
          <w:ilvl w:val="0"/>
          <w:numId w:val="13"/>
        </w:numPr>
        <w:rPr>
          <w:rFonts w:eastAsia="Times New Roman"/>
        </w:rPr>
      </w:pPr>
      <w:r w:rsidRPr="00FF23DC">
        <w:rPr>
          <w:rFonts w:eastAsia="Times New Roman"/>
        </w:rPr>
        <w:t xml:space="preserve">National Centre for Immunisation Research and Surveillance. </w:t>
      </w:r>
      <w:r w:rsidRPr="00C026B3">
        <w:rPr>
          <w:rStyle w:val="Emphasis"/>
          <w:rFonts w:eastAsia="Times New Roman"/>
          <w:b w:val="0"/>
        </w:rPr>
        <w:t xml:space="preserve">Significant events in diphtheria, </w:t>
      </w:r>
      <w:proofErr w:type="gramStart"/>
      <w:r w:rsidRPr="00C026B3">
        <w:rPr>
          <w:rStyle w:val="Emphasis"/>
          <w:rFonts w:eastAsia="Times New Roman"/>
          <w:b w:val="0"/>
        </w:rPr>
        <w:t>tetanus</w:t>
      </w:r>
      <w:proofErr w:type="gramEnd"/>
      <w:r w:rsidRPr="00C026B3">
        <w:rPr>
          <w:rStyle w:val="Emphasis"/>
          <w:rFonts w:eastAsia="Times New Roman"/>
          <w:b w:val="0"/>
        </w:rPr>
        <w:t xml:space="preserve"> and pertussis vaccination practice in Australia</w:t>
      </w:r>
      <w:r w:rsidRPr="00FF23DC">
        <w:rPr>
          <w:rFonts w:eastAsia="Times New Roman"/>
        </w:rPr>
        <w:t xml:space="preserve">. National Centre for Immunisation Research and Surveillance, Sydney; 2017. Available from: http://www.ncirs.org.au/sites/default/files/2018-11/Diphtheria-tetanus-pertussis-history-July-2018.pdf. </w:t>
      </w:r>
    </w:p>
    <w:p w14:paraId="4EF622D7" w14:textId="77777777" w:rsidR="00B575B7" w:rsidRPr="00FF23DC" w:rsidRDefault="00B575B7" w:rsidP="00FF23DC">
      <w:pPr>
        <w:pStyle w:val="ListParagraph"/>
        <w:numPr>
          <w:ilvl w:val="0"/>
          <w:numId w:val="13"/>
        </w:numPr>
        <w:rPr>
          <w:rFonts w:eastAsia="Times New Roman"/>
        </w:rPr>
      </w:pPr>
      <w:proofErr w:type="spellStart"/>
      <w:r w:rsidRPr="00FF23DC">
        <w:rPr>
          <w:rFonts w:eastAsia="Times New Roman"/>
        </w:rPr>
        <w:t>Gubhaju</w:t>
      </w:r>
      <w:proofErr w:type="spellEnd"/>
      <w:r w:rsidRPr="00FF23DC">
        <w:rPr>
          <w:rFonts w:eastAsia="Times New Roman"/>
        </w:rPr>
        <w:t xml:space="preserve"> L, Banks E, </w:t>
      </w:r>
      <w:proofErr w:type="spellStart"/>
      <w:r w:rsidRPr="00FF23DC">
        <w:rPr>
          <w:rFonts w:eastAsia="Times New Roman"/>
        </w:rPr>
        <w:t>Macniven</w:t>
      </w:r>
      <w:proofErr w:type="spellEnd"/>
      <w:r w:rsidRPr="00FF23DC">
        <w:rPr>
          <w:rFonts w:eastAsia="Times New Roman"/>
        </w:rPr>
        <w:t xml:space="preserve"> R, </w:t>
      </w:r>
      <w:proofErr w:type="spellStart"/>
      <w:r w:rsidRPr="00FF23DC">
        <w:rPr>
          <w:rFonts w:eastAsia="Times New Roman"/>
        </w:rPr>
        <w:t>Joshy</w:t>
      </w:r>
      <w:proofErr w:type="spellEnd"/>
      <w:r w:rsidRPr="00FF23DC">
        <w:rPr>
          <w:rFonts w:eastAsia="Times New Roman"/>
        </w:rPr>
        <w:t xml:space="preserve"> G, McNamara BJ, Bauman A, et al. Factors relating to participation in follow-up to the 45 and Up study in Aboriginal and non-Aboriginal individuals. </w:t>
      </w:r>
      <w:r w:rsidRPr="00C026B3">
        <w:rPr>
          <w:rStyle w:val="Emphasis"/>
          <w:rFonts w:eastAsia="Times New Roman"/>
          <w:b w:val="0"/>
        </w:rPr>
        <w:t xml:space="preserve">BMC Med Res </w:t>
      </w:r>
      <w:proofErr w:type="spellStart"/>
      <w:r w:rsidRPr="00C026B3">
        <w:rPr>
          <w:rStyle w:val="Emphasis"/>
          <w:rFonts w:eastAsia="Times New Roman"/>
          <w:b w:val="0"/>
        </w:rPr>
        <w:t>Methodol</w:t>
      </w:r>
      <w:proofErr w:type="spellEnd"/>
      <w:r w:rsidRPr="00FF23DC">
        <w:rPr>
          <w:rFonts w:eastAsia="Times New Roman"/>
        </w:rPr>
        <w:t xml:space="preserve">. 2016;16:53. </w:t>
      </w:r>
    </w:p>
    <w:p w14:paraId="53A36E57" w14:textId="77777777" w:rsidR="00B575B7" w:rsidRPr="00FF23DC" w:rsidRDefault="00B575B7" w:rsidP="00FF23DC">
      <w:pPr>
        <w:pStyle w:val="ListParagraph"/>
        <w:numPr>
          <w:ilvl w:val="0"/>
          <w:numId w:val="13"/>
        </w:numPr>
        <w:rPr>
          <w:rFonts w:eastAsia="Times New Roman"/>
        </w:rPr>
      </w:pPr>
      <w:proofErr w:type="spellStart"/>
      <w:r w:rsidRPr="00FF23DC">
        <w:rPr>
          <w:rFonts w:eastAsia="Times New Roman"/>
        </w:rPr>
        <w:t>Dyda</w:t>
      </w:r>
      <w:proofErr w:type="spellEnd"/>
      <w:r w:rsidRPr="00FF23DC">
        <w:rPr>
          <w:rFonts w:eastAsia="Times New Roman"/>
        </w:rPr>
        <w:t xml:space="preserve"> A, </w:t>
      </w:r>
      <w:proofErr w:type="spellStart"/>
      <w:r w:rsidRPr="00FF23DC">
        <w:rPr>
          <w:rFonts w:eastAsia="Times New Roman"/>
        </w:rPr>
        <w:t>MacIntyre</w:t>
      </w:r>
      <w:proofErr w:type="spellEnd"/>
      <w:r w:rsidRPr="00FF23DC">
        <w:rPr>
          <w:rFonts w:eastAsia="Times New Roman"/>
        </w:rPr>
        <w:t xml:space="preserve"> CR, McIntyre P, Newall AT, Banks E, Kaldor J, et al. Factors associated with influenza vaccination in middle and older aged Australian adults according to eligibility for the national vaccination program. </w:t>
      </w:r>
      <w:r w:rsidRPr="00C026B3">
        <w:rPr>
          <w:rStyle w:val="Emphasis"/>
          <w:rFonts w:eastAsia="Times New Roman"/>
          <w:b w:val="0"/>
        </w:rPr>
        <w:t>Vaccine</w:t>
      </w:r>
      <w:r w:rsidRPr="00FF23DC">
        <w:rPr>
          <w:rFonts w:eastAsia="Times New Roman"/>
        </w:rPr>
        <w:t xml:space="preserve">. 2015;33(29):3299–305. </w:t>
      </w:r>
    </w:p>
    <w:p w14:paraId="3FCCF073" w14:textId="77777777" w:rsidR="00B575B7" w:rsidRPr="00FF23DC" w:rsidRDefault="00B575B7" w:rsidP="00FF23DC">
      <w:pPr>
        <w:pStyle w:val="ListParagraph"/>
        <w:numPr>
          <w:ilvl w:val="0"/>
          <w:numId w:val="13"/>
        </w:numPr>
        <w:rPr>
          <w:rFonts w:eastAsia="Times New Roman"/>
        </w:rPr>
      </w:pPr>
      <w:r w:rsidRPr="00FF23DC">
        <w:rPr>
          <w:rFonts w:eastAsia="Times New Roman"/>
        </w:rPr>
        <w:t xml:space="preserve">Karki S, </w:t>
      </w:r>
      <w:proofErr w:type="spellStart"/>
      <w:r w:rsidRPr="00FF23DC">
        <w:rPr>
          <w:rFonts w:eastAsia="Times New Roman"/>
        </w:rPr>
        <w:t>Dyda</w:t>
      </w:r>
      <w:proofErr w:type="spellEnd"/>
      <w:r w:rsidRPr="00FF23DC">
        <w:rPr>
          <w:rFonts w:eastAsia="Times New Roman"/>
        </w:rPr>
        <w:t xml:space="preserve"> A, Newall A, Heywood A, </w:t>
      </w:r>
      <w:proofErr w:type="spellStart"/>
      <w:r w:rsidRPr="00FF23DC">
        <w:rPr>
          <w:rFonts w:eastAsia="Times New Roman"/>
        </w:rPr>
        <w:t>MacIntyre</w:t>
      </w:r>
      <w:proofErr w:type="spellEnd"/>
      <w:r w:rsidRPr="00FF23DC">
        <w:rPr>
          <w:rFonts w:eastAsia="Times New Roman"/>
        </w:rPr>
        <w:t xml:space="preserve"> CR, McIntyre P, et al. Comparison of influenza vaccination coverage between immigrant and Australian-born adults. </w:t>
      </w:r>
      <w:r w:rsidRPr="00C026B3">
        <w:rPr>
          <w:rStyle w:val="Emphasis"/>
          <w:rFonts w:eastAsia="Times New Roman"/>
          <w:b w:val="0"/>
        </w:rPr>
        <w:t>Vaccine</w:t>
      </w:r>
      <w:r w:rsidRPr="00FF23DC">
        <w:rPr>
          <w:rFonts w:eastAsia="Times New Roman"/>
        </w:rPr>
        <w:t xml:space="preserve">. 2016;34(50):6388–95. </w:t>
      </w:r>
    </w:p>
    <w:p w14:paraId="34313462" w14:textId="77777777" w:rsidR="00B575B7" w:rsidRPr="00FF23DC" w:rsidRDefault="00B575B7" w:rsidP="00FF23DC">
      <w:pPr>
        <w:pStyle w:val="ListParagraph"/>
        <w:numPr>
          <w:ilvl w:val="0"/>
          <w:numId w:val="13"/>
        </w:numPr>
        <w:rPr>
          <w:rFonts w:eastAsia="Times New Roman"/>
        </w:rPr>
      </w:pPr>
      <w:r w:rsidRPr="00FF23DC">
        <w:rPr>
          <w:rFonts w:eastAsia="Times New Roman"/>
        </w:rPr>
        <w:t xml:space="preserve">Australian Bureau of Statistics. </w:t>
      </w:r>
      <w:r w:rsidRPr="00C026B3">
        <w:rPr>
          <w:rStyle w:val="Emphasis"/>
          <w:rFonts w:eastAsia="Times New Roman"/>
          <w:b w:val="0"/>
        </w:rPr>
        <w:t>Australian Aboriginal and Torres Strait Islander Health Survey: First Results, Australia, 2012–13</w:t>
      </w:r>
      <w:r w:rsidRPr="00FF23DC">
        <w:rPr>
          <w:rFonts w:eastAsia="Times New Roman"/>
        </w:rPr>
        <w:t xml:space="preserve">. Cat. no. 4727.0.55.001. Available from: https://www.abs.gov.au/ausstats/abs@.nsf/mf/4727.0.55.001 </w:t>
      </w:r>
    </w:p>
    <w:p w14:paraId="5EB36DD0" w14:textId="77777777" w:rsidR="00B575B7" w:rsidRPr="00FF23DC" w:rsidRDefault="00B575B7" w:rsidP="00FF23DC">
      <w:pPr>
        <w:pStyle w:val="ListParagraph"/>
        <w:numPr>
          <w:ilvl w:val="0"/>
          <w:numId w:val="13"/>
        </w:numPr>
        <w:rPr>
          <w:rFonts w:eastAsia="Times New Roman"/>
        </w:rPr>
      </w:pPr>
      <w:r w:rsidRPr="00FF23DC">
        <w:rPr>
          <w:rFonts w:eastAsia="Times New Roman"/>
        </w:rPr>
        <w:t xml:space="preserve">Australian Bureau of Statistics. </w:t>
      </w:r>
      <w:r w:rsidRPr="00C026B3">
        <w:rPr>
          <w:rStyle w:val="Emphasis"/>
          <w:rFonts w:eastAsia="Times New Roman"/>
          <w:b w:val="0"/>
        </w:rPr>
        <w:t>Estimates of Aboriginal and Torres Strait Islander Australians, June 2011</w:t>
      </w:r>
      <w:r w:rsidRPr="00FF23DC">
        <w:rPr>
          <w:rFonts w:eastAsia="Times New Roman"/>
        </w:rPr>
        <w:t xml:space="preserve">. Cat. no. 3238.0.55.001. Available from: https://www.abs.gov.au/AUSSTATS/abs@.nsf/Lookup/3238.0.55.001Main+Features1June%202011 </w:t>
      </w:r>
    </w:p>
    <w:p w14:paraId="2488B914" w14:textId="77777777" w:rsidR="00B575B7" w:rsidRPr="00FF23DC" w:rsidRDefault="00B575B7" w:rsidP="00FF23DC">
      <w:pPr>
        <w:pStyle w:val="ListParagraph"/>
        <w:numPr>
          <w:ilvl w:val="0"/>
          <w:numId w:val="13"/>
        </w:numPr>
        <w:rPr>
          <w:rFonts w:eastAsia="Times New Roman"/>
        </w:rPr>
      </w:pPr>
      <w:r w:rsidRPr="00FF23DC">
        <w:rPr>
          <w:rFonts w:eastAsia="Times New Roman"/>
        </w:rPr>
        <w:t xml:space="preserve">Mac Donald R, </w:t>
      </w:r>
      <w:proofErr w:type="spellStart"/>
      <w:r w:rsidRPr="00FF23DC">
        <w:rPr>
          <w:rFonts w:eastAsia="Times New Roman"/>
        </w:rPr>
        <w:t>Baken</w:t>
      </w:r>
      <w:proofErr w:type="spellEnd"/>
      <w:r w:rsidRPr="00FF23DC">
        <w:rPr>
          <w:rFonts w:eastAsia="Times New Roman"/>
        </w:rPr>
        <w:t xml:space="preserve"> L, Nelson A, Nichol KL. Validation of self-report of influenza and pneumococcal vaccination status in elderly outpatients. </w:t>
      </w:r>
      <w:r w:rsidRPr="00C026B3">
        <w:rPr>
          <w:rStyle w:val="Emphasis"/>
          <w:rFonts w:eastAsia="Times New Roman"/>
          <w:b w:val="0"/>
        </w:rPr>
        <w:t>Am J Prev Med</w:t>
      </w:r>
      <w:r w:rsidRPr="00FF23DC">
        <w:rPr>
          <w:rFonts w:eastAsia="Times New Roman"/>
        </w:rPr>
        <w:t xml:space="preserve">. 1999;16(3):173–7. </w:t>
      </w:r>
    </w:p>
    <w:p w14:paraId="2C30F90D" w14:textId="77777777" w:rsidR="00B575B7" w:rsidRPr="00FF23DC" w:rsidRDefault="00B575B7" w:rsidP="00FF23DC">
      <w:pPr>
        <w:pStyle w:val="ListParagraph"/>
        <w:numPr>
          <w:ilvl w:val="0"/>
          <w:numId w:val="13"/>
        </w:numPr>
        <w:rPr>
          <w:rFonts w:eastAsia="Times New Roman"/>
        </w:rPr>
      </w:pPr>
      <w:proofErr w:type="spellStart"/>
      <w:r w:rsidRPr="00FF23DC">
        <w:rPr>
          <w:rFonts w:eastAsia="Times New Roman"/>
        </w:rPr>
        <w:t>Rolnick</w:t>
      </w:r>
      <w:proofErr w:type="spellEnd"/>
      <w:r w:rsidRPr="00FF23DC">
        <w:rPr>
          <w:rFonts w:eastAsia="Times New Roman"/>
        </w:rPr>
        <w:t xml:space="preserve"> SJ, Parker ED, </w:t>
      </w:r>
      <w:proofErr w:type="spellStart"/>
      <w:r w:rsidRPr="00FF23DC">
        <w:rPr>
          <w:rFonts w:eastAsia="Times New Roman"/>
        </w:rPr>
        <w:t>Nordin</w:t>
      </w:r>
      <w:proofErr w:type="spellEnd"/>
      <w:r w:rsidRPr="00FF23DC">
        <w:rPr>
          <w:rFonts w:eastAsia="Times New Roman"/>
        </w:rPr>
        <w:t xml:space="preserve"> JD, </w:t>
      </w:r>
      <w:proofErr w:type="spellStart"/>
      <w:r w:rsidRPr="00FF23DC">
        <w:rPr>
          <w:rFonts w:eastAsia="Times New Roman"/>
        </w:rPr>
        <w:t>Hedblom</w:t>
      </w:r>
      <w:proofErr w:type="spellEnd"/>
      <w:r w:rsidRPr="00FF23DC">
        <w:rPr>
          <w:rFonts w:eastAsia="Times New Roman"/>
        </w:rPr>
        <w:t xml:space="preserve"> BD, Wei F, Kerby T, et al. Self-report compared to electronic medical record across eight adult vaccines: do results vary by demographic factors? </w:t>
      </w:r>
      <w:r w:rsidRPr="00C026B3">
        <w:rPr>
          <w:rStyle w:val="Emphasis"/>
          <w:rFonts w:eastAsia="Times New Roman"/>
          <w:b w:val="0"/>
        </w:rPr>
        <w:t>Vaccine</w:t>
      </w:r>
      <w:r w:rsidRPr="00FF23DC">
        <w:rPr>
          <w:rFonts w:eastAsia="Times New Roman"/>
        </w:rPr>
        <w:t xml:space="preserve">. 2013;31(37):3928–35. </w:t>
      </w:r>
    </w:p>
    <w:p w14:paraId="6DCF37D2" w14:textId="77777777" w:rsidR="00B575B7" w:rsidRPr="00FF23DC" w:rsidRDefault="00B575B7" w:rsidP="00FF23DC">
      <w:pPr>
        <w:pStyle w:val="ListParagraph"/>
        <w:numPr>
          <w:ilvl w:val="0"/>
          <w:numId w:val="13"/>
        </w:numPr>
        <w:rPr>
          <w:rFonts w:eastAsia="Times New Roman"/>
        </w:rPr>
      </w:pPr>
      <w:r w:rsidRPr="00FF23DC">
        <w:rPr>
          <w:rFonts w:eastAsia="Times New Roman"/>
        </w:rPr>
        <w:t xml:space="preserve">Jacobson Vann JC, Jacobson RM, Coyne-Beasley T, </w:t>
      </w:r>
      <w:proofErr w:type="spellStart"/>
      <w:r w:rsidRPr="00FF23DC">
        <w:rPr>
          <w:rFonts w:eastAsia="Times New Roman"/>
        </w:rPr>
        <w:t>Asafu</w:t>
      </w:r>
      <w:proofErr w:type="spellEnd"/>
      <w:r w:rsidRPr="00FF23DC">
        <w:rPr>
          <w:rFonts w:eastAsia="Times New Roman"/>
        </w:rPr>
        <w:t xml:space="preserve">-Adjei JK, </w:t>
      </w:r>
      <w:proofErr w:type="spellStart"/>
      <w:r w:rsidRPr="00FF23DC">
        <w:rPr>
          <w:rFonts w:eastAsia="Times New Roman"/>
        </w:rPr>
        <w:t>Szilagyi</w:t>
      </w:r>
      <w:proofErr w:type="spellEnd"/>
      <w:r w:rsidRPr="00FF23DC">
        <w:rPr>
          <w:rFonts w:eastAsia="Times New Roman"/>
        </w:rPr>
        <w:t xml:space="preserve"> PG. Patient reminder and recall interventions to improve immunization rates. </w:t>
      </w:r>
      <w:r w:rsidRPr="00C026B3">
        <w:rPr>
          <w:rStyle w:val="Emphasis"/>
          <w:rFonts w:eastAsia="Times New Roman"/>
          <w:b w:val="0"/>
        </w:rPr>
        <w:t>Cochrane Database Syst Rev</w:t>
      </w:r>
      <w:r w:rsidRPr="00FF23DC">
        <w:rPr>
          <w:rFonts w:eastAsia="Times New Roman"/>
        </w:rPr>
        <w:t xml:space="preserve">. 2018;1:CD003941. </w:t>
      </w:r>
    </w:p>
    <w:p w14:paraId="419D53CC" w14:textId="77777777" w:rsidR="00B575B7" w:rsidRPr="00FF23DC" w:rsidRDefault="00B575B7" w:rsidP="00FF23DC">
      <w:pPr>
        <w:pStyle w:val="ListParagraph"/>
        <w:numPr>
          <w:ilvl w:val="0"/>
          <w:numId w:val="13"/>
        </w:numPr>
        <w:rPr>
          <w:rFonts w:eastAsia="Times New Roman"/>
        </w:rPr>
      </w:pPr>
      <w:r w:rsidRPr="00FF23DC">
        <w:rPr>
          <w:rFonts w:eastAsia="Times New Roman"/>
        </w:rPr>
        <w:t xml:space="preserve">Dexter LJ, </w:t>
      </w:r>
      <w:proofErr w:type="spellStart"/>
      <w:r w:rsidRPr="00FF23DC">
        <w:rPr>
          <w:rFonts w:eastAsia="Times New Roman"/>
        </w:rPr>
        <w:t>Teare</w:t>
      </w:r>
      <w:proofErr w:type="spellEnd"/>
      <w:r w:rsidRPr="00FF23DC">
        <w:rPr>
          <w:rFonts w:eastAsia="Times New Roman"/>
        </w:rPr>
        <w:t xml:space="preserve"> MD, Dexter M, Siriwardena AN, Read RC. Strategies to increase influenza vaccination rates: outcomes of a nationwide cross-sectional survey of UK general practice. </w:t>
      </w:r>
      <w:r w:rsidRPr="00C026B3">
        <w:rPr>
          <w:rStyle w:val="Emphasis"/>
          <w:rFonts w:eastAsia="Times New Roman"/>
          <w:b w:val="0"/>
        </w:rPr>
        <w:t>BMJ Open</w:t>
      </w:r>
      <w:r w:rsidRPr="00FF23DC">
        <w:rPr>
          <w:rFonts w:eastAsia="Times New Roman"/>
        </w:rPr>
        <w:t xml:space="preserve">. 2012;2(3). </w:t>
      </w:r>
      <w:proofErr w:type="spellStart"/>
      <w:r w:rsidRPr="00FF23DC">
        <w:rPr>
          <w:rFonts w:eastAsia="Times New Roman"/>
        </w:rPr>
        <w:t>pii</w:t>
      </w:r>
      <w:proofErr w:type="spellEnd"/>
      <w:r w:rsidRPr="00FF23DC">
        <w:rPr>
          <w:rFonts w:eastAsia="Times New Roman"/>
        </w:rPr>
        <w:t xml:space="preserve">: e000851. </w:t>
      </w:r>
    </w:p>
    <w:p w14:paraId="4BA49126" w14:textId="77777777" w:rsidR="00B575B7" w:rsidRPr="00FF23DC" w:rsidRDefault="00B575B7" w:rsidP="00FF23DC">
      <w:pPr>
        <w:pStyle w:val="ListParagraph"/>
        <w:numPr>
          <w:ilvl w:val="0"/>
          <w:numId w:val="13"/>
        </w:numPr>
        <w:rPr>
          <w:rFonts w:eastAsia="Times New Roman"/>
        </w:rPr>
      </w:pPr>
      <w:r w:rsidRPr="00FF23DC">
        <w:rPr>
          <w:rFonts w:eastAsia="Times New Roman"/>
        </w:rPr>
        <w:t xml:space="preserve">Squires SG1, Pelletier L. Publicly-funded influenza and pneumococcal immunization programs in Canada: a progress report. </w:t>
      </w:r>
      <w:r w:rsidRPr="00C026B3">
        <w:rPr>
          <w:rStyle w:val="Emphasis"/>
          <w:rFonts w:eastAsia="Times New Roman"/>
          <w:b w:val="0"/>
        </w:rPr>
        <w:t>Can Commun Dis Rep</w:t>
      </w:r>
      <w:r w:rsidRPr="00FF23DC">
        <w:rPr>
          <w:rFonts w:eastAsia="Times New Roman"/>
        </w:rPr>
        <w:t xml:space="preserve">. 2000;26(17):141–8. </w:t>
      </w:r>
    </w:p>
    <w:p w14:paraId="0361490F" w14:textId="77777777" w:rsidR="00B575B7" w:rsidRPr="00FF23DC" w:rsidRDefault="00B575B7" w:rsidP="00FF23DC">
      <w:pPr>
        <w:pStyle w:val="ListParagraph"/>
        <w:numPr>
          <w:ilvl w:val="0"/>
          <w:numId w:val="13"/>
        </w:numPr>
        <w:rPr>
          <w:rFonts w:eastAsia="Times New Roman"/>
        </w:rPr>
      </w:pPr>
      <w:r w:rsidRPr="00FF23DC">
        <w:rPr>
          <w:rFonts w:eastAsia="Times New Roman"/>
        </w:rPr>
        <w:t xml:space="preserve">Hendry AJ, Beard FH, Dey A, Meijer D, Campbell-Lloyd S, Clark KK, et al. Closing the vaccination coverage gap in New South Wales: </w:t>
      </w:r>
      <w:proofErr w:type="gramStart"/>
      <w:r w:rsidRPr="00FF23DC">
        <w:rPr>
          <w:rFonts w:eastAsia="Times New Roman"/>
        </w:rPr>
        <w:t>the</w:t>
      </w:r>
      <w:proofErr w:type="gramEnd"/>
      <w:r w:rsidRPr="00FF23DC">
        <w:rPr>
          <w:rFonts w:eastAsia="Times New Roman"/>
        </w:rPr>
        <w:t xml:space="preserve"> Aboriginal Immunisation Healthcare Worker Program. </w:t>
      </w:r>
      <w:r w:rsidRPr="00C026B3">
        <w:rPr>
          <w:rStyle w:val="Emphasis"/>
          <w:rFonts w:eastAsia="Times New Roman"/>
          <w:b w:val="0"/>
        </w:rPr>
        <w:t>Med J Aust</w:t>
      </w:r>
      <w:r w:rsidRPr="00FF23DC">
        <w:rPr>
          <w:rFonts w:eastAsia="Times New Roman"/>
        </w:rPr>
        <w:t xml:space="preserve">. 2018;209 (1):24–8. </w:t>
      </w:r>
    </w:p>
    <w:p w14:paraId="463C674A" w14:textId="77777777" w:rsidR="00B575B7" w:rsidRPr="00FF23DC" w:rsidRDefault="00B575B7" w:rsidP="00FF23DC">
      <w:pPr>
        <w:pStyle w:val="ListParagraph"/>
        <w:numPr>
          <w:ilvl w:val="0"/>
          <w:numId w:val="13"/>
        </w:numPr>
        <w:rPr>
          <w:rFonts w:eastAsia="Times New Roman"/>
        </w:rPr>
      </w:pPr>
      <w:r w:rsidRPr="00FF23DC">
        <w:rPr>
          <w:rFonts w:eastAsia="Times New Roman"/>
        </w:rPr>
        <w:t xml:space="preserve">Department of Human Services. Australian Immunisation Register. Australian Government, Department of Human Services, Canberra; 2018. Available from: https://www.humanservices.gov.au/individuals/services/medicare/australian-immunisation-register. </w:t>
      </w:r>
    </w:p>
    <w:p w14:paraId="16536D7C" w14:textId="77777777" w:rsidR="00760781" w:rsidRDefault="00760781" w:rsidP="00FF23DC">
      <w:pPr>
        <w:pStyle w:val="Heading1"/>
        <w:sectPr w:rsidR="00760781" w:rsidSect="00A30C37">
          <w:pgSz w:w="11906" w:h="16838"/>
          <w:pgMar w:top="720" w:right="720" w:bottom="1134" w:left="720" w:header="709" w:footer="284" w:gutter="0"/>
          <w:cols w:space="708"/>
          <w:titlePg/>
          <w:docGrid w:linePitch="360"/>
        </w:sectPr>
      </w:pPr>
    </w:p>
    <w:p w14:paraId="199BDB3B" w14:textId="77777777" w:rsidR="00B575B7" w:rsidRPr="00FF23DC" w:rsidRDefault="00B575B7" w:rsidP="00FF23DC">
      <w:pPr>
        <w:pStyle w:val="Heading1"/>
      </w:pPr>
      <w:r w:rsidRPr="00FF23DC">
        <w:lastRenderedPageBreak/>
        <w:t>Appendix A</w:t>
      </w:r>
    </w:p>
    <w:tbl>
      <w:tblPr>
        <w:tblStyle w:val="CDI-StandardTable"/>
        <w:tblW w:w="0" w:type="auto"/>
        <w:tblCellMar>
          <w:top w:w="57" w:type="dxa"/>
          <w:left w:w="57" w:type="dxa"/>
          <w:bottom w:w="57" w:type="dxa"/>
          <w:right w:w="57" w:type="dxa"/>
        </w:tblCellMar>
        <w:tblLook w:val="04A0" w:firstRow="1" w:lastRow="0" w:firstColumn="1" w:lastColumn="0" w:noHBand="0" w:noVBand="1"/>
        <w:tblDescription w:val="The response rate was lower in Aboriginal participants (42.7%) non-Indigenous participants (61.3%). &#10;Aboriginal responders and non-responders were of a similar age (49–64 years 42.9%, ≥65&#10;years 42.1%). Aboriginal responders university education 54.1%. Aboriginal responders living in a city 45.3%, living in inner regional 41.9%, living in outer regional/remote 39.5%. Aboriginal responders reporting excellent health 49.6%, very good health 45.4%, fair/poor health 36.1%, missing 34.8%.&#10;Australian born non-Indigenous responders university education 73.2%.  Australian born non-Indigenous responders living in a city 61.1%, living in inner regional 61.7%, living in outer regional/remote 60.1%. Australian born non-Indigenous responders reporting excellent health 69.6%, very good health 61.9%, fair/poor health 49.5%, missing 49.8%."/>
      </w:tblPr>
      <w:tblGrid>
        <w:gridCol w:w="2723"/>
        <w:gridCol w:w="2036"/>
        <w:gridCol w:w="2036"/>
        <w:gridCol w:w="2036"/>
        <w:gridCol w:w="2036"/>
        <w:gridCol w:w="2036"/>
        <w:gridCol w:w="2037"/>
      </w:tblGrid>
      <w:tr w:rsidR="00B575B7" w:rsidRPr="009B57B3" w14:paraId="174DAC1A" w14:textId="77777777" w:rsidTr="00ED0F75">
        <w:trPr>
          <w:cnfStyle w:val="100000000000" w:firstRow="1" w:lastRow="0" w:firstColumn="0" w:lastColumn="0" w:oddVBand="0" w:evenVBand="0" w:oddHBand="0" w:evenHBand="0" w:firstRowFirstColumn="0" w:firstRowLastColumn="0" w:lastRowFirstColumn="0" w:lastRowLastColumn="0"/>
          <w:tblHeader/>
        </w:trPr>
        <w:tc>
          <w:tcPr>
            <w:tcW w:w="0" w:type="auto"/>
            <w:hideMark/>
          </w:tcPr>
          <w:p w14:paraId="0B362E38" w14:textId="77777777" w:rsidR="00B575B7" w:rsidRPr="009B57B3" w:rsidRDefault="00B575B7">
            <w:pPr>
              <w:pStyle w:val="Heading1"/>
              <w:rPr>
                <w:rFonts w:eastAsia="Times New Roman"/>
                <w:b/>
                <w:color w:val="FFFFFF" w:themeColor="background1"/>
                <w:sz w:val="18"/>
                <w:szCs w:val="18"/>
              </w:rPr>
            </w:pPr>
          </w:p>
        </w:tc>
        <w:tc>
          <w:tcPr>
            <w:tcW w:w="6108" w:type="dxa"/>
            <w:gridSpan w:val="3"/>
            <w:hideMark/>
          </w:tcPr>
          <w:p w14:paraId="3897CE45" w14:textId="77777777" w:rsidR="00B575B7" w:rsidRPr="009B57B3" w:rsidRDefault="00B575B7" w:rsidP="00760781">
            <w:pPr>
              <w:pStyle w:val="NormalWeb"/>
              <w:jc w:val="center"/>
              <w:rPr>
                <w:bCs/>
                <w:color w:val="FFFFFF" w:themeColor="background1"/>
                <w:sz w:val="18"/>
                <w:szCs w:val="18"/>
              </w:rPr>
            </w:pPr>
            <w:r w:rsidRPr="009B57B3">
              <w:rPr>
                <w:bCs/>
                <w:color w:val="FFFFFF" w:themeColor="background1"/>
                <w:sz w:val="18"/>
                <w:szCs w:val="18"/>
              </w:rPr>
              <w:t>Aboriginal</w:t>
            </w:r>
          </w:p>
        </w:tc>
        <w:tc>
          <w:tcPr>
            <w:tcW w:w="6109" w:type="dxa"/>
            <w:gridSpan w:val="3"/>
            <w:hideMark/>
          </w:tcPr>
          <w:p w14:paraId="32D10230" w14:textId="77777777" w:rsidR="00B575B7" w:rsidRPr="009B57B3" w:rsidRDefault="00B575B7" w:rsidP="00760781">
            <w:pPr>
              <w:pStyle w:val="NormalWeb"/>
              <w:jc w:val="center"/>
              <w:rPr>
                <w:bCs/>
                <w:color w:val="FFFFFF" w:themeColor="background1"/>
                <w:sz w:val="18"/>
                <w:szCs w:val="18"/>
              </w:rPr>
            </w:pPr>
            <w:r w:rsidRPr="009B57B3">
              <w:rPr>
                <w:bCs/>
                <w:color w:val="FFFFFF" w:themeColor="background1"/>
                <w:sz w:val="18"/>
                <w:szCs w:val="18"/>
              </w:rPr>
              <w:t>Australian-born non-Indigenous</w:t>
            </w:r>
          </w:p>
        </w:tc>
      </w:tr>
      <w:tr w:rsidR="00B575B7" w:rsidRPr="009B57B3" w14:paraId="69292201" w14:textId="77777777" w:rsidTr="00ED0F75">
        <w:trPr>
          <w:cnfStyle w:val="100000000000" w:firstRow="1" w:lastRow="0" w:firstColumn="0" w:lastColumn="0" w:oddVBand="0" w:evenVBand="0" w:oddHBand="0" w:evenHBand="0" w:firstRowFirstColumn="0" w:firstRowLastColumn="0" w:lastRowFirstColumn="0" w:lastRowLastColumn="0"/>
          <w:tblHeader/>
        </w:trPr>
        <w:tc>
          <w:tcPr>
            <w:tcW w:w="0" w:type="auto"/>
            <w:hideMark/>
          </w:tcPr>
          <w:p w14:paraId="19D031EC" w14:textId="77777777" w:rsidR="00B575B7" w:rsidRPr="009B57B3" w:rsidRDefault="00B575B7">
            <w:pPr>
              <w:rPr>
                <w:bCs/>
                <w:color w:val="FFFFFF" w:themeColor="background1"/>
                <w:sz w:val="18"/>
                <w:szCs w:val="18"/>
              </w:rPr>
            </w:pPr>
          </w:p>
        </w:tc>
        <w:tc>
          <w:tcPr>
            <w:tcW w:w="2036" w:type="dxa"/>
            <w:hideMark/>
          </w:tcPr>
          <w:p w14:paraId="6317E15B" w14:textId="77777777" w:rsidR="00B575B7" w:rsidRPr="009B57B3" w:rsidRDefault="00B575B7" w:rsidP="00760781">
            <w:pPr>
              <w:pStyle w:val="NormalWeb"/>
              <w:jc w:val="center"/>
              <w:rPr>
                <w:bCs/>
                <w:color w:val="FFFFFF" w:themeColor="background1"/>
                <w:sz w:val="18"/>
                <w:szCs w:val="18"/>
              </w:rPr>
            </w:pPr>
            <w:r w:rsidRPr="009B57B3">
              <w:rPr>
                <w:bCs/>
                <w:color w:val="FFFFFF" w:themeColor="background1"/>
                <w:sz w:val="18"/>
                <w:szCs w:val="18"/>
              </w:rPr>
              <w:t>Responded</w:t>
            </w:r>
          </w:p>
        </w:tc>
        <w:tc>
          <w:tcPr>
            <w:tcW w:w="2036" w:type="dxa"/>
            <w:hideMark/>
          </w:tcPr>
          <w:p w14:paraId="262D49DC" w14:textId="77777777" w:rsidR="00B575B7" w:rsidRPr="009B57B3" w:rsidRDefault="00B575B7" w:rsidP="00760781">
            <w:pPr>
              <w:pStyle w:val="NormalWeb"/>
              <w:jc w:val="center"/>
              <w:rPr>
                <w:bCs/>
                <w:color w:val="FFFFFF" w:themeColor="background1"/>
                <w:sz w:val="18"/>
                <w:szCs w:val="18"/>
              </w:rPr>
            </w:pPr>
            <w:r w:rsidRPr="009B57B3">
              <w:rPr>
                <w:bCs/>
                <w:color w:val="FFFFFF" w:themeColor="background1"/>
                <w:sz w:val="18"/>
                <w:szCs w:val="18"/>
              </w:rPr>
              <w:t>Invited</w:t>
            </w:r>
          </w:p>
        </w:tc>
        <w:tc>
          <w:tcPr>
            <w:tcW w:w="2036" w:type="dxa"/>
            <w:hideMark/>
          </w:tcPr>
          <w:p w14:paraId="327742AE" w14:textId="77777777" w:rsidR="00B575B7" w:rsidRPr="009B57B3" w:rsidRDefault="00B575B7" w:rsidP="00760781">
            <w:pPr>
              <w:pStyle w:val="NormalWeb"/>
              <w:jc w:val="center"/>
              <w:rPr>
                <w:bCs/>
                <w:color w:val="FFFFFF" w:themeColor="background1"/>
                <w:sz w:val="18"/>
                <w:szCs w:val="18"/>
              </w:rPr>
            </w:pPr>
            <w:r w:rsidRPr="009B57B3">
              <w:rPr>
                <w:bCs/>
                <w:color w:val="FFFFFF" w:themeColor="background1"/>
                <w:sz w:val="18"/>
                <w:szCs w:val="18"/>
              </w:rPr>
              <w:t>Response rate (%)</w:t>
            </w:r>
          </w:p>
        </w:tc>
        <w:tc>
          <w:tcPr>
            <w:tcW w:w="2036" w:type="dxa"/>
            <w:hideMark/>
          </w:tcPr>
          <w:p w14:paraId="2445EB2C" w14:textId="77777777" w:rsidR="00B575B7" w:rsidRPr="009B57B3" w:rsidRDefault="00B575B7" w:rsidP="00760781">
            <w:pPr>
              <w:pStyle w:val="NormalWeb"/>
              <w:jc w:val="center"/>
              <w:rPr>
                <w:bCs/>
                <w:color w:val="FFFFFF" w:themeColor="background1"/>
                <w:sz w:val="18"/>
                <w:szCs w:val="18"/>
              </w:rPr>
            </w:pPr>
            <w:r w:rsidRPr="009B57B3">
              <w:rPr>
                <w:bCs/>
                <w:color w:val="FFFFFF" w:themeColor="background1"/>
                <w:sz w:val="18"/>
                <w:szCs w:val="18"/>
              </w:rPr>
              <w:t>Responded</w:t>
            </w:r>
          </w:p>
        </w:tc>
        <w:tc>
          <w:tcPr>
            <w:tcW w:w="2036" w:type="dxa"/>
            <w:hideMark/>
          </w:tcPr>
          <w:p w14:paraId="295BC849" w14:textId="77777777" w:rsidR="00B575B7" w:rsidRPr="009B57B3" w:rsidRDefault="00B575B7" w:rsidP="00760781">
            <w:pPr>
              <w:pStyle w:val="NormalWeb"/>
              <w:jc w:val="center"/>
              <w:rPr>
                <w:bCs/>
                <w:color w:val="FFFFFF" w:themeColor="background1"/>
                <w:sz w:val="18"/>
                <w:szCs w:val="18"/>
              </w:rPr>
            </w:pPr>
            <w:r w:rsidRPr="009B57B3">
              <w:rPr>
                <w:bCs/>
                <w:color w:val="FFFFFF" w:themeColor="background1"/>
                <w:sz w:val="18"/>
                <w:szCs w:val="18"/>
              </w:rPr>
              <w:t>Invited</w:t>
            </w:r>
          </w:p>
        </w:tc>
        <w:tc>
          <w:tcPr>
            <w:tcW w:w="2037" w:type="dxa"/>
            <w:hideMark/>
          </w:tcPr>
          <w:p w14:paraId="411F4F11" w14:textId="77777777" w:rsidR="00B575B7" w:rsidRPr="009B57B3" w:rsidRDefault="00B575B7" w:rsidP="00760781">
            <w:pPr>
              <w:pStyle w:val="NormalWeb"/>
              <w:jc w:val="center"/>
              <w:rPr>
                <w:bCs/>
                <w:color w:val="FFFFFF" w:themeColor="background1"/>
                <w:sz w:val="18"/>
                <w:szCs w:val="18"/>
              </w:rPr>
            </w:pPr>
            <w:r w:rsidRPr="009B57B3">
              <w:rPr>
                <w:bCs/>
                <w:color w:val="FFFFFF" w:themeColor="background1"/>
                <w:sz w:val="18"/>
                <w:szCs w:val="18"/>
              </w:rPr>
              <w:t>Response rate (%)</w:t>
            </w:r>
          </w:p>
        </w:tc>
      </w:tr>
      <w:tr w:rsidR="001B4057" w:rsidRPr="009B57B3" w14:paraId="57EE97AE" w14:textId="77777777" w:rsidTr="00ED0F75">
        <w:tc>
          <w:tcPr>
            <w:tcW w:w="0" w:type="auto"/>
            <w:shd w:val="clear" w:color="auto" w:fill="FDE9D9" w:themeFill="accent6" w:themeFillTint="33"/>
            <w:hideMark/>
          </w:tcPr>
          <w:p w14:paraId="6A0A709B" w14:textId="77777777" w:rsidR="00B575B7" w:rsidRPr="009B57B3" w:rsidRDefault="00B575B7">
            <w:pPr>
              <w:pStyle w:val="NormalWeb"/>
              <w:rPr>
                <w:b/>
                <w:sz w:val="18"/>
                <w:szCs w:val="18"/>
              </w:rPr>
            </w:pPr>
            <w:r w:rsidRPr="009B57B3">
              <w:rPr>
                <w:b/>
                <w:sz w:val="18"/>
                <w:szCs w:val="18"/>
              </w:rPr>
              <w:t>Total</w:t>
            </w:r>
          </w:p>
        </w:tc>
        <w:tc>
          <w:tcPr>
            <w:tcW w:w="2036" w:type="dxa"/>
            <w:shd w:val="clear" w:color="auto" w:fill="FDE9D9" w:themeFill="accent6" w:themeFillTint="33"/>
            <w:hideMark/>
          </w:tcPr>
          <w:p w14:paraId="2D8EC7E5" w14:textId="77777777" w:rsidR="00B575B7" w:rsidRPr="009B57B3" w:rsidRDefault="00B575B7" w:rsidP="00760781">
            <w:pPr>
              <w:pStyle w:val="NormalWeb"/>
              <w:jc w:val="center"/>
              <w:rPr>
                <w:b/>
                <w:sz w:val="18"/>
                <w:szCs w:val="18"/>
              </w:rPr>
            </w:pPr>
            <w:r w:rsidRPr="009B57B3">
              <w:rPr>
                <w:b/>
                <w:sz w:val="18"/>
                <w:szCs w:val="18"/>
              </w:rPr>
              <w:t>568</w:t>
            </w:r>
          </w:p>
        </w:tc>
        <w:tc>
          <w:tcPr>
            <w:tcW w:w="2036" w:type="dxa"/>
            <w:shd w:val="clear" w:color="auto" w:fill="FDE9D9" w:themeFill="accent6" w:themeFillTint="33"/>
            <w:hideMark/>
          </w:tcPr>
          <w:p w14:paraId="59977102" w14:textId="77777777" w:rsidR="00B575B7" w:rsidRPr="009B57B3" w:rsidRDefault="00B575B7" w:rsidP="00760781">
            <w:pPr>
              <w:pStyle w:val="NormalWeb"/>
              <w:jc w:val="center"/>
              <w:rPr>
                <w:b/>
                <w:sz w:val="18"/>
                <w:szCs w:val="18"/>
              </w:rPr>
            </w:pPr>
            <w:r w:rsidRPr="009B57B3">
              <w:rPr>
                <w:b/>
                <w:sz w:val="18"/>
                <w:szCs w:val="18"/>
              </w:rPr>
              <w:t>1,329</w:t>
            </w:r>
          </w:p>
        </w:tc>
        <w:tc>
          <w:tcPr>
            <w:tcW w:w="2036" w:type="dxa"/>
            <w:shd w:val="clear" w:color="auto" w:fill="FDE9D9" w:themeFill="accent6" w:themeFillTint="33"/>
            <w:hideMark/>
          </w:tcPr>
          <w:p w14:paraId="21D74B3F" w14:textId="77777777" w:rsidR="00B575B7" w:rsidRPr="009B57B3" w:rsidRDefault="00B575B7" w:rsidP="00760781">
            <w:pPr>
              <w:pStyle w:val="NormalWeb"/>
              <w:jc w:val="center"/>
              <w:rPr>
                <w:b/>
                <w:sz w:val="18"/>
                <w:szCs w:val="18"/>
              </w:rPr>
            </w:pPr>
            <w:r w:rsidRPr="009B57B3">
              <w:rPr>
                <w:b/>
                <w:sz w:val="18"/>
                <w:szCs w:val="18"/>
              </w:rPr>
              <w:t>47.2</w:t>
            </w:r>
          </w:p>
        </w:tc>
        <w:tc>
          <w:tcPr>
            <w:tcW w:w="2036" w:type="dxa"/>
            <w:shd w:val="clear" w:color="auto" w:fill="FDE9D9" w:themeFill="accent6" w:themeFillTint="33"/>
            <w:hideMark/>
          </w:tcPr>
          <w:p w14:paraId="5B6E6A7B" w14:textId="77777777" w:rsidR="00B575B7" w:rsidRPr="009B57B3" w:rsidRDefault="00B575B7" w:rsidP="00760781">
            <w:pPr>
              <w:pStyle w:val="NormalWeb"/>
              <w:jc w:val="center"/>
              <w:rPr>
                <w:b/>
                <w:sz w:val="18"/>
                <w:szCs w:val="18"/>
              </w:rPr>
            </w:pPr>
            <w:r w:rsidRPr="009B57B3">
              <w:rPr>
                <w:b/>
                <w:sz w:val="18"/>
                <w:szCs w:val="18"/>
              </w:rPr>
              <w:t>81,845</w:t>
            </w:r>
          </w:p>
        </w:tc>
        <w:tc>
          <w:tcPr>
            <w:tcW w:w="2036" w:type="dxa"/>
            <w:shd w:val="clear" w:color="auto" w:fill="FDE9D9" w:themeFill="accent6" w:themeFillTint="33"/>
            <w:hideMark/>
          </w:tcPr>
          <w:p w14:paraId="35F7CC2C" w14:textId="77777777" w:rsidR="00B575B7" w:rsidRPr="009B57B3" w:rsidRDefault="00B575B7" w:rsidP="00760781">
            <w:pPr>
              <w:pStyle w:val="NormalWeb"/>
              <w:jc w:val="center"/>
              <w:rPr>
                <w:b/>
                <w:sz w:val="18"/>
                <w:szCs w:val="18"/>
              </w:rPr>
            </w:pPr>
            <w:r w:rsidRPr="009B57B3">
              <w:rPr>
                <w:b/>
                <w:sz w:val="18"/>
                <w:szCs w:val="18"/>
              </w:rPr>
              <w:t>133,541</w:t>
            </w:r>
          </w:p>
        </w:tc>
        <w:tc>
          <w:tcPr>
            <w:tcW w:w="2037" w:type="dxa"/>
            <w:shd w:val="clear" w:color="auto" w:fill="FDE9D9" w:themeFill="accent6" w:themeFillTint="33"/>
            <w:hideMark/>
          </w:tcPr>
          <w:p w14:paraId="7E608581" w14:textId="77777777" w:rsidR="00B575B7" w:rsidRPr="009B57B3" w:rsidRDefault="00B575B7" w:rsidP="00760781">
            <w:pPr>
              <w:pStyle w:val="NormalWeb"/>
              <w:jc w:val="center"/>
              <w:rPr>
                <w:b/>
                <w:sz w:val="18"/>
                <w:szCs w:val="18"/>
              </w:rPr>
            </w:pPr>
            <w:r w:rsidRPr="009B57B3">
              <w:rPr>
                <w:b/>
                <w:sz w:val="18"/>
                <w:szCs w:val="18"/>
              </w:rPr>
              <w:t>61.3</w:t>
            </w:r>
          </w:p>
        </w:tc>
      </w:tr>
      <w:tr w:rsidR="001B4057" w:rsidRPr="009B57B3" w14:paraId="785866BE" w14:textId="77777777" w:rsidTr="00ED0F75">
        <w:trPr>
          <w:cnfStyle w:val="000000010000" w:firstRow="0" w:lastRow="0" w:firstColumn="0" w:lastColumn="0" w:oddVBand="0" w:evenVBand="0" w:oddHBand="0" w:evenHBand="1" w:firstRowFirstColumn="0" w:firstRowLastColumn="0" w:lastRowFirstColumn="0" w:lastRowLastColumn="0"/>
        </w:trPr>
        <w:tc>
          <w:tcPr>
            <w:tcW w:w="0" w:type="auto"/>
            <w:shd w:val="clear" w:color="auto" w:fill="808080" w:themeFill="background1" w:themeFillShade="80"/>
            <w:hideMark/>
          </w:tcPr>
          <w:p w14:paraId="773DC4C0" w14:textId="77777777" w:rsidR="00B575B7" w:rsidRPr="009B57B3" w:rsidRDefault="00B575B7">
            <w:pPr>
              <w:pStyle w:val="NormalWeb"/>
              <w:rPr>
                <w:b/>
                <w:color w:val="FFFFFF" w:themeColor="background1"/>
                <w:sz w:val="18"/>
                <w:szCs w:val="18"/>
              </w:rPr>
            </w:pPr>
            <w:r w:rsidRPr="009B57B3">
              <w:rPr>
                <w:b/>
                <w:color w:val="FFFFFF" w:themeColor="background1"/>
                <w:sz w:val="18"/>
                <w:szCs w:val="18"/>
              </w:rPr>
              <w:t>Age at baseline (years)</w:t>
            </w:r>
          </w:p>
        </w:tc>
        <w:tc>
          <w:tcPr>
            <w:tcW w:w="2036" w:type="dxa"/>
            <w:shd w:val="clear" w:color="auto" w:fill="808080" w:themeFill="background1" w:themeFillShade="80"/>
            <w:hideMark/>
          </w:tcPr>
          <w:p w14:paraId="17B1F216" w14:textId="77777777" w:rsidR="00B575B7" w:rsidRPr="009B57B3" w:rsidRDefault="00B575B7" w:rsidP="00760781">
            <w:pPr>
              <w:jc w:val="center"/>
              <w:rPr>
                <w:b/>
                <w:color w:val="FFFFFF" w:themeColor="background1"/>
                <w:sz w:val="18"/>
                <w:szCs w:val="18"/>
              </w:rPr>
            </w:pPr>
          </w:p>
        </w:tc>
        <w:tc>
          <w:tcPr>
            <w:tcW w:w="2036" w:type="dxa"/>
            <w:shd w:val="clear" w:color="auto" w:fill="808080" w:themeFill="background1" w:themeFillShade="80"/>
            <w:hideMark/>
          </w:tcPr>
          <w:p w14:paraId="20A1050B" w14:textId="77777777" w:rsidR="00B575B7" w:rsidRPr="009B57B3" w:rsidRDefault="00B575B7" w:rsidP="00760781">
            <w:pPr>
              <w:jc w:val="center"/>
              <w:rPr>
                <w:rFonts w:eastAsia="Times New Roman"/>
                <w:b/>
                <w:color w:val="FFFFFF" w:themeColor="background1"/>
                <w:sz w:val="18"/>
                <w:szCs w:val="18"/>
              </w:rPr>
            </w:pPr>
          </w:p>
        </w:tc>
        <w:tc>
          <w:tcPr>
            <w:tcW w:w="2036" w:type="dxa"/>
            <w:shd w:val="clear" w:color="auto" w:fill="808080" w:themeFill="background1" w:themeFillShade="80"/>
            <w:hideMark/>
          </w:tcPr>
          <w:p w14:paraId="5C4B42AC" w14:textId="77777777" w:rsidR="00B575B7" w:rsidRPr="009B57B3" w:rsidRDefault="00B575B7" w:rsidP="00760781">
            <w:pPr>
              <w:jc w:val="center"/>
              <w:rPr>
                <w:rFonts w:eastAsia="Times New Roman"/>
                <w:b/>
                <w:color w:val="FFFFFF" w:themeColor="background1"/>
                <w:sz w:val="18"/>
                <w:szCs w:val="18"/>
              </w:rPr>
            </w:pPr>
          </w:p>
        </w:tc>
        <w:tc>
          <w:tcPr>
            <w:tcW w:w="2036" w:type="dxa"/>
            <w:shd w:val="clear" w:color="auto" w:fill="808080" w:themeFill="background1" w:themeFillShade="80"/>
            <w:hideMark/>
          </w:tcPr>
          <w:p w14:paraId="4E49ABDB" w14:textId="77777777" w:rsidR="00B575B7" w:rsidRPr="009B57B3" w:rsidRDefault="00B575B7" w:rsidP="00760781">
            <w:pPr>
              <w:jc w:val="center"/>
              <w:rPr>
                <w:rFonts w:eastAsia="Times New Roman"/>
                <w:b/>
                <w:color w:val="FFFFFF" w:themeColor="background1"/>
                <w:sz w:val="18"/>
                <w:szCs w:val="18"/>
              </w:rPr>
            </w:pPr>
          </w:p>
        </w:tc>
        <w:tc>
          <w:tcPr>
            <w:tcW w:w="2036" w:type="dxa"/>
            <w:shd w:val="clear" w:color="auto" w:fill="808080" w:themeFill="background1" w:themeFillShade="80"/>
            <w:hideMark/>
          </w:tcPr>
          <w:p w14:paraId="7B52D58F" w14:textId="77777777" w:rsidR="00B575B7" w:rsidRPr="009B57B3" w:rsidRDefault="00B575B7" w:rsidP="00760781">
            <w:pPr>
              <w:jc w:val="center"/>
              <w:rPr>
                <w:rFonts w:eastAsia="Times New Roman"/>
                <w:b/>
                <w:color w:val="FFFFFF" w:themeColor="background1"/>
                <w:sz w:val="18"/>
                <w:szCs w:val="18"/>
              </w:rPr>
            </w:pPr>
          </w:p>
        </w:tc>
        <w:tc>
          <w:tcPr>
            <w:tcW w:w="2037" w:type="dxa"/>
            <w:shd w:val="clear" w:color="auto" w:fill="808080" w:themeFill="background1" w:themeFillShade="80"/>
            <w:hideMark/>
          </w:tcPr>
          <w:p w14:paraId="33D7C975" w14:textId="77777777" w:rsidR="00B575B7" w:rsidRPr="009B57B3" w:rsidRDefault="00B575B7" w:rsidP="00760781">
            <w:pPr>
              <w:jc w:val="center"/>
              <w:rPr>
                <w:rFonts w:eastAsia="Times New Roman"/>
                <w:b/>
                <w:color w:val="FFFFFF" w:themeColor="background1"/>
                <w:sz w:val="18"/>
                <w:szCs w:val="18"/>
              </w:rPr>
            </w:pPr>
          </w:p>
        </w:tc>
      </w:tr>
      <w:tr w:rsidR="00B575B7" w:rsidRPr="009B57B3" w14:paraId="3E4D08EF" w14:textId="77777777" w:rsidTr="00ED0F75">
        <w:tc>
          <w:tcPr>
            <w:tcW w:w="0" w:type="auto"/>
            <w:hideMark/>
          </w:tcPr>
          <w:p w14:paraId="726A6DAC" w14:textId="77777777" w:rsidR="00B575B7" w:rsidRPr="009B57B3" w:rsidRDefault="00B575B7">
            <w:pPr>
              <w:pStyle w:val="NormalWeb"/>
              <w:rPr>
                <w:sz w:val="18"/>
                <w:szCs w:val="18"/>
              </w:rPr>
            </w:pPr>
            <w:r w:rsidRPr="009B57B3">
              <w:rPr>
                <w:sz w:val="18"/>
                <w:szCs w:val="18"/>
              </w:rPr>
              <w:t>49–64</w:t>
            </w:r>
          </w:p>
        </w:tc>
        <w:tc>
          <w:tcPr>
            <w:tcW w:w="2036" w:type="dxa"/>
            <w:hideMark/>
          </w:tcPr>
          <w:p w14:paraId="77FE59FD" w14:textId="77777777" w:rsidR="00B575B7" w:rsidRPr="009B57B3" w:rsidRDefault="00B575B7" w:rsidP="00760781">
            <w:pPr>
              <w:pStyle w:val="NormalWeb"/>
              <w:jc w:val="center"/>
              <w:rPr>
                <w:sz w:val="18"/>
                <w:szCs w:val="18"/>
              </w:rPr>
            </w:pPr>
            <w:r w:rsidRPr="009B57B3">
              <w:rPr>
                <w:sz w:val="18"/>
                <w:szCs w:val="18"/>
              </w:rPr>
              <w:t>464</w:t>
            </w:r>
          </w:p>
        </w:tc>
        <w:tc>
          <w:tcPr>
            <w:tcW w:w="2036" w:type="dxa"/>
            <w:hideMark/>
          </w:tcPr>
          <w:p w14:paraId="73CF3E83" w14:textId="77777777" w:rsidR="00B575B7" w:rsidRPr="009B57B3" w:rsidRDefault="00B575B7" w:rsidP="00760781">
            <w:pPr>
              <w:pStyle w:val="NormalWeb"/>
              <w:jc w:val="center"/>
              <w:rPr>
                <w:sz w:val="18"/>
                <w:szCs w:val="18"/>
              </w:rPr>
            </w:pPr>
            <w:r w:rsidRPr="009B57B3">
              <w:rPr>
                <w:sz w:val="18"/>
                <w:szCs w:val="18"/>
              </w:rPr>
              <w:t>1,082</w:t>
            </w:r>
          </w:p>
        </w:tc>
        <w:tc>
          <w:tcPr>
            <w:tcW w:w="2036" w:type="dxa"/>
            <w:hideMark/>
          </w:tcPr>
          <w:p w14:paraId="709E0E50" w14:textId="77777777" w:rsidR="00B575B7" w:rsidRPr="009B57B3" w:rsidRDefault="00B575B7" w:rsidP="00760781">
            <w:pPr>
              <w:pStyle w:val="NormalWeb"/>
              <w:jc w:val="center"/>
              <w:rPr>
                <w:sz w:val="18"/>
                <w:szCs w:val="18"/>
              </w:rPr>
            </w:pPr>
            <w:r w:rsidRPr="009B57B3">
              <w:rPr>
                <w:sz w:val="18"/>
                <w:szCs w:val="18"/>
              </w:rPr>
              <w:t>42.9</w:t>
            </w:r>
          </w:p>
        </w:tc>
        <w:tc>
          <w:tcPr>
            <w:tcW w:w="2036" w:type="dxa"/>
            <w:hideMark/>
          </w:tcPr>
          <w:p w14:paraId="7A981476" w14:textId="77777777" w:rsidR="00B575B7" w:rsidRPr="009B57B3" w:rsidRDefault="00B575B7" w:rsidP="00760781">
            <w:pPr>
              <w:pStyle w:val="NormalWeb"/>
              <w:jc w:val="center"/>
              <w:rPr>
                <w:sz w:val="18"/>
                <w:szCs w:val="18"/>
              </w:rPr>
            </w:pPr>
            <w:r w:rsidRPr="009B57B3">
              <w:rPr>
                <w:sz w:val="18"/>
                <w:szCs w:val="18"/>
              </w:rPr>
              <w:t>57,029</w:t>
            </w:r>
          </w:p>
        </w:tc>
        <w:tc>
          <w:tcPr>
            <w:tcW w:w="2036" w:type="dxa"/>
            <w:hideMark/>
          </w:tcPr>
          <w:p w14:paraId="3755E762" w14:textId="77777777" w:rsidR="00B575B7" w:rsidRPr="009B57B3" w:rsidRDefault="00B575B7" w:rsidP="00760781">
            <w:pPr>
              <w:pStyle w:val="NormalWeb"/>
              <w:jc w:val="center"/>
              <w:rPr>
                <w:sz w:val="18"/>
                <w:szCs w:val="18"/>
              </w:rPr>
            </w:pPr>
            <w:r w:rsidRPr="009B57B3">
              <w:rPr>
                <w:sz w:val="18"/>
                <w:szCs w:val="18"/>
              </w:rPr>
              <w:t>89,350</w:t>
            </w:r>
          </w:p>
        </w:tc>
        <w:tc>
          <w:tcPr>
            <w:tcW w:w="2037" w:type="dxa"/>
            <w:hideMark/>
          </w:tcPr>
          <w:p w14:paraId="759A5F75" w14:textId="77777777" w:rsidR="00B575B7" w:rsidRPr="009B57B3" w:rsidRDefault="00B575B7" w:rsidP="00760781">
            <w:pPr>
              <w:pStyle w:val="NormalWeb"/>
              <w:jc w:val="center"/>
              <w:rPr>
                <w:sz w:val="18"/>
                <w:szCs w:val="18"/>
              </w:rPr>
            </w:pPr>
            <w:r w:rsidRPr="009B57B3">
              <w:rPr>
                <w:sz w:val="18"/>
                <w:szCs w:val="18"/>
              </w:rPr>
              <w:t>63.8</w:t>
            </w:r>
          </w:p>
        </w:tc>
      </w:tr>
      <w:tr w:rsidR="00B575B7" w:rsidRPr="009B57B3" w14:paraId="329FD3F4" w14:textId="77777777" w:rsidTr="00ED0F75">
        <w:trPr>
          <w:cnfStyle w:val="000000010000" w:firstRow="0" w:lastRow="0" w:firstColumn="0" w:lastColumn="0" w:oddVBand="0" w:evenVBand="0" w:oddHBand="0" w:evenHBand="1" w:firstRowFirstColumn="0" w:firstRowLastColumn="0" w:lastRowFirstColumn="0" w:lastRowLastColumn="0"/>
        </w:trPr>
        <w:tc>
          <w:tcPr>
            <w:tcW w:w="0" w:type="auto"/>
            <w:hideMark/>
          </w:tcPr>
          <w:p w14:paraId="2C5C955D" w14:textId="77777777" w:rsidR="00B575B7" w:rsidRPr="009B57B3" w:rsidRDefault="00B575B7">
            <w:pPr>
              <w:pStyle w:val="NormalWeb"/>
              <w:rPr>
                <w:sz w:val="18"/>
                <w:szCs w:val="18"/>
              </w:rPr>
            </w:pPr>
            <w:r w:rsidRPr="009B57B3">
              <w:rPr>
                <w:sz w:val="18"/>
                <w:szCs w:val="18"/>
              </w:rPr>
              <w:t>≥65</w:t>
            </w:r>
          </w:p>
        </w:tc>
        <w:tc>
          <w:tcPr>
            <w:tcW w:w="2036" w:type="dxa"/>
            <w:hideMark/>
          </w:tcPr>
          <w:p w14:paraId="76DAD0C5" w14:textId="77777777" w:rsidR="00B575B7" w:rsidRPr="009B57B3" w:rsidRDefault="00B575B7" w:rsidP="00760781">
            <w:pPr>
              <w:pStyle w:val="NormalWeb"/>
              <w:jc w:val="center"/>
              <w:rPr>
                <w:sz w:val="18"/>
                <w:szCs w:val="18"/>
              </w:rPr>
            </w:pPr>
            <w:r w:rsidRPr="009B57B3">
              <w:rPr>
                <w:sz w:val="18"/>
                <w:szCs w:val="18"/>
              </w:rPr>
              <w:t>104</w:t>
            </w:r>
          </w:p>
        </w:tc>
        <w:tc>
          <w:tcPr>
            <w:tcW w:w="2036" w:type="dxa"/>
            <w:hideMark/>
          </w:tcPr>
          <w:p w14:paraId="43881A6A" w14:textId="77777777" w:rsidR="00B575B7" w:rsidRPr="009B57B3" w:rsidRDefault="00B575B7" w:rsidP="00760781">
            <w:pPr>
              <w:pStyle w:val="NormalWeb"/>
              <w:jc w:val="center"/>
              <w:rPr>
                <w:sz w:val="18"/>
                <w:szCs w:val="18"/>
              </w:rPr>
            </w:pPr>
            <w:r w:rsidRPr="009B57B3">
              <w:rPr>
                <w:sz w:val="18"/>
                <w:szCs w:val="18"/>
              </w:rPr>
              <w:t>247</w:t>
            </w:r>
          </w:p>
        </w:tc>
        <w:tc>
          <w:tcPr>
            <w:tcW w:w="2036" w:type="dxa"/>
            <w:hideMark/>
          </w:tcPr>
          <w:p w14:paraId="576A304B" w14:textId="77777777" w:rsidR="00B575B7" w:rsidRPr="009B57B3" w:rsidRDefault="00B575B7" w:rsidP="00760781">
            <w:pPr>
              <w:pStyle w:val="NormalWeb"/>
              <w:jc w:val="center"/>
              <w:rPr>
                <w:sz w:val="18"/>
                <w:szCs w:val="18"/>
              </w:rPr>
            </w:pPr>
            <w:r w:rsidRPr="009B57B3">
              <w:rPr>
                <w:sz w:val="18"/>
                <w:szCs w:val="18"/>
              </w:rPr>
              <w:t>42.1</w:t>
            </w:r>
          </w:p>
        </w:tc>
        <w:tc>
          <w:tcPr>
            <w:tcW w:w="2036" w:type="dxa"/>
            <w:hideMark/>
          </w:tcPr>
          <w:p w14:paraId="1FCB9AA5" w14:textId="77777777" w:rsidR="00B575B7" w:rsidRPr="009B57B3" w:rsidRDefault="00B575B7" w:rsidP="00760781">
            <w:pPr>
              <w:pStyle w:val="NormalWeb"/>
              <w:jc w:val="center"/>
              <w:rPr>
                <w:sz w:val="18"/>
                <w:szCs w:val="18"/>
              </w:rPr>
            </w:pPr>
            <w:r w:rsidRPr="009B57B3">
              <w:rPr>
                <w:sz w:val="18"/>
                <w:szCs w:val="18"/>
              </w:rPr>
              <w:t>24,816</w:t>
            </w:r>
          </w:p>
        </w:tc>
        <w:tc>
          <w:tcPr>
            <w:tcW w:w="2036" w:type="dxa"/>
            <w:hideMark/>
          </w:tcPr>
          <w:p w14:paraId="60F866E9" w14:textId="77777777" w:rsidR="00B575B7" w:rsidRPr="009B57B3" w:rsidRDefault="00B575B7" w:rsidP="00760781">
            <w:pPr>
              <w:pStyle w:val="NormalWeb"/>
              <w:jc w:val="center"/>
              <w:rPr>
                <w:sz w:val="18"/>
                <w:szCs w:val="18"/>
              </w:rPr>
            </w:pPr>
            <w:r w:rsidRPr="009B57B3">
              <w:rPr>
                <w:sz w:val="18"/>
                <w:szCs w:val="18"/>
              </w:rPr>
              <w:t>44,191</w:t>
            </w:r>
          </w:p>
        </w:tc>
        <w:tc>
          <w:tcPr>
            <w:tcW w:w="2037" w:type="dxa"/>
            <w:hideMark/>
          </w:tcPr>
          <w:p w14:paraId="3490D09D" w14:textId="77777777" w:rsidR="00B575B7" w:rsidRPr="009B57B3" w:rsidRDefault="00B575B7" w:rsidP="00760781">
            <w:pPr>
              <w:pStyle w:val="NormalWeb"/>
              <w:jc w:val="center"/>
              <w:rPr>
                <w:sz w:val="18"/>
                <w:szCs w:val="18"/>
              </w:rPr>
            </w:pPr>
            <w:r w:rsidRPr="009B57B3">
              <w:rPr>
                <w:sz w:val="18"/>
                <w:szCs w:val="18"/>
              </w:rPr>
              <w:t>56.2</w:t>
            </w:r>
          </w:p>
        </w:tc>
      </w:tr>
      <w:tr w:rsidR="00DD55F2" w:rsidRPr="009B57B3" w14:paraId="66ED7213" w14:textId="77777777" w:rsidTr="00ED0F75">
        <w:tc>
          <w:tcPr>
            <w:tcW w:w="0" w:type="auto"/>
            <w:shd w:val="clear" w:color="auto" w:fill="808080" w:themeFill="background1" w:themeFillShade="80"/>
            <w:hideMark/>
          </w:tcPr>
          <w:p w14:paraId="389304F8" w14:textId="77777777" w:rsidR="00B575B7" w:rsidRPr="009B57B3" w:rsidRDefault="00B575B7">
            <w:pPr>
              <w:pStyle w:val="NormalWeb"/>
              <w:rPr>
                <w:b/>
                <w:color w:val="FFFFFF" w:themeColor="background1"/>
                <w:sz w:val="18"/>
                <w:szCs w:val="18"/>
              </w:rPr>
            </w:pPr>
            <w:r w:rsidRPr="009B57B3">
              <w:rPr>
                <w:b/>
                <w:color w:val="FFFFFF" w:themeColor="background1"/>
                <w:sz w:val="18"/>
                <w:szCs w:val="18"/>
              </w:rPr>
              <w:t>Sex</w:t>
            </w:r>
          </w:p>
        </w:tc>
        <w:tc>
          <w:tcPr>
            <w:tcW w:w="2036" w:type="dxa"/>
            <w:shd w:val="clear" w:color="auto" w:fill="808080" w:themeFill="background1" w:themeFillShade="80"/>
            <w:hideMark/>
          </w:tcPr>
          <w:p w14:paraId="7B3262F3" w14:textId="77777777" w:rsidR="00B575B7" w:rsidRPr="009B57B3" w:rsidRDefault="00B575B7" w:rsidP="00760781">
            <w:pPr>
              <w:jc w:val="center"/>
              <w:rPr>
                <w:b/>
                <w:color w:val="FFFFFF" w:themeColor="background1"/>
                <w:sz w:val="18"/>
                <w:szCs w:val="18"/>
              </w:rPr>
            </w:pPr>
          </w:p>
        </w:tc>
        <w:tc>
          <w:tcPr>
            <w:tcW w:w="2036" w:type="dxa"/>
            <w:shd w:val="clear" w:color="auto" w:fill="808080" w:themeFill="background1" w:themeFillShade="80"/>
            <w:hideMark/>
          </w:tcPr>
          <w:p w14:paraId="570B01B5" w14:textId="77777777" w:rsidR="00B575B7" w:rsidRPr="009B57B3" w:rsidRDefault="00B575B7" w:rsidP="00760781">
            <w:pPr>
              <w:jc w:val="center"/>
              <w:rPr>
                <w:rFonts w:eastAsia="Times New Roman"/>
                <w:b/>
                <w:color w:val="FFFFFF" w:themeColor="background1"/>
                <w:sz w:val="18"/>
                <w:szCs w:val="18"/>
              </w:rPr>
            </w:pPr>
          </w:p>
        </w:tc>
        <w:tc>
          <w:tcPr>
            <w:tcW w:w="2036" w:type="dxa"/>
            <w:shd w:val="clear" w:color="auto" w:fill="808080" w:themeFill="background1" w:themeFillShade="80"/>
            <w:hideMark/>
          </w:tcPr>
          <w:p w14:paraId="5C4D594A" w14:textId="77777777" w:rsidR="00B575B7" w:rsidRPr="009B57B3" w:rsidRDefault="00B575B7" w:rsidP="00760781">
            <w:pPr>
              <w:jc w:val="center"/>
              <w:rPr>
                <w:rFonts w:eastAsia="Times New Roman"/>
                <w:b/>
                <w:color w:val="FFFFFF" w:themeColor="background1"/>
                <w:sz w:val="18"/>
                <w:szCs w:val="18"/>
              </w:rPr>
            </w:pPr>
          </w:p>
        </w:tc>
        <w:tc>
          <w:tcPr>
            <w:tcW w:w="2036" w:type="dxa"/>
            <w:shd w:val="clear" w:color="auto" w:fill="808080" w:themeFill="background1" w:themeFillShade="80"/>
            <w:hideMark/>
          </w:tcPr>
          <w:p w14:paraId="1E67523D" w14:textId="77777777" w:rsidR="00B575B7" w:rsidRPr="009B57B3" w:rsidRDefault="00B575B7" w:rsidP="00760781">
            <w:pPr>
              <w:jc w:val="center"/>
              <w:rPr>
                <w:rFonts w:eastAsia="Times New Roman"/>
                <w:b/>
                <w:color w:val="FFFFFF" w:themeColor="background1"/>
                <w:sz w:val="18"/>
                <w:szCs w:val="18"/>
              </w:rPr>
            </w:pPr>
          </w:p>
        </w:tc>
        <w:tc>
          <w:tcPr>
            <w:tcW w:w="2036" w:type="dxa"/>
            <w:shd w:val="clear" w:color="auto" w:fill="808080" w:themeFill="background1" w:themeFillShade="80"/>
            <w:hideMark/>
          </w:tcPr>
          <w:p w14:paraId="7CCAA647" w14:textId="77777777" w:rsidR="00B575B7" w:rsidRPr="009B57B3" w:rsidRDefault="00B575B7" w:rsidP="00760781">
            <w:pPr>
              <w:jc w:val="center"/>
              <w:rPr>
                <w:rFonts w:eastAsia="Times New Roman"/>
                <w:b/>
                <w:color w:val="FFFFFF" w:themeColor="background1"/>
                <w:sz w:val="18"/>
                <w:szCs w:val="18"/>
              </w:rPr>
            </w:pPr>
          </w:p>
        </w:tc>
        <w:tc>
          <w:tcPr>
            <w:tcW w:w="2037" w:type="dxa"/>
            <w:shd w:val="clear" w:color="auto" w:fill="808080" w:themeFill="background1" w:themeFillShade="80"/>
            <w:hideMark/>
          </w:tcPr>
          <w:p w14:paraId="0559F3DF" w14:textId="77777777" w:rsidR="00B575B7" w:rsidRPr="009B57B3" w:rsidRDefault="00B575B7" w:rsidP="00760781">
            <w:pPr>
              <w:jc w:val="center"/>
              <w:rPr>
                <w:rFonts w:eastAsia="Times New Roman"/>
                <w:b/>
                <w:color w:val="FFFFFF" w:themeColor="background1"/>
                <w:sz w:val="18"/>
                <w:szCs w:val="18"/>
              </w:rPr>
            </w:pPr>
          </w:p>
        </w:tc>
      </w:tr>
      <w:tr w:rsidR="00B575B7" w:rsidRPr="009B57B3" w14:paraId="62B12E46" w14:textId="77777777" w:rsidTr="00ED0F75">
        <w:trPr>
          <w:cnfStyle w:val="000000010000" w:firstRow="0" w:lastRow="0" w:firstColumn="0" w:lastColumn="0" w:oddVBand="0" w:evenVBand="0" w:oddHBand="0" w:evenHBand="1" w:firstRowFirstColumn="0" w:firstRowLastColumn="0" w:lastRowFirstColumn="0" w:lastRowLastColumn="0"/>
        </w:trPr>
        <w:tc>
          <w:tcPr>
            <w:tcW w:w="0" w:type="auto"/>
            <w:hideMark/>
          </w:tcPr>
          <w:p w14:paraId="3E3E285B" w14:textId="77777777" w:rsidR="00B575B7" w:rsidRPr="009B57B3" w:rsidRDefault="00B575B7">
            <w:pPr>
              <w:pStyle w:val="NormalWeb"/>
              <w:rPr>
                <w:sz w:val="18"/>
                <w:szCs w:val="18"/>
              </w:rPr>
            </w:pPr>
            <w:r w:rsidRPr="009B57B3">
              <w:rPr>
                <w:sz w:val="18"/>
                <w:szCs w:val="18"/>
              </w:rPr>
              <w:t>men</w:t>
            </w:r>
          </w:p>
        </w:tc>
        <w:tc>
          <w:tcPr>
            <w:tcW w:w="2036" w:type="dxa"/>
            <w:hideMark/>
          </w:tcPr>
          <w:p w14:paraId="719F02A6" w14:textId="77777777" w:rsidR="00B575B7" w:rsidRPr="009B57B3" w:rsidRDefault="00B575B7" w:rsidP="00760781">
            <w:pPr>
              <w:pStyle w:val="NormalWeb"/>
              <w:jc w:val="center"/>
              <w:rPr>
                <w:sz w:val="18"/>
                <w:szCs w:val="18"/>
              </w:rPr>
            </w:pPr>
            <w:r w:rsidRPr="009B57B3">
              <w:rPr>
                <w:sz w:val="18"/>
                <w:szCs w:val="18"/>
              </w:rPr>
              <w:t>241</w:t>
            </w:r>
          </w:p>
        </w:tc>
        <w:tc>
          <w:tcPr>
            <w:tcW w:w="2036" w:type="dxa"/>
            <w:hideMark/>
          </w:tcPr>
          <w:p w14:paraId="7C35811A" w14:textId="77777777" w:rsidR="00B575B7" w:rsidRPr="009B57B3" w:rsidRDefault="00B575B7" w:rsidP="00760781">
            <w:pPr>
              <w:pStyle w:val="NormalWeb"/>
              <w:jc w:val="center"/>
              <w:rPr>
                <w:sz w:val="18"/>
                <w:szCs w:val="18"/>
              </w:rPr>
            </w:pPr>
            <w:r w:rsidRPr="009B57B3">
              <w:rPr>
                <w:sz w:val="18"/>
                <w:szCs w:val="18"/>
              </w:rPr>
              <w:t>555</w:t>
            </w:r>
          </w:p>
        </w:tc>
        <w:tc>
          <w:tcPr>
            <w:tcW w:w="2036" w:type="dxa"/>
            <w:hideMark/>
          </w:tcPr>
          <w:p w14:paraId="2BA6CABE" w14:textId="77777777" w:rsidR="00B575B7" w:rsidRPr="009B57B3" w:rsidRDefault="00B575B7" w:rsidP="00760781">
            <w:pPr>
              <w:pStyle w:val="NormalWeb"/>
              <w:jc w:val="center"/>
              <w:rPr>
                <w:sz w:val="18"/>
                <w:szCs w:val="18"/>
              </w:rPr>
            </w:pPr>
            <w:r w:rsidRPr="009B57B3">
              <w:rPr>
                <w:sz w:val="18"/>
                <w:szCs w:val="18"/>
              </w:rPr>
              <w:t>43.4</w:t>
            </w:r>
          </w:p>
        </w:tc>
        <w:tc>
          <w:tcPr>
            <w:tcW w:w="2036" w:type="dxa"/>
            <w:hideMark/>
          </w:tcPr>
          <w:p w14:paraId="38BC9E16" w14:textId="77777777" w:rsidR="00B575B7" w:rsidRPr="009B57B3" w:rsidRDefault="00B575B7" w:rsidP="00760781">
            <w:pPr>
              <w:pStyle w:val="NormalWeb"/>
              <w:jc w:val="center"/>
              <w:rPr>
                <w:sz w:val="18"/>
                <w:szCs w:val="18"/>
              </w:rPr>
            </w:pPr>
            <w:r w:rsidRPr="009B57B3">
              <w:rPr>
                <w:sz w:val="18"/>
                <w:szCs w:val="18"/>
              </w:rPr>
              <w:t>35,587</w:t>
            </w:r>
          </w:p>
        </w:tc>
        <w:tc>
          <w:tcPr>
            <w:tcW w:w="2036" w:type="dxa"/>
            <w:hideMark/>
          </w:tcPr>
          <w:p w14:paraId="37097B46" w14:textId="77777777" w:rsidR="00B575B7" w:rsidRPr="009B57B3" w:rsidRDefault="00B575B7" w:rsidP="00760781">
            <w:pPr>
              <w:pStyle w:val="NormalWeb"/>
              <w:jc w:val="center"/>
              <w:rPr>
                <w:sz w:val="18"/>
                <w:szCs w:val="18"/>
              </w:rPr>
            </w:pPr>
            <w:r w:rsidRPr="009B57B3">
              <w:rPr>
                <w:sz w:val="18"/>
                <w:szCs w:val="18"/>
              </w:rPr>
              <w:t>58,452</w:t>
            </w:r>
          </w:p>
        </w:tc>
        <w:tc>
          <w:tcPr>
            <w:tcW w:w="2037" w:type="dxa"/>
            <w:hideMark/>
          </w:tcPr>
          <w:p w14:paraId="01CAF8A3" w14:textId="77777777" w:rsidR="00B575B7" w:rsidRPr="009B57B3" w:rsidRDefault="00B575B7" w:rsidP="00760781">
            <w:pPr>
              <w:pStyle w:val="NormalWeb"/>
              <w:jc w:val="center"/>
              <w:rPr>
                <w:sz w:val="18"/>
                <w:szCs w:val="18"/>
              </w:rPr>
            </w:pPr>
            <w:r w:rsidRPr="009B57B3">
              <w:rPr>
                <w:sz w:val="18"/>
                <w:szCs w:val="18"/>
              </w:rPr>
              <w:t>60.9</w:t>
            </w:r>
          </w:p>
        </w:tc>
      </w:tr>
      <w:tr w:rsidR="00B575B7" w:rsidRPr="009B57B3" w14:paraId="0EA17D49" w14:textId="77777777" w:rsidTr="00ED0F75">
        <w:tc>
          <w:tcPr>
            <w:tcW w:w="0" w:type="auto"/>
            <w:hideMark/>
          </w:tcPr>
          <w:p w14:paraId="424921F4" w14:textId="77777777" w:rsidR="00B575B7" w:rsidRPr="009B57B3" w:rsidRDefault="00B575B7">
            <w:pPr>
              <w:pStyle w:val="NormalWeb"/>
              <w:rPr>
                <w:sz w:val="18"/>
                <w:szCs w:val="18"/>
              </w:rPr>
            </w:pPr>
            <w:r w:rsidRPr="009B57B3">
              <w:rPr>
                <w:sz w:val="18"/>
                <w:szCs w:val="18"/>
              </w:rPr>
              <w:t>women</w:t>
            </w:r>
          </w:p>
        </w:tc>
        <w:tc>
          <w:tcPr>
            <w:tcW w:w="2036" w:type="dxa"/>
            <w:hideMark/>
          </w:tcPr>
          <w:p w14:paraId="0AA8550D" w14:textId="77777777" w:rsidR="00B575B7" w:rsidRPr="009B57B3" w:rsidRDefault="00B575B7" w:rsidP="00760781">
            <w:pPr>
              <w:pStyle w:val="NormalWeb"/>
              <w:jc w:val="center"/>
              <w:rPr>
                <w:sz w:val="18"/>
                <w:szCs w:val="18"/>
              </w:rPr>
            </w:pPr>
            <w:r w:rsidRPr="009B57B3">
              <w:rPr>
                <w:sz w:val="18"/>
                <w:szCs w:val="18"/>
              </w:rPr>
              <w:t>327</w:t>
            </w:r>
          </w:p>
        </w:tc>
        <w:tc>
          <w:tcPr>
            <w:tcW w:w="2036" w:type="dxa"/>
            <w:hideMark/>
          </w:tcPr>
          <w:p w14:paraId="76D38B2B" w14:textId="77777777" w:rsidR="00B575B7" w:rsidRPr="009B57B3" w:rsidRDefault="00B575B7" w:rsidP="00760781">
            <w:pPr>
              <w:pStyle w:val="NormalWeb"/>
              <w:jc w:val="center"/>
              <w:rPr>
                <w:sz w:val="18"/>
                <w:szCs w:val="18"/>
              </w:rPr>
            </w:pPr>
            <w:r w:rsidRPr="009B57B3">
              <w:rPr>
                <w:sz w:val="18"/>
                <w:szCs w:val="18"/>
              </w:rPr>
              <w:t>774</w:t>
            </w:r>
          </w:p>
        </w:tc>
        <w:tc>
          <w:tcPr>
            <w:tcW w:w="2036" w:type="dxa"/>
            <w:hideMark/>
          </w:tcPr>
          <w:p w14:paraId="2C8EDA59" w14:textId="77777777" w:rsidR="00B575B7" w:rsidRPr="009B57B3" w:rsidRDefault="00B575B7" w:rsidP="00760781">
            <w:pPr>
              <w:pStyle w:val="NormalWeb"/>
              <w:jc w:val="center"/>
              <w:rPr>
                <w:sz w:val="18"/>
                <w:szCs w:val="18"/>
              </w:rPr>
            </w:pPr>
            <w:r w:rsidRPr="009B57B3">
              <w:rPr>
                <w:sz w:val="18"/>
                <w:szCs w:val="18"/>
              </w:rPr>
              <w:t>42.2</w:t>
            </w:r>
          </w:p>
        </w:tc>
        <w:tc>
          <w:tcPr>
            <w:tcW w:w="2036" w:type="dxa"/>
            <w:hideMark/>
          </w:tcPr>
          <w:p w14:paraId="7F5B4731" w14:textId="77777777" w:rsidR="00B575B7" w:rsidRPr="009B57B3" w:rsidRDefault="00B575B7" w:rsidP="00760781">
            <w:pPr>
              <w:pStyle w:val="NormalWeb"/>
              <w:jc w:val="center"/>
              <w:rPr>
                <w:sz w:val="18"/>
                <w:szCs w:val="18"/>
              </w:rPr>
            </w:pPr>
            <w:r w:rsidRPr="009B57B3">
              <w:rPr>
                <w:sz w:val="18"/>
                <w:szCs w:val="18"/>
              </w:rPr>
              <w:t>46,258</w:t>
            </w:r>
          </w:p>
        </w:tc>
        <w:tc>
          <w:tcPr>
            <w:tcW w:w="2036" w:type="dxa"/>
            <w:hideMark/>
          </w:tcPr>
          <w:p w14:paraId="6BC73236" w14:textId="77777777" w:rsidR="00B575B7" w:rsidRPr="009B57B3" w:rsidRDefault="00B575B7" w:rsidP="00760781">
            <w:pPr>
              <w:pStyle w:val="NormalWeb"/>
              <w:jc w:val="center"/>
              <w:rPr>
                <w:sz w:val="18"/>
                <w:szCs w:val="18"/>
              </w:rPr>
            </w:pPr>
            <w:r w:rsidRPr="009B57B3">
              <w:rPr>
                <w:sz w:val="18"/>
                <w:szCs w:val="18"/>
              </w:rPr>
              <w:t>75,089</w:t>
            </w:r>
          </w:p>
        </w:tc>
        <w:tc>
          <w:tcPr>
            <w:tcW w:w="2037" w:type="dxa"/>
            <w:hideMark/>
          </w:tcPr>
          <w:p w14:paraId="53DE34EE" w14:textId="77777777" w:rsidR="00B575B7" w:rsidRPr="009B57B3" w:rsidRDefault="00B575B7" w:rsidP="00760781">
            <w:pPr>
              <w:pStyle w:val="NormalWeb"/>
              <w:jc w:val="center"/>
              <w:rPr>
                <w:sz w:val="18"/>
                <w:szCs w:val="18"/>
              </w:rPr>
            </w:pPr>
            <w:r w:rsidRPr="009B57B3">
              <w:rPr>
                <w:sz w:val="18"/>
                <w:szCs w:val="18"/>
              </w:rPr>
              <w:t>61.6</w:t>
            </w:r>
          </w:p>
        </w:tc>
      </w:tr>
      <w:tr w:rsidR="00DD55F2" w:rsidRPr="009B57B3" w14:paraId="0CEEAC3F" w14:textId="77777777" w:rsidTr="00ED0F75">
        <w:trPr>
          <w:cnfStyle w:val="000000010000" w:firstRow="0" w:lastRow="0" w:firstColumn="0" w:lastColumn="0" w:oddVBand="0" w:evenVBand="0" w:oddHBand="0" w:evenHBand="1" w:firstRowFirstColumn="0" w:firstRowLastColumn="0" w:lastRowFirstColumn="0" w:lastRowLastColumn="0"/>
        </w:trPr>
        <w:tc>
          <w:tcPr>
            <w:tcW w:w="0" w:type="auto"/>
            <w:shd w:val="clear" w:color="auto" w:fill="808080" w:themeFill="background1" w:themeFillShade="80"/>
            <w:hideMark/>
          </w:tcPr>
          <w:p w14:paraId="644FFF6E" w14:textId="77777777" w:rsidR="00B575B7" w:rsidRPr="009B57B3" w:rsidRDefault="00B575B7">
            <w:pPr>
              <w:pStyle w:val="NormalWeb"/>
              <w:rPr>
                <w:b/>
                <w:color w:val="FFFFFF" w:themeColor="background1"/>
                <w:sz w:val="18"/>
                <w:szCs w:val="18"/>
              </w:rPr>
            </w:pPr>
            <w:r w:rsidRPr="009B57B3">
              <w:rPr>
                <w:b/>
                <w:color w:val="FFFFFF" w:themeColor="background1"/>
                <w:sz w:val="18"/>
                <w:szCs w:val="18"/>
              </w:rPr>
              <w:t>Place of residence</w:t>
            </w:r>
          </w:p>
        </w:tc>
        <w:tc>
          <w:tcPr>
            <w:tcW w:w="2036" w:type="dxa"/>
            <w:shd w:val="clear" w:color="auto" w:fill="808080" w:themeFill="background1" w:themeFillShade="80"/>
            <w:hideMark/>
          </w:tcPr>
          <w:p w14:paraId="6C071BB7" w14:textId="77777777" w:rsidR="00B575B7" w:rsidRPr="009B57B3" w:rsidRDefault="00B575B7" w:rsidP="00760781">
            <w:pPr>
              <w:jc w:val="center"/>
              <w:rPr>
                <w:b/>
                <w:color w:val="FFFFFF" w:themeColor="background1"/>
                <w:sz w:val="18"/>
                <w:szCs w:val="18"/>
              </w:rPr>
            </w:pPr>
          </w:p>
        </w:tc>
        <w:tc>
          <w:tcPr>
            <w:tcW w:w="2036" w:type="dxa"/>
            <w:shd w:val="clear" w:color="auto" w:fill="808080" w:themeFill="background1" w:themeFillShade="80"/>
            <w:hideMark/>
          </w:tcPr>
          <w:p w14:paraId="67BF25E0" w14:textId="77777777" w:rsidR="00B575B7" w:rsidRPr="009B57B3" w:rsidRDefault="00B575B7" w:rsidP="00760781">
            <w:pPr>
              <w:jc w:val="center"/>
              <w:rPr>
                <w:rFonts w:eastAsia="Times New Roman"/>
                <w:b/>
                <w:color w:val="FFFFFF" w:themeColor="background1"/>
                <w:sz w:val="18"/>
                <w:szCs w:val="18"/>
              </w:rPr>
            </w:pPr>
          </w:p>
        </w:tc>
        <w:tc>
          <w:tcPr>
            <w:tcW w:w="2036" w:type="dxa"/>
            <w:shd w:val="clear" w:color="auto" w:fill="808080" w:themeFill="background1" w:themeFillShade="80"/>
            <w:hideMark/>
          </w:tcPr>
          <w:p w14:paraId="2B1CFFE2" w14:textId="77777777" w:rsidR="00B575B7" w:rsidRPr="009B57B3" w:rsidRDefault="00B575B7" w:rsidP="00760781">
            <w:pPr>
              <w:jc w:val="center"/>
              <w:rPr>
                <w:rFonts w:eastAsia="Times New Roman"/>
                <w:b/>
                <w:color w:val="FFFFFF" w:themeColor="background1"/>
                <w:sz w:val="18"/>
                <w:szCs w:val="18"/>
              </w:rPr>
            </w:pPr>
          </w:p>
        </w:tc>
        <w:tc>
          <w:tcPr>
            <w:tcW w:w="2036" w:type="dxa"/>
            <w:shd w:val="clear" w:color="auto" w:fill="808080" w:themeFill="background1" w:themeFillShade="80"/>
            <w:hideMark/>
          </w:tcPr>
          <w:p w14:paraId="12913E19" w14:textId="77777777" w:rsidR="00B575B7" w:rsidRPr="009B57B3" w:rsidRDefault="00B575B7" w:rsidP="00760781">
            <w:pPr>
              <w:jc w:val="center"/>
              <w:rPr>
                <w:rFonts w:eastAsia="Times New Roman"/>
                <w:b/>
                <w:color w:val="FFFFFF" w:themeColor="background1"/>
                <w:sz w:val="18"/>
                <w:szCs w:val="18"/>
              </w:rPr>
            </w:pPr>
          </w:p>
        </w:tc>
        <w:tc>
          <w:tcPr>
            <w:tcW w:w="2036" w:type="dxa"/>
            <w:shd w:val="clear" w:color="auto" w:fill="808080" w:themeFill="background1" w:themeFillShade="80"/>
            <w:hideMark/>
          </w:tcPr>
          <w:p w14:paraId="6907F303" w14:textId="77777777" w:rsidR="00B575B7" w:rsidRPr="009B57B3" w:rsidRDefault="00B575B7" w:rsidP="00760781">
            <w:pPr>
              <w:jc w:val="center"/>
              <w:rPr>
                <w:rFonts w:eastAsia="Times New Roman"/>
                <w:b/>
                <w:color w:val="FFFFFF" w:themeColor="background1"/>
                <w:sz w:val="18"/>
                <w:szCs w:val="18"/>
              </w:rPr>
            </w:pPr>
          </w:p>
        </w:tc>
        <w:tc>
          <w:tcPr>
            <w:tcW w:w="2037" w:type="dxa"/>
            <w:shd w:val="clear" w:color="auto" w:fill="808080" w:themeFill="background1" w:themeFillShade="80"/>
            <w:hideMark/>
          </w:tcPr>
          <w:p w14:paraId="7102A130" w14:textId="77777777" w:rsidR="00B575B7" w:rsidRPr="009B57B3" w:rsidRDefault="00B575B7" w:rsidP="00760781">
            <w:pPr>
              <w:jc w:val="center"/>
              <w:rPr>
                <w:rFonts w:eastAsia="Times New Roman"/>
                <w:b/>
                <w:color w:val="FFFFFF" w:themeColor="background1"/>
                <w:sz w:val="18"/>
                <w:szCs w:val="18"/>
              </w:rPr>
            </w:pPr>
          </w:p>
        </w:tc>
      </w:tr>
      <w:tr w:rsidR="00B575B7" w:rsidRPr="009B57B3" w14:paraId="4C9BA432" w14:textId="77777777" w:rsidTr="00ED0F75">
        <w:tc>
          <w:tcPr>
            <w:tcW w:w="0" w:type="auto"/>
            <w:hideMark/>
          </w:tcPr>
          <w:p w14:paraId="3B529F77" w14:textId="77777777" w:rsidR="00B575B7" w:rsidRPr="009B57B3" w:rsidRDefault="00B575B7">
            <w:pPr>
              <w:pStyle w:val="NormalWeb"/>
              <w:rPr>
                <w:sz w:val="18"/>
                <w:szCs w:val="18"/>
              </w:rPr>
            </w:pPr>
            <w:r w:rsidRPr="009B57B3">
              <w:rPr>
                <w:sz w:val="18"/>
                <w:szCs w:val="18"/>
              </w:rPr>
              <w:t>major cities</w:t>
            </w:r>
          </w:p>
        </w:tc>
        <w:tc>
          <w:tcPr>
            <w:tcW w:w="2036" w:type="dxa"/>
            <w:hideMark/>
          </w:tcPr>
          <w:p w14:paraId="6BBC6302" w14:textId="77777777" w:rsidR="00B575B7" w:rsidRPr="009B57B3" w:rsidRDefault="00B575B7" w:rsidP="00760781">
            <w:pPr>
              <w:pStyle w:val="NormalWeb"/>
              <w:jc w:val="center"/>
              <w:rPr>
                <w:sz w:val="18"/>
                <w:szCs w:val="18"/>
              </w:rPr>
            </w:pPr>
            <w:r w:rsidRPr="009B57B3">
              <w:rPr>
                <w:sz w:val="18"/>
                <w:szCs w:val="18"/>
              </w:rPr>
              <w:t>233</w:t>
            </w:r>
          </w:p>
        </w:tc>
        <w:tc>
          <w:tcPr>
            <w:tcW w:w="2036" w:type="dxa"/>
            <w:hideMark/>
          </w:tcPr>
          <w:p w14:paraId="352F2835" w14:textId="77777777" w:rsidR="00B575B7" w:rsidRPr="009B57B3" w:rsidRDefault="00B575B7" w:rsidP="00760781">
            <w:pPr>
              <w:pStyle w:val="NormalWeb"/>
              <w:jc w:val="center"/>
              <w:rPr>
                <w:sz w:val="18"/>
                <w:szCs w:val="18"/>
              </w:rPr>
            </w:pPr>
            <w:r w:rsidRPr="009B57B3">
              <w:rPr>
                <w:sz w:val="18"/>
                <w:szCs w:val="18"/>
              </w:rPr>
              <w:t>514</w:t>
            </w:r>
          </w:p>
        </w:tc>
        <w:tc>
          <w:tcPr>
            <w:tcW w:w="2036" w:type="dxa"/>
            <w:hideMark/>
          </w:tcPr>
          <w:p w14:paraId="6D26430E" w14:textId="77777777" w:rsidR="00B575B7" w:rsidRPr="009B57B3" w:rsidRDefault="00B575B7" w:rsidP="00760781">
            <w:pPr>
              <w:pStyle w:val="NormalWeb"/>
              <w:jc w:val="center"/>
              <w:rPr>
                <w:sz w:val="18"/>
                <w:szCs w:val="18"/>
              </w:rPr>
            </w:pPr>
            <w:r w:rsidRPr="009B57B3">
              <w:rPr>
                <w:sz w:val="18"/>
                <w:szCs w:val="18"/>
              </w:rPr>
              <w:t>45.3</w:t>
            </w:r>
          </w:p>
        </w:tc>
        <w:tc>
          <w:tcPr>
            <w:tcW w:w="2036" w:type="dxa"/>
            <w:hideMark/>
          </w:tcPr>
          <w:p w14:paraId="6FE76D10" w14:textId="77777777" w:rsidR="00B575B7" w:rsidRPr="009B57B3" w:rsidRDefault="00B575B7" w:rsidP="00760781">
            <w:pPr>
              <w:pStyle w:val="NormalWeb"/>
              <w:jc w:val="center"/>
              <w:rPr>
                <w:sz w:val="18"/>
                <w:szCs w:val="18"/>
              </w:rPr>
            </w:pPr>
            <w:r w:rsidRPr="009B57B3">
              <w:rPr>
                <w:sz w:val="18"/>
                <w:szCs w:val="18"/>
              </w:rPr>
              <w:t>38,202</w:t>
            </w:r>
          </w:p>
        </w:tc>
        <w:tc>
          <w:tcPr>
            <w:tcW w:w="2036" w:type="dxa"/>
            <w:hideMark/>
          </w:tcPr>
          <w:p w14:paraId="1C4FFE1E" w14:textId="77777777" w:rsidR="00B575B7" w:rsidRPr="009B57B3" w:rsidRDefault="00B575B7" w:rsidP="00760781">
            <w:pPr>
              <w:pStyle w:val="NormalWeb"/>
              <w:jc w:val="center"/>
              <w:rPr>
                <w:sz w:val="18"/>
                <w:szCs w:val="18"/>
              </w:rPr>
            </w:pPr>
            <w:r w:rsidRPr="009B57B3">
              <w:rPr>
                <w:sz w:val="18"/>
                <w:szCs w:val="18"/>
              </w:rPr>
              <w:t>62,510</w:t>
            </w:r>
          </w:p>
        </w:tc>
        <w:tc>
          <w:tcPr>
            <w:tcW w:w="2037" w:type="dxa"/>
            <w:hideMark/>
          </w:tcPr>
          <w:p w14:paraId="43D48FC0" w14:textId="77777777" w:rsidR="00B575B7" w:rsidRPr="009B57B3" w:rsidRDefault="00B575B7" w:rsidP="00760781">
            <w:pPr>
              <w:pStyle w:val="NormalWeb"/>
              <w:jc w:val="center"/>
              <w:rPr>
                <w:sz w:val="18"/>
                <w:szCs w:val="18"/>
              </w:rPr>
            </w:pPr>
            <w:r w:rsidRPr="009B57B3">
              <w:rPr>
                <w:sz w:val="18"/>
                <w:szCs w:val="18"/>
              </w:rPr>
              <w:t>61.1</w:t>
            </w:r>
          </w:p>
        </w:tc>
      </w:tr>
      <w:tr w:rsidR="00B575B7" w:rsidRPr="009B57B3" w14:paraId="7C574FE0" w14:textId="77777777" w:rsidTr="00ED0F75">
        <w:trPr>
          <w:cnfStyle w:val="000000010000" w:firstRow="0" w:lastRow="0" w:firstColumn="0" w:lastColumn="0" w:oddVBand="0" w:evenVBand="0" w:oddHBand="0" w:evenHBand="1" w:firstRowFirstColumn="0" w:firstRowLastColumn="0" w:lastRowFirstColumn="0" w:lastRowLastColumn="0"/>
        </w:trPr>
        <w:tc>
          <w:tcPr>
            <w:tcW w:w="0" w:type="auto"/>
            <w:hideMark/>
          </w:tcPr>
          <w:p w14:paraId="09F6FE24" w14:textId="77777777" w:rsidR="00B575B7" w:rsidRPr="009B57B3" w:rsidRDefault="00B575B7">
            <w:pPr>
              <w:pStyle w:val="NormalWeb"/>
              <w:rPr>
                <w:sz w:val="18"/>
                <w:szCs w:val="18"/>
              </w:rPr>
            </w:pPr>
            <w:r w:rsidRPr="009B57B3">
              <w:rPr>
                <w:sz w:val="18"/>
                <w:szCs w:val="18"/>
              </w:rPr>
              <w:t>inner regional</w:t>
            </w:r>
          </w:p>
        </w:tc>
        <w:tc>
          <w:tcPr>
            <w:tcW w:w="2036" w:type="dxa"/>
            <w:hideMark/>
          </w:tcPr>
          <w:p w14:paraId="638054BD" w14:textId="77777777" w:rsidR="00B575B7" w:rsidRPr="009B57B3" w:rsidRDefault="00B575B7" w:rsidP="00760781">
            <w:pPr>
              <w:pStyle w:val="NormalWeb"/>
              <w:jc w:val="center"/>
              <w:rPr>
                <w:sz w:val="18"/>
                <w:szCs w:val="18"/>
              </w:rPr>
            </w:pPr>
            <w:r w:rsidRPr="009B57B3">
              <w:rPr>
                <w:sz w:val="18"/>
                <w:szCs w:val="18"/>
              </w:rPr>
              <w:t>210</w:t>
            </w:r>
          </w:p>
        </w:tc>
        <w:tc>
          <w:tcPr>
            <w:tcW w:w="2036" w:type="dxa"/>
            <w:hideMark/>
          </w:tcPr>
          <w:p w14:paraId="4D3FB033" w14:textId="77777777" w:rsidR="00B575B7" w:rsidRPr="009B57B3" w:rsidRDefault="00B575B7" w:rsidP="00760781">
            <w:pPr>
              <w:pStyle w:val="NormalWeb"/>
              <w:jc w:val="center"/>
              <w:rPr>
                <w:sz w:val="18"/>
                <w:szCs w:val="18"/>
              </w:rPr>
            </w:pPr>
            <w:r w:rsidRPr="009B57B3">
              <w:rPr>
                <w:sz w:val="18"/>
                <w:szCs w:val="18"/>
              </w:rPr>
              <w:t>501</w:t>
            </w:r>
          </w:p>
        </w:tc>
        <w:tc>
          <w:tcPr>
            <w:tcW w:w="2036" w:type="dxa"/>
            <w:hideMark/>
          </w:tcPr>
          <w:p w14:paraId="1F5770B1" w14:textId="77777777" w:rsidR="00B575B7" w:rsidRPr="009B57B3" w:rsidRDefault="00B575B7" w:rsidP="00760781">
            <w:pPr>
              <w:pStyle w:val="NormalWeb"/>
              <w:jc w:val="center"/>
              <w:rPr>
                <w:sz w:val="18"/>
                <w:szCs w:val="18"/>
              </w:rPr>
            </w:pPr>
            <w:r w:rsidRPr="009B57B3">
              <w:rPr>
                <w:sz w:val="18"/>
                <w:szCs w:val="18"/>
              </w:rPr>
              <w:t>41.9</w:t>
            </w:r>
          </w:p>
        </w:tc>
        <w:tc>
          <w:tcPr>
            <w:tcW w:w="2036" w:type="dxa"/>
            <w:hideMark/>
          </w:tcPr>
          <w:p w14:paraId="788AF9CF" w14:textId="77777777" w:rsidR="00B575B7" w:rsidRPr="009B57B3" w:rsidRDefault="00B575B7" w:rsidP="00760781">
            <w:pPr>
              <w:pStyle w:val="NormalWeb"/>
              <w:jc w:val="center"/>
              <w:rPr>
                <w:sz w:val="18"/>
                <w:szCs w:val="18"/>
              </w:rPr>
            </w:pPr>
            <w:r w:rsidRPr="009B57B3">
              <w:rPr>
                <w:sz w:val="18"/>
                <w:szCs w:val="18"/>
              </w:rPr>
              <w:t>31,617</w:t>
            </w:r>
          </w:p>
        </w:tc>
        <w:tc>
          <w:tcPr>
            <w:tcW w:w="2036" w:type="dxa"/>
            <w:hideMark/>
          </w:tcPr>
          <w:p w14:paraId="069E6D4B" w14:textId="77777777" w:rsidR="00B575B7" w:rsidRPr="009B57B3" w:rsidRDefault="00B575B7" w:rsidP="00760781">
            <w:pPr>
              <w:pStyle w:val="NormalWeb"/>
              <w:jc w:val="center"/>
              <w:rPr>
                <w:sz w:val="18"/>
                <w:szCs w:val="18"/>
              </w:rPr>
            </w:pPr>
            <w:r w:rsidRPr="009B57B3">
              <w:rPr>
                <w:sz w:val="18"/>
                <w:szCs w:val="18"/>
              </w:rPr>
              <w:t>51,227</w:t>
            </w:r>
          </w:p>
        </w:tc>
        <w:tc>
          <w:tcPr>
            <w:tcW w:w="2037" w:type="dxa"/>
            <w:hideMark/>
          </w:tcPr>
          <w:p w14:paraId="06D389BA" w14:textId="77777777" w:rsidR="00B575B7" w:rsidRPr="009B57B3" w:rsidRDefault="00B575B7" w:rsidP="00760781">
            <w:pPr>
              <w:pStyle w:val="NormalWeb"/>
              <w:jc w:val="center"/>
              <w:rPr>
                <w:sz w:val="18"/>
                <w:szCs w:val="18"/>
              </w:rPr>
            </w:pPr>
            <w:r w:rsidRPr="009B57B3">
              <w:rPr>
                <w:sz w:val="18"/>
                <w:szCs w:val="18"/>
              </w:rPr>
              <w:t>61.7</w:t>
            </w:r>
          </w:p>
        </w:tc>
      </w:tr>
      <w:tr w:rsidR="00B575B7" w:rsidRPr="009B57B3" w14:paraId="7EF62C29" w14:textId="77777777" w:rsidTr="00ED0F75">
        <w:tc>
          <w:tcPr>
            <w:tcW w:w="0" w:type="auto"/>
            <w:hideMark/>
          </w:tcPr>
          <w:p w14:paraId="3CA04421" w14:textId="77777777" w:rsidR="00B575B7" w:rsidRPr="009B57B3" w:rsidRDefault="00B575B7">
            <w:pPr>
              <w:pStyle w:val="NormalWeb"/>
              <w:rPr>
                <w:sz w:val="18"/>
                <w:szCs w:val="18"/>
              </w:rPr>
            </w:pPr>
            <w:r w:rsidRPr="009B57B3">
              <w:rPr>
                <w:sz w:val="18"/>
                <w:szCs w:val="18"/>
              </w:rPr>
              <w:t>outer regional/remote</w:t>
            </w:r>
          </w:p>
        </w:tc>
        <w:tc>
          <w:tcPr>
            <w:tcW w:w="2036" w:type="dxa"/>
            <w:hideMark/>
          </w:tcPr>
          <w:p w14:paraId="6B627449" w14:textId="77777777" w:rsidR="00B575B7" w:rsidRPr="009B57B3" w:rsidRDefault="00B575B7" w:rsidP="00760781">
            <w:pPr>
              <w:pStyle w:val="NormalWeb"/>
              <w:jc w:val="center"/>
              <w:rPr>
                <w:sz w:val="18"/>
                <w:szCs w:val="18"/>
              </w:rPr>
            </w:pPr>
            <w:r w:rsidRPr="009B57B3">
              <w:rPr>
                <w:sz w:val="18"/>
                <w:szCs w:val="18"/>
              </w:rPr>
              <w:t>116</w:t>
            </w:r>
          </w:p>
        </w:tc>
        <w:tc>
          <w:tcPr>
            <w:tcW w:w="2036" w:type="dxa"/>
            <w:hideMark/>
          </w:tcPr>
          <w:p w14:paraId="3B140D9B" w14:textId="77777777" w:rsidR="00B575B7" w:rsidRPr="009B57B3" w:rsidRDefault="00B575B7" w:rsidP="00760781">
            <w:pPr>
              <w:pStyle w:val="NormalWeb"/>
              <w:jc w:val="center"/>
              <w:rPr>
                <w:sz w:val="18"/>
                <w:szCs w:val="18"/>
              </w:rPr>
            </w:pPr>
            <w:r w:rsidRPr="009B57B3">
              <w:rPr>
                <w:sz w:val="18"/>
                <w:szCs w:val="18"/>
              </w:rPr>
              <w:t>294</w:t>
            </w:r>
          </w:p>
        </w:tc>
        <w:tc>
          <w:tcPr>
            <w:tcW w:w="2036" w:type="dxa"/>
            <w:hideMark/>
          </w:tcPr>
          <w:p w14:paraId="0B5ABB2B" w14:textId="77777777" w:rsidR="00B575B7" w:rsidRPr="009B57B3" w:rsidRDefault="00B575B7" w:rsidP="00760781">
            <w:pPr>
              <w:pStyle w:val="NormalWeb"/>
              <w:jc w:val="center"/>
              <w:rPr>
                <w:sz w:val="18"/>
                <w:szCs w:val="18"/>
              </w:rPr>
            </w:pPr>
            <w:r w:rsidRPr="009B57B3">
              <w:rPr>
                <w:sz w:val="18"/>
                <w:szCs w:val="18"/>
              </w:rPr>
              <w:t>39.5</w:t>
            </w:r>
          </w:p>
        </w:tc>
        <w:tc>
          <w:tcPr>
            <w:tcW w:w="2036" w:type="dxa"/>
            <w:hideMark/>
          </w:tcPr>
          <w:p w14:paraId="32CB1B84" w14:textId="77777777" w:rsidR="00B575B7" w:rsidRPr="009B57B3" w:rsidRDefault="00B575B7" w:rsidP="00760781">
            <w:pPr>
              <w:pStyle w:val="NormalWeb"/>
              <w:jc w:val="center"/>
              <w:rPr>
                <w:sz w:val="18"/>
                <w:szCs w:val="18"/>
              </w:rPr>
            </w:pPr>
            <w:r w:rsidRPr="009B57B3">
              <w:rPr>
                <w:sz w:val="18"/>
                <w:szCs w:val="18"/>
              </w:rPr>
              <w:t>10,252</w:t>
            </w:r>
          </w:p>
        </w:tc>
        <w:tc>
          <w:tcPr>
            <w:tcW w:w="2036" w:type="dxa"/>
            <w:hideMark/>
          </w:tcPr>
          <w:p w14:paraId="34EB67F4" w14:textId="77777777" w:rsidR="00B575B7" w:rsidRPr="009B57B3" w:rsidRDefault="00B575B7" w:rsidP="00760781">
            <w:pPr>
              <w:pStyle w:val="NormalWeb"/>
              <w:jc w:val="center"/>
              <w:rPr>
                <w:sz w:val="18"/>
                <w:szCs w:val="18"/>
              </w:rPr>
            </w:pPr>
            <w:r w:rsidRPr="009B57B3">
              <w:rPr>
                <w:sz w:val="18"/>
                <w:szCs w:val="18"/>
              </w:rPr>
              <w:t>17,054</w:t>
            </w:r>
          </w:p>
        </w:tc>
        <w:tc>
          <w:tcPr>
            <w:tcW w:w="2037" w:type="dxa"/>
            <w:hideMark/>
          </w:tcPr>
          <w:p w14:paraId="45FFBCAE" w14:textId="77777777" w:rsidR="00B575B7" w:rsidRPr="009B57B3" w:rsidRDefault="00B575B7" w:rsidP="00760781">
            <w:pPr>
              <w:pStyle w:val="NormalWeb"/>
              <w:jc w:val="center"/>
              <w:rPr>
                <w:sz w:val="18"/>
                <w:szCs w:val="18"/>
              </w:rPr>
            </w:pPr>
            <w:r w:rsidRPr="009B57B3">
              <w:rPr>
                <w:sz w:val="18"/>
                <w:szCs w:val="18"/>
              </w:rPr>
              <w:t>60.1</w:t>
            </w:r>
          </w:p>
        </w:tc>
      </w:tr>
      <w:tr w:rsidR="00DD55F2" w:rsidRPr="009B57B3" w14:paraId="074BB8D6" w14:textId="77777777" w:rsidTr="00ED0F75">
        <w:trPr>
          <w:cnfStyle w:val="000000010000" w:firstRow="0" w:lastRow="0" w:firstColumn="0" w:lastColumn="0" w:oddVBand="0" w:evenVBand="0" w:oddHBand="0" w:evenHBand="1" w:firstRowFirstColumn="0" w:firstRowLastColumn="0" w:lastRowFirstColumn="0" w:lastRowLastColumn="0"/>
        </w:trPr>
        <w:tc>
          <w:tcPr>
            <w:tcW w:w="0" w:type="auto"/>
            <w:shd w:val="clear" w:color="auto" w:fill="808080" w:themeFill="background1" w:themeFillShade="80"/>
            <w:hideMark/>
          </w:tcPr>
          <w:p w14:paraId="45090FA3" w14:textId="77777777" w:rsidR="00B575B7" w:rsidRPr="009B57B3" w:rsidRDefault="00B575B7">
            <w:pPr>
              <w:pStyle w:val="NormalWeb"/>
              <w:rPr>
                <w:b/>
                <w:color w:val="FFFFFF" w:themeColor="background1"/>
                <w:sz w:val="18"/>
                <w:szCs w:val="18"/>
              </w:rPr>
            </w:pPr>
            <w:r w:rsidRPr="009B57B3">
              <w:rPr>
                <w:b/>
                <w:color w:val="FFFFFF" w:themeColor="background1"/>
                <w:sz w:val="18"/>
                <w:szCs w:val="18"/>
              </w:rPr>
              <w:t>University education</w:t>
            </w:r>
          </w:p>
        </w:tc>
        <w:tc>
          <w:tcPr>
            <w:tcW w:w="2036" w:type="dxa"/>
            <w:shd w:val="clear" w:color="auto" w:fill="808080" w:themeFill="background1" w:themeFillShade="80"/>
            <w:hideMark/>
          </w:tcPr>
          <w:p w14:paraId="07A9CC0A" w14:textId="77777777" w:rsidR="00B575B7" w:rsidRPr="009B57B3" w:rsidRDefault="00B575B7" w:rsidP="00760781">
            <w:pPr>
              <w:jc w:val="center"/>
              <w:rPr>
                <w:b/>
                <w:color w:val="FFFFFF" w:themeColor="background1"/>
                <w:sz w:val="18"/>
                <w:szCs w:val="18"/>
              </w:rPr>
            </w:pPr>
          </w:p>
        </w:tc>
        <w:tc>
          <w:tcPr>
            <w:tcW w:w="2036" w:type="dxa"/>
            <w:shd w:val="clear" w:color="auto" w:fill="808080" w:themeFill="background1" w:themeFillShade="80"/>
            <w:hideMark/>
          </w:tcPr>
          <w:p w14:paraId="18055DB9" w14:textId="77777777" w:rsidR="00B575B7" w:rsidRPr="009B57B3" w:rsidRDefault="00B575B7" w:rsidP="00760781">
            <w:pPr>
              <w:jc w:val="center"/>
              <w:rPr>
                <w:rFonts w:eastAsia="Times New Roman"/>
                <w:b/>
                <w:color w:val="FFFFFF" w:themeColor="background1"/>
                <w:sz w:val="18"/>
                <w:szCs w:val="18"/>
              </w:rPr>
            </w:pPr>
          </w:p>
        </w:tc>
        <w:tc>
          <w:tcPr>
            <w:tcW w:w="2036" w:type="dxa"/>
            <w:shd w:val="clear" w:color="auto" w:fill="808080" w:themeFill="background1" w:themeFillShade="80"/>
            <w:hideMark/>
          </w:tcPr>
          <w:p w14:paraId="20E93DA1" w14:textId="77777777" w:rsidR="00B575B7" w:rsidRPr="009B57B3" w:rsidRDefault="00B575B7" w:rsidP="00760781">
            <w:pPr>
              <w:jc w:val="center"/>
              <w:rPr>
                <w:rFonts w:eastAsia="Times New Roman"/>
                <w:b/>
                <w:color w:val="FFFFFF" w:themeColor="background1"/>
                <w:sz w:val="18"/>
                <w:szCs w:val="18"/>
              </w:rPr>
            </w:pPr>
          </w:p>
        </w:tc>
        <w:tc>
          <w:tcPr>
            <w:tcW w:w="2036" w:type="dxa"/>
            <w:shd w:val="clear" w:color="auto" w:fill="808080" w:themeFill="background1" w:themeFillShade="80"/>
            <w:hideMark/>
          </w:tcPr>
          <w:p w14:paraId="2EEDFE8A" w14:textId="77777777" w:rsidR="00B575B7" w:rsidRPr="009B57B3" w:rsidRDefault="00B575B7" w:rsidP="00760781">
            <w:pPr>
              <w:jc w:val="center"/>
              <w:rPr>
                <w:rFonts w:eastAsia="Times New Roman"/>
                <w:b/>
                <w:color w:val="FFFFFF" w:themeColor="background1"/>
                <w:sz w:val="18"/>
                <w:szCs w:val="18"/>
              </w:rPr>
            </w:pPr>
          </w:p>
        </w:tc>
        <w:tc>
          <w:tcPr>
            <w:tcW w:w="2036" w:type="dxa"/>
            <w:shd w:val="clear" w:color="auto" w:fill="808080" w:themeFill="background1" w:themeFillShade="80"/>
            <w:hideMark/>
          </w:tcPr>
          <w:p w14:paraId="7B4ABEAF" w14:textId="77777777" w:rsidR="00B575B7" w:rsidRPr="009B57B3" w:rsidRDefault="00B575B7" w:rsidP="00760781">
            <w:pPr>
              <w:jc w:val="center"/>
              <w:rPr>
                <w:rFonts w:eastAsia="Times New Roman"/>
                <w:b/>
                <w:color w:val="FFFFFF" w:themeColor="background1"/>
                <w:sz w:val="18"/>
                <w:szCs w:val="18"/>
              </w:rPr>
            </w:pPr>
          </w:p>
        </w:tc>
        <w:tc>
          <w:tcPr>
            <w:tcW w:w="2037" w:type="dxa"/>
            <w:shd w:val="clear" w:color="auto" w:fill="808080" w:themeFill="background1" w:themeFillShade="80"/>
            <w:hideMark/>
          </w:tcPr>
          <w:p w14:paraId="7D823582" w14:textId="77777777" w:rsidR="00B575B7" w:rsidRPr="009B57B3" w:rsidRDefault="00B575B7" w:rsidP="00760781">
            <w:pPr>
              <w:jc w:val="center"/>
              <w:rPr>
                <w:rFonts w:eastAsia="Times New Roman"/>
                <w:b/>
                <w:color w:val="FFFFFF" w:themeColor="background1"/>
                <w:sz w:val="18"/>
                <w:szCs w:val="18"/>
              </w:rPr>
            </w:pPr>
          </w:p>
        </w:tc>
      </w:tr>
      <w:tr w:rsidR="00B575B7" w:rsidRPr="009B57B3" w14:paraId="10F0D274" w14:textId="77777777" w:rsidTr="00ED0F75">
        <w:tc>
          <w:tcPr>
            <w:tcW w:w="0" w:type="auto"/>
            <w:hideMark/>
          </w:tcPr>
          <w:p w14:paraId="7EFE9FE9" w14:textId="77777777" w:rsidR="00B575B7" w:rsidRPr="009B57B3" w:rsidRDefault="00B575B7">
            <w:pPr>
              <w:pStyle w:val="NormalWeb"/>
              <w:rPr>
                <w:sz w:val="18"/>
                <w:szCs w:val="18"/>
              </w:rPr>
            </w:pPr>
            <w:r w:rsidRPr="009B57B3">
              <w:rPr>
                <w:sz w:val="18"/>
                <w:szCs w:val="18"/>
              </w:rPr>
              <w:t>No</w:t>
            </w:r>
          </w:p>
        </w:tc>
        <w:tc>
          <w:tcPr>
            <w:tcW w:w="2036" w:type="dxa"/>
            <w:hideMark/>
          </w:tcPr>
          <w:p w14:paraId="0949BA5D" w14:textId="77777777" w:rsidR="00B575B7" w:rsidRPr="009B57B3" w:rsidRDefault="00B575B7" w:rsidP="00760781">
            <w:pPr>
              <w:pStyle w:val="NormalWeb"/>
              <w:jc w:val="center"/>
              <w:rPr>
                <w:sz w:val="18"/>
                <w:szCs w:val="18"/>
              </w:rPr>
            </w:pPr>
            <w:r w:rsidRPr="009B57B3">
              <w:rPr>
                <w:sz w:val="18"/>
                <w:szCs w:val="18"/>
              </w:rPr>
              <w:t>457</w:t>
            </w:r>
          </w:p>
        </w:tc>
        <w:tc>
          <w:tcPr>
            <w:tcW w:w="2036" w:type="dxa"/>
            <w:hideMark/>
          </w:tcPr>
          <w:p w14:paraId="6C7F3A0E" w14:textId="77777777" w:rsidR="00B575B7" w:rsidRPr="009B57B3" w:rsidRDefault="00B575B7" w:rsidP="00760781">
            <w:pPr>
              <w:pStyle w:val="NormalWeb"/>
              <w:jc w:val="center"/>
              <w:rPr>
                <w:sz w:val="18"/>
                <w:szCs w:val="18"/>
              </w:rPr>
            </w:pPr>
            <w:r w:rsidRPr="009B57B3">
              <w:rPr>
                <w:sz w:val="18"/>
                <w:szCs w:val="18"/>
              </w:rPr>
              <w:t>1,099</w:t>
            </w:r>
          </w:p>
        </w:tc>
        <w:tc>
          <w:tcPr>
            <w:tcW w:w="2036" w:type="dxa"/>
            <w:hideMark/>
          </w:tcPr>
          <w:p w14:paraId="67E314BC" w14:textId="77777777" w:rsidR="00B575B7" w:rsidRPr="009B57B3" w:rsidRDefault="00B575B7" w:rsidP="00760781">
            <w:pPr>
              <w:pStyle w:val="NormalWeb"/>
              <w:jc w:val="center"/>
              <w:rPr>
                <w:sz w:val="18"/>
                <w:szCs w:val="18"/>
              </w:rPr>
            </w:pPr>
            <w:r w:rsidRPr="009B57B3">
              <w:rPr>
                <w:sz w:val="18"/>
                <w:szCs w:val="18"/>
              </w:rPr>
              <w:t>41.6</w:t>
            </w:r>
          </w:p>
        </w:tc>
        <w:tc>
          <w:tcPr>
            <w:tcW w:w="2036" w:type="dxa"/>
            <w:hideMark/>
          </w:tcPr>
          <w:p w14:paraId="0D9F4EA3" w14:textId="77777777" w:rsidR="00B575B7" w:rsidRPr="009B57B3" w:rsidRDefault="00B575B7" w:rsidP="00760781">
            <w:pPr>
              <w:pStyle w:val="NormalWeb"/>
              <w:jc w:val="center"/>
              <w:rPr>
                <w:sz w:val="18"/>
                <w:szCs w:val="18"/>
              </w:rPr>
            </w:pPr>
            <w:r w:rsidRPr="009B57B3">
              <w:rPr>
                <w:sz w:val="18"/>
                <w:szCs w:val="18"/>
              </w:rPr>
              <w:t>58,859</w:t>
            </w:r>
          </w:p>
        </w:tc>
        <w:tc>
          <w:tcPr>
            <w:tcW w:w="2036" w:type="dxa"/>
            <w:hideMark/>
          </w:tcPr>
          <w:p w14:paraId="33986AA1" w14:textId="77777777" w:rsidR="00B575B7" w:rsidRPr="009B57B3" w:rsidRDefault="00B575B7" w:rsidP="00760781">
            <w:pPr>
              <w:pStyle w:val="NormalWeb"/>
              <w:jc w:val="center"/>
              <w:rPr>
                <w:sz w:val="18"/>
                <w:szCs w:val="18"/>
              </w:rPr>
            </w:pPr>
            <w:r w:rsidRPr="009B57B3">
              <w:rPr>
                <w:sz w:val="18"/>
                <w:szCs w:val="18"/>
              </w:rPr>
              <w:t>101,534</w:t>
            </w:r>
          </w:p>
        </w:tc>
        <w:tc>
          <w:tcPr>
            <w:tcW w:w="2037" w:type="dxa"/>
            <w:hideMark/>
          </w:tcPr>
          <w:p w14:paraId="793F6ACA" w14:textId="77777777" w:rsidR="00B575B7" w:rsidRPr="009B57B3" w:rsidRDefault="00B575B7" w:rsidP="00760781">
            <w:pPr>
              <w:pStyle w:val="NormalWeb"/>
              <w:jc w:val="center"/>
              <w:rPr>
                <w:sz w:val="18"/>
                <w:szCs w:val="18"/>
              </w:rPr>
            </w:pPr>
            <w:r w:rsidRPr="009B57B3">
              <w:rPr>
                <w:sz w:val="18"/>
                <w:szCs w:val="18"/>
              </w:rPr>
              <w:t>58.0</w:t>
            </w:r>
          </w:p>
        </w:tc>
      </w:tr>
      <w:tr w:rsidR="00B575B7" w:rsidRPr="009B57B3" w14:paraId="0A8548BB" w14:textId="77777777" w:rsidTr="00ED0F75">
        <w:trPr>
          <w:cnfStyle w:val="000000010000" w:firstRow="0" w:lastRow="0" w:firstColumn="0" w:lastColumn="0" w:oddVBand="0" w:evenVBand="0" w:oddHBand="0" w:evenHBand="1" w:firstRowFirstColumn="0" w:firstRowLastColumn="0" w:lastRowFirstColumn="0" w:lastRowLastColumn="0"/>
        </w:trPr>
        <w:tc>
          <w:tcPr>
            <w:tcW w:w="0" w:type="auto"/>
            <w:hideMark/>
          </w:tcPr>
          <w:p w14:paraId="01C6646A" w14:textId="77777777" w:rsidR="00B575B7" w:rsidRPr="009B57B3" w:rsidRDefault="00B575B7">
            <w:pPr>
              <w:pStyle w:val="NormalWeb"/>
              <w:rPr>
                <w:sz w:val="18"/>
                <w:szCs w:val="18"/>
              </w:rPr>
            </w:pPr>
            <w:r w:rsidRPr="009B57B3">
              <w:rPr>
                <w:sz w:val="18"/>
                <w:szCs w:val="18"/>
              </w:rPr>
              <w:t>Yes</w:t>
            </w:r>
          </w:p>
        </w:tc>
        <w:tc>
          <w:tcPr>
            <w:tcW w:w="2036" w:type="dxa"/>
            <w:hideMark/>
          </w:tcPr>
          <w:p w14:paraId="3306F9CB" w14:textId="77777777" w:rsidR="00B575B7" w:rsidRPr="009B57B3" w:rsidRDefault="00B575B7" w:rsidP="00760781">
            <w:pPr>
              <w:pStyle w:val="NormalWeb"/>
              <w:jc w:val="center"/>
              <w:rPr>
                <w:sz w:val="18"/>
                <w:szCs w:val="18"/>
              </w:rPr>
            </w:pPr>
            <w:r w:rsidRPr="009B57B3">
              <w:rPr>
                <w:sz w:val="18"/>
                <w:szCs w:val="18"/>
              </w:rPr>
              <w:t>106</w:t>
            </w:r>
          </w:p>
        </w:tc>
        <w:tc>
          <w:tcPr>
            <w:tcW w:w="2036" w:type="dxa"/>
            <w:hideMark/>
          </w:tcPr>
          <w:p w14:paraId="2DA9BEEF" w14:textId="77777777" w:rsidR="00B575B7" w:rsidRPr="009B57B3" w:rsidRDefault="00B575B7" w:rsidP="00760781">
            <w:pPr>
              <w:pStyle w:val="NormalWeb"/>
              <w:jc w:val="center"/>
              <w:rPr>
                <w:sz w:val="18"/>
                <w:szCs w:val="18"/>
              </w:rPr>
            </w:pPr>
            <w:r w:rsidRPr="009B57B3">
              <w:rPr>
                <w:sz w:val="18"/>
                <w:szCs w:val="18"/>
              </w:rPr>
              <w:t>196</w:t>
            </w:r>
          </w:p>
        </w:tc>
        <w:tc>
          <w:tcPr>
            <w:tcW w:w="2036" w:type="dxa"/>
            <w:hideMark/>
          </w:tcPr>
          <w:p w14:paraId="640EADAA" w14:textId="77777777" w:rsidR="00B575B7" w:rsidRPr="009B57B3" w:rsidRDefault="00B575B7" w:rsidP="00760781">
            <w:pPr>
              <w:pStyle w:val="NormalWeb"/>
              <w:jc w:val="center"/>
              <w:rPr>
                <w:sz w:val="18"/>
                <w:szCs w:val="18"/>
              </w:rPr>
            </w:pPr>
            <w:r w:rsidRPr="009B57B3">
              <w:rPr>
                <w:sz w:val="18"/>
                <w:szCs w:val="18"/>
              </w:rPr>
              <w:t>54.1</w:t>
            </w:r>
          </w:p>
        </w:tc>
        <w:tc>
          <w:tcPr>
            <w:tcW w:w="2036" w:type="dxa"/>
            <w:hideMark/>
          </w:tcPr>
          <w:p w14:paraId="2229409B" w14:textId="77777777" w:rsidR="00B575B7" w:rsidRPr="009B57B3" w:rsidRDefault="00B575B7" w:rsidP="00760781">
            <w:pPr>
              <w:pStyle w:val="NormalWeb"/>
              <w:jc w:val="center"/>
              <w:rPr>
                <w:sz w:val="18"/>
                <w:szCs w:val="18"/>
              </w:rPr>
            </w:pPr>
            <w:r w:rsidRPr="009B57B3">
              <w:rPr>
                <w:sz w:val="18"/>
                <w:szCs w:val="18"/>
              </w:rPr>
              <w:t>22,345</w:t>
            </w:r>
          </w:p>
        </w:tc>
        <w:tc>
          <w:tcPr>
            <w:tcW w:w="2036" w:type="dxa"/>
            <w:hideMark/>
          </w:tcPr>
          <w:p w14:paraId="23A038BA" w14:textId="77777777" w:rsidR="00B575B7" w:rsidRPr="009B57B3" w:rsidRDefault="00B575B7" w:rsidP="00760781">
            <w:pPr>
              <w:pStyle w:val="NormalWeb"/>
              <w:jc w:val="center"/>
              <w:rPr>
                <w:sz w:val="18"/>
                <w:szCs w:val="18"/>
              </w:rPr>
            </w:pPr>
            <w:r w:rsidRPr="009B57B3">
              <w:rPr>
                <w:sz w:val="18"/>
                <w:szCs w:val="18"/>
              </w:rPr>
              <w:t>30,509</w:t>
            </w:r>
          </w:p>
        </w:tc>
        <w:tc>
          <w:tcPr>
            <w:tcW w:w="2037" w:type="dxa"/>
            <w:hideMark/>
          </w:tcPr>
          <w:p w14:paraId="54ACF6CF" w14:textId="77777777" w:rsidR="00B575B7" w:rsidRPr="009B57B3" w:rsidRDefault="00B575B7" w:rsidP="00760781">
            <w:pPr>
              <w:pStyle w:val="NormalWeb"/>
              <w:jc w:val="center"/>
              <w:rPr>
                <w:sz w:val="18"/>
                <w:szCs w:val="18"/>
              </w:rPr>
            </w:pPr>
            <w:r w:rsidRPr="009B57B3">
              <w:rPr>
                <w:sz w:val="18"/>
                <w:szCs w:val="18"/>
              </w:rPr>
              <w:t>73.2</w:t>
            </w:r>
          </w:p>
        </w:tc>
      </w:tr>
      <w:tr w:rsidR="00DD55F2" w:rsidRPr="009B57B3" w14:paraId="2FFF5A45" w14:textId="77777777" w:rsidTr="00ED0F75">
        <w:tc>
          <w:tcPr>
            <w:tcW w:w="0" w:type="auto"/>
            <w:shd w:val="clear" w:color="auto" w:fill="808080" w:themeFill="background1" w:themeFillShade="80"/>
            <w:hideMark/>
          </w:tcPr>
          <w:p w14:paraId="3643E621" w14:textId="77777777" w:rsidR="00B575B7" w:rsidRPr="009B57B3" w:rsidRDefault="00B575B7">
            <w:pPr>
              <w:pStyle w:val="NormalWeb"/>
              <w:rPr>
                <w:b/>
                <w:color w:val="FFFFFF" w:themeColor="background1"/>
                <w:sz w:val="18"/>
                <w:szCs w:val="18"/>
              </w:rPr>
            </w:pPr>
            <w:r w:rsidRPr="009B57B3">
              <w:rPr>
                <w:b/>
                <w:color w:val="FFFFFF" w:themeColor="background1"/>
                <w:sz w:val="18"/>
                <w:szCs w:val="18"/>
              </w:rPr>
              <w:t>In paid employment</w:t>
            </w:r>
          </w:p>
        </w:tc>
        <w:tc>
          <w:tcPr>
            <w:tcW w:w="2036" w:type="dxa"/>
            <w:shd w:val="clear" w:color="auto" w:fill="808080" w:themeFill="background1" w:themeFillShade="80"/>
            <w:hideMark/>
          </w:tcPr>
          <w:p w14:paraId="65E062AB" w14:textId="77777777" w:rsidR="00B575B7" w:rsidRPr="009B57B3" w:rsidRDefault="00B575B7" w:rsidP="00760781">
            <w:pPr>
              <w:jc w:val="center"/>
              <w:rPr>
                <w:b/>
                <w:color w:val="FFFFFF" w:themeColor="background1"/>
                <w:sz w:val="18"/>
                <w:szCs w:val="18"/>
              </w:rPr>
            </w:pPr>
          </w:p>
        </w:tc>
        <w:tc>
          <w:tcPr>
            <w:tcW w:w="2036" w:type="dxa"/>
            <w:shd w:val="clear" w:color="auto" w:fill="808080" w:themeFill="background1" w:themeFillShade="80"/>
            <w:hideMark/>
          </w:tcPr>
          <w:p w14:paraId="6C361C6D" w14:textId="77777777" w:rsidR="00B575B7" w:rsidRPr="009B57B3" w:rsidRDefault="00B575B7" w:rsidP="00760781">
            <w:pPr>
              <w:jc w:val="center"/>
              <w:rPr>
                <w:rFonts w:eastAsia="Times New Roman"/>
                <w:b/>
                <w:color w:val="FFFFFF" w:themeColor="background1"/>
                <w:sz w:val="18"/>
                <w:szCs w:val="18"/>
              </w:rPr>
            </w:pPr>
          </w:p>
        </w:tc>
        <w:tc>
          <w:tcPr>
            <w:tcW w:w="2036" w:type="dxa"/>
            <w:shd w:val="clear" w:color="auto" w:fill="808080" w:themeFill="background1" w:themeFillShade="80"/>
            <w:hideMark/>
          </w:tcPr>
          <w:p w14:paraId="72ED676C" w14:textId="77777777" w:rsidR="00B575B7" w:rsidRPr="009B57B3" w:rsidRDefault="00B575B7" w:rsidP="00760781">
            <w:pPr>
              <w:jc w:val="center"/>
              <w:rPr>
                <w:rFonts w:eastAsia="Times New Roman"/>
                <w:b/>
                <w:color w:val="FFFFFF" w:themeColor="background1"/>
                <w:sz w:val="18"/>
                <w:szCs w:val="18"/>
              </w:rPr>
            </w:pPr>
          </w:p>
        </w:tc>
        <w:tc>
          <w:tcPr>
            <w:tcW w:w="2036" w:type="dxa"/>
            <w:shd w:val="clear" w:color="auto" w:fill="808080" w:themeFill="background1" w:themeFillShade="80"/>
            <w:hideMark/>
          </w:tcPr>
          <w:p w14:paraId="18A594BF" w14:textId="77777777" w:rsidR="00B575B7" w:rsidRPr="009B57B3" w:rsidRDefault="00B575B7" w:rsidP="00760781">
            <w:pPr>
              <w:jc w:val="center"/>
              <w:rPr>
                <w:rFonts w:eastAsia="Times New Roman"/>
                <w:b/>
                <w:color w:val="FFFFFF" w:themeColor="background1"/>
                <w:sz w:val="18"/>
                <w:szCs w:val="18"/>
              </w:rPr>
            </w:pPr>
          </w:p>
        </w:tc>
        <w:tc>
          <w:tcPr>
            <w:tcW w:w="2036" w:type="dxa"/>
            <w:shd w:val="clear" w:color="auto" w:fill="808080" w:themeFill="background1" w:themeFillShade="80"/>
            <w:hideMark/>
          </w:tcPr>
          <w:p w14:paraId="23481644" w14:textId="77777777" w:rsidR="00B575B7" w:rsidRPr="009B57B3" w:rsidRDefault="00B575B7" w:rsidP="00760781">
            <w:pPr>
              <w:jc w:val="center"/>
              <w:rPr>
                <w:rFonts w:eastAsia="Times New Roman"/>
                <w:b/>
                <w:color w:val="FFFFFF" w:themeColor="background1"/>
                <w:sz w:val="18"/>
                <w:szCs w:val="18"/>
              </w:rPr>
            </w:pPr>
          </w:p>
        </w:tc>
        <w:tc>
          <w:tcPr>
            <w:tcW w:w="2037" w:type="dxa"/>
            <w:shd w:val="clear" w:color="auto" w:fill="808080" w:themeFill="background1" w:themeFillShade="80"/>
            <w:hideMark/>
          </w:tcPr>
          <w:p w14:paraId="1F8AEEFE" w14:textId="77777777" w:rsidR="00B575B7" w:rsidRPr="009B57B3" w:rsidRDefault="00B575B7" w:rsidP="00760781">
            <w:pPr>
              <w:jc w:val="center"/>
              <w:rPr>
                <w:rFonts w:eastAsia="Times New Roman"/>
                <w:b/>
                <w:color w:val="FFFFFF" w:themeColor="background1"/>
                <w:sz w:val="18"/>
                <w:szCs w:val="18"/>
              </w:rPr>
            </w:pPr>
          </w:p>
        </w:tc>
      </w:tr>
      <w:tr w:rsidR="00B575B7" w:rsidRPr="009B57B3" w14:paraId="5FEBED56" w14:textId="77777777" w:rsidTr="00ED0F75">
        <w:trPr>
          <w:cnfStyle w:val="000000010000" w:firstRow="0" w:lastRow="0" w:firstColumn="0" w:lastColumn="0" w:oddVBand="0" w:evenVBand="0" w:oddHBand="0" w:evenHBand="1" w:firstRowFirstColumn="0" w:firstRowLastColumn="0" w:lastRowFirstColumn="0" w:lastRowLastColumn="0"/>
        </w:trPr>
        <w:tc>
          <w:tcPr>
            <w:tcW w:w="0" w:type="auto"/>
            <w:hideMark/>
          </w:tcPr>
          <w:p w14:paraId="7236D44B" w14:textId="77777777" w:rsidR="00B575B7" w:rsidRPr="009B57B3" w:rsidRDefault="00B575B7">
            <w:pPr>
              <w:pStyle w:val="NormalWeb"/>
              <w:rPr>
                <w:sz w:val="18"/>
                <w:szCs w:val="18"/>
              </w:rPr>
            </w:pPr>
            <w:r w:rsidRPr="009B57B3">
              <w:rPr>
                <w:sz w:val="18"/>
                <w:szCs w:val="18"/>
              </w:rPr>
              <w:t>No</w:t>
            </w:r>
          </w:p>
        </w:tc>
        <w:tc>
          <w:tcPr>
            <w:tcW w:w="2036" w:type="dxa"/>
            <w:hideMark/>
          </w:tcPr>
          <w:p w14:paraId="3C7B292C" w14:textId="77777777" w:rsidR="00B575B7" w:rsidRPr="009B57B3" w:rsidRDefault="00B575B7" w:rsidP="00760781">
            <w:pPr>
              <w:pStyle w:val="NormalWeb"/>
              <w:jc w:val="center"/>
              <w:rPr>
                <w:sz w:val="18"/>
                <w:szCs w:val="18"/>
              </w:rPr>
            </w:pPr>
            <w:r w:rsidRPr="009B57B3">
              <w:rPr>
                <w:sz w:val="18"/>
                <w:szCs w:val="18"/>
              </w:rPr>
              <w:t>259</w:t>
            </w:r>
          </w:p>
        </w:tc>
        <w:tc>
          <w:tcPr>
            <w:tcW w:w="2036" w:type="dxa"/>
            <w:hideMark/>
          </w:tcPr>
          <w:p w14:paraId="5BE7546D" w14:textId="77777777" w:rsidR="00B575B7" w:rsidRPr="009B57B3" w:rsidRDefault="00B575B7" w:rsidP="00760781">
            <w:pPr>
              <w:pStyle w:val="NormalWeb"/>
              <w:jc w:val="center"/>
              <w:rPr>
                <w:sz w:val="18"/>
                <w:szCs w:val="18"/>
              </w:rPr>
            </w:pPr>
            <w:r w:rsidRPr="009B57B3">
              <w:rPr>
                <w:sz w:val="18"/>
                <w:szCs w:val="18"/>
              </w:rPr>
              <w:t>678</w:t>
            </w:r>
          </w:p>
        </w:tc>
        <w:tc>
          <w:tcPr>
            <w:tcW w:w="2036" w:type="dxa"/>
            <w:hideMark/>
          </w:tcPr>
          <w:p w14:paraId="549EB276" w14:textId="77777777" w:rsidR="00B575B7" w:rsidRPr="009B57B3" w:rsidRDefault="00B575B7" w:rsidP="00760781">
            <w:pPr>
              <w:pStyle w:val="NormalWeb"/>
              <w:jc w:val="center"/>
              <w:rPr>
                <w:sz w:val="18"/>
                <w:szCs w:val="18"/>
              </w:rPr>
            </w:pPr>
            <w:r w:rsidRPr="009B57B3">
              <w:rPr>
                <w:sz w:val="18"/>
                <w:szCs w:val="18"/>
              </w:rPr>
              <w:t>38.2</w:t>
            </w:r>
          </w:p>
        </w:tc>
        <w:tc>
          <w:tcPr>
            <w:tcW w:w="2036" w:type="dxa"/>
            <w:hideMark/>
          </w:tcPr>
          <w:p w14:paraId="6731430A" w14:textId="77777777" w:rsidR="00B575B7" w:rsidRPr="009B57B3" w:rsidRDefault="00B575B7" w:rsidP="00760781">
            <w:pPr>
              <w:pStyle w:val="NormalWeb"/>
              <w:jc w:val="center"/>
              <w:rPr>
                <w:sz w:val="18"/>
                <w:szCs w:val="18"/>
              </w:rPr>
            </w:pPr>
            <w:r w:rsidRPr="009B57B3">
              <w:rPr>
                <w:sz w:val="18"/>
                <w:szCs w:val="18"/>
              </w:rPr>
              <w:t>37,004</w:t>
            </w:r>
          </w:p>
        </w:tc>
        <w:tc>
          <w:tcPr>
            <w:tcW w:w="2036" w:type="dxa"/>
            <w:hideMark/>
          </w:tcPr>
          <w:p w14:paraId="67E5BF3B" w14:textId="77777777" w:rsidR="00B575B7" w:rsidRPr="009B57B3" w:rsidRDefault="00B575B7" w:rsidP="00760781">
            <w:pPr>
              <w:pStyle w:val="NormalWeb"/>
              <w:jc w:val="center"/>
              <w:rPr>
                <w:sz w:val="18"/>
                <w:szCs w:val="18"/>
              </w:rPr>
            </w:pPr>
            <w:r w:rsidRPr="009B57B3">
              <w:rPr>
                <w:sz w:val="18"/>
                <w:szCs w:val="18"/>
              </w:rPr>
              <w:t>64,034</w:t>
            </w:r>
          </w:p>
        </w:tc>
        <w:tc>
          <w:tcPr>
            <w:tcW w:w="2037" w:type="dxa"/>
            <w:hideMark/>
          </w:tcPr>
          <w:p w14:paraId="73E62A26" w14:textId="77777777" w:rsidR="00B575B7" w:rsidRPr="009B57B3" w:rsidRDefault="00B575B7" w:rsidP="00760781">
            <w:pPr>
              <w:pStyle w:val="NormalWeb"/>
              <w:jc w:val="center"/>
              <w:rPr>
                <w:sz w:val="18"/>
                <w:szCs w:val="18"/>
              </w:rPr>
            </w:pPr>
            <w:r w:rsidRPr="009B57B3">
              <w:rPr>
                <w:sz w:val="18"/>
                <w:szCs w:val="18"/>
              </w:rPr>
              <w:t>57.8</w:t>
            </w:r>
          </w:p>
        </w:tc>
      </w:tr>
      <w:tr w:rsidR="00B575B7" w:rsidRPr="009B57B3" w14:paraId="1F3B85BE" w14:textId="77777777" w:rsidTr="00ED0F75">
        <w:tc>
          <w:tcPr>
            <w:tcW w:w="0" w:type="auto"/>
            <w:hideMark/>
          </w:tcPr>
          <w:p w14:paraId="78FCEE0E" w14:textId="77777777" w:rsidR="00B575B7" w:rsidRPr="009B57B3" w:rsidRDefault="00B575B7">
            <w:pPr>
              <w:pStyle w:val="NormalWeb"/>
              <w:rPr>
                <w:sz w:val="18"/>
                <w:szCs w:val="18"/>
              </w:rPr>
            </w:pPr>
            <w:r w:rsidRPr="009B57B3">
              <w:rPr>
                <w:sz w:val="18"/>
                <w:szCs w:val="18"/>
              </w:rPr>
              <w:t>Yes</w:t>
            </w:r>
          </w:p>
        </w:tc>
        <w:tc>
          <w:tcPr>
            <w:tcW w:w="2036" w:type="dxa"/>
            <w:hideMark/>
          </w:tcPr>
          <w:p w14:paraId="1A458BEB" w14:textId="77777777" w:rsidR="00B575B7" w:rsidRPr="009B57B3" w:rsidRDefault="00B575B7" w:rsidP="00760781">
            <w:pPr>
              <w:pStyle w:val="NormalWeb"/>
              <w:jc w:val="center"/>
              <w:rPr>
                <w:sz w:val="18"/>
                <w:szCs w:val="18"/>
              </w:rPr>
            </w:pPr>
            <w:r w:rsidRPr="009B57B3">
              <w:rPr>
                <w:sz w:val="18"/>
                <w:szCs w:val="18"/>
              </w:rPr>
              <w:t>309</w:t>
            </w:r>
          </w:p>
        </w:tc>
        <w:tc>
          <w:tcPr>
            <w:tcW w:w="2036" w:type="dxa"/>
            <w:hideMark/>
          </w:tcPr>
          <w:p w14:paraId="79158185" w14:textId="77777777" w:rsidR="00B575B7" w:rsidRPr="009B57B3" w:rsidRDefault="00B575B7" w:rsidP="00760781">
            <w:pPr>
              <w:pStyle w:val="NormalWeb"/>
              <w:jc w:val="center"/>
              <w:rPr>
                <w:sz w:val="18"/>
                <w:szCs w:val="18"/>
              </w:rPr>
            </w:pPr>
            <w:r w:rsidRPr="009B57B3">
              <w:rPr>
                <w:sz w:val="18"/>
                <w:szCs w:val="18"/>
              </w:rPr>
              <w:t>651</w:t>
            </w:r>
          </w:p>
        </w:tc>
        <w:tc>
          <w:tcPr>
            <w:tcW w:w="2036" w:type="dxa"/>
            <w:hideMark/>
          </w:tcPr>
          <w:p w14:paraId="4916D2A3" w14:textId="77777777" w:rsidR="00B575B7" w:rsidRPr="009B57B3" w:rsidRDefault="00B575B7" w:rsidP="00760781">
            <w:pPr>
              <w:pStyle w:val="NormalWeb"/>
              <w:jc w:val="center"/>
              <w:rPr>
                <w:sz w:val="18"/>
                <w:szCs w:val="18"/>
              </w:rPr>
            </w:pPr>
            <w:r w:rsidRPr="009B57B3">
              <w:rPr>
                <w:sz w:val="18"/>
                <w:szCs w:val="18"/>
              </w:rPr>
              <w:t>47.5</w:t>
            </w:r>
          </w:p>
        </w:tc>
        <w:tc>
          <w:tcPr>
            <w:tcW w:w="2036" w:type="dxa"/>
            <w:hideMark/>
          </w:tcPr>
          <w:p w14:paraId="0B9B92DB" w14:textId="77777777" w:rsidR="00B575B7" w:rsidRPr="009B57B3" w:rsidRDefault="00B575B7" w:rsidP="00760781">
            <w:pPr>
              <w:pStyle w:val="NormalWeb"/>
              <w:jc w:val="center"/>
              <w:rPr>
                <w:sz w:val="18"/>
                <w:szCs w:val="18"/>
              </w:rPr>
            </w:pPr>
            <w:r w:rsidRPr="009B57B3">
              <w:rPr>
                <w:sz w:val="18"/>
                <w:szCs w:val="18"/>
              </w:rPr>
              <w:t>44,841</w:t>
            </w:r>
          </w:p>
        </w:tc>
        <w:tc>
          <w:tcPr>
            <w:tcW w:w="2036" w:type="dxa"/>
            <w:hideMark/>
          </w:tcPr>
          <w:p w14:paraId="6A5D94A7" w14:textId="77777777" w:rsidR="00B575B7" w:rsidRPr="009B57B3" w:rsidRDefault="00B575B7" w:rsidP="00760781">
            <w:pPr>
              <w:pStyle w:val="NormalWeb"/>
              <w:jc w:val="center"/>
              <w:rPr>
                <w:sz w:val="18"/>
                <w:szCs w:val="18"/>
              </w:rPr>
            </w:pPr>
            <w:r w:rsidRPr="009B57B3">
              <w:rPr>
                <w:sz w:val="18"/>
                <w:szCs w:val="18"/>
              </w:rPr>
              <w:t>69,507</w:t>
            </w:r>
          </w:p>
        </w:tc>
        <w:tc>
          <w:tcPr>
            <w:tcW w:w="2037" w:type="dxa"/>
            <w:hideMark/>
          </w:tcPr>
          <w:p w14:paraId="231CB43E" w14:textId="77777777" w:rsidR="00B575B7" w:rsidRPr="009B57B3" w:rsidRDefault="00B575B7" w:rsidP="00760781">
            <w:pPr>
              <w:pStyle w:val="NormalWeb"/>
              <w:jc w:val="center"/>
              <w:rPr>
                <w:sz w:val="18"/>
                <w:szCs w:val="18"/>
              </w:rPr>
            </w:pPr>
            <w:r w:rsidRPr="009B57B3">
              <w:rPr>
                <w:sz w:val="18"/>
                <w:szCs w:val="18"/>
              </w:rPr>
              <w:t>64.5</w:t>
            </w:r>
          </w:p>
        </w:tc>
      </w:tr>
      <w:tr w:rsidR="00DD55F2" w:rsidRPr="009B57B3" w14:paraId="242B93FE" w14:textId="77777777" w:rsidTr="00ED0F75">
        <w:trPr>
          <w:cnfStyle w:val="000000010000" w:firstRow="0" w:lastRow="0" w:firstColumn="0" w:lastColumn="0" w:oddVBand="0" w:evenVBand="0" w:oddHBand="0" w:evenHBand="1" w:firstRowFirstColumn="0" w:firstRowLastColumn="0" w:lastRowFirstColumn="0" w:lastRowLastColumn="0"/>
        </w:trPr>
        <w:tc>
          <w:tcPr>
            <w:tcW w:w="0" w:type="auto"/>
            <w:shd w:val="clear" w:color="auto" w:fill="808080" w:themeFill="background1" w:themeFillShade="80"/>
            <w:hideMark/>
          </w:tcPr>
          <w:p w14:paraId="49868DFC" w14:textId="77777777" w:rsidR="00B575B7" w:rsidRPr="009B57B3" w:rsidRDefault="00B575B7">
            <w:pPr>
              <w:pStyle w:val="NormalWeb"/>
              <w:rPr>
                <w:b/>
                <w:color w:val="FFFFFF" w:themeColor="background1"/>
                <w:sz w:val="18"/>
                <w:szCs w:val="18"/>
              </w:rPr>
            </w:pPr>
            <w:r w:rsidRPr="009B57B3">
              <w:rPr>
                <w:b/>
                <w:color w:val="FFFFFF" w:themeColor="background1"/>
                <w:sz w:val="18"/>
                <w:szCs w:val="18"/>
              </w:rPr>
              <w:t>Need assistance with daily tasks</w:t>
            </w:r>
          </w:p>
        </w:tc>
        <w:tc>
          <w:tcPr>
            <w:tcW w:w="2036" w:type="dxa"/>
            <w:shd w:val="clear" w:color="auto" w:fill="808080" w:themeFill="background1" w:themeFillShade="80"/>
            <w:hideMark/>
          </w:tcPr>
          <w:p w14:paraId="4A01CCB8" w14:textId="77777777" w:rsidR="00B575B7" w:rsidRPr="009B57B3" w:rsidRDefault="00B575B7" w:rsidP="00760781">
            <w:pPr>
              <w:jc w:val="center"/>
              <w:rPr>
                <w:b/>
                <w:color w:val="FFFFFF" w:themeColor="background1"/>
                <w:sz w:val="18"/>
                <w:szCs w:val="18"/>
              </w:rPr>
            </w:pPr>
          </w:p>
        </w:tc>
        <w:tc>
          <w:tcPr>
            <w:tcW w:w="2036" w:type="dxa"/>
            <w:shd w:val="clear" w:color="auto" w:fill="808080" w:themeFill="background1" w:themeFillShade="80"/>
            <w:hideMark/>
          </w:tcPr>
          <w:p w14:paraId="42179652" w14:textId="77777777" w:rsidR="00B575B7" w:rsidRPr="009B57B3" w:rsidRDefault="00B575B7" w:rsidP="00760781">
            <w:pPr>
              <w:jc w:val="center"/>
              <w:rPr>
                <w:rFonts w:eastAsia="Times New Roman"/>
                <w:b/>
                <w:color w:val="FFFFFF" w:themeColor="background1"/>
                <w:sz w:val="18"/>
                <w:szCs w:val="18"/>
              </w:rPr>
            </w:pPr>
          </w:p>
        </w:tc>
        <w:tc>
          <w:tcPr>
            <w:tcW w:w="2036" w:type="dxa"/>
            <w:shd w:val="clear" w:color="auto" w:fill="808080" w:themeFill="background1" w:themeFillShade="80"/>
            <w:hideMark/>
          </w:tcPr>
          <w:p w14:paraId="1DEE9BB6" w14:textId="77777777" w:rsidR="00B575B7" w:rsidRPr="009B57B3" w:rsidRDefault="00B575B7" w:rsidP="00760781">
            <w:pPr>
              <w:jc w:val="center"/>
              <w:rPr>
                <w:rFonts w:eastAsia="Times New Roman"/>
                <w:b/>
                <w:color w:val="FFFFFF" w:themeColor="background1"/>
                <w:sz w:val="18"/>
                <w:szCs w:val="18"/>
              </w:rPr>
            </w:pPr>
          </w:p>
        </w:tc>
        <w:tc>
          <w:tcPr>
            <w:tcW w:w="2036" w:type="dxa"/>
            <w:shd w:val="clear" w:color="auto" w:fill="808080" w:themeFill="background1" w:themeFillShade="80"/>
            <w:hideMark/>
          </w:tcPr>
          <w:p w14:paraId="65D85960" w14:textId="77777777" w:rsidR="00B575B7" w:rsidRPr="009B57B3" w:rsidRDefault="00B575B7" w:rsidP="00760781">
            <w:pPr>
              <w:jc w:val="center"/>
              <w:rPr>
                <w:rFonts w:eastAsia="Times New Roman"/>
                <w:b/>
                <w:color w:val="FFFFFF" w:themeColor="background1"/>
                <w:sz w:val="18"/>
                <w:szCs w:val="18"/>
              </w:rPr>
            </w:pPr>
          </w:p>
        </w:tc>
        <w:tc>
          <w:tcPr>
            <w:tcW w:w="2036" w:type="dxa"/>
            <w:shd w:val="clear" w:color="auto" w:fill="808080" w:themeFill="background1" w:themeFillShade="80"/>
            <w:hideMark/>
          </w:tcPr>
          <w:p w14:paraId="37E9A3EC" w14:textId="77777777" w:rsidR="00B575B7" w:rsidRPr="009B57B3" w:rsidRDefault="00B575B7" w:rsidP="00760781">
            <w:pPr>
              <w:jc w:val="center"/>
              <w:rPr>
                <w:rFonts w:eastAsia="Times New Roman"/>
                <w:b/>
                <w:color w:val="FFFFFF" w:themeColor="background1"/>
                <w:sz w:val="18"/>
                <w:szCs w:val="18"/>
              </w:rPr>
            </w:pPr>
          </w:p>
        </w:tc>
        <w:tc>
          <w:tcPr>
            <w:tcW w:w="2037" w:type="dxa"/>
            <w:shd w:val="clear" w:color="auto" w:fill="808080" w:themeFill="background1" w:themeFillShade="80"/>
            <w:hideMark/>
          </w:tcPr>
          <w:p w14:paraId="19426BBB" w14:textId="77777777" w:rsidR="00B575B7" w:rsidRPr="009B57B3" w:rsidRDefault="00B575B7" w:rsidP="00760781">
            <w:pPr>
              <w:jc w:val="center"/>
              <w:rPr>
                <w:rFonts w:eastAsia="Times New Roman"/>
                <w:b/>
                <w:color w:val="FFFFFF" w:themeColor="background1"/>
                <w:sz w:val="18"/>
                <w:szCs w:val="18"/>
              </w:rPr>
            </w:pPr>
          </w:p>
        </w:tc>
      </w:tr>
      <w:tr w:rsidR="00B575B7" w:rsidRPr="009B57B3" w14:paraId="0C2C0022" w14:textId="77777777" w:rsidTr="00ED0F75">
        <w:tc>
          <w:tcPr>
            <w:tcW w:w="0" w:type="auto"/>
            <w:hideMark/>
          </w:tcPr>
          <w:p w14:paraId="36D92D73" w14:textId="77777777" w:rsidR="00B575B7" w:rsidRPr="009B57B3" w:rsidRDefault="00B575B7">
            <w:pPr>
              <w:pStyle w:val="NormalWeb"/>
              <w:rPr>
                <w:sz w:val="18"/>
                <w:szCs w:val="18"/>
              </w:rPr>
            </w:pPr>
            <w:r w:rsidRPr="009B57B3">
              <w:rPr>
                <w:sz w:val="18"/>
                <w:szCs w:val="18"/>
              </w:rPr>
              <w:t>No</w:t>
            </w:r>
          </w:p>
        </w:tc>
        <w:tc>
          <w:tcPr>
            <w:tcW w:w="2036" w:type="dxa"/>
            <w:hideMark/>
          </w:tcPr>
          <w:p w14:paraId="44B154C4" w14:textId="77777777" w:rsidR="00B575B7" w:rsidRPr="009B57B3" w:rsidRDefault="00B575B7" w:rsidP="00760781">
            <w:pPr>
              <w:pStyle w:val="NormalWeb"/>
              <w:jc w:val="center"/>
              <w:rPr>
                <w:sz w:val="18"/>
                <w:szCs w:val="18"/>
              </w:rPr>
            </w:pPr>
            <w:r w:rsidRPr="009B57B3">
              <w:rPr>
                <w:sz w:val="18"/>
                <w:szCs w:val="18"/>
              </w:rPr>
              <w:t>482</w:t>
            </w:r>
          </w:p>
        </w:tc>
        <w:tc>
          <w:tcPr>
            <w:tcW w:w="2036" w:type="dxa"/>
            <w:hideMark/>
          </w:tcPr>
          <w:p w14:paraId="620DC1B0" w14:textId="77777777" w:rsidR="00B575B7" w:rsidRPr="009B57B3" w:rsidRDefault="00B575B7" w:rsidP="00760781">
            <w:pPr>
              <w:pStyle w:val="NormalWeb"/>
              <w:jc w:val="center"/>
              <w:rPr>
                <w:sz w:val="18"/>
                <w:szCs w:val="18"/>
              </w:rPr>
            </w:pPr>
            <w:r w:rsidRPr="009B57B3">
              <w:rPr>
                <w:sz w:val="18"/>
                <w:szCs w:val="18"/>
              </w:rPr>
              <w:t>1,096</w:t>
            </w:r>
          </w:p>
        </w:tc>
        <w:tc>
          <w:tcPr>
            <w:tcW w:w="2036" w:type="dxa"/>
            <w:hideMark/>
          </w:tcPr>
          <w:p w14:paraId="44CC58A6" w14:textId="77777777" w:rsidR="00B575B7" w:rsidRPr="009B57B3" w:rsidRDefault="00B575B7" w:rsidP="00760781">
            <w:pPr>
              <w:pStyle w:val="NormalWeb"/>
              <w:jc w:val="center"/>
              <w:rPr>
                <w:sz w:val="18"/>
                <w:szCs w:val="18"/>
              </w:rPr>
            </w:pPr>
            <w:r w:rsidRPr="009B57B3">
              <w:rPr>
                <w:sz w:val="18"/>
                <w:szCs w:val="18"/>
              </w:rPr>
              <w:t>44.0</w:t>
            </w:r>
          </w:p>
        </w:tc>
        <w:tc>
          <w:tcPr>
            <w:tcW w:w="2036" w:type="dxa"/>
            <w:hideMark/>
          </w:tcPr>
          <w:p w14:paraId="6E71BEBB" w14:textId="77777777" w:rsidR="00B575B7" w:rsidRPr="009B57B3" w:rsidRDefault="00B575B7" w:rsidP="00760781">
            <w:pPr>
              <w:pStyle w:val="NormalWeb"/>
              <w:jc w:val="center"/>
              <w:rPr>
                <w:sz w:val="18"/>
                <w:szCs w:val="18"/>
              </w:rPr>
            </w:pPr>
            <w:r w:rsidRPr="009B57B3">
              <w:rPr>
                <w:sz w:val="18"/>
                <w:szCs w:val="18"/>
              </w:rPr>
              <w:t>76,656</w:t>
            </w:r>
          </w:p>
        </w:tc>
        <w:tc>
          <w:tcPr>
            <w:tcW w:w="2036" w:type="dxa"/>
            <w:hideMark/>
          </w:tcPr>
          <w:p w14:paraId="1CAEF164" w14:textId="77777777" w:rsidR="00B575B7" w:rsidRPr="009B57B3" w:rsidRDefault="00B575B7" w:rsidP="00760781">
            <w:pPr>
              <w:pStyle w:val="NormalWeb"/>
              <w:jc w:val="center"/>
              <w:rPr>
                <w:sz w:val="18"/>
                <w:szCs w:val="18"/>
              </w:rPr>
            </w:pPr>
            <w:r w:rsidRPr="009B57B3">
              <w:rPr>
                <w:sz w:val="18"/>
                <w:szCs w:val="18"/>
              </w:rPr>
              <w:t>122,478</w:t>
            </w:r>
          </w:p>
        </w:tc>
        <w:tc>
          <w:tcPr>
            <w:tcW w:w="2037" w:type="dxa"/>
            <w:hideMark/>
          </w:tcPr>
          <w:p w14:paraId="7E6F3AB4" w14:textId="77777777" w:rsidR="00B575B7" w:rsidRPr="009B57B3" w:rsidRDefault="00B575B7" w:rsidP="00760781">
            <w:pPr>
              <w:pStyle w:val="NormalWeb"/>
              <w:jc w:val="center"/>
              <w:rPr>
                <w:sz w:val="18"/>
                <w:szCs w:val="18"/>
              </w:rPr>
            </w:pPr>
            <w:r w:rsidRPr="009B57B3">
              <w:rPr>
                <w:sz w:val="18"/>
                <w:szCs w:val="18"/>
              </w:rPr>
              <w:t>62.6</w:t>
            </w:r>
          </w:p>
        </w:tc>
      </w:tr>
      <w:tr w:rsidR="00B575B7" w:rsidRPr="009B57B3" w14:paraId="35F851CC" w14:textId="77777777" w:rsidTr="00ED0F75">
        <w:trPr>
          <w:cnfStyle w:val="000000010000" w:firstRow="0" w:lastRow="0" w:firstColumn="0" w:lastColumn="0" w:oddVBand="0" w:evenVBand="0" w:oddHBand="0" w:evenHBand="1" w:firstRowFirstColumn="0" w:firstRowLastColumn="0" w:lastRowFirstColumn="0" w:lastRowLastColumn="0"/>
        </w:trPr>
        <w:tc>
          <w:tcPr>
            <w:tcW w:w="0" w:type="auto"/>
            <w:hideMark/>
          </w:tcPr>
          <w:p w14:paraId="0F0DCBD5" w14:textId="77777777" w:rsidR="00B575B7" w:rsidRPr="009B57B3" w:rsidRDefault="00B575B7">
            <w:pPr>
              <w:pStyle w:val="NormalWeb"/>
              <w:rPr>
                <w:sz w:val="18"/>
                <w:szCs w:val="18"/>
              </w:rPr>
            </w:pPr>
            <w:r w:rsidRPr="009B57B3">
              <w:rPr>
                <w:sz w:val="18"/>
                <w:szCs w:val="18"/>
              </w:rPr>
              <w:t>Yes</w:t>
            </w:r>
          </w:p>
        </w:tc>
        <w:tc>
          <w:tcPr>
            <w:tcW w:w="2036" w:type="dxa"/>
            <w:hideMark/>
          </w:tcPr>
          <w:p w14:paraId="1F5155B1" w14:textId="77777777" w:rsidR="00B575B7" w:rsidRPr="009B57B3" w:rsidRDefault="00B575B7" w:rsidP="00760781">
            <w:pPr>
              <w:pStyle w:val="NormalWeb"/>
              <w:jc w:val="center"/>
              <w:rPr>
                <w:sz w:val="18"/>
                <w:szCs w:val="18"/>
              </w:rPr>
            </w:pPr>
            <w:r w:rsidRPr="009B57B3">
              <w:rPr>
                <w:sz w:val="18"/>
                <w:szCs w:val="18"/>
              </w:rPr>
              <w:t>56</w:t>
            </w:r>
          </w:p>
        </w:tc>
        <w:tc>
          <w:tcPr>
            <w:tcW w:w="2036" w:type="dxa"/>
            <w:hideMark/>
          </w:tcPr>
          <w:p w14:paraId="0E511A55" w14:textId="77777777" w:rsidR="00B575B7" w:rsidRPr="009B57B3" w:rsidRDefault="00B575B7" w:rsidP="00760781">
            <w:pPr>
              <w:pStyle w:val="NormalWeb"/>
              <w:jc w:val="center"/>
              <w:rPr>
                <w:sz w:val="18"/>
                <w:szCs w:val="18"/>
              </w:rPr>
            </w:pPr>
            <w:r w:rsidRPr="009B57B3">
              <w:rPr>
                <w:sz w:val="18"/>
                <w:szCs w:val="18"/>
              </w:rPr>
              <w:t>145</w:t>
            </w:r>
          </w:p>
        </w:tc>
        <w:tc>
          <w:tcPr>
            <w:tcW w:w="2036" w:type="dxa"/>
            <w:hideMark/>
          </w:tcPr>
          <w:p w14:paraId="586BD6BD" w14:textId="77777777" w:rsidR="00B575B7" w:rsidRPr="009B57B3" w:rsidRDefault="00B575B7" w:rsidP="00760781">
            <w:pPr>
              <w:pStyle w:val="NormalWeb"/>
              <w:jc w:val="center"/>
              <w:rPr>
                <w:sz w:val="18"/>
                <w:szCs w:val="18"/>
              </w:rPr>
            </w:pPr>
            <w:r w:rsidRPr="009B57B3">
              <w:rPr>
                <w:sz w:val="18"/>
                <w:szCs w:val="18"/>
              </w:rPr>
              <w:t>38.6</w:t>
            </w:r>
          </w:p>
        </w:tc>
        <w:tc>
          <w:tcPr>
            <w:tcW w:w="2036" w:type="dxa"/>
            <w:hideMark/>
          </w:tcPr>
          <w:p w14:paraId="3C1A02C7" w14:textId="77777777" w:rsidR="00B575B7" w:rsidRPr="009B57B3" w:rsidRDefault="00B575B7" w:rsidP="00760781">
            <w:pPr>
              <w:pStyle w:val="NormalWeb"/>
              <w:jc w:val="center"/>
              <w:rPr>
                <w:sz w:val="18"/>
                <w:szCs w:val="18"/>
              </w:rPr>
            </w:pPr>
            <w:r w:rsidRPr="009B57B3">
              <w:rPr>
                <w:sz w:val="18"/>
                <w:szCs w:val="18"/>
              </w:rPr>
              <w:t>2,429</w:t>
            </w:r>
          </w:p>
        </w:tc>
        <w:tc>
          <w:tcPr>
            <w:tcW w:w="2036" w:type="dxa"/>
            <w:hideMark/>
          </w:tcPr>
          <w:p w14:paraId="4CE95845" w14:textId="77777777" w:rsidR="00B575B7" w:rsidRPr="009B57B3" w:rsidRDefault="00B575B7" w:rsidP="00760781">
            <w:pPr>
              <w:pStyle w:val="NormalWeb"/>
              <w:jc w:val="center"/>
              <w:rPr>
                <w:sz w:val="18"/>
                <w:szCs w:val="18"/>
              </w:rPr>
            </w:pPr>
            <w:r w:rsidRPr="009B57B3">
              <w:rPr>
                <w:sz w:val="18"/>
                <w:szCs w:val="18"/>
              </w:rPr>
              <w:t>5,433</w:t>
            </w:r>
          </w:p>
        </w:tc>
        <w:tc>
          <w:tcPr>
            <w:tcW w:w="2037" w:type="dxa"/>
            <w:hideMark/>
          </w:tcPr>
          <w:p w14:paraId="2EEC2FF3" w14:textId="77777777" w:rsidR="00B575B7" w:rsidRPr="009B57B3" w:rsidRDefault="00B575B7" w:rsidP="00760781">
            <w:pPr>
              <w:pStyle w:val="NormalWeb"/>
              <w:jc w:val="center"/>
              <w:rPr>
                <w:sz w:val="18"/>
                <w:szCs w:val="18"/>
              </w:rPr>
            </w:pPr>
            <w:r w:rsidRPr="009B57B3">
              <w:rPr>
                <w:sz w:val="18"/>
                <w:szCs w:val="18"/>
              </w:rPr>
              <w:t>44.7</w:t>
            </w:r>
          </w:p>
        </w:tc>
      </w:tr>
      <w:tr w:rsidR="00DD55F2" w:rsidRPr="009B57B3" w14:paraId="126AE264" w14:textId="77777777" w:rsidTr="00ED0F75">
        <w:tc>
          <w:tcPr>
            <w:tcW w:w="0" w:type="auto"/>
            <w:shd w:val="clear" w:color="auto" w:fill="808080" w:themeFill="background1" w:themeFillShade="80"/>
            <w:hideMark/>
          </w:tcPr>
          <w:p w14:paraId="1266D4C1" w14:textId="77777777" w:rsidR="00B575B7" w:rsidRPr="009B57B3" w:rsidRDefault="00B575B7">
            <w:pPr>
              <w:pStyle w:val="NormalWeb"/>
              <w:rPr>
                <w:b/>
                <w:color w:val="FFFFFF" w:themeColor="background1"/>
                <w:sz w:val="18"/>
                <w:szCs w:val="18"/>
              </w:rPr>
            </w:pPr>
            <w:r w:rsidRPr="009B57B3">
              <w:rPr>
                <w:b/>
                <w:color w:val="FFFFFF" w:themeColor="background1"/>
                <w:sz w:val="18"/>
                <w:szCs w:val="18"/>
              </w:rPr>
              <w:t>Smoker</w:t>
            </w:r>
          </w:p>
        </w:tc>
        <w:tc>
          <w:tcPr>
            <w:tcW w:w="2036" w:type="dxa"/>
            <w:shd w:val="clear" w:color="auto" w:fill="808080" w:themeFill="background1" w:themeFillShade="80"/>
            <w:hideMark/>
          </w:tcPr>
          <w:p w14:paraId="0DFCBB32" w14:textId="77777777" w:rsidR="00B575B7" w:rsidRPr="009B57B3" w:rsidRDefault="00B575B7" w:rsidP="00760781">
            <w:pPr>
              <w:jc w:val="center"/>
              <w:rPr>
                <w:b/>
                <w:color w:val="FFFFFF" w:themeColor="background1"/>
                <w:sz w:val="18"/>
                <w:szCs w:val="18"/>
              </w:rPr>
            </w:pPr>
          </w:p>
        </w:tc>
        <w:tc>
          <w:tcPr>
            <w:tcW w:w="2036" w:type="dxa"/>
            <w:shd w:val="clear" w:color="auto" w:fill="808080" w:themeFill="background1" w:themeFillShade="80"/>
            <w:hideMark/>
          </w:tcPr>
          <w:p w14:paraId="33A620CA" w14:textId="77777777" w:rsidR="00B575B7" w:rsidRPr="009B57B3" w:rsidRDefault="00B575B7" w:rsidP="00760781">
            <w:pPr>
              <w:jc w:val="center"/>
              <w:rPr>
                <w:rFonts w:eastAsia="Times New Roman"/>
                <w:b/>
                <w:color w:val="FFFFFF" w:themeColor="background1"/>
                <w:sz w:val="18"/>
                <w:szCs w:val="18"/>
              </w:rPr>
            </w:pPr>
          </w:p>
        </w:tc>
        <w:tc>
          <w:tcPr>
            <w:tcW w:w="2036" w:type="dxa"/>
            <w:shd w:val="clear" w:color="auto" w:fill="808080" w:themeFill="background1" w:themeFillShade="80"/>
            <w:hideMark/>
          </w:tcPr>
          <w:p w14:paraId="0744C4FF" w14:textId="77777777" w:rsidR="00B575B7" w:rsidRPr="009B57B3" w:rsidRDefault="00B575B7" w:rsidP="00760781">
            <w:pPr>
              <w:jc w:val="center"/>
              <w:rPr>
                <w:rFonts w:eastAsia="Times New Roman"/>
                <w:b/>
                <w:color w:val="FFFFFF" w:themeColor="background1"/>
                <w:sz w:val="18"/>
                <w:szCs w:val="18"/>
              </w:rPr>
            </w:pPr>
          </w:p>
        </w:tc>
        <w:tc>
          <w:tcPr>
            <w:tcW w:w="2036" w:type="dxa"/>
            <w:shd w:val="clear" w:color="auto" w:fill="808080" w:themeFill="background1" w:themeFillShade="80"/>
            <w:hideMark/>
          </w:tcPr>
          <w:p w14:paraId="7446156B" w14:textId="77777777" w:rsidR="00B575B7" w:rsidRPr="009B57B3" w:rsidRDefault="00B575B7" w:rsidP="00760781">
            <w:pPr>
              <w:jc w:val="center"/>
              <w:rPr>
                <w:rFonts w:eastAsia="Times New Roman"/>
                <w:b/>
                <w:color w:val="FFFFFF" w:themeColor="background1"/>
                <w:sz w:val="18"/>
                <w:szCs w:val="18"/>
              </w:rPr>
            </w:pPr>
          </w:p>
        </w:tc>
        <w:tc>
          <w:tcPr>
            <w:tcW w:w="2036" w:type="dxa"/>
            <w:shd w:val="clear" w:color="auto" w:fill="808080" w:themeFill="background1" w:themeFillShade="80"/>
            <w:hideMark/>
          </w:tcPr>
          <w:p w14:paraId="3FB09F36" w14:textId="77777777" w:rsidR="00B575B7" w:rsidRPr="009B57B3" w:rsidRDefault="00B575B7" w:rsidP="00760781">
            <w:pPr>
              <w:jc w:val="center"/>
              <w:rPr>
                <w:rFonts w:eastAsia="Times New Roman"/>
                <w:b/>
                <w:color w:val="FFFFFF" w:themeColor="background1"/>
                <w:sz w:val="18"/>
                <w:szCs w:val="18"/>
              </w:rPr>
            </w:pPr>
          </w:p>
        </w:tc>
        <w:tc>
          <w:tcPr>
            <w:tcW w:w="2037" w:type="dxa"/>
            <w:shd w:val="clear" w:color="auto" w:fill="808080" w:themeFill="background1" w:themeFillShade="80"/>
            <w:hideMark/>
          </w:tcPr>
          <w:p w14:paraId="75D89F79" w14:textId="77777777" w:rsidR="00B575B7" w:rsidRPr="009B57B3" w:rsidRDefault="00B575B7" w:rsidP="00760781">
            <w:pPr>
              <w:jc w:val="center"/>
              <w:rPr>
                <w:rFonts w:eastAsia="Times New Roman"/>
                <w:b/>
                <w:color w:val="FFFFFF" w:themeColor="background1"/>
                <w:sz w:val="18"/>
                <w:szCs w:val="18"/>
              </w:rPr>
            </w:pPr>
          </w:p>
        </w:tc>
      </w:tr>
      <w:tr w:rsidR="00B575B7" w:rsidRPr="009B57B3" w14:paraId="67929E89" w14:textId="77777777" w:rsidTr="00ED0F75">
        <w:trPr>
          <w:cnfStyle w:val="000000010000" w:firstRow="0" w:lastRow="0" w:firstColumn="0" w:lastColumn="0" w:oddVBand="0" w:evenVBand="0" w:oddHBand="0" w:evenHBand="1" w:firstRowFirstColumn="0" w:firstRowLastColumn="0" w:lastRowFirstColumn="0" w:lastRowLastColumn="0"/>
        </w:trPr>
        <w:tc>
          <w:tcPr>
            <w:tcW w:w="0" w:type="auto"/>
            <w:hideMark/>
          </w:tcPr>
          <w:p w14:paraId="297BCC81" w14:textId="77777777" w:rsidR="00B575B7" w:rsidRPr="009B57B3" w:rsidRDefault="00B575B7">
            <w:pPr>
              <w:pStyle w:val="NormalWeb"/>
              <w:rPr>
                <w:sz w:val="18"/>
                <w:szCs w:val="18"/>
              </w:rPr>
            </w:pPr>
            <w:r w:rsidRPr="009B57B3">
              <w:rPr>
                <w:sz w:val="18"/>
                <w:szCs w:val="18"/>
              </w:rPr>
              <w:t>never</w:t>
            </w:r>
          </w:p>
        </w:tc>
        <w:tc>
          <w:tcPr>
            <w:tcW w:w="2036" w:type="dxa"/>
            <w:hideMark/>
          </w:tcPr>
          <w:p w14:paraId="0D6130DB" w14:textId="77777777" w:rsidR="00B575B7" w:rsidRPr="009B57B3" w:rsidRDefault="00B575B7" w:rsidP="00760781">
            <w:pPr>
              <w:pStyle w:val="NormalWeb"/>
              <w:jc w:val="center"/>
              <w:rPr>
                <w:sz w:val="18"/>
                <w:szCs w:val="18"/>
              </w:rPr>
            </w:pPr>
            <w:r w:rsidRPr="009B57B3">
              <w:rPr>
                <w:sz w:val="18"/>
                <w:szCs w:val="18"/>
              </w:rPr>
              <w:t>254</w:t>
            </w:r>
          </w:p>
        </w:tc>
        <w:tc>
          <w:tcPr>
            <w:tcW w:w="2036" w:type="dxa"/>
            <w:hideMark/>
          </w:tcPr>
          <w:p w14:paraId="649BF9AE" w14:textId="77777777" w:rsidR="00B575B7" w:rsidRPr="009B57B3" w:rsidRDefault="00B575B7" w:rsidP="00760781">
            <w:pPr>
              <w:pStyle w:val="NormalWeb"/>
              <w:jc w:val="center"/>
              <w:rPr>
                <w:sz w:val="18"/>
                <w:szCs w:val="18"/>
              </w:rPr>
            </w:pPr>
            <w:r w:rsidRPr="009B57B3">
              <w:rPr>
                <w:sz w:val="18"/>
                <w:szCs w:val="18"/>
              </w:rPr>
              <w:t>566</w:t>
            </w:r>
          </w:p>
        </w:tc>
        <w:tc>
          <w:tcPr>
            <w:tcW w:w="2036" w:type="dxa"/>
            <w:hideMark/>
          </w:tcPr>
          <w:p w14:paraId="4EC663EC" w14:textId="77777777" w:rsidR="00B575B7" w:rsidRPr="009B57B3" w:rsidRDefault="00B575B7" w:rsidP="00760781">
            <w:pPr>
              <w:pStyle w:val="NormalWeb"/>
              <w:jc w:val="center"/>
              <w:rPr>
                <w:sz w:val="18"/>
                <w:szCs w:val="18"/>
              </w:rPr>
            </w:pPr>
            <w:r w:rsidRPr="009B57B3">
              <w:rPr>
                <w:sz w:val="18"/>
                <w:szCs w:val="18"/>
              </w:rPr>
              <w:t>44.9</w:t>
            </w:r>
          </w:p>
        </w:tc>
        <w:tc>
          <w:tcPr>
            <w:tcW w:w="2036" w:type="dxa"/>
            <w:hideMark/>
          </w:tcPr>
          <w:p w14:paraId="2BF43B2A" w14:textId="77777777" w:rsidR="00B575B7" w:rsidRPr="009B57B3" w:rsidRDefault="00B575B7" w:rsidP="00760781">
            <w:pPr>
              <w:pStyle w:val="NormalWeb"/>
              <w:jc w:val="center"/>
              <w:rPr>
                <w:sz w:val="18"/>
                <w:szCs w:val="18"/>
              </w:rPr>
            </w:pPr>
            <w:r w:rsidRPr="009B57B3">
              <w:rPr>
                <w:sz w:val="18"/>
                <w:szCs w:val="18"/>
              </w:rPr>
              <w:t>49,831</w:t>
            </w:r>
          </w:p>
        </w:tc>
        <w:tc>
          <w:tcPr>
            <w:tcW w:w="2036" w:type="dxa"/>
            <w:hideMark/>
          </w:tcPr>
          <w:p w14:paraId="538E7959" w14:textId="77777777" w:rsidR="00B575B7" w:rsidRPr="009B57B3" w:rsidRDefault="00B575B7" w:rsidP="00760781">
            <w:pPr>
              <w:pStyle w:val="NormalWeb"/>
              <w:jc w:val="center"/>
              <w:rPr>
                <w:sz w:val="18"/>
                <w:szCs w:val="18"/>
              </w:rPr>
            </w:pPr>
            <w:r w:rsidRPr="009B57B3">
              <w:rPr>
                <w:sz w:val="18"/>
                <w:szCs w:val="18"/>
              </w:rPr>
              <w:t>78,645</w:t>
            </w:r>
          </w:p>
        </w:tc>
        <w:tc>
          <w:tcPr>
            <w:tcW w:w="2037" w:type="dxa"/>
            <w:hideMark/>
          </w:tcPr>
          <w:p w14:paraId="1BD222ED" w14:textId="77777777" w:rsidR="00B575B7" w:rsidRPr="009B57B3" w:rsidRDefault="00B575B7" w:rsidP="00760781">
            <w:pPr>
              <w:pStyle w:val="NormalWeb"/>
              <w:jc w:val="center"/>
              <w:rPr>
                <w:sz w:val="18"/>
                <w:szCs w:val="18"/>
              </w:rPr>
            </w:pPr>
            <w:r w:rsidRPr="009B57B3">
              <w:rPr>
                <w:sz w:val="18"/>
                <w:szCs w:val="18"/>
              </w:rPr>
              <w:t>63.4</w:t>
            </w:r>
          </w:p>
        </w:tc>
      </w:tr>
      <w:tr w:rsidR="00B575B7" w:rsidRPr="009B57B3" w14:paraId="33598ADC" w14:textId="77777777" w:rsidTr="00ED0F75">
        <w:tc>
          <w:tcPr>
            <w:tcW w:w="0" w:type="auto"/>
            <w:hideMark/>
          </w:tcPr>
          <w:p w14:paraId="7ED8CFB3" w14:textId="77777777" w:rsidR="00B575B7" w:rsidRPr="009B57B3" w:rsidRDefault="00B575B7">
            <w:pPr>
              <w:pStyle w:val="NormalWeb"/>
              <w:rPr>
                <w:sz w:val="18"/>
                <w:szCs w:val="18"/>
              </w:rPr>
            </w:pPr>
            <w:r w:rsidRPr="009B57B3">
              <w:rPr>
                <w:sz w:val="18"/>
                <w:szCs w:val="18"/>
              </w:rPr>
              <w:t>past</w:t>
            </w:r>
          </w:p>
        </w:tc>
        <w:tc>
          <w:tcPr>
            <w:tcW w:w="2036" w:type="dxa"/>
            <w:hideMark/>
          </w:tcPr>
          <w:p w14:paraId="5EA4EF60" w14:textId="77777777" w:rsidR="00B575B7" w:rsidRPr="009B57B3" w:rsidRDefault="00B575B7" w:rsidP="00760781">
            <w:pPr>
              <w:pStyle w:val="NormalWeb"/>
              <w:jc w:val="center"/>
              <w:rPr>
                <w:sz w:val="18"/>
                <w:szCs w:val="18"/>
              </w:rPr>
            </w:pPr>
            <w:r w:rsidRPr="009B57B3">
              <w:rPr>
                <w:sz w:val="18"/>
                <w:szCs w:val="18"/>
              </w:rPr>
              <w:t>223</w:t>
            </w:r>
          </w:p>
        </w:tc>
        <w:tc>
          <w:tcPr>
            <w:tcW w:w="2036" w:type="dxa"/>
            <w:hideMark/>
          </w:tcPr>
          <w:p w14:paraId="78801EB2" w14:textId="77777777" w:rsidR="00B575B7" w:rsidRPr="009B57B3" w:rsidRDefault="00B575B7" w:rsidP="00760781">
            <w:pPr>
              <w:pStyle w:val="NormalWeb"/>
              <w:jc w:val="center"/>
              <w:rPr>
                <w:sz w:val="18"/>
                <w:szCs w:val="18"/>
              </w:rPr>
            </w:pPr>
            <w:r w:rsidRPr="009B57B3">
              <w:rPr>
                <w:sz w:val="18"/>
                <w:szCs w:val="18"/>
              </w:rPr>
              <w:t>476</w:t>
            </w:r>
          </w:p>
        </w:tc>
        <w:tc>
          <w:tcPr>
            <w:tcW w:w="2036" w:type="dxa"/>
            <w:hideMark/>
          </w:tcPr>
          <w:p w14:paraId="66269749" w14:textId="77777777" w:rsidR="00B575B7" w:rsidRPr="009B57B3" w:rsidRDefault="00B575B7" w:rsidP="00760781">
            <w:pPr>
              <w:pStyle w:val="NormalWeb"/>
              <w:jc w:val="center"/>
              <w:rPr>
                <w:sz w:val="18"/>
                <w:szCs w:val="18"/>
              </w:rPr>
            </w:pPr>
            <w:r w:rsidRPr="009B57B3">
              <w:rPr>
                <w:sz w:val="18"/>
                <w:szCs w:val="18"/>
              </w:rPr>
              <w:t>46.8</w:t>
            </w:r>
          </w:p>
        </w:tc>
        <w:tc>
          <w:tcPr>
            <w:tcW w:w="2036" w:type="dxa"/>
            <w:hideMark/>
          </w:tcPr>
          <w:p w14:paraId="7186B8D6" w14:textId="77777777" w:rsidR="00B575B7" w:rsidRPr="009B57B3" w:rsidRDefault="00B575B7" w:rsidP="00760781">
            <w:pPr>
              <w:pStyle w:val="NormalWeb"/>
              <w:jc w:val="center"/>
              <w:rPr>
                <w:sz w:val="18"/>
                <w:szCs w:val="18"/>
              </w:rPr>
            </w:pPr>
            <w:r w:rsidRPr="009B57B3">
              <w:rPr>
                <w:sz w:val="18"/>
                <w:szCs w:val="18"/>
              </w:rPr>
              <w:t>27,421</w:t>
            </w:r>
          </w:p>
        </w:tc>
        <w:tc>
          <w:tcPr>
            <w:tcW w:w="2036" w:type="dxa"/>
            <w:hideMark/>
          </w:tcPr>
          <w:p w14:paraId="586DEA78" w14:textId="77777777" w:rsidR="00B575B7" w:rsidRPr="009B57B3" w:rsidRDefault="00B575B7" w:rsidP="00760781">
            <w:pPr>
              <w:pStyle w:val="NormalWeb"/>
              <w:jc w:val="center"/>
              <w:rPr>
                <w:sz w:val="18"/>
                <w:szCs w:val="18"/>
              </w:rPr>
            </w:pPr>
            <w:r w:rsidRPr="009B57B3">
              <w:rPr>
                <w:sz w:val="18"/>
                <w:szCs w:val="18"/>
              </w:rPr>
              <w:t>45,351</w:t>
            </w:r>
          </w:p>
        </w:tc>
        <w:tc>
          <w:tcPr>
            <w:tcW w:w="2037" w:type="dxa"/>
            <w:hideMark/>
          </w:tcPr>
          <w:p w14:paraId="0BC8D9D6" w14:textId="77777777" w:rsidR="00B575B7" w:rsidRPr="009B57B3" w:rsidRDefault="00B575B7" w:rsidP="00760781">
            <w:pPr>
              <w:pStyle w:val="NormalWeb"/>
              <w:jc w:val="center"/>
              <w:rPr>
                <w:sz w:val="18"/>
                <w:szCs w:val="18"/>
              </w:rPr>
            </w:pPr>
            <w:r w:rsidRPr="009B57B3">
              <w:rPr>
                <w:sz w:val="18"/>
                <w:szCs w:val="18"/>
              </w:rPr>
              <w:t>60.5</w:t>
            </w:r>
          </w:p>
        </w:tc>
      </w:tr>
      <w:tr w:rsidR="00B575B7" w:rsidRPr="009B57B3" w14:paraId="2B770763" w14:textId="77777777" w:rsidTr="00ED0F75">
        <w:trPr>
          <w:cnfStyle w:val="000000010000" w:firstRow="0" w:lastRow="0" w:firstColumn="0" w:lastColumn="0" w:oddVBand="0" w:evenVBand="0" w:oddHBand="0" w:evenHBand="1" w:firstRowFirstColumn="0" w:firstRowLastColumn="0" w:lastRowFirstColumn="0" w:lastRowLastColumn="0"/>
        </w:trPr>
        <w:tc>
          <w:tcPr>
            <w:tcW w:w="0" w:type="auto"/>
            <w:hideMark/>
          </w:tcPr>
          <w:p w14:paraId="0D30E288" w14:textId="77777777" w:rsidR="00B575B7" w:rsidRPr="009B57B3" w:rsidRDefault="00B575B7">
            <w:pPr>
              <w:pStyle w:val="NormalWeb"/>
              <w:rPr>
                <w:sz w:val="18"/>
                <w:szCs w:val="18"/>
              </w:rPr>
            </w:pPr>
            <w:r w:rsidRPr="009B57B3">
              <w:rPr>
                <w:sz w:val="18"/>
                <w:szCs w:val="18"/>
              </w:rPr>
              <w:t>current</w:t>
            </w:r>
          </w:p>
        </w:tc>
        <w:tc>
          <w:tcPr>
            <w:tcW w:w="2036" w:type="dxa"/>
            <w:hideMark/>
          </w:tcPr>
          <w:p w14:paraId="276F2F42" w14:textId="77777777" w:rsidR="00B575B7" w:rsidRPr="009B57B3" w:rsidRDefault="00B575B7" w:rsidP="00760781">
            <w:pPr>
              <w:pStyle w:val="NormalWeb"/>
              <w:jc w:val="center"/>
              <w:rPr>
                <w:sz w:val="18"/>
                <w:szCs w:val="18"/>
              </w:rPr>
            </w:pPr>
            <w:r w:rsidRPr="009B57B3">
              <w:rPr>
                <w:sz w:val="18"/>
                <w:szCs w:val="18"/>
              </w:rPr>
              <w:t>91</w:t>
            </w:r>
          </w:p>
        </w:tc>
        <w:tc>
          <w:tcPr>
            <w:tcW w:w="2036" w:type="dxa"/>
            <w:hideMark/>
          </w:tcPr>
          <w:p w14:paraId="6F74C520" w14:textId="77777777" w:rsidR="00B575B7" w:rsidRPr="009B57B3" w:rsidRDefault="00B575B7" w:rsidP="00760781">
            <w:pPr>
              <w:pStyle w:val="NormalWeb"/>
              <w:jc w:val="center"/>
              <w:rPr>
                <w:sz w:val="18"/>
                <w:szCs w:val="18"/>
              </w:rPr>
            </w:pPr>
            <w:r w:rsidRPr="009B57B3">
              <w:rPr>
                <w:sz w:val="18"/>
                <w:szCs w:val="18"/>
              </w:rPr>
              <w:t>286</w:t>
            </w:r>
          </w:p>
        </w:tc>
        <w:tc>
          <w:tcPr>
            <w:tcW w:w="2036" w:type="dxa"/>
            <w:hideMark/>
          </w:tcPr>
          <w:p w14:paraId="6DBB47C5" w14:textId="77777777" w:rsidR="00B575B7" w:rsidRPr="009B57B3" w:rsidRDefault="00B575B7" w:rsidP="00760781">
            <w:pPr>
              <w:pStyle w:val="NormalWeb"/>
              <w:jc w:val="center"/>
              <w:rPr>
                <w:sz w:val="18"/>
                <w:szCs w:val="18"/>
              </w:rPr>
            </w:pPr>
            <w:r w:rsidRPr="009B57B3">
              <w:rPr>
                <w:sz w:val="18"/>
                <w:szCs w:val="18"/>
              </w:rPr>
              <w:t>31.8</w:t>
            </w:r>
          </w:p>
        </w:tc>
        <w:tc>
          <w:tcPr>
            <w:tcW w:w="2036" w:type="dxa"/>
            <w:hideMark/>
          </w:tcPr>
          <w:p w14:paraId="44BD472E" w14:textId="77777777" w:rsidR="00B575B7" w:rsidRPr="009B57B3" w:rsidRDefault="00B575B7" w:rsidP="00760781">
            <w:pPr>
              <w:pStyle w:val="NormalWeb"/>
              <w:jc w:val="center"/>
              <w:rPr>
                <w:sz w:val="18"/>
                <w:szCs w:val="18"/>
              </w:rPr>
            </w:pPr>
            <w:r w:rsidRPr="009B57B3">
              <w:rPr>
                <w:sz w:val="18"/>
                <w:szCs w:val="18"/>
              </w:rPr>
              <w:t>4,571</w:t>
            </w:r>
          </w:p>
        </w:tc>
        <w:tc>
          <w:tcPr>
            <w:tcW w:w="2036" w:type="dxa"/>
            <w:hideMark/>
          </w:tcPr>
          <w:p w14:paraId="2C6077DE" w14:textId="77777777" w:rsidR="00B575B7" w:rsidRPr="009B57B3" w:rsidRDefault="00B575B7" w:rsidP="00760781">
            <w:pPr>
              <w:pStyle w:val="NormalWeb"/>
              <w:jc w:val="center"/>
              <w:rPr>
                <w:sz w:val="18"/>
                <w:szCs w:val="18"/>
              </w:rPr>
            </w:pPr>
            <w:r w:rsidRPr="009B57B3">
              <w:rPr>
                <w:sz w:val="18"/>
                <w:szCs w:val="18"/>
              </w:rPr>
              <w:t>9,515</w:t>
            </w:r>
          </w:p>
        </w:tc>
        <w:tc>
          <w:tcPr>
            <w:tcW w:w="2037" w:type="dxa"/>
            <w:hideMark/>
          </w:tcPr>
          <w:p w14:paraId="0BE3566B" w14:textId="77777777" w:rsidR="00B575B7" w:rsidRPr="009B57B3" w:rsidRDefault="00B575B7" w:rsidP="00760781">
            <w:pPr>
              <w:pStyle w:val="NormalWeb"/>
              <w:jc w:val="center"/>
              <w:rPr>
                <w:sz w:val="18"/>
                <w:szCs w:val="18"/>
              </w:rPr>
            </w:pPr>
            <w:r w:rsidRPr="009B57B3">
              <w:rPr>
                <w:sz w:val="18"/>
                <w:szCs w:val="18"/>
              </w:rPr>
              <w:t>48.0</w:t>
            </w:r>
          </w:p>
        </w:tc>
      </w:tr>
      <w:tr w:rsidR="00DD55F2" w:rsidRPr="009B57B3" w14:paraId="06315F18" w14:textId="77777777" w:rsidTr="00ED0F75">
        <w:tc>
          <w:tcPr>
            <w:tcW w:w="0" w:type="auto"/>
            <w:shd w:val="clear" w:color="auto" w:fill="808080" w:themeFill="background1" w:themeFillShade="80"/>
            <w:hideMark/>
          </w:tcPr>
          <w:p w14:paraId="10632381" w14:textId="77777777" w:rsidR="00B575B7" w:rsidRPr="009B57B3" w:rsidRDefault="00B575B7">
            <w:pPr>
              <w:pStyle w:val="NormalWeb"/>
              <w:rPr>
                <w:b/>
                <w:color w:val="FFFFFF" w:themeColor="background1"/>
                <w:sz w:val="18"/>
                <w:szCs w:val="18"/>
              </w:rPr>
            </w:pPr>
            <w:r w:rsidRPr="009B57B3">
              <w:rPr>
                <w:b/>
                <w:color w:val="FFFFFF" w:themeColor="background1"/>
                <w:sz w:val="18"/>
                <w:szCs w:val="18"/>
              </w:rPr>
              <w:t>BMI (kg/m2)</w:t>
            </w:r>
          </w:p>
        </w:tc>
        <w:tc>
          <w:tcPr>
            <w:tcW w:w="2036" w:type="dxa"/>
            <w:shd w:val="clear" w:color="auto" w:fill="808080" w:themeFill="background1" w:themeFillShade="80"/>
            <w:hideMark/>
          </w:tcPr>
          <w:p w14:paraId="4655CABA" w14:textId="77777777" w:rsidR="00B575B7" w:rsidRPr="009B57B3" w:rsidRDefault="00B575B7" w:rsidP="00760781">
            <w:pPr>
              <w:jc w:val="center"/>
              <w:rPr>
                <w:b/>
                <w:color w:val="FFFFFF" w:themeColor="background1"/>
                <w:sz w:val="18"/>
                <w:szCs w:val="18"/>
              </w:rPr>
            </w:pPr>
          </w:p>
        </w:tc>
        <w:tc>
          <w:tcPr>
            <w:tcW w:w="2036" w:type="dxa"/>
            <w:shd w:val="clear" w:color="auto" w:fill="808080" w:themeFill="background1" w:themeFillShade="80"/>
            <w:hideMark/>
          </w:tcPr>
          <w:p w14:paraId="644F2A9E" w14:textId="77777777" w:rsidR="00B575B7" w:rsidRPr="009B57B3" w:rsidRDefault="00B575B7" w:rsidP="00760781">
            <w:pPr>
              <w:jc w:val="center"/>
              <w:rPr>
                <w:rFonts w:eastAsia="Times New Roman"/>
                <w:b/>
                <w:color w:val="FFFFFF" w:themeColor="background1"/>
                <w:sz w:val="18"/>
                <w:szCs w:val="18"/>
              </w:rPr>
            </w:pPr>
          </w:p>
        </w:tc>
        <w:tc>
          <w:tcPr>
            <w:tcW w:w="2036" w:type="dxa"/>
            <w:shd w:val="clear" w:color="auto" w:fill="808080" w:themeFill="background1" w:themeFillShade="80"/>
            <w:hideMark/>
          </w:tcPr>
          <w:p w14:paraId="4C22E290" w14:textId="77777777" w:rsidR="00B575B7" w:rsidRPr="009B57B3" w:rsidRDefault="00B575B7" w:rsidP="00760781">
            <w:pPr>
              <w:jc w:val="center"/>
              <w:rPr>
                <w:rFonts w:eastAsia="Times New Roman"/>
                <w:b/>
                <w:color w:val="FFFFFF" w:themeColor="background1"/>
                <w:sz w:val="18"/>
                <w:szCs w:val="18"/>
              </w:rPr>
            </w:pPr>
          </w:p>
        </w:tc>
        <w:tc>
          <w:tcPr>
            <w:tcW w:w="2036" w:type="dxa"/>
            <w:shd w:val="clear" w:color="auto" w:fill="808080" w:themeFill="background1" w:themeFillShade="80"/>
            <w:hideMark/>
          </w:tcPr>
          <w:p w14:paraId="715A8F1E" w14:textId="77777777" w:rsidR="00B575B7" w:rsidRPr="009B57B3" w:rsidRDefault="00B575B7" w:rsidP="00760781">
            <w:pPr>
              <w:jc w:val="center"/>
              <w:rPr>
                <w:rFonts w:eastAsia="Times New Roman"/>
                <w:b/>
                <w:color w:val="FFFFFF" w:themeColor="background1"/>
                <w:sz w:val="18"/>
                <w:szCs w:val="18"/>
              </w:rPr>
            </w:pPr>
          </w:p>
        </w:tc>
        <w:tc>
          <w:tcPr>
            <w:tcW w:w="2036" w:type="dxa"/>
            <w:shd w:val="clear" w:color="auto" w:fill="808080" w:themeFill="background1" w:themeFillShade="80"/>
            <w:hideMark/>
          </w:tcPr>
          <w:p w14:paraId="3A3165D0" w14:textId="77777777" w:rsidR="00B575B7" w:rsidRPr="009B57B3" w:rsidRDefault="00B575B7" w:rsidP="00760781">
            <w:pPr>
              <w:jc w:val="center"/>
              <w:rPr>
                <w:rFonts w:eastAsia="Times New Roman"/>
                <w:b/>
                <w:color w:val="FFFFFF" w:themeColor="background1"/>
                <w:sz w:val="18"/>
                <w:szCs w:val="18"/>
              </w:rPr>
            </w:pPr>
          </w:p>
        </w:tc>
        <w:tc>
          <w:tcPr>
            <w:tcW w:w="2037" w:type="dxa"/>
            <w:shd w:val="clear" w:color="auto" w:fill="808080" w:themeFill="background1" w:themeFillShade="80"/>
            <w:hideMark/>
          </w:tcPr>
          <w:p w14:paraId="141BB668" w14:textId="77777777" w:rsidR="00B575B7" w:rsidRPr="009B57B3" w:rsidRDefault="00B575B7" w:rsidP="00760781">
            <w:pPr>
              <w:jc w:val="center"/>
              <w:rPr>
                <w:rFonts w:eastAsia="Times New Roman"/>
                <w:b/>
                <w:color w:val="FFFFFF" w:themeColor="background1"/>
                <w:sz w:val="18"/>
                <w:szCs w:val="18"/>
              </w:rPr>
            </w:pPr>
          </w:p>
        </w:tc>
      </w:tr>
      <w:tr w:rsidR="00B575B7" w:rsidRPr="009B57B3" w14:paraId="74E9D6BA" w14:textId="77777777" w:rsidTr="00ED0F75">
        <w:trPr>
          <w:cnfStyle w:val="000000010000" w:firstRow="0" w:lastRow="0" w:firstColumn="0" w:lastColumn="0" w:oddVBand="0" w:evenVBand="0" w:oddHBand="0" w:evenHBand="1" w:firstRowFirstColumn="0" w:firstRowLastColumn="0" w:lastRowFirstColumn="0" w:lastRowLastColumn="0"/>
        </w:trPr>
        <w:tc>
          <w:tcPr>
            <w:tcW w:w="0" w:type="auto"/>
            <w:hideMark/>
          </w:tcPr>
          <w:p w14:paraId="2F19CEBF" w14:textId="77777777" w:rsidR="00B575B7" w:rsidRPr="009B57B3" w:rsidRDefault="00B575B7">
            <w:pPr>
              <w:pStyle w:val="NormalWeb"/>
              <w:rPr>
                <w:sz w:val="18"/>
                <w:szCs w:val="18"/>
              </w:rPr>
            </w:pPr>
            <w:r w:rsidRPr="009B57B3">
              <w:rPr>
                <w:sz w:val="18"/>
                <w:szCs w:val="18"/>
              </w:rPr>
              <w:t>&lt;18.5</w:t>
            </w:r>
          </w:p>
        </w:tc>
        <w:tc>
          <w:tcPr>
            <w:tcW w:w="2036" w:type="dxa"/>
            <w:hideMark/>
          </w:tcPr>
          <w:p w14:paraId="0C1D439E" w14:textId="77777777" w:rsidR="00B575B7" w:rsidRPr="009B57B3" w:rsidRDefault="00B575B7" w:rsidP="00760781">
            <w:pPr>
              <w:pStyle w:val="NormalWeb"/>
              <w:jc w:val="center"/>
              <w:rPr>
                <w:sz w:val="18"/>
                <w:szCs w:val="18"/>
              </w:rPr>
            </w:pPr>
            <w:r w:rsidRPr="009B57B3">
              <w:rPr>
                <w:sz w:val="18"/>
                <w:szCs w:val="18"/>
              </w:rPr>
              <w:t>10</w:t>
            </w:r>
          </w:p>
        </w:tc>
        <w:tc>
          <w:tcPr>
            <w:tcW w:w="2036" w:type="dxa"/>
            <w:hideMark/>
          </w:tcPr>
          <w:p w14:paraId="59B7A9C9" w14:textId="77777777" w:rsidR="00B575B7" w:rsidRPr="009B57B3" w:rsidRDefault="00B575B7" w:rsidP="00760781">
            <w:pPr>
              <w:pStyle w:val="NormalWeb"/>
              <w:jc w:val="center"/>
              <w:rPr>
                <w:sz w:val="18"/>
                <w:szCs w:val="18"/>
              </w:rPr>
            </w:pPr>
            <w:r w:rsidRPr="009B57B3">
              <w:rPr>
                <w:sz w:val="18"/>
                <w:szCs w:val="18"/>
              </w:rPr>
              <w:t>25</w:t>
            </w:r>
          </w:p>
        </w:tc>
        <w:tc>
          <w:tcPr>
            <w:tcW w:w="2036" w:type="dxa"/>
            <w:hideMark/>
          </w:tcPr>
          <w:p w14:paraId="75F9765B" w14:textId="77777777" w:rsidR="00B575B7" w:rsidRPr="009B57B3" w:rsidRDefault="00B575B7" w:rsidP="00760781">
            <w:pPr>
              <w:pStyle w:val="NormalWeb"/>
              <w:jc w:val="center"/>
              <w:rPr>
                <w:sz w:val="18"/>
                <w:szCs w:val="18"/>
              </w:rPr>
            </w:pPr>
            <w:r w:rsidRPr="009B57B3">
              <w:rPr>
                <w:sz w:val="18"/>
                <w:szCs w:val="18"/>
              </w:rPr>
              <w:t>40.0</w:t>
            </w:r>
          </w:p>
        </w:tc>
        <w:tc>
          <w:tcPr>
            <w:tcW w:w="2036" w:type="dxa"/>
            <w:hideMark/>
          </w:tcPr>
          <w:p w14:paraId="7E3E884D" w14:textId="77777777" w:rsidR="00B575B7" w:rsidRPr="009B57B3" w:rsidRDefault="00B575B7" w:rsidP="00760781">
            <w:pPr>
              <w:pStyle w:val="NormalWeb"/>
              <w:jc w:val="center"/>
              <w:rPr>
                <w:sz w:val="18"/>
                <w:szCs w:val="18"/>
              </w:rPr>
            </w:pPr>
            <w:r w:rsidRPr="009B57B3">
              <w:rPr>
                <w:sz w:val="18"/>
                <w:szCs w:val="18"/>
              </w:rPr>
              <w:t>732</w:t>
            </w:r>
          </w:p>
        </w:tc>
        <w:tc>
          <w:tcPr>
            <w:tcW w:w="2036" w:type="dxa"/>
            <w:hideMark/>
          </w:tcPr>
          <w:p w14:paraId="3FFFECEE" w14:textId="77777777" w:rsidR="00B575B7" w:rsidRPr="009B57B3" w:rsidRDefault="00B575B7" w:rsidP="00760781">
            <w:pPr>
              <w:pStyle w:val="NormalWeb"/>
              <w:jc w:val="center"/>
              <w:rPr>
                <w:sz w:val="18"/>
                <w:szCs w:val="18"/>
              </w:rPr>
            </w:pPr>
            <w:r w:rsidRPr="009B57B3">
              <w:rPr>
                <w:sz w:val="18"/>
                <w:szCs w:val="18"/>
              </w:rPr>
              <w:t>1,298</w:t>
            </w:r>
          </w:p>
        </w:tc>
        <w:tc>
          <w:tcPr>
            <w:tcW w:w="2037" w:type="dxa"/>
            <w:hideMark/>
          </w:tcPr>
          <w:p w14:paraId="58314325" w14:textId="77777777" w:rsidR="00B575B7" w:rsidRPr="009B57B3" w:rsidRDefault="00B575B7" w:rsidP="00760781">
            <w:pPr>
              <w:pStyle w:val="NormalWeb"/>
              <w:jc w:val="center"/>
              <w:rPr>
                <w:sz w:val="18"/>
                <w:szCs w:val="18"/>
              </w:rPr>
            </w:pPr>
            <w:r w:rsidRPr="009B57B3">
              <w:rPr>
                <w:sz w:val="18"/>
                <w:szCs w:val="18"/>
              </w:rPr>
              <w:t>56.4</w:t>
            </w:r>
          </w:p>
        </w:tc>
      </w:tr>
      <w:tr w:rsidR="00B575B7" w:rsidRPr="009B57B3" w14:paraId="6C1C8CA4" w14:textId="77777777" w:rsidTr="00ED0F75">
        <w:tc>
          <w:tcPr>
            <w:tcW w:w="0" w:type="auto"/>
            <w:hideMark/>
          </w:tcPr>
          <w:p w14:paraId="49DF9A2D" w14:textId="77777777" w:rsidR="00B575B7" w:rsidRPr="009B57B3" w:rsidRDefault="00B575B7">
            <w:pPr>
              <w:pStyle w:val="NormalWeb"/>
              <w:rPr>
                <w:sz w:val="18"/>
                <w:szCs w:val="18"/>
              </w:rPr>
            </w:pPr>
            <w:r w:rsidRPr="009B57B3">
              <w:rPr>
                <w:sz w:val="18"/>
                <w:szCs w:val="18"/>
              </w:rPr>
              <w:t>18.5–24.9</w:t>
            </w:r>
          </w:p>
        </w:tc>
        <w:tc>
          <w:tcPr>
            <w:tcW w:w="2036" w:type="dxa"/>
            <w:hideMark/>
          </w:tcPr>
          <w:p w14:paraId="222A8CE3" w14:textId="77777777" w:rsidR="00B575B7" w:rsidRPr="009B57B3" w:rsidRDefault="00B575B7" w:rsidP="00760781">
            <w:pPr>
              <w:pStyle w:val="NormalWeb"/>
              <w:jc w:val="center"/>
              <w:rPr>
                <w:sz w:val="18"/>
                <w:szCs w:val="18"/>
              </w:rPr>
            </w:pPr>
            <w:r w:rsidRPr="009B57B3">
              <w:rPr>
                <w:sz w:val="18"/>
                <w:szCs w:val="18"/>
              </w:rPr>
              <w:t>115</w:t>
            </w:r>
          </w:p>
        </w:tc>
        <w:tc>
          <w:tcPr>
            <w:tcW w:w="2036" w:type="dxa"/>
            <w:hideMark/>
          </w:tcPr>
          <w:p w14:paraId="556BA074" w14:textId="77777777" w:rsidR="00B575B7" w:rsidRPr="009B57B3" w:rsidRDefault="00B575B7" w:rsidP="00760781">
            <w:pPr>
              <w:pStyle w:val="NormalWeb"/>
              <w:jc w:val="center"/>
              <w:rPr>
                <w:sz w:val="18"/>
                <w:szCs w:val="18"/>
              </w:rPr>
            </w:pPr>
            <w:r w:rsidRPr="009B57B3">
              <w:rPr>
                <w:sz w:val="18"/>
                <w:szCs w:val="18"/>
              </w:rPr>
              <w:t>279</w:t>
            </w:r>
          </w:p>
        </w:tc>
        <w:tc>
          <w:tcPr>
            <w:tcW w:w="2036" w:type="dxa"/>
            <w:hideMark/>
          </w:tcPr>
          <w:p w14:paraId="1CF760A1" w14:textId="77777777" w:rsidR="00B575B7" w:rsidRPr="009B57B3" w:rsidRDefault="00B575B7" w:rsidP="00760781">
            <w:pPr>
              <w:pStyle w:val="NormalWeb"/>
              <w:jc w:val="center"/>
              <w:rPr>
                <w:sz w:val="18"/>
                <w:szCs w:val="18"/>
              </w:rPr>
            </w:pPr>
            <w:r w:rsidRPr="009B57B3">
              <w:rPr>
                <w:sz w:val="18"/>
                <w:szCs w:val="18"/>
              </w:rPr>
              <w:t>41.2</w:t>
            </w:r>
          </w:p>
        </w:tc>
        <w:tc>
          <w:tcPr>
            <w:tcW w:w="2036" w:type="dxa"/>
            <w:hideMark/>
          </w:tcPr>
          <w:p w14:paraId="5942B5D6" w14:textId="77777777" w:rsidR="00B575B7" w:rsidRPr="009B57B3" w:rsidRDefault="00B575B7" w:rsidP="00760781">
            <w:pPr>
              <w:pStyle w:val="NormalWeb"/>
              <w:jc w:val="center"/>
              <w:rPr>
                <w:sz w:val="18"/>
                <w:szCs w:val="18"/>
              </w:rPr>
            </w:pPr>
            <w:r w:rsidRPr="009B57B3">
              <w:rPr>
                <w:sz w:val="18"/>
                <w:szCs w:val="18"/>
              </w:rPr>
              <w:t>27,647</w:t>
            </w:r>
          </w:p>
        </w:tc>
        <w:tc>
          <w:tcPr>
            <w:tcW w:w="2036" w:type="dxa"/>
            <w:hideMark/>
          </w:tcPr>
          <w:p w14:paraId="6F46B92B" w14:textId="77777777" w:rsidR="00B575B7" w:rsidRPr="009B57B3" w:rsidRDefault="00B575B7" w:rsidP="00760781">
            <w:pPr>
              <w:pStyle w:val="NormalWeb"/>
              <w:jc w:val="center"/>
              <w:rPr>
                <w:sz w:val="18"/>
                <w:szCs w:val="18"/>
              </w:rPr>
            </w:pPr>
            <w:r w:rsidRPr="009B57B3">
              <w:rPr>
                <w:sz w:val="18"/>
                <w:szCs w:val="18"/>
              </w:rPr>
              <w:t>43,213</w:t>
            </w:r>
          </w:p>
        </w:tc>
        <w:tc>
          <w:tcPr>
            <w:tcW w:w="2037" w:type="dxa"/>
            <w:hideMark/>
          </w:tcPr>
          <w:p w14:paraId="073A8C14" w14:textId="77777777" w:rsidR="00B575B7" w:rsidRPr="009B57B3" w:rsidRDefault="00B575B7" w:rsidP="00760781">
            <w:pPr>
              <w:pStyle w:val="NormalWeb"/>
              <w:jc w:val="center"/>
              <w:rPr>
                <w:sz w:val="18"/>
                <w:szCs w:val="18"/>
              </w:rPr>
            </w:pPr>
            <w:r w:rsidRPr="009B57B3">
              <w:rPr>
                <w:sz w:val="18"/>
                <w:szCs w:val="18"/>
              </w:rPr>
              <w:t>64.0</w:t>
            </w:r>
          </w:p>
        </w:tc>
      </w:tr>
      <w:tr w:rsidR="00B575B7" w:rsidRPr="009B57B3" w14:paraId="030D36E8" w14:textId="77777777" w:rsidTr="00ED0F75">
        <w:trPr>
          <w:cnfStyle w:val="000000010000" w:firstRow="0" w:lastRow="0" w:firstColumn="0" w:lastColumn="0" w:oddVBand="0" w:evenVBand="0" w:oddHBand="0" w:evenHBand="1" w:firstRowFirstColumn="0" w:firstRowLastColumn="0" w:lastRowFirstColumn="0" w:lastRowLastColumn="0"/>
        </w:trPr>
        <w:tc>
          <w:tcPr>
            <w:tcW w:w="0" w:type="auto"/>
            <w:hideMark/>
          </w:tcPr>
          <w:p w14:paraId="1E4C6452" w14:textId="77777777" w:rsidR="00B575B7" w:rsidRPr="009B57B3" w:rsidRDefault="00B575B7">
            <w:pPr>
              <w:pStyle w:val="NormalWeb"/>
              <w:rPr>
                <w:sz w:val="18"/>
                <w:szCs w:val="18"/>
              </w:rPr>
            </w:pPr>
            <w:r w:rsidRPr="009B57B3">
              <w:rPr>
                <w:sz w:val="18"/>
                <w:szCs w:val="18"/>
              </w:rPr>
              <w:lastRenderedPageBreak/>
              <w:t>25–29.9</w:t>
            </w:r>
          </w:p>
        </w:tc>
        <w:tc>
          <w:tcPr>
            <w:tcW w:w="2036" w:type="dxa"/>
            <w:hideMark/>
          </w:tcPr>
          <w:p w14:paraId="73B15143" w14:textId="77777777" w:rsidR="00B575B7" w:rsidRPr="009B57B3" w:rsidRDefault="00B575B7" w:rsidP="00760781">
            <w:pPr>
              <w:pStyle w:val="NormalWeb"/>
              <w:jc w:val="center"/>
              <w:rPr>
                <w:sz w:val="18"/>
                <w:szCs w:val="18"/>
              </w:rPr>
            </w:pPr>
            <w:r w:rsidRPr="009B57B3">
              <w:rPr>
                <w:sz w:val="18"/>
                <w:szCs w:val="18"/>
              </w:rPr>
              <w:t>213</w:t>
            </w:r>
          </w:p>
        </w:tc>
        <w:tc>
          <w:tcPr>
            <w:tcW w:w="2036" w:type="dxa"/>
            <w:hideMark/>
          </w:tcPr>
          <w:p w14:paraId="74876F5F" w14:textId="77777777" w:rsidR="00B575B7" w:rsidRPr="009B57B3" w:rsidRDefault="00B575B7" w:rsidP="00760781">
            <w:pPr>
              <w:pStyle w:val="NormalWeb"/>
              <w:jc w:val="center"/>
              <w:rPr>
                <w:sz w:val="18"/>
                <w:szCs w:val="18"/>
              </w:rPr>
            </w:pPr>
            <w:r w:rsidRPr="009B57B3">
              <w:rPr>
                <w:sz w:val="18"/>
                <w:szCs w:val="18"/>
              </w:rPr>
              <w:t>444</w:t>
            </w:r>
          </w:p>
        </w:tc>
        <w:tc>
          <w:tcPr>
            <w:tcW w:w="2036" w:type="dxa"/>
            <w:hideMark/>
          </w:tcPr>
          <w:p w14:paraId="0AC88F6B" w14:textId="77777777" w:rsidR="00B575B7" w:rsidRPr="009B57B3" w:rsidRDefault="00B575B7" w:rsidP="00760781">
            <w:pPr>
              <w:pStyle w:val="NormalWeb"/>
              <w:jc w:val="center"/>
              <w:rPr>
                <w:sz w:val="18"/>
                <w:szCs w:val="18"/>
              </w:rPr>
            </w:pPr>
            <w:r w:rsidRPr="009B57B3">
              <w:rPr>
                <w:sz w:val="18"/>
                <w:szCs w:val="18"/>
              </w:rPr>
              <w:t>48.0</w:t>
            </w:r>
          </w:p>
        </w:tc>
        <w:tc>
          <w:tcPr>
            <w:tcW w:w="2036" w:type="dxa"/>
            <w:hideMark/>
          </w:tcPr>
          <w:p w14:paraId="4B32B1BF" w14:textId="77777777" w:rsidR="00B575B7" w:rsidRPr="009B57B3" w:rsidRDefault="00B575B7" w:rsidP="00760781">
            <w:pPr>
              <w:pStyle w:val="NormalWeb"/>
              <w:jc w:val="center"/>
              <w:rPr>
                <w:sz w:val="18"/>
                <w:szCs w:val="18"/>
              </w:rPr>
            </w:pPr>
            <w:r w:rsidRPr="009B57B3">
              <w:rPr>
                <w:sz w:val="18"/>
                <w:szCs w:val="18"/>
              </w:rPr>
              <w:t>30,744</w:t>
            </w:r>
          </w:p>
        </w:tc>
        <w:tc>
          <w:tcPr>
            <w:tcW w:w="2036" w:type="dxa"/>
            <w:hideMark/>
          </w:tcPr>
          <w:p w14:paraId="72D9B6DD" w14:textId="77777777" w:rsidR="00B575B7" w:rsidRPr="009B57B3" w:rsidRDefault="00B575B7" w:rsidP="00760781">
            <w:pPr>
              <w:pStyle w:val="NormalWeb"/>
              <w:jc w:val="center"/>
              <w:rPr>
                <w:sz w:val="18"/>
                <w:szCs w:val="18"/>
              </w:rPr>
            </w:pPr>
            <w:r w:rsidRPr="009B57B3">
              <w:rPr>
                <w:sz w:val="18"/>
                <w:szCs w:val="18"/>
              </w:rPr>
              <w:t>49,421</w:t>
            </w:r>
          </w:p>
        </w:tc>
        <w:tc>
          <w:tcPr>
            <w:tcW w:w="2037" w:type="dxa"/>
            <w:hideMark/>
          </w:tcPr>
          <w:p w14:paraId="25492B42" w14:textId="77777777" w:rsidR="00B575B7" w:rsidRPr="009B57B3" w:rsidRDefault="00B575B7" w:rsidP="00760781">
            <w:pPr>
              <w:pStyle w:val="NormalWeb"/>
              <w:jc w:val="center"/>
              <w:rPr>
                <w:sz w:val="18"/>
                <w:szCs w:val="18"/>
              </w:rPr>
            </w:pPr>
            <w:r w:rsidRPr="009B57B3">
              <w:rPr>
                <w:sz w:val="18"/>
                <w:szCs w:val="18"/>
              </w:rPr>
              <w:t>62.2</w:t>
            </w:r>
          </w:p>
        </w:tc>
      </w:tr>
      <w:tr w:rsidR="00B575B7" w:rsidRPr="009B57B3" w14:paraId="6882D21B" w14:textId="77777777" w:rsidTr="00ED0F75">
        <w:tc>
          <w:tcPr>
            <w:tcW w:w="0" w:type="auto"/>
            <w:hideMark/>
          </w:tcPr>
          <w:p w14:paraId="2D00110A" w14:textId="77777777" w:rsidR="00B575B7" w:rsidRPr="009B57B3" w:rsidRDefault="00B575B7">
            <w:pPr>
              <w:pStyle w:val="NormalWeb"/>
              <w:rPr>
                <w:sz w:val="18"/>
                <w:szCs w:val="18"/>
              </w:rPr>
            </w:pPr>
            <w:r w:rsidRPr="009B57B3">
              <w:rPr>
                <w:sz w:val="18"/>
                <w:szCs w:val="18"/>
              </w:rPr>
              <w:t>30+</w:t>
            </w:r>
          </w:p>
        </w:tc>
        <w:tc>
          <w:tcPr>
            <w:tcW w:w="2036" w:type="dxa"/>
            <w:hideMark/>
          </w:tcPr>
          <w:p w14:paraId="769A6D4C" w14:textId="77777777" w:rsidR="00B575B7" w:rsidRPr="009B57B3" w:rsidRDefault="00B575B7" w:rsidP="00760781">
            <w:pPr>
              <w:pStyle w:val="NormalWeb"/>
              <w:jc w:val="center"/>
              <w:rPr>
                <w:sz w:val="18"/>
                <w:szCs w:val="18"/>
              </w:rPr>
            </w:pPr>
            <w:r w:rsidRPr="009B57B3">
              <w:rPr>
                <w:sz w:val="18"/>
                <w:szCs w:val="18"/>
              </w:rPr>
              <w:t>176</w:t>
            </w:r>
          </w:p>
        </w:tc>
        <w:tc>
          <w:tcPr>
            <w:tcW w:w="2036" w:type="dxa"/>
            <w:hideMark/>
          </w:tcPr>
          <w:p w14:paraId="1D5FE416" w14:textId="77777777" w:rsidR="00B575B7" w:rsidRPr="009B57B3" w:rsidRDefault="00B575B7" w:rsidP="00760781">
            <w:pPr>
              <w:pStyle w:val="NormalWeb"/>
              <w:jc w:val="center"/>
              <w:rPr>
                <w:sz w:val="18"/>
                <w:szCs w:val="18"/>
              </w:rPr>
            </w:pPr>
            <w:r w:rsidRPr="009B57B3">
              <w:rPr>
                <w:sz w:val="18"/>
                <w:szCs w:val="18"/>
              </w:rPr>
              <w:t>429</w:t>
            </w:r>
          </w:p>
        </w:tc>
        <w:tc>
          <w:tcPr>
            <w:tcW w:w="2036" w:type="dxa"/>
            <w:hideMark/>
          </w:tcPr>
          <w:p w14:paraId="02BDF3FE" w14:textId="77777777" w:rsidR="00B575B7" w:rsidRPr="009B57B3" w:rsidRDefault="00B575B7" w:rsidP="00760781">
            <w:pPr>
              <w:pStyle w:val="NormalWeb"/>
              <w:jc w:val="center"/>
              <w:rPr>
                <w:sz w:val="18"/>
                <w:szCs w:val="18"/>
              </w:rPr>
            </w:pPr>
            <w:r w:rsidRPr="009B57B3">
              <w:rPr>
                <w:sz w:val="18"/>
                <w:szCs w:val="18"/>
              </w:rPr>
              <w:t>41.0</w:t>
            </w:r>
          </w:p>
        </w:tc>
        <w:tc>
          <w:tcPr>
            <w:tcW w:w="2036" w:type="dxa"/>
            <w:hideMark/>
          </w:tcPr>
          <w:p w14:paraId="4C45FC23" w14:textId="77777777" w:rsidR="00B575B7" w:rsidRPr="009B57B3" w:rsidRDefault="00B575B7" w:rsidP="00760781">
            <w:pPr>
              <w:pStyle w:val="NormalWeb"/>
              <w:jc w:val="center"/>
              <w:rPr>
                <w:sz w:val="18"/>
                <w:szCs w:val="18"/>
              </w:rPr>
            </w:pPr>
            <w:r w:rsidRPr="009B57B3">
              <w:rPr>
                <w:sz w:val="18"/>
                <w:szCs w:val="18"/>
              </w:rPr>
              <w:t>17,238</w:t>
            </w:r>
          </w:p>
        </w:tc>
        <w:tc>
          <w:tcPr>
            <w:tcW w:w="2036" w:type="dxa"/>
            <w:hideMark/>
          </w:tcPr>
          <w:p w14:paraId="33E6B2A5" w14:textId="77777777" w:rsidR="00B575B7" w:rsidRPr="009B57B3" w:rsidRDefault="00B575B7" w:rsidP="00760781">
            <w:pPr>
              <w:pStyle w:val="NormalWeb"/>
              <w:jc w:val="center"/>
              <w:rPr>
                <w:sz w:val="18"/>
                <w:szCs w:val="18"/>
              </w:rPr>
            </w:pPr>
            <w:r w:rsidRPr="009B57B3">
              <w:rPr>
                <w:sz w:val="18"/>
                <w:szCs w:val="18"/>
              </w:rPr>
              <w:t>29,590</w:t>
            </w:r>
          </w:p>
        </w:tc>
        <w:tc>
          <w:tcPr>
            <w:tcW w:w="2037" w:type="dxa"/>
            <w:hideMark/>
          </w:tcPr>
          <w:p w14:paraId="34602BF3" w14:textId="77777777" w:rsidR="00B575B7" w:rsidRPr="009B57B3" w:rsidRDefault="00B575B7" w:rsidP="00760781">
            <w:pPr>
              <w:pStyle w:val="NormalWeb"/>
              <w:jc w:val="center"/>
              <w:rPr>
                <w:sz w:val="18"/>
                <w:szCs w:val="18"/>
              </w:rPr>
            </w:pPr>
            <w:r w:rsidRPr="009B57B3">
              <w:rPr>
                <w:sz w:val="18"/>
                <w:szCs w:val="18"/>
              </w:rPr>
              <w:t>58.3</w:t>
            </w:r>
          </w:p>
        </w:tc>
      </w:tr>
      <w:tr w:rsidR="00B575B7" w:rsidRPr="009B57B3" w14:paraId="141E15E5" w14:textId="77777777" w:rsidTr="00ED0F75">
        <w:trPr>
          <w:cnfStyle w:val="000000010000" w:firstRow="0" w:lastRow="0" w:firstColumn="0" w:lastColumn="0" w:oddVBand="0" w:evenVBand="0" w:oddHBand="0" w:evenHBand="1" w:firstRowFirstColumn="0" w:firstRowLastColumn="0" w:lastRowFirstColumn="0" w:lastRowLastColumn="0"/>
        </w:trPr>
        <w:tc>
          <w:tcPr>
            <w:tcW w:w="0" w:type="auto"/>
            <w:hideMark/>
          </w:tcPr>
          <w:p w14:paraId="7DC344EC" w14:textId="77777777" w:rsidR="00B575B7" w:rsidRPr="009B57B3" w:rsidRDefault="00B575B7">
            <w:pPr>
              <w:pStyle w:val="NormalWeb"/>
              <w:rPr>
                <w:sz w:val="18"/>
                <w:szCs w:val="18"/>
              </w:rPr>
            </w:pPr>
            <w:r w:rsidRPr="009B57B3">
              <w:rPr>
                <w:sz w:val="18"/>
                <w:szCs w:val="18"/>
              </w:rPr>
              <w:t>Missing</w:t>
            </w:r>
          </w:p>
        </w:tc>
        <w:tc>
          <w:tcPr>
            <w:tcW w:w="2036" w:type="dxa"/>
            <w:hideMark/>
          </w:tcPr>
          <w:p w14:paraId="4738203F" w14:textId="77777777" w:rsidR="00B575B7" w:rsidRPr="009B57B3" w:rsidRDefault="00B575B7" w:rsidP="00760781">
            <w:pPr>
              <w:pStyle w:val="NormalWeb"/>
              <w:jc w:val="center"/>
              <w:rPr>
                <w:sz w:val="18"/>
                <w:szCs w:val="18"/>
              </w:rPr>
            </w:pPr>
            <w:r w:rsidRPr="009B57B3">
              <w:rPr>
                <w:sz w:val="18"/>
                <w:szCs w:val="18"/>
              </w:rPr>
              <w:t>54</w:t>
            </w:r>
          </w:p>
        </w:tc>
        <w:tc>
          <w:tcPr>
            <w:tcW w:w="2036" w:type="dxa"/>
            <w:hideMark/>
          </w:tcPr>
          <w:p w14:paraId="4F39FD4F" w14:textId="77777777" w:rsidR="00B575B7" w:rsidRPr="009B57B3" w:rsidRDefault="00B575B7" w:rsidP="00760781">
            <w:pPr>
              <w:pStyle w:val="NormalWeb"/>
              <w:jc w:val="center"/>
              <w:rPr>
                <w:sz w:val="18"/>
                <w:szCs w:val="18"/>
              </w:rPr>
            </w:pPr>
            <w:r w:rsidRPr="009B57B3">
              <w:rPr>
                <w:sz w:val="18"/>
                <w:szCs w:val="18"/>
              </w:rPr>
              <w:t>152</w:t>
            </w:r>
          </w:p>
        </w:tc>
        <w:tc>
          <w:tcPr>
            <w:tcW w:w="2036" w:type="dxa"/>
            <w:hideMark/>
          </w:tcPr>
          <w:p w14:paraId="7EB7932A" w14:textId="77777777" w:rsidR="00B575B7" w:rsidRPr="009B57B3" w:rsidRDefault="00B575B7" w:rsidP="00760781">
            <w:pPr>
              <w:pStyle w:val="NormalWeb"/>
              <w:jc w:val="center"/>
              <w:rPr>
                <w:sz w:val="18"/>
                <w:szCs w:val="18"/>
              </w:rPr>
            </w:pPr>
            <w:r w:rsidRPr="009B57B3">
              <w:rPr>
                <w:sz w:val="18"/>
                <w:szCs w:val="18"/>
              </w:rPr>
              <w:t>35.5</w:t>
            </w:r>
          </w:p>
        </w:tc>
        <w:tc>
          <w:tcPr>
            <w:tcW w:w="2036" w:type="dxa"/>
            <w:hideMark/>
          </w:tcPr>
          <w:p w14:paraId="6395BFCC" w14:textId="77777777" w:rsidR="00B575B7" w:rsidRPr="009B57B3" w:rsidRDefault="00B575B7" w:rsidP="00760781">
            <w:pPr>
              <w:pStyle w:val="NormalWeb"/>
              <w:jc w:val="center"/>
              <w:rPr>
                <w:sz w:val="18"/>
                <w:szCs w:val="18"/>
              </w:rPr>
            </w:pPr>
            <w:r w:rsidRPr="009B57B3">
              <w:rPr>
                <w:sz w:val="18"/>
                <w:szCs w:val="18"/>
              </w:rPr>
              <w:t>5,484</w:t>
            </w:r>
          </w:p>
        </w:tc>
        <w:tc>
          <w:tcPr>
            <w:tcW w:w="2036" w:type="dxa"/>
            <w:hideMark/>
          </w:tcPr>
          <w:p w14:paraId="02EBD399" w14:textId="77777777" w:rsidR="00B575B7" w:rsidRPr="009B57B3" w:rsidRDefault="00B575B7" w:rsidP="00760781">
            <w:pPr>
              <w:pStyle w:val="NormalWeb"/>
              <w:jc w:val="center"/>
              <w:rPr>
                <w:sz w:val="18"/>
                <w:szCs w:val="18"/>
              </w:rPr>
            </w:pPr>
            <w:r w:rsidRPr="009B57B3">
              <w:rPr>
                <w:sz w:val="18"/>
                <w:szCs w:val="18"/>
              </w:rPr>
              <w:t>10,019</w:t>
            </w:r>
          </w:p>
        </w:tc>
        <w:tc>
          <w:tcPr>
            <w:tcW w:w="2037" w:type="dxa"/>
            <w:hideMark/>
          </w:tcPr>
          <w:p w14:paraId="2C2149EF" w14:textId="77777777" w:rsidR="00B575B7" w:rsidRPr="009B57B3" w:rsidRDefault="00B575B7" w:rsidP="00760781">
            <w:pPr>
              <w:pStyle w:val="NormalWeb"/>
              <w:jc w:val="center"/>
              <w:rPr>
                <w:sz w:val="18"/>
                <w:szCs w:val="18"/>
              </w:rPr>
            </w:pPr>
            <w:r w:rsidRPr="009B57B3">
              <w:rPr>
                <w:sz w:val="18"/>
                <w:szCs w:val="18"/>
              </w:rPr>
              <w:t>54.7</w:t>
            </w:r>
          </w:p>
        </w:tc>
      </w:tr>
      <w:tr w:rsidR="00DD55F2" w:rsidRPr="009B57B3" w14:paraId="6A962D2B" w14:textId="77777777" w:rsidTr="00ED0F75">
        <w:tc>
          <w:tcPr>
            <w:tcW w:w="0" w:type="auto"/>
            <w:shd w:val="clear" w:color="auto" w:fill="808080" w:themeFill="background1" w:themeFillShade="80"/>
            <w:hideMark/>
          </w:tcPr>
          <w:p w14:paraId="613AA1EB" w14:textId="77777777" w:rsidR="00B575B7" w:rsidRPr="009B57B3" w:rsidRDefault="00B575B7">
            <w:pPr>
              <w:pStyle w:val="NormalWeb"/>
              <w:rPr>
                <w:b/>
                <w:color w:val="FFFFFF" w:themeColor="background1"/>
                <w:sz w:val="18"/>
                <w:szCs w:val="18"/>
              </w:rPr>
            </w:pPr>
            <w:r w:rsidRPr="009B57B3">
              <w:rPr>
                <w:b/>
                <w:color w:val="FFFFFF" w:themeColor="background1"/>
                <w:sz w:val="18"/>
                <w:szCs w:val="18"/>
              </w:rPr>
              <w:t xml:space="preserve">Medical </w:t>
            </w:r>
            <w:proofErr w:type="spellStart"/>
            <w:r w:rsidRPr="009B57B3">
              <w:rPr>
                <w:b/>
                <w:color w:val="FFFFFF" w:themeColor="background1"/>
                <w:sz w:val="18"/>
                <w:szCs w:val="18"/>
              </w:rPr>
              <w:t>condition</w:t>
            </w:r>
            <w:r w:rsidRPr="009B57B3">
              <w:rPr>
                <w:b/>
                <w:color w:val="FFFFFF" w:themeColor="background1"/>
                <w:sz w:val="18"/>
                <w:szCs w:val="18"/>
                <w:vertAlign w:val="superscript"/>
              </w:rPr>
              <w:t>a</w:t>
            </w:r>
            <w:proofErr w:type="spellEnd"/>
          </w:p>
        </w:tc>
        <w:tc>
          <w:tcPr>
            <w:tcW w:w="2036" w:type="dxa"/>
            <w:shd w:val="clear" w:color="auto" w:fill="808080" w:themeFill="background1" w:themeFillShade="80"/>
            <w:hideMark/>
          </w:tcPr>
          <w:p w14:paraId="2162A943" w14:textId="77777777" w:rsidR="00B575B7" w:rsidRPr="009B57B3" w:rsidRDefault="00B575B7" w:rsidP="00760781">
            <w:pPr>
              <w:jc w:val="center"/>
              <w:rPr>
                <w:b/>
                <w:color w:val="FFFFFF" w:themeColor="background1"/>
                <w:sz w:val="18"/>
                <w:szCs w:val="18"/>
              </w:rPr>
            </w:pPr>
          </w:p>
        </w:tc>
        <w:tc>
          <w:tcPr>
            <w:tcW w:w="2036" w:type="dxa"/>
            <w:shd w:val="clear" w:color="auto" w:fill="808080" w:themeFill="background1" w:themeFillShade="80"/>
            <w:hideMark/>
          </w:tcPr>
          <w:p w14:paraId="6104309A" w14:textId="77777777" w:rsidR="00B575B7" w:rsidRPr="009B57B3" w:rsidRDefault="00B575B7" w:rsidP="00760781">
            <w:pPr>
              <w:jc w:val="center"/>
              <w:rPr>
                <w:rFonts w:eastAsia="Times New Roman"/>
                <w:b/>
                <w:color w:val="FFFFFF" w:themeColor="background1"/>
                <w:sz w:val="18"/>
                <w:szCs w:val="18"/>
              </w:rPr>
            </w:pPr>
          </w:p>
        </w:tc>
        <w:tc>
          <w:tcPr>
            <w:tcW w:w="2036" w:type="dxa"/>
            <w:shd w:val="clear" w:color="auto" w:fill="808080" w:themeFill="background1" w:themeFillShade="80"/>
            <w:hideMark/>
          </w:tcPr>
          <w:p w14:paraId="78C965CC" w14:textId="77777777" w:rsidR="00B575B7" w:rsidRPr="009B57B3" w:rsidRDefault="00B575B7" w:rsidP="00760781">
            <w:pPr>
              <w:jc w:val="center"/>
              <w:rPr>
                <w:rFonts w:eastAsia="Times New Roman"/>
                <w:b/>
                <w:color w:val="FFFFFF" w:themeColor="background1"/>
                <w:sz w:val="18"/>
                <w:szCs w:val="18"/>
              </w:rPr>
            </w:pPr>
          </w:p>
        </w:tc>
        <w:tc>
          <w:tcPr>
            <w:tcW w:w="2036" w:type="dxa"/>
            <w:shd w:val="clear" w:color="auto" w:fill="808080" w:themeFill="background1" w:themeFillShade="80"/>
            <w:hideMark/>
          </w:tcPr>
          <w:p w14:paraId="61534BDA" w14:textId="77777777" w:rsidR="00B575B7" w:rsidRPr="009B57B3" w:rsidRDefault="00B575B7" w:rsidP="00760781">
            <w:pPr>
              <w:jc w:val="center"/>
              <w:rPr>
                <w:rFonts w:eastAsia="Times New Roman"/>
                <w:b/>
                <w:color w:val="FFFFFF" w:themeColor="background1"/>
                <w:sz w:val="18"/>
                <w:szCs w:val="18"/>
              </w:rPr>
            </w:pPr>
          </w:p>
        </w:tc>
        <w:tc>
          <w:tcPr>
            <w:tcW w:w="2036" w:type="dxa"/>
            <w:shd w:val="clear" w:color="auto" w:fill="808080" w:themeFill="background1" w:themeFillShade="80"/>
            <w:hideMark/>
          </w:tcPr>
          <w:p w14:paraId="5391D711" w14:textId="77777777" w:rsidR="00B575B7" w:rsidRPr="009B57B3" w:rsidRDefault="00B575B7" w:rsidP="00760781">
            <w:pPr>
              <w:jc w:val="center"/>
              <w:rPr>
                <w:rFonts w:eastAsia="Times New Roman"/>
                <w:b/>
                <w:color w:val="FFFFFF" w:themeColor="background1"/>
                <w:sz w:val="18"/>
                <w:szCs w:val="18"/>
              </w:rPr>
            </w:pPr>
          </w:p>
        </w:tc>
        <w:tc>
          <w:tcPr>
            <w:tcW w:w="2037" w:type="dxa"/>
            <w:shd w:val="clear" w:color="auto" w:fill="808080" w:themeFill="background1" w:themeFillShade="80"/>
            <w:hideMark/>
          </w:tcPr>
          <w:p w14:paraId="1CF47E18" w14:textId="77777777" w:rsidR="00B575B7" w:rsidRPr="009B57B3" w:rsidRDefault="00B575B7" w:rsidP="00760781">
            <w:pPr>
              <w:jc w:val="center"/>
              <w:rPr>
                <w:rFonts w:eastAsia="Times New Roman"/>
                <w:b/>
                <w:color w:val="FFFFFF" w:themeColor="background1"/>
                <w:sz w:val="18"/>
                <w:szCs w:val="18"/>
              </w:rPr>
            </w:pPr>
          </w:p>
        </w:tc>
      </w:tr>
      <w:tr w:rsidR="00B575B7" w:rsidRPr="009B57B3" w14:paraId="39CB8D17" w14:textId="77777777" w:rsidTr="00ED0F75">
        <w:trPr>
          <w:cnfStyle w:val="000000010000" w:firstRow="0" w:lastRow="0" w:firstColumn="0" w:lastColumn="0" w:oddVBand="0" w:evenVBand="0" w:oddHBand="0" w:evenHBand="1" w:firstRowFirstColumn="0" w:firstRowLastColumn="0" w:lastRowFirstColumn="0" w:lastRowLastColumn="0"/>
        </w:trPr>
        <w:tc>
          <w:tcPr>
            <w:tcW w:w="0" w:type="auto"/>
            <w:hideMark/>
          </w:tcPr>
          <w:p w14:paraId="1E4FAB48" w14:textId="77777777" w:rsidR="00B575B7" w:rsidRPr="009B57B3" w:rsidRDefault="00B575B7">
            <w:pPr>
              <w:pStyle w:val="NormalWeb"/>
              <w:rPr>
                <w:sz w:val="18"/>
                <w:szCs w:val="18"/>
              </w:rPr>
            </w:pPr>
            <w:r w:rsidRPr="009B57B3">
              <w:rPr>
                <w:sz w:val="18"/>
                <w:szCs w:val="18"/>
              </w:rPr>
              <w:t>No</w:t>
            </w:r>
          </w:p>
        </w:tc>
        <w:tc>
          <w:tcPr>
            <w:tcW w:w="2036" w:type="dxa"/>
            <w:hideMark/>
          </w:tcPr>
          <w:p w14:paraId="716AA8C5" w14:textId="77777777" w:rsidR="00B575B7" w:rsidRPr="009B57B3" w:rsidRDefault="00B575B7" w:rsidP="00760781">
            <w:pPr>
              <w:pStyle w:val="NormalWeb"/>
              <w:jc w:val="center"/>
              <w:rPr>
                <w:sz w:val="18"/>
                <w:szCs w:val="18"/>
              </w:rPr>
            </w:pPr>
            <w:r w:rsidRPr="009B57B3">
              <w:rPr>
                <w:sz w:val="18"/>
                <w:szCs w:val="18"/>
              </w:rPr>
              <w:t>367</w:t>
            </w:r>
          </w:p>
        </w:tc>
        <w:tc>
          <w:tcPr>
            <w:tcW w:w="2036" w:type="dxa"/>
            <w:hideMark/>
          </w:tcPr>
          <w:p w14:paraId="23D96F93" w14:textId="77777777" w:rsidR="00B575B7" w:rsidRPr="009B57B3" w:rsidRDefault="00B575B7" w:rsidP="00760781">
            <w:pPr>
              <w:pStyle w:val="NormalWeb"/>
              <w:jc w:val="center"/>
              <w:rPr>
                <w:sz w:val="18"/>
                <w:szCs w:val="18"/>
              </w:rPr>
            </w:pPr>
            <w:r w:rsidRPr="009B57B3">
              <w:rPr>
                <w:sz w:val="18"/>
                <w:szCs w:val="18"/>
              </w:rPr>
              <w:t>853</w:t>
            </w:r>
          </w:p>
        </w:tc>
        <w:tc>
          <w:tcPr>
            <w:tcW w:w="2036" w:type="dxa"/>
            <w:hideMark/>
          </w:tcPr>
          <w:p w14:paraId="679A245B" w14:textId="77777777" w:rsidR="00B575B7" w:rsidRPr="009B57B3" w:rsidRDefault="00B575B7" w:rsidP="00760781">
            <w:pPr>
              <w:pStyle w:val="NormalWeb"/>
              <w:jc w:val="center"/>
              <w:rPr>
                <w:sz w:val="18"/>
                <w:szCs w:val="18"/>
              </w:rPr>
            </w:pPr>
            <w:r w:rsidRPr="009B57B3">
              <w:rPr>
                <w:sz w:val="18"/>
                <w:szCs w:val="18"/>
              </w:rPr>
              <w:t>43.0</w:t>
            </w:r>
          </w:p>
        </w:tc>
        <w:tc>
          <w:tcPr>
            <w:tcW w:w="2036" w:type="dxa"/>
            <w:hideMark/>
          </w:tcPr>
          <w:p w14:paraId="1F719B9D" w14:textId="77777777" w:rsidR="00B575B7" w:rsidRPr="009B57B3" w:rsidRDefault="00B575B7" w:rsidP="00760781">
            <w:pPr>
              <w:pStyle w:val="NormalWeb"/>
              <w:jc w:val="center"/>
              <w:rPr>
                <w:sz w:val="18"/>
                <w:szCs w:val="18"/>
              </w:rPr>
            </w:pPr>
            <w:r w:rsidRPr="009B57B3">
              <w:rPr>
                <w:sz w:val="18"/>
                <w:szCs w:val="18"/>
              </w:rPr>
              <w:t>60,098</w:t>
            </w:r>
          </w:p>
        </w:tc>
        <w:tc>
          <w:tcPr>
            <w:tcW w:w="2036" w:type="dxa"/>
            <w:hideMark/>
          </w:tcPr>
          <w:p w14:paraId="646BA6BB" w14:textId="77777777" w:rsidR="00B575B7" w:rsidRPr="009B57B3" w:rsidRDefault="00B575B7" w:rsidP="00760781">
            <w:pPr>
              <w:pStyle w:val="NormalWeb"/>
              <w:jc w:val="center"/>
              <w:rPr>
                <w:sz w:val="18"/>
                <w:szCs w:val="18"/>
              </w:rPr>
            </w:pPr>
            <w:r w:rsidRPr="009B57B3">
              <w:rPr>
                <w:sz w:val="18"/>
                <w:szCs w:val="18"/>
              </w:rPr>
              <w:t>96,036</w:t>
            </w:r>
          </w:p>
        </w:tc>
        <w:tc>
          <w:tcPr>
            <w:tcW w:w="2037" w:type="dxa"/>
            <w:hideMark/>
          </w:tcPr>
          <w:p w14:paraId="10E845D4" w14:textId="77777777" w:rsidR="00B575B7" w:rsidRPr="009B57B3" w:rsidRDefault="00B575B7" w:rsidP="00760781">
            <w:pPr>
              <w:pStyle w:val="NormalWeb"/>
              <w:jc w:val="center"/>
              <w:rPr>
                <w:sz w:val="18"/>
                <w:szCs w:val="18"/>
              </w:rPr>
            </w:pPr>
            <w:r w:rsidRPr="009B57B3">
              <w:rPr>
                <w:sz w:val="18"/>
                <w:szCs w:val="18"/>
              </w:rPr>
              <w:t>62.6</w:t>
            </w:r>
          </w:p>
        </w:tc>
      </w:tr>
      <w:tr w:rsidR="00B575B7" w:rsidRPr="009B57B3" w14:paraId="2347A2F7" w14:textId="77777777" w:rsidTr="00ED0F75">
        <w:tc>
          <w:tcPr>
            <w:tcW w:w="0" w:type="auto"/>
            <w:hideMark/>
          </w:tcPr>
          <w:p w14:paraId="50F0723D" w14:textId="77777777" w:rsidR="00B575B7" w:rsidRPr="009B57B3" w:rsidRDefault="00B575B7">
            <w:pPr>
              <w:pStyle w:val="NormalWeb"/>
              <w:rPr>
                <w:sz w:val="18"/>
                <w:szCs w:val="18"/>
              </w:rPr>
            </w:pPr>
            <w:r w:rsidRPr="009B57B3">
              <w:rPr>
                <w:sz w:val="18"/>
                <w:szCs w:val="18"/>
              </w:rPr>
              <w:t>Yes</w:t>
            </w:r>
          </w:p>
        </w:tc>
        <w:tc>
          <w:tcPr>
            <w:tcW w:w="2036" w:type="dxa"/>
            <w:hideMark/>
          </w:tcPr>
          <w:p w14:paraId="335B618E" w14:textId="77777777" w:rsidR="00B575B7" w:rsidRPr="009B57B3" w:rsidRDefault="00B575B7" w:rsidP="00760781">
            <w:pPr>
              <w:pStyle w:val="NormalWeb"/>
              <w:jc w:val="center"/>
              <w:rPr>
                <w:sz w:val="18"/>
                <w:szCs w:val="18"/>
              </w:rPr>
            </w:pPr>
            <w:r w:rsidRPr="009B57B3">
              <w:rPr>
                <w:sz w:val="18"/>
                <w:szCs w:val="18"/>
              </w:rPr>
              <w:t>201</w:t>
            </w:r>
          </w:p>
        </w:tc>
        <w:tc>
          <w:tcPr>
            <w:tcW w:w="2036" w:type="dxa"/>
            <w:hideMark/>
          </w:tcPr>
          <w:p w14:paraId="53BA64CB" w14:textId="77777777" w:rsidR="00B575B7" w:rsidRPr="009B57B3" w:rsidRDefault="00B575B7" w:rsidP="00760781">
            <w:pPr>
              <w:pStyle w:val="NormalWeb"/>
              <w:jc w:val="center"/>
              <w:rPr>
                <w:sz w:val="18"/>
                <w:szCs w:val="18"/>
              </w:rPr>
            </w:pPr>
            <w:r w:rsidRPr="009B57B3">
              <w:rPr>
                <w:sz w:val="18"/>
                <w:szCs w:val="18"/>
              </w:rPr>
              <w:t>476</w:t>
            </w:r>
          </w:p>
        </w:tc>
        <w:tc>
          <w:tcPr>
            <w:tcW w:w="2036" w:type="dxa"/>
            <w:hideMark/>
          </w:tcPr>
          <w:p w14:paraId="30B9A247" w14:textId="77777777" w:rsidR="00B575B7" w:rsidRPr="009B57B3" w:rsidRDefault="00B575B7" w:rsidP="00760781">
            <w:pPr>
              <w:pStyle w:val="NormalWeb"/>
              <w:jc w:val="center"/>
              <w:rPr>
                <w:sz w:val="18"/>
                <w:szCs w:val="18"/>
              </w:rPr>
            </w:pPr>
            <w:r w:rsidRPr="009B57B3">
              <w:rPr>
                <w:sz w:val="18"/>
                <w:szCs w:val="18"/>
              </w:rPr>
              <w:t>42.2</w:t>
            </w:r>
          </w:p>
        </w:tc>
        <w:tc>
          <w:tcPr>
            <w:tcW w:w="2036" w:type="dxa"/>
            <w:hideMark/>
          </w:tcPr>
          <w:p w14:paraId="5C935229" w14:textId="77777777" w:rsidR="00B575B7" w:rsidRPr="009B57B3" w:rsidRDefault="00B575B7" w:rsidP="00760781">
            <w:pPr>
              <w:pStyle w:val="NormalWeb"/>
              <w:jc w:val="center"/>
              <w:rPr>
                <w:sz w:val="18"/>
                <w:szCs w:val="18"/>
              </w:rPr>
            </w:pPr>
            <w:r w:rsidRPr="009B57B3">
              <w:rPr>
                <w:sz w:val="18"/>
                <w:szCs w:val="18"/>
              </w:rPr>
              <w:t>21,747</w:t>
            </w:r>
          </w:p>
        </w:tc>
        <w:tc>
          <w:tcPr>
            <w:tcW w:w="2036" w:type="dxa"/>
            <w:hideMark/>
          </w:tcPr>
          <w:p w14:paraId="1AC3DCF7" w14:textId="77777777" w:rsidR="00B575B7" w:rsidRPr="009B57B3" w:rsidRDefault="00B575B7" w:rsidP="00760781">
            <w:pPr>
              <w:pStyle w:val="NormalWeb"/>
              <w:jc w:val="center"/>
              <w:rPr>
                <w:sz w:val="18"/>
                <w:szCs w:val="18"/>
              </w:rPr>
            </w:pPr>
            <w:r w:rsidRPr="009B57B3">
              <w:rPr>
                <w:sz w:val="18"/>
                <w:szCs w:val="18"/>
              </w:rPr>
              <w:t>37,505</w:t>
            </w:r>
          </w:p>
        </w:tc>
        <w:tc>
          <w:tcPr>
            <w:tcW w:w="2037" w:type="dxa"/>
            <w:hideMark/>
          </w:tcPr>
          <w:p w14:paraId="6700C30C" w14:textId="77777777" w:rsidR="00B575B7" w:rsidRPr="009B57B3" w:rsidRDefault="00B575B7" w:rsidP="00760781">
            <w:pPr>
              <w:pStyle w:val="NormalWeb"/>
              <w:jc w:val="center"/>
              <w:rPr>
                <w:sz w:val="18"/>
                <w:szCs w:val="18"/>
              </w:rPr>
            </w:pPr>
            <w:r w:rsidRPr="009B57B3">
              <w:rPr>
                <w:sz w:val="18"/>
                <w:szCs w:val="18"/>
              </w:rPr>
              <w:t>58.0</w:t>
            </w:r>
          </w:p>
        </w:tc>
      </w:tr>
      <w:tr w:rsidR="00DD55F2" w:rsidRPr="009B57B3" w14:paraId="1D8F43CF" w14:textId="77777777" w:rsidTr="00ED0F75">
        <w:trPr>
          <w:cnfStyle w:val="000000010000" w:firstRow="0" w:lastRow="0" w:firstColumn="0" w:lastColumn="0" w:oddVBand="0" w:evenVBand="0" w:oddHBand="0" w:evenHBand="1" w:firstRowFirstColumn="0" w:firstRowLastColumn="0" w:lastRowFirstColumn="0" w:lastRowLastColumn="0"/>
        </w:trPr>
        <w:tc>
          <w:tcPr>
            <w:tcW w:w="0" w:type="auto"/>
            <w:shd w:val="clear" w:color="auto" w:fill="808080" w:themeFill="background1" w:themeFillShade="80"/>
            <w:hideMark/>
          </w:tcPr>
          <w:p w14:paraId="0E439E06" w14:textId="77777777" w:rsidR="00B575B7" w:rsidRPr="009B57B3" w:rsidRDefault="00B575B7">
            <w:pPr>
              <w:pStyle w:val="NormalWeb"/>
              <w:rPr>
                <w:b/>
                <w:color w:val="FFFFFF" w:themeColor="background1"/>
                <w:sz w:val="18"/>
                <w:szCs w:val="18"/>
              </w:rPr>
            </w:pPr>
            <w:r w:rsidRPr="009B57B3">
              <w:rPr>
                <w:b/>
                <w:color w:val="FFFFFF" w:themeColor="background1"/>
                <w:sz w:val="18"/>
                <w:szCs w:val="18"/>
              </w:rPr>
              <w:t>Self-reported general health status</w:t>
            </w:r>
          </w:p>
        </w:tc>
        <w:tc>
          <w:tcPr>
            <w:tcW w:w="2036" w:type="dxa"/>
            <w:shd w:val="clear" w:color="auto" w:fill="808080" w:themeFill="background1" w:themeFillShade="80"/>
            <w:hideMark/>
          </w:tcPr>
          <w:p w14:paraId="5311F9CF" w14:textId="77777777" w:rsidR="00B575B7" w:rsidRPr="009B57B3" w:rsidRDefault="00B575B7" w:rsidP="00760781">
            <w:pPr>
              <w:jc w:val="center"/>
              <w:rPr>
                <w:b/>
                <w:color w:val="FFFFFF" w:themeColor="background1"/>
                <w:sz w:val="18"/>
                <w:szCs w:val="18"/>
              </w:rPr>
            </w:pPr>
          </w:p>
        </w:tc>
        <w:tc>
          <w:tcPr>
            <w:tcW w:w="2036" w:type="dxa"/>
            <w:shd w:val="clear" w:color="auto" w:fill="808080" w:themeFill="background1" w:themeFillShade="80"/>
            <w:hideMark/>
          </w:tcPr>
          <w:p w14:paraId="73A96BCA" w14:textId="77777777" w:rsidR="00B575B7" w:rsidRPr="009B57B3" w:rsidRDefault="00B575B7" w:rsidP="00760781">
            <w:pPr>
              <w:jc w:val="center"/>
              <w:rPr>
                <w:rFonts w:eastAsia="Times New Roman"/>
                <w:b/>
                <w:color w:val="FFFFFF" w:themeColor="background1"/>
                <w:sz w:val="18"/>
                <w:szCs w:val="18"/>
              </w:rPr>
            </w:pPr>
          </w:p>
        </w:tc>
        <w:tc>
          <w:tcPr>
            <w:tcW w:w="2036" w:type="dxa"/>
            <w:shd w:val="clear" w:color="auto" w:fill="808080" w:themeFill="background1" w:themeFillShade="80"/>
            <w:hideMark/>
          </w:tcPr>
          <w:p w14:paraId="45990C4F" w14:textId="77777777" w:rsidR="00B575B7" w:rsidRPr="009B57B3" w:rsidRDefault="00B575B7" w:rsidP="00760781">
            <w:pPr>
              <w:jc w:val="center"/>
              <w:rPr>
                <w:rFonts w:eastAsia="Times New Roman"/>
                <w:b/>
                <w:color w:val="FFFFFF" w:themeColor="background1"/>
                <w:sz w:val="18"/>
                <w:szCs w:val="18"/>
              </w:rPr>
            </w:pPr>
          </w:p>
        </w:tc>
        <w:tc>
          <w:tcPr>
            <w:tcW w:w="2036" w:type="dxa"/>
            <w:shd w:val="clear" w:color="auto" w:fill="808080" w:themeFill="background1" w:themeFillShade="80"/>
            <w:hideMark/>
          </w:tcPr>
          <w:p w14:paraId="1B7A0A25" w14:textId="77777777" w:rsidR="00B575B7" w:rsidRPr="009B57B3" w:rsidRDefault="00B575B7" w:rsidP="00760781">
            <w:pPr>
              <w:jc w:val="center"/>
              <w:rPr>
                <w:rFonts w:eastAsia="Times New Roman"/>
                <w:b/>
                <w:color w:val="FFFFFF" w:themeColor="background1"/>
                <w:sz w:val="18"/>
                <w:szCs w:val="18"/>
              </w:rPr>
            </w:pPr>
          </w:p>
        </w:tc>
        <w:tc>
          <w:tcPr>
            <w:tcW w:w="2036" w:type="dxa"/>
            <w:shd w:val="clear" w:color="auto" w:fill="808080" w:themeFill="background1" w:themeFillShade="80"/>
            <w:hideMark/>
          </w:tcPr>
          <w:p w14:paraId="33E3DFF2" w14:textId="77777777" w:rsidR="00B575B7" w:rsidRPr="009B57B3" w:rsidRDefault="00B575B7" w:rsidP="00760781">
            <w:pPr>
              <w:jc w:val="center"/>
              <w:rPr>
                <w:rFonts w:eastAsia="Times New Roman"/>
                <w:b/>
                <w:color w:val="FFFFFF" w:themeColor="background1"/>
                <w:sz w:val="18"/>
                <w:szCs w:val="18"/>
              </w:rPr>
            </w:pPr>
          </w:p>
        </w:tc>
        <w:tc>
          <w:tcPr>
            <w:tcW w:w="2037" w:type="dxa"/>
            <w:shd w:val="clear" w:color="auto" w:fill="808080" w:themeFill="background1" w:themeFillShade="80"/>
            <w:hideMark/>
          </w:tcPr>
          <w:p w14:paraId="48130AB9" w14:textId="77777777" w:rsidR="00B575B7" w:rsidRPr="009B57B3" w:rsidRDefault="00B575B7" w:rsidP="00760781">
            <w:pPr>
              <w:jc w:val="center"/>
              <w:rPr>
                <w:rFonts w:eastAsia="Times New Roman"/>
                <w:b/>
                <w:color w:val="FFFFFF" w:themeColor="background1"/>
                <w:sz w:val="18"/>
                <w:szCs w:val="18"/>
              </w:rPr>
            </w:pPr>
          </w:p>
        </w:tc>
      </w:tr>
      <w:tr w:rsidR="00B575B7" w:rsidRPr="009B57B3" w14:paraId="0526EE84" w14:textId="77777777" w:rsidTr="00ED0F75">
        <w:tc>
          <w:tcPr>
            <w:tcW w:w="0" w:type="auto"/>
            <w:hideMark/>
          </w:tcPr>
          <w:p w14:paraId="1C29258E" w14:textId="77777777" w:rsidR="00B575B7" w:rsidRPr="009B57B3" w:rsidRDefault="00B575B7">
            <w:pPr>
              <w:pStyle w:val="NormalWeb"/>
              <w:rPr>
                <w:sz w:val="18"/>
                <w:szCs w:val="18"/>
              </w:rPr>
            </w:pPr>
            <w:r w:rsidRPr="009B57B3">
              <w:rPr>
                <w:sz w:val="18"/>
                <w:szCs w:val="18"/>
              </w:rPr>
              <w:t>Excellent</w:t>
            </w:r>
          </w:p>
        </w:tc>
        <w:tc>
          <w:tcPr>
            <w:tcW w:w="2036" w:type="dxa"/>
            <w:hideMark/>
          </w:tcPr>
          <w:p w14:paraId="71928BC1" w14:textId="77777777" w:rsidR="00B575B7" w:rsidRPr="009B57B3" w:rsidRDefault="00B575B7" w:rsidP="00760781">
            <w:pPr>
              <w:pStyle w:val="NormalWeb"/>
              <w:jc w:val="center"/>
              <w:rPr>
                <w:sz w:val="18"/>
                <w:szCs w:val="18"/>
              </w:rPr>
            </w:pPr>
            <w:r w:rsidRPr="009B57B3">
              <w:rPr>
                <w:sz w:val="18"/>
                <w:szCs w:val="18"/>
              </w:rPr>
              <w:t>63</w:t>
            </w:r>
          </w:p>
        </w:tc>
        <w:tc>
          <w:tcPr>
            <w:tcW w:w="2036" w:type="dxa"/>
            <w:hideMark/>
          </w:tcPr>
          <w:p w14:paraId="1E085CC8" w14:textId="77777777" w:rsidR="00B575B7" w:rsidRPr="009B57B3" w:rsidRDefault="00B575B7" w:rsidP="00760781">
            <w:pPr>
              <w:pStyle w:val="NormalWeb"/>
              <w:jc w:val="center"/>
              <w:rPr>
                <w:sz w:val="18"/>
                <w:szCs w:val="18"/>
              </w:rPr>
            </w:pPr>
            <w:r w:rsidRPr="009B57B3">
              <w:rPr>
                <w:sz w:val="18"/>
                <w:szCs w:val="18"/>
              </w:rPr>
              <w:t>127</w:t>
            </w:r>
          </w:p>
        </w:tc>
        <w:tc>
          <w:tcPr>
            <w:tcW w:w="2036" w:type="dxa"/>
            <w:hideMark/>
          </w:tcPr>
          <w:p w14:paraId="41DC2D43" w14:textId="77777777" w:rsidR="00B575B7" w:rsidRPr="009B57B3" w:rsidRDefault="00B575B7" w:rsidP="00760781">
            <w:pPr>
              <w:pStyle w:val="NormalWeb"/>
              <w:jc w:val="center"/>
              <w:rPr>
                <w:sz w:val="18"/>
                <w:szCs w:val="18"/>
              </w:rPr>
            </w:pPr>
            <w:r w:rsidRPr="009B57B3">
              <w:rPr>
                <w:sz w:val="18"/>
                <w:szCs w:val="18"/>
              </w:rPr>
              <w:t>49.6</w:t>
            </w:r>
          </w:p>
        </w:tc>
        <w:tc>
          <w:tcPr>
            <w:tcW w:w="2036" w:type="dxa"/>
            <w:hideMark/>
          </w:tcPr>
          <w:p w14:paraId="36C13D8E" w14:textId="77777777" w:rsidR="00B575B7" w:rsidRPr="009B57B3" w:rsidRDefault="00B575B7" w:rsidP="00760781">
            <w:pPr>
              <w:pStyle w:val="NormalWeb"/>
              <w:jc w:val="center"/>
              <w:rPr>
                <w:sz w:val="18"/>
                <w:szCs w:val="18"/>
              </w:rPr>
            </w:pPr>
            <w:r w:rsidRPr="009B57B3">
              <w:rPr>
                <w:sz w:val="18"/>
                <w:szCs w:val="18"/>
              </w:rPr>
              <w:t>14,348</w:t>
            </w:r>
          </w:p>
        </w:tc>
        <w:tc>
          <w:tcPr>
            <w:tcW w:w="2036" w:type="dxa"/>
            <w:hideMark/>
          </w:tcPr>
          <w:p w14:paraId="2E633EBD" w14:textId="77777777" w:rsidR="00B575B7" w:rsidRPr="009B57B3" w:rsidRDefault="00B575B7" w:rsidP="00760781">
            <w:pPr>
              <w:pStyle w:val="NormalWeb"/>
              <w:jc w:val="center"/>
              <w:rPr>
                <w:sz w:val="18"/>
                <w:szCs w:val="18"/>
              </w:rPr>
            </w:pPr>
            <w:r w:rsidRPr="009B57B3">
              <w:rPr>
                <w:sz w:val="18"/>
                <w:szCs w:val="18"/>
              </w:rPr>
              <w:t>20,602</w:t>
            </w:r>
          </w:p>
        </w:tc>
        <w:tc>
          <w:tcPr>
            <w:tcW w:w="2037" w:type="dxa"/>
            <w:hideMark/>
          </w:tcPr>
          <w:p w14:paraId="306A9D72" w14:textId="77777777" w:rsidR="00B575B7" w:rsidRPr="009B57B3" w:rsidRDefault="00B575B7" w:rsidP="00760781">
            <w:pPr>
              <w:pStyle w:val="NormalWeb"/>
              <w:jc w:val="center"/>
              <w:rPr>
                <w:sz w:val="18"/>
                <w:szCs w:val="18"/>
              </w:rPr>
            </w:pPr>
            <w:r w:rsidRPr="009B57B3">
              <w:rPr>
                <w:sz w:val="18"/>
                <w:szCs w:val="18"/>
              </w:rPr>
              <w:t>69.6</w:t>
            </w:r>
          </w:p>
        </w:tc>
      </w:tr>
      <w:tr w:rsidR="00B575B7" w:rsidRPr="009B57B3" w14:paraId="5B700B96" w14:textId="77777777" w:rsidTr="00ED0F75">
        <w:trPr>
          <w:cnfStyle w:val="000000010000" w:firstRow="0" w:lastRow="0" w:firstColumn="0" w:lastColumn="0" w:oddVBand="0" w:evenVBand="0" w:oddHBand="0" w:evenHBand="1" w:firstRowFirstColumn="0" w:firstRowLastColumn="0" w:lastRowFirstColumn="0" w:lastRowLastColumn="0"/>
        </w:trPr>
        <w:tc>
          <w:tcPr>
            <w:tcW w:w="0" w:type="auto"/>
            <w:hideMark/>
          </w:tcPr>
          <w:p w14:paraId="4198F819" w14:textId="77777777" w:rsidR="00B575B7" w:rsidRPr="009B57B3" w:rsidRDefault="00B575B7">
            <w:pPr>
              <w:pStyle w:val="NormalWeb"/>
              <w:rPr>
                <w:sz w:val="18"/>
                <w:szCs w:val="18"/>
              </w:rPr>
            </w:pPr>
            <w:r w:rsidRPr="009B57B3">
              <w:rPr>
                <w:sz w:val="18"/>
                <w:szCs w:val="18"/>
              </w:rPr>
              <w:t>Very good/good</w:t>
            </w:r>
          </w:p>
        </w:tc>
        <w:tc>
          <w:tcPr>
            <w:tcW w:w="2036" w:type="dxa"/>
            <w:hideMark/>
          </w:tcPr>
          <w:p w14:paraId="2472AF20" w14:textId="77777777" w:rsidR="00B575B7" w:rsidRPr="009B57B3" w:rsidRDefault="00B575B7" w:rsidP="00760781">
            <w:pPr>
              <w:pStyle w:val="NormalWeb"/>
              <w:jc w:val="center"/>
              <w:rPr>
                <w:sz w:val="18"/>
                <w:szCs w:val="18"/>
              </w:rPr>
            </w:pPr>
            <w:r w:rsidRPr="009B57B3">
              <w:rPr>
                <w:sz w:val="18"/>
                <w:szCs w:val="18"/>
              </w:rPr>
              <w:t>352</w:t>
            </w:r>
          </w:p>
        </w:tc>
        <w:tc>
          <w:tcPr>
            <w:tcW w:w="2036" w:type="dxa"/>
            <w:hideMark/>
          </w:tcPr>
          <w:p w14:paraId="5EB52282" w14:textId="77777777" w:rsidR="00B575B7" w:rsidRPr="009B57B3" w:rsidRDefault="00B575B7" w:rsidP="00760781">
            <w:pPr>
              <w:pStyle w:val="NormalWeb"/>
              <w:jc w:val="center"/>
              <w:rPr>
                <w:sz w:val="18"/>
                <w:szCs w:val="18"/>
              </w:rPr>
            </w:pPr>
            <w:r w:rsidRPr="009B57B3">
              <w:rPr>
                <w:sz w:val="18"/>
                <w:szCs w:val="18"/>
              </w:rPr>
              <w:t>776</w:t>
            </w:r>
          </w:p>
        </w:tc>
        <w:tc>
          <w:tcPr>
            <w:tcW w:w="2036" w:type="dxa"/>
            <w:hideMark/>
          </w:tcPr>
          <w:p w14:paraId="65F9C4CB" w14:textId="77777777" w:rsidR="00B575B7" w:rsidRPr="009B57B3" w:rsidRDefault="00B575B7" w:rsidP="00760781">
            <w:pPr>
              <w:pStyle w:val="NormalWeb"/>
              <w:jc w:val="center"/>
              <w:rPr>
                <w:sz w:val="18"/>
                <w:szCs w:val="18"/>
              </w:rPr>
            </w:pPr>
            <w:r w:rsidRPr="009B57B3">
              <w:rPr>
                <w:sz w:val="18"/>
                <w:szCs w:val="18"/>
              </w:rPr>
              <w:t>45.4</w:t>
            </w:r>
          </w:p>
        </w:tc>
        <w:tc>
          <w:tcPr>
            <w:tcW w:w="2036" w:type="dxa"/>
            <w:hideMark/>
          </w:tcPr>
          <w:p w14:paraId="39FF8B58" w14:textId="77777777" w:rsidR="00B575B7" w:rsidRPr="009B57B3" w:rsidRDefault="00B575B7" w:rsidP="00760781">
            <w:pPr>
              <w:pStyle w:val="NormalWeb"/>
              <w:jc w:val="center"/>
              <w:rPr>
                <w:sz w:val="18"/>
                <w:szCs w:val="18"/>
              </w:rPr>
            </w:pPr>
            <w:r w:rsidRPr="009B57B3">
              <w:rPr>
                <w:sz w:val="18"/>
                <w:szCs w:val="18"/>
              </w:rPr>
              <w:t>57,920</w:t>
            </w:r>
          </w:p>
        </w:tc>
        <w:tc>
          <w:tcPr>
            <w:tcW w:w="2036" w:type="dxa"/>
            <w:hideMark/>
          </w:tcPr>
          <w:p w14:paraId="1B918284" w14:textId="77777777" w:rsidR="00B575B7" w:rsidRPr="009B57B3" w:rsidRDefault="00B575B7" w:rsidP="00760781">
            <w:pPr>
              <w:pStyle w:val="NormalWeb"/>
              <w:jc w:val="center"/>
              <w:rPr>
                <w:sz w:val="18"/>
                <w:szCs w:val="18"/>
              </w:rPr>
            </w:pPr>
            <w:r w:rsidRPr="009B57B3">
              <w:rPr>
                <w:sz w:val="18"/>
                <w:szCs w:val="18"/>
              </w:rPr>
              <w:t>93,608</w:t>
            </w:r>
          </w:p>
        </w:tc>
        <w:tc>
          <w:tcPr>
            <w:tcW w:w="2037" w:type="dxa"/>
            <w:hideMark/>
          </w:tcPr>
          <w:p w14:paraId="3848C9BC" w14:textId="77777777" w:rsidR="00B575B7" w:rsidRPr="009B57B3" w:rsidRDefault="00B575B7" w:rsidP="00760781">
            <w:pPr>
              <w:pStyle w:val="NormalWeb"/>
              <w:jc w:val="center"/>
              <w:rPr>
                <w:sz w:val="18"/>
                <w:szCs w:val="18"/>
              </w:rPr>
            </w:pPr>
            <w:r w:rsidRPr="009B57B3">
              <w:rPr>
                <w:sz w:val="18"/>
                <w:szCs w:val="18"/>
              </w:rPr>
              <w:t>61.9</w:t>
            </w:r>
          </w:p>
        </w:tc>
      </w:tr>
      <w:tr w:rsidR="00B575B7" w:rsidRPr="009B57B3" w14:paraId="7646CA7F" w14:textId="77777777" w:rsidTr="00ED0F75">
        <w:tc>
          <w:tcPr>
            <w:tcW w:w="0" w:type="auto"/>
            <w:hideMark/>
          </w:tcPr>
          <w:p w14:paraId="74794E9C" w14:textId="77777777" w:rsidR="00B575B7" w:rsidRPr="009B57B3" w:rsidRDefault="00B575B7">
            <w:pPr>
              <w:pStyle w:val="NormalWeb"/>
              <w:rPr>
                <w:sz w:val="18"/>
                <w:szCs w:val="18"/>
              </w:rPr>
            </w:pPr>
            <w:r w:rsidRPr="009B57B3">
              <w:rPr>
                <w:sz w:val="18"/>
                <w:szCs w:val="18"/>
              </w:rPr>
              <w:t>Fair/poor</w:t>
            </w:r>
          </w:p>
        </w:tc>
        <w:tc>
          <w:tcPr>
            <w:tcW w:w="2036" w:type="dxa"/>
            <w:hideMark/>
          </w:tcPr>
          <w:p w14:paraId="6CC99DB2" w14:textId="77777777" w:rsidR="00B575B7" w:rsidRPr="009B57B3" w:rsidRDefault="00B575B7" w:rsidP="00760781">
            <w:pPr>
              <w:pStyle w:val="NormalWeb"/>
              <w:jc w:val="center"/>
              <w:rPr>
                <w:sz w:val="18"/>
                <w:szCs w:val="18"/>
              </w:rPr>
            </w:pPr>
            <w:r w:rsidRPr="009B57B3">
              <w:rPr>
                <w:sz w:val="18"/>
                <w:szCs w:val="18"/>
              </w:rPr>
              <w:t>129</w:t>
            </w:r>
          </w:p>
        </w:tc>
        <w:tc>
          <w:tcPr>
            <w:tcW w:w="2036" w:type="dxa"/>
            <w:hideMark/>
          </w:tcPr>
          <w:p w14:paraId="0DB3AC94" w14:textId="77777777" w:rsidR="00B575B7" w:rsidRPr="009B57B3" w:rsidRDefault="00B575B7" w:rsidP="00760781">
            <w:pPr>
              <w:pStyle w:val="NormalWeb"/>
              <w:jc w:val="center"/>
              <w:rPr>
                <w:sz w:val="18"/>
                <w:szCs w:val="18"/>
              </w:rPr>
            </w:pPr>
            <w:r w:rsidRPr="009B57B3">
              <w:rPr>
                <w:sz w:val="18"/>
                <w:szCs w:val="18"/>
              </w:rPr>
              <w:t>357</w:t>
            </w:r>
          </w:p>
        </w:tc>
        <w:tc>
          <w:tcPr>
            <w:tcW w:w="2036" w:type="dxa"/>
            <w:hideMark/>
          </w:tcPr>
          <w:p w14:paraId="40F0676F" w14:textId="77777777" w:rsidR="00B575B7" w:rsidRPr="009B57B3" w:rsidRDefault="00B575B7" w:rsidP="00760781">
            <w:pPr>
              <w:pStyle w:val="NormalWeb"/>
              <w:jc w:val="center"/>
              <w:rPr>
                <w:sz w:val="18"/>
                <w:szCs w:val="18"/>
              </w:rPr>
            </w:pPr>
            <w:r w:rsidRPr="009B57B3">
              <w:rPr>
                <w:sz w:val="18"/>
                <w:szCs w:val="18"/>
              </w:rPr>
              <w:t>36.1</w:t>
            </w:r>
          </w:p>
        </w:tc>
        <w:tc>
          <w:tcPr>
            <w:tcW w:w="2036" w:type="dxa"/>
            <w:hideMark/>
          </w:tcPr>
          <w:p w14:paraId="61BCD39B" w14:textId="77777777" w:rsidR="00B575B7" w:rsidRPr="009B57B3" w:rsidRDefault="00B575B7" w:rsidP="00760781">
            <w:pPr>
              <w:pStyle w:val="NormalWeb"/>
              <w:jc w:val="center"/>
              <w:rPr>
                <w:sz w:val="18"/>
                <w:szCs w:val="18"/>
              </w:rPr>
            </w:pPr>
            <w:r w:rsidRPr="009B57B3">
              <w:rPr>
                <w:sz w:val="18"/>
                <w:szCs w:val="18"/>
              </w:rPr>
              <w:t>7,685</w:t>
            </w:r>
          </w:p>
        </w:tc>
        <w:tc>
          <w:tcPr>
            <w:tcW w:w="2036" w:type="dxa"/>
            <w:hideMark/>
          </w:tcPr>
          <w:p w14:paraId="240EC9B0" w14:textId="77777777" w:rsidR="00B575B7" w:rsidRPr="009B57B3" w:rsidRDefault="00B575B7" w:rsidP="00760781">
            <w:pPr>
              <w:pStyle w:val="NormalWeb"/>
              <w:jc w:val="center"/>
              <w:rPr>
                <w:sz w:val="18"/>
                <w:szCs w:val="18"/>
              </w:rPr>
            </w:pPr>
            <w:r w:rsidRPr="009B57B3">
              <w:rPr>
                <w:sz w:val="18"/>
                <w:szCs w:val="18"/>
              </w:rPr>
              <w:t>15,531</w:t>
            </w:r>
          </w:p>
        </w:tc>
        <w:tc>
          <w:tcPr>
            <w:tcW w:w="2037" w:type="dxa"/>
            <w:hideMark/>
          </w:tcPr>
          <w:p w14:paraId="665C1963" w14:textId="77777777" w:rsidR="00B575B7" w:rsidRPr="009B57B3" w:rsidRDefault="00B575B7" w:rsidP="00760781">
            <w:pPr>
              <w:pStyle w:val="NormalWeb"/>
              <w:jc w:val="center"/>
              <w:rPr>
                <w:sz w:val="18"/>
                <w:szCs w:val="18"/>
              </w:rPr>
            </w:pPr>
            <w:r w:rsidRPr="009B57B3">
              <w:rPr>
                <w:sz w:val="18"/>
                <w:szCs w:val="18"/>
              </w:rPr>
              <w:t>49.5</w:t>
            </w:r>
          </w:p>
        </w:tc>
      </w:tr>
      <w:tr w:rsidR="00B575B7" w:rsidRPr="009B57B3" w14:paraId="15F8F2CC" w14:textId="77777777" w:rsidTr="00ED0F75">
        <w:trPr>
          <w:cnfStyle w:val="000000010000" w:firstRow="0" w:lastRow="0" w:firstColumn="0" w:lastColumn="0" w:oddVBand="0" w:evenVBand="0" w:oddHBand="0" w:evenHBand="1" w:firstRowFirstColumn="0" w:firstRowLastColumn="0" w:lastRowFirstColumn="0" w:lastRowLastColumn="0"/>
        </w:trPr>
        <w:tc>
          <w:tcPr>
            <w:tcW w:w="0" w:type="auto"/>
            <w:hideMark/>
          </w:tcPr>
          <w:p w14:paraId="14D35AAF" w14:textId="77777777" w:rsidR="00B575B7" w:rsidRPr="009B57B3" w:rsidRDefault="00B575B7">
            <w:pPr>
              <w:pStyle w:val="NormalWeb"/>
              <w:rPr>
                <w:sz w:val="18"/>
                <w:szCs w:val="18"/>
              </w:rPr>
            </w:pPr>
            <w:r w:rsidRPr="009B57B3">
              <w:rPr>
                <w:sz w:val="18"/>
                <w:szCs w:val="18"/>
              </w:rPr>
              <w:t>Missing</w:t>
            </w:r>
          </w:p>
        </w:tc>
        <w:tc>
          <w:tcPr>
            <w:tcW w:w="2036" w:type="dxa"/>
            <w:hideMark/>
          </w:tcPr>
          <w:p w14:paraId="0B4A9876" w14:textId="77777777" w:rsidR="00B575B7" w:rsidRPr="009B57B3" w:rsidRDefault="00B575B7" w:rsidP="00760781">
            <w:pPr>
              <w:pStyle w:val="NormalWeb"/>
              <w:jc w:val="center"/>
              <w:rPr>
                <w:sz w:val="18"/>
                <w:szCs w:val="18"/>
              </w:rPr>
            </w:pPr>
            <w:r w:rsidRPr="009B57B3">
              <w:rPr>
                <w:sz w:val="18"/>
                <w:szCs w:val="18"/>
              </w:rPr>
              <w:t>24</w:t>
            </w:r>
          </w:p>
        </w:tc>
        <w:tc>
          <w:tcPr>
            <w:tcW w:w="2036" w:type="dxa"/>
            <w:hideMark/>
          </w:tcPr>
          <w:p w14:paraId="47C792C6" w14:textId="77777777" w:rsidR="00B575B7" w:rsidRPr="009B57B3" w:rsidRDefault="00B575B7" w:rsidP="00760781">
            <w:pPr>
              <w:pStyle w:val="NormalWeb"/>
              <w:jc w:val="center"/>
              <w:rPr>
                <w:sz w:val="18"/>
                <w:szCs w:val="18"/>
              </w:rPr>
            </w:pPr>
            <w:r w:rsidRPr="009B57B3">
              <w:rPr>
                <w:sz w:val="18"/>
                <w:szCs w:val="18"/>
              </w:rPr>
              <w:t>69</w:t>
            </w:r>
          </w:p>
        </w:tc>
        <w:tc>
          <w:tcPr>
            <w:tcW w:w="2036" w:type="dxa"/>
            <w:hideMark/>
          </w:tcPr>
          <w:p w14:paraId="4E56A0B4" w14:textId="77777777" w:rsidR="00B575B7" w:rsidRPr="009B57B3" w:rsidRDefault="00B575B7" w:rsidP="00760781">
            <w:pPr>
              <w:pStyle w:val="NormalWeb"/>
              <w:jc w:val="center"/>
              <w:rPr>
                <w:sz w:val="18"/>
                <w:szCs w:val="18"/>
              </w:rPr>
            </w:pPr>
            <w:r w:rsidRPr="009B57B3">
              <w:rPr>
                <w:sz w:val="18"/>
                <w:szCs w:val="18"/>
              </w:rPr>
              <w:t>34.8</w:t>
            </w:r>
          </w:p>
        </w:tc>
        <w:tc>
          <w:tcPr>
            <w:tcW w:w="2036" w:type="dxa"/>
            <w:hideMark/>
          </w:tcPr>
          <w:p w14:paraId="6C5FED02" w14:textId="77777777" w:rsidR="00B575B7" w:rsidRPr="009B57B3" w:rsidRDefault="00B575B7" w:rsidP="00760781">
            <w:pPr>
              <w:pStyle w:val="NormalWeb"/>
              <w:jc w:val="center"/>
              <w:rPr>
                <w:sz w:val="18"/>
                <w:szCs w:val="18"/>
              </w:rPr>
            </w:pPr>
            <w:r w:rsidRPr="009B57B3">
              <w:rPr>
                <w:sz w:val="18"/>
                <w:szCs w:val="18"/>
              </w:rPr>
              <w:t>1,892</w:t>
            </w:r>
          </w:p>
        </w:tc>
        <w:tc>
          <w:tcPr>
            <w:tcW w:w="2036" w:type="dxa"/>
            <w:hideMark/>
          </w:tcPr>
          <w:p w14:paraId="37145AD7" w14:textId="77777777" w:rsidR="00B575B7" w:rsidRPr="009B57B3" w:rsidRDefault="00B575B7" w:rsidP="00760781">
            <w:pPr>
              <w:pStyle w:val="NormalWeb"/>
              <w:jc w:val="center"/>
              <w:rPr>
                <w:sz w:val="18"/>
                <w:szCs w:val="18"/>
              </w:rPr>
            </w:pPr>
            <w:r w:rsidRPr="009B57B3">
              <w:rPr>
                <w:sz w:val="18"/>
                <w:szCs w:val="18"/>
              </w:rPr>
              <w:t>3,800</w:t>
            </w:r>
          </w:p>
        </w:tc>
        <w:tc>
          <w:tcPr>
            <w:tcW w:w="2037" w:type="dxa"/>
            <w:hideMark/>
          </w:tcPr>
          <w:p w14:paraId="22EDC05A" w14:textId="77777777" w:rsidR="00B575B7" w:rsidRPr="009B57B3" w:rsidRDefault="00B575B7" w:rsidP="00760781">
            <w:pPr>
              <w:pStyle w:val="NormalWeb"/>
              <w:jc w:val="center"/>
              <w:rPr>
                <w:sz w:val="18"/>
                <w:szCs w:val="18"/>
              </w:rPr>
            </w:pPr>
            <w:r w:rsidRPr="009B57B3">
              <w:rPr>
                <w:sz w:val="18"/>
                <w:szCs w:val="18"/>
              </w:rPr>
              <w:t>49.8</w:t>
            </w:r>
          </w:p>
        </w:tc>
      </w:tr>
    </w:tbl>
    <w:p w14:paraId="0A873522" w14:textId="77777777" w:rsidR="00760781" w:rsidRDefault="005B3671" w:rsidP="00760781">
      <w:pPr>
        <w:pStyle w:val="CDIfootnotes"/>
        <w:sectPr w:rsidR="00760781" w:rsidSect="00760781">
          <w:pgSz w:w="16838" w:h="11906" w:orient="landscape"/>
          <w:pgMar w:top="720" w:right="720" w:bottom="720" w:left="1134" w:header="709" w:footer="284" w:gutter="0"/>
          <w:cols w:space="708"/>
          <w:titlePg/>
          <w:docGrid w:linePitch="360"/>
        </w:sectPr>
      </w:pPr>
      <w:r>
        <w:t>a</w:t>
      </w:r>
      <w:r>
        <w:tab/>
      </w:r>
      <w:proofErr w:type="gramStart"/>
      <w:r w:rsidR="00B575B7">
        <w:t>See methods</w:t>
      </w:r>
      <w:proofErr w:type="gramEnd"/>
    </w:p>
    <w:p w14:paraId="000E1599" w14:textId="77777777" w:rsidR="000A5F42" w:rsidRPr="000606CC" w:rsidRDefault="000A5F42" w:rsidP="000A5F42">
      <w:pPr>
        <w:pStyle w:val="NoSpacing"/>
        <w:rPr>
          <w:rFonts w:cstheme="minorHAnsi"/>
          <w:sz w:val="18"/>
          <w:szCs w:val="18"/>
        </w:rPr>
      </w:pPr>
      <w:r w:rsidRPr="000606CC">
        <w:rPr>
          <w:rStyle w:val="Strong"/>
          <w:bCs w:val="0"/>
          <w:sz w:val="20"/>
        </w:rPr>
        <w:lastRenderedPageBreak/>
        <w:t>Communicable Diseases Intelligence</w:t>
      </w:r>
    </w:p>
    <w:p w14:paraId="375F438F" w14:textId="77777777" w:rsidR="000A5F42" w:rsidRPr="000606CC" w:rsidRDefault="000A5F42" w:rsidP="000A5F42">
      <w:pPr>
        <w:pStyle w:val="NoSpacing"/>
        <w:rPr>
          <w:rFonts w:cstheme="minorHAnsi"/>
          <w:sz w:val="20"/>
          <w:szCs w:val="18"/>
        </w:rPr>
      </w:pPr>
      <w:r w:rsidRPr="000606CC">
        <w:rPr>
          <w:rFonts w:cstheme="minorHAnsi"/>
          <w:sz w:val="20"/>
          <w:szCs w:val="18"/>
        </w:rPr>
        <w:t>ISSN: 2209-6051 Online</w:t>
      </w:r>
    </w:p>
    <w:p w14:paraId="5CAF8889" w14:textId="77777777" w:rsidR="000A5F42" w:rsidRPr="000606CC" w:rsidRDefault="000A5F42" w:rsidP="000A5F42">
      <w:pPr>
        <w:pStyle w:val="NoSpacing"/>
        <w:rPr>
          <w:rStyle w:val="URI"/>
          <w:rFonts w:cstheme="minorHAnsi"/>
          <w:sz w:val="20"/>
          <w:szCs w:val="18"/>
        </w:rPr>
      </w:pPr>
    </w:p>
    <w:p w14:paraId="5515D11A" w14:textId="77777777" w:rsidR="000A5F42" w:rsidRPr="000606CC" w:rsidRDefault="000A5F42" w:rsidP="000A5F42">
      <w:pPr>
        <w:pStyle w:val="NoSpacing"/>
        <w:rPr>
          <w:rStyle w:val="Strong"/>
          <w:rFonts w:cs="Calibri"/>
          <w:sz w:val="20"/>
          <w:szCs w:val="18"/>
        </w:rPr>
      </w:pPr>
      <w:r w:rsidRPr="000606CC">
        <w:rPr>
          <w:rStyle w:val="Strong"/>
          <w:rFonts w:cs="Calibri"/>
          <w:b w:val="0"/>
          <w:bCs w:val="0"/>
          <w:sz w:val="20"/>
          <w:szCs w:val="18"/>
        </w:rPr>
        <w:t xml:space="preserve">Communicable Diseases Intelligence (CDI) is a peer-reviewed scientific journal published by the Office of Health Protection, Department of Health. The journal aims to disseminate information on the epidemiology, surveillance, </w:t>
      </w:r>
      <w:proofErr w:type="gramStart"/>
      <w:r w:rsidRPr="000606CC">
        <w:rPr>
          <w:rStyle w:val="Strong"/>
          <w:rFonts w:cs="Calibri"/>
          <w:b w:val="0"/>
          <w:bCs w:val="0"/>
          <w:sz w:val="20"/>
          <w:szCs w:val="18"/>
        </w:rPr>
        <w:t>prevention</w:t>
      </w:r>
      <w:proofErr w:type="gramEnd"/>
      <w:r w:rsidRPr="000606CC">
        <w:rPr>
          <w:rStyle w:val="Strong"/>
          <w:rFonts w:cs="Calibri"/>
          <w:b w:val="0"/>
          <w:bCs w:val="0"/>
          <w:sz w:val="20"/>
          <w:szCs w:val="18"/>
        </w:rPr>
        <w:t xml:space="preserve"> and control of communicable diseases of relevance to Australia.</w:t>
      </w:r>
    </w:p>
    <w:p w14:paraId="4103AA69" w14:textId="77777777" w:rsidR="000A5F42" w:rsidRPr="000606CC" w:rsidRDefault="000A5F42" w:rsidP="000A5F42">
      <w:pPr>
        <w:pStyle w:val="NoSpacing"/>
        <w:rPr>
          <w:rStyle w:val="Strong"/>
          <w:rFonts w:cstheme="minorHAnsi"/>
          <w:sz w:val="20"/>
          <w:szCs w:val="18"/>
        </w:rPr>
      </w:pPr>
    </w:p>
    <w:p w14:paraId="44AD616D"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Editor: </w:t>
      </w:r>
      <w:r w:rsidRPr="000606CC">
        <w:rPr>
          <w:rFonts w:cstheme="minorHAnsi"/>
          <w:sz w:val="20"/>
          <w:szCs w:val="18"/>
        </w:rPr>
        <w:t>Cindy Toms</w:t>
      </w:r>
    </w:p>
    <w:p w14:paraId="4A7F5FEC"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Deputy Editor: </w:t>
      </w:r>
      <w:r w:rsidR="00C838F5" w:rsidRPr="00C838F5">
        <w:rPr>
          <w:rFonts w:cstheme="minorHAnsi"/>
          <w:sz w:val="20"/>
          <w:szCs w:val="18"/>
        </w:rPr>
        <w:t>Simon Petrie</w:t>
      </w:r>
    </w:p>
    <w:p w14:paraId="138FCBF6" w14:textId="77777777" w:rsidR="000A5F42" w:rsidRPr="000606CC" w:rsidRDefault="00967410" w:rsidP="000A5F42">
      <w:pPr>
        <w:pStyle w:val="NoSpacing"/>
        <w:rPr>
          <w:rFonts w:cstheme="minorHAnsi"/>
          <w:sz w:val="20"/>
          <w:szCs w:val="18"/>
        </w:rPr>
      </w:pPr>
      <w:r>
        <w:rPr>
          <w:rStyle w:val="Strong"/>
          <w:rFonts w:cstheme="minorHAnsi"/>
          <w:sz w:val="20"/>
          <w:szCs w:val="18"/>
        </w:rPr>
        <w:t>Design</w:t>
      </w:r>
      <w:r w:rsidR="000A5F42" w:rsidRPr="000606CC">
        <w:rPr>
          <w:rStyle w:val="Strong"/>
          <w:rFonts w:cstheme="minorHAnsi"/>
          <w:sz w:val="20"/>
          <w:szCs w:val="18"/>
        </w:rPr>
        <w:t xml:space="preserve"> and Production: </w:t>
      </w:r>
      <w:r w:rsidR="000A5F42" w:rsidRPr="000606CC">
        <w:rPr>
          <w:rFonts w:cstheme="minorHAnsi"/>
          <w:sz w:val="20"/>
          <w:szCs w:val="18"/>
        </w:rPr>
        <w:t>Kasra Yousefi</w:t>
      </w:r>
    </w:p>
    <w:p w14:paraId="0E904D13" w14:textId="77777777" w:rsidR="000A5F42" w:rsidRPr="000606CC" w:rsidRDefault="000A5F42" w:rsidP="000A5F42">
      <w:pPr>
        <w:pStyle w:val="NoSpacing"/>
        <w:rPr>
          <w:rFonts w:cstheme="minorHAnsi"/>
          <w:b/>
          <w:bCs/>
          <w:sz w:val="20"/>
          <w:szCs w:val="18"/>
        </w:rPr>
      </w:pPr>
      <w:r w:rsidRPr="000606CC">
        <w:rPr>
          <w:rStyle w:val="Strong"/>
          <w:rFonts w:cstheme="minorHAnsi"/>
          <w:sz w:val="20"/>
          <w:szCs w:val="18"/>
        </w:rPr>
        <w:t xml:space="preserve">Editorial Advisory Board: </w:t>
      </w:r>
      <w:r w:rsidRPr="000606CC">
        <w:rPr>
          <w:rFonts w:cstheme="minorHAnsi"/>
          <w:sz w:val="20"/>
          <w:szCs w:val="18"/>
        </w:rPr>
        <w:t xml:space="preserve">David Durrheim, </w:t>
      </w:r>
      <w:r w:rsidRPr="000606CC">
        <w:rPr>
          <w:rStyle w:val="nobreak"/>
          <w:rFonts w:cstheme="minorHAnsi"/>
          <w:sz w:val="20"/>
          <w:szCs w:val="18"/>
        </w:rPr>
        <w:t>Mark Ferson</w:t>
      </w:r>
      <w:r w:rsidR="00F55648">
        <w:rPr>
          <w:rFonts w:cstheme="minorHAnsi"/>
          <w:sz w:val="20"/>
          <w:szCs w:val="18"/>
        </w:rPr>
        <w:t xml:space="preserve">, John Kaldor, </w:t>
      </w:r>
      <w:r w:rsidRPr="000606CC">
        <w:rPr>
          <w:rStyle w:val="nobreak"/>
          <w:rFonts w:cstheme="minorHAnsi"/>
          <w:sz w:val="20"/>
          <w:szCs w:val="18"/>
        </w:rPr>
        <w:t xml:space="preserve">Martyn </w:t>
      </w:r>
      <w:proofErr w:type="gramStart"/>
      <w:r w:rsidRPr="000606CC">
        <w:rPr>
          <w:rStyle w:val="nobreak"/>
          <w:rFonts w:cstheme="minorHAnsi"/>
          <w:sz w:val="20"/>
          <w:szCs w:val="18"/>
        </w:rPr>
        <w:t>Kirk</w:t>
      </w:r>
      <w:proofErr w:type="gramEnd"/>
      <w:r w:rsidR="00F55648">
        <w:rPr>
          <w:rStyle w:val="nobreak"/>
          <w:rFonts w:cstheme="minorHAnsi"/>
          <w:sz w:val="20"/>
          <w:szCs w:val="18"/>
        </w:rPr>
        <w:t xml:space="preserve"> and Linda </w:t>
      </w:r>
      <w:proofErr w:type="spellStart"/>
      <w:r w:rsidR="00F55648">
        <w:rPr>
          <w:rStyle w:val="nobreak"/>
          <w:rFonts w:cstheme="minorHAnsi"/>
          <w:sz w:val="20"/>
          <w:szCs w:val="18"/>
        </w:rPr>
        <w:t>Selvey</w:t>
      </w:r>
      <w:proofErr w:type="spellEnd"/>
    </w:p>
    <w:p w14:paraId="50E987ED" w14:textId="77777777" w:rsidR="000A5F42" w:rsidRPr="000606CC" w:rsidRDefault="000A5F42" w:rsidP="000A5F42">
      <w:pPr>
        <w:pStyle w:val="NoSpacing"/>
        <w:rPr>
          <w:rStyle w:val="Strong"/>
          <w:rFonts w:cstheme="minorHAnsi"/>
          <w:sz w:val="20"/>
          <w:szCs w:val="18"/>
        </w:rPr>
      </w:pPr>
    </w:p>
    <w:p w14:paraId="2A106784" w14:textId="6BE55DE4"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Website</w:t>
      </w:r>
      <w:r w:rsidRPr="000606CC">
        <w:rPr>
          <w:rFonts w:cstheme="minorHAnsi"/>
          <w:sz w:val="20"/>
          <w:szCs w:val="18"/>
        </w:rPr>
        <w:t xml:space="preserve">: </w:t>
      </w:r>
      <w:hyperlink r:id="rId12" w:tooltip="CDI website" w:history="1">
        <w:r w:rsidRPr="000606CC">
          <w:rPr>
            <w:rStyle w:val="Hyperlink"/>
            <w:rFonts w:cstheme="minorHAnsi"/>
            <w:sz w:val="20"/>
            <w:szCs w:val="18"/>
          </w:rPr>
          <w:t>http://www.health.gov.au/cdi</w:t>
        </w:r>
      </w:hyperlink>
      <w:r w:rsidRPr="000606CC">
        <w:rPr>
          <w:rStyle w:val="URI"/>
          <w:rFonts w:cstheme="minorHAnsi"/>
          <w:sz w:val="20"/>
          <w:szCs w:val="18"/>
        </w:rPr>
        <w:t xml:space="preserve"> </w:t>
      </w:r>
    </w:p>
    <w:p w14:paraId="525FF351" w14:textId="77777777" w:rsidR="000A5F42" w:rsidRPr="000606CC" w:rsidRDefault="000A5F42" w:rsidP="000A5F42">
      <w:pPr>
        <w:pStyle w:val="NoSpacing"/>
        <w:rPr>
          <w:rStyle w:val="Strong"/>
          <w:rFonts w:cstheme="minorHAnsi"/>
          <w:sz w:val="20"/>
          <w:szCs w:val="18"/>
        </w:rPr>
      </w:pPr>
    </w:p>
    <w:p w14:paraId="46064564"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Contacts</w:t>
      </w:r>
      <w:r w:rsidRPr="000606CC">
        <w:rPr>
          <w:rStyle w:val="Strong"/>
          <w:rFonts w:cstheme="minorHAnsi"/>
          <w:sz w:val="20"/>
          <w:szCs w:val="18"/>
        </w:rPr>
        <w:br/>
      </w:r>
      <w:r w:rsidRPr="000606CC">
        <w:rPr>
          <w:rFonts w:cstheme="minorHAnsi"/>
          <w:sz w:val="20"/>
          <w:szCs w:val="18"/>
        </w:rPr>
        <w:t xml:space="preserve">Communicable Diseases Intelligence is produced by: </w:t>
      </w:r>
      <w:r w:rsidRPr="000606CC">
        <w:rPr>
          <w:rFonts w:cstheme="minorHAnsi"/>
          <w:sz w:val="20"/>
          <w:szCs w:val="18"/>
        </w:rPr>
        <w:br/>
        <w:t>Health Protection Policy Branch, Office of Health Protection, Australian Government Department of Health</w:t>
      </w:r>
      <w:r w:rsidRPr="000606CC">
        <w:rPr>
          <w:rFonts w:cstheme="minorHAnsi"/>
          <w:sz w:val="20"/>
          <w:szCs w:val="18"/>
        </w:rPr>
        <w:br/>
        <w:t>GPO Box 9848, (MDP 6) CANBERRA ACT 2601</w:t>
      </w:r>
    </w:p>
    <w:p w14:paraId="79A0D46F" w14:textId="77777777" w:rsidR="000A5F42" w:rsidRPr="000606CC" w:rsidRDefault="000A5F42" w:rsidP="000A5F42">
      <w:pPr>
        <w:pStyle w:val="NoSpacing"/>
        <w:rPr>
          <w:rStyle w:val="Strong"/>
          <w:rFonts w:cstheme="minorHAnsi"/>
          <w:sz w:val="20"/>
          <w:szCs w:val="18"/>
        </w:rPr>
      </w:pPr>
    </w:p>
    <w:p w14:paraId="2A028EA0" w14:textId="663C4E77"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 xml:space="preserve">Email: </w:t>
      </w:r>
      <w:hyperlink r:id="rId13" w:history="1">
        <w:r w:rsidRPr="000606CC">
          <w:rPr>
            <w:rStyle w:val="Hyperlink"/>
            <w:rFonts w:cstheme="minorHAnsi"/>
            <w:sz w:val="20"/>
            <w:szCs w:val="18"/>
          </w:rPr>
          <w:t>cdi.editor@health.gov.au</w:t>
        </w:r>
      </w:hyperlink>
      <w:r w:rsidRPr="000606CC">
        <w:rPr>
          <w:rStyle w:val="URI"/>
          <w:rFonts w:cstheme="minorHAnsi"/>
          <w:sz w:val="20"/>
          <w:szCs w:val="18"/>
        </w:rPr>
        <w:t xml:space="preserve"> </w:t>
      </w:r>
    </w:p>
    <w:p w14:paraId="3F2663F8" w14:textId="77777777" w:rsidR="000A5F42" w:rsidRPr="000606CC" w:rsidRDefault="000A5F42" w:rsidP="000A5F42">
      <w:pPr>
        <w:pStyle w:val="NoSpacing"/>
        <w:rPr>
          <w:rStyle w:val="Strong"/>
          <w:rFonts w:cstheme="minorHAnsi"/>
          <w:sz w:val="20"/>
          <w:szCs w:val="18"/>
        </w:rPr>
      </w:pPr>
    </w:p>
    <w:p w14:paraId="3ED604C0" w14:textId="0196004A"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Submit an </w:t>
      </w:r>
      <w:proofErr w:type="gramStart"/>
      <w:r w:rsidRPr="000606CC">
        <w:rPr>
          <w:rStyle w:val="Strong"/>
          <w:rFonts w:cstheme="minorHAnsi"/>
          <w:sz w:val="20"/>
          <w:szCs w:val="18"/>
        </w:rPr>
        <w:t>Article</w:t>
      </w:r>
      <w:proofErr w:type="gramEnd"/>
      <w:r w:rsidRPr="000606CC">
        <w:rPr>
          <w:rStyle w:val="Strong"/>
          <w:rFonts w:cstheme="minorHAnsi"/>
          <w:sz w:val="20"/>
          <w:szCs w:val="18"/>
        </w:rPr>
        <w:br/>
      </w:r>
      <w:r w:rsidRPr="000606CC">
        <w:rPr>
          <w:rFonts w:cstheme="minorHAnsi"/>
          <w:sz w:val="20"/>
          <w:szCs w:val="18"/>
        </w:rPr>
        <w:t xml:space="preserve">You are invited to submit your next communicable disease related article to the Communicable Diseases Intelligence (CDI) for consideration. More information regarding CDI can be found at: </w:t>
      </w:r>
      <w:hyperlink r:id="rId14" w:tooltip="CDI Website" w:history="1">
        <w:r w:rsidRPr="000606CC">
          <w:rPr>
            <w:rStyle w:val="Hyperlink"/>
            <w:rFonts w:cstheme="minorHAnsi"/>
            <w:sz w:val="20"/>
            <w:szCs w:val="18"/>
          </w:rPr>
          <w:t>http://health.gov.au/cdi</w:t>
        </w:r>
      </w:hyperlink>
      <w:r w:rsidRPr="000606CC">
        <w:rPr>
          <w:rFonts w:cstheme="minorHAnsi"/>
          <w:sz w:val="20"/>
          <w:szCs w:val="18"/>
        </w:rPr>
        <w:t xml:space="preserve">. </w:t>
      </w:r>
    </w:p>
    <w:p w14:paraId="3381038E" w14:textId="0765C1CF" w:rsidR="000A5F42" w:rsidRPr="000606CC" w:rsidRDefault="000A5F42" w:rsidP="000A5F42">
      <w:pPr>
        <w:pStyle w:val="NoSpacing"/>
        <w:rPr>
          <w:rFonts w:cstheme="minorHAnsi"/>
          <w:sz w:val="20"/>
          <w:szCs w:val="18"/>
        </w:rPr>
      </w:pPr>
      <w:r w:rsidRPr="000606CC">
        <w:rPr>
          <w:rFonts w:cstheme="minorHAnsi"/>
          <w:sz w:val="20"/>
          <w:szCs w:val="18"/>
        </w:rPr>
        <w:t xml:space="preserve">Further enquiries should be directed to: </w:t>
      </w:r>
      <w:hyperlink r:id="rId15" w:history="1">
        <w:r w:rsidRPr="000606CC">
          <w:rPr>
            <w:rStyle w:val="Hyperlink"/>
            <w:rFonts w:cstheme="minorHAnsi"/>
            <w:sz w:val="20"/>
            <w:szCs w:val="18"/>
          </w:rPr>
          <w:t>cdi.editor@health.gov.au</w:t>
        </w:r>
      </w:hyperlink>
      <w:r w:rsidRPr="000606CC">
        <w:rPr>
          <w:rFonts w:cstheme="minorHAnsi"/>
          <w:sz w:val="20"/>
          <w:szCs w:val="18"/>
        </w:rPr>
        <w:t>.</w:t>
      </w:r>
    </w:p>
    <w:p w14:paraId="77723533" w14:textId="77777777" w:rsidR="000A5F42" w:rsidRPr="000606CC" w:rsidRDefault="000A5F42" w:rsidP="000A5F42">
      <w:pPr>
        <w:pStyle w:val="NoSpacing"/>
        <w:pBdr>
          <w:bottom w:val="single" w:sz="6" w:space="1" w:color="auto"/>
        </w:pBdr>
        <w:rPr>
          <w:rStyle w:val="Strong"/>
          <w:rFonts w:cstheme="minorHAnsi"/>
          <w:sz w:val="12"/>
          <w:szCs w:val="18"/>
        </w:rPr>
      </w:pPr>
    </w:p>
    <w:p w14:paraId="736FE4D4" w14:textId="77777777" w:rsidR="000A5F42" w:rsidRPr="000606CC" w:rsidRDefault="000A5F42" w:rsidP="000A5F42">
      <w:pPr>
        <w:pStyle w:val="NoSpacing"/>
        <w:rPr>
          <w:rFonts w:cstheme="minorHAnsi"/>
          <w:sz w:val="20"/>
          <w:szCs w:val="18"/>
        </w:rPr>
      </w:pPr>
    </w:p>
    <w:p w14:paraId="26AA8A3C"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This journal is indexed by Index </w:t>
      </w:r>
      <w:proofErr w:type="spellStart"/>
      <w:r w:rsidRPr="000606CC">
        <w:rPr>
          <w:rFonts w:cstheme="minorHAnsi"/>
          <w:sz w:val="20"/>
          <w:szCs w:val="18"/>
        </w:rPr>
        <w:t>Medicus</w:t>
      </w:r>
      <w:proofErr w:type="spellEnd"/>
      <w:r w:rsidRPr="000606CC">
        <w:rPr>
          <w:rFonts w:cstheme="minorHAnsi"/>
          <w:sz w:val="20"/>
          <w:szCs w:val="18"/>
        </w:rPr>
        <w:t xml:space="preserve"> and Medline.</w:t>
      </w:r>
    </w:p>
    <w:p w14:paraId="7785E4F4" w14:textId="77777777" w:rsidR="000A5F42" w:rsidRPr="000606CC" w:rsidRDefault="000A5F42" w:rsidP="000A5F42">
      <w:pPr>
        <w:pStyle w:val="NoSpacing"/>
        <w:rPr>
          <w:rFonts w:cstheme="minorHAnsi"/>
          <w:sz w:val="20"/>
          <w:szCs w:val="18"/>
        </w:rPr>
      </w:pPr>
    </w:p>
    <w:p w14:paraId="66AD5794" w14:textId="77777777" w:rsidR="000A5F42" w:rsidRPr="000606CC" w:rsidRDefault="000A5F42" w:rsidP="000A5F42">
      <w:pPr>
        <w:pStyle w:val="NoSpacing"/>
        <w:rPr>
          <w:rFonts w:cstheme="minorHAnsi"/>
          <w:sz w:val="20"/>
          <w:szCs w:val="18"/>
        </w:rPr>
      </w:pPr>
      <w:r w:rsidRPr="000606CC">
        <w:rPr>
          <w:rFonts w:cstheme="minorHAnsi"/>
          <w:sz w:val="20"/>
          <w:szCs w:val="18"/>
        </w:rPr>
        <w:t>Creative Commons Licence -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CC BY-NC-ND</w:t>
      </w:r>
    </w:p>
    <w:p w14:paraId="2305BB2F" w14:textId="77777777" w:rsidR="000A5F42" w:rsidRPr="000606CC" w:rsidRDefault="000A5F42" w:rsidP="000A5F42">
      <w:pPr>
        <w:pStyle w:val="NoSpacing"/>
        <w:rPr>
          <w:rFonts w:cstheme="minorHAnsi"/>
          <w:sz w:val="20"/>
          <w:szCs w:val="18"/>
        </w:rPr>
      </w:pPr>
      <w:r w:rsidRPr="000606CC">
        <w:rPr>
          <w:rFonts w:cstheme="minorHAnsi"/>
          <w:sz w:val="20"/>
          <w:szCs w:val="18"/>
        </w:rPr>
        <w:t>© 2019 Commonwealth of Australia as represented by the Department of Health</w:t>
      </w:r>
    </w:p>
    <w:p w14:paraId="2DEABB90" w14:textId="72E05503" w:rsidR="000A5F42" w:rsidRPr="000606CC" w:rsidRDefault="000A5F42" w:rsidP="000A5F42">
      <w:pPr>
        <w:pStyle w:val="NoSpacing"/>
        <w:rPr>
          <w:rFonts w:cstheme="minorHAnsi"/>
          <w:sz w:val="20"/>
          <w:szCs w:val="18"/>
        </w:rPr>
      </w:pPr>
      <w:r w:rsidRPr="000606CC">
        <w:rPr>
          <w:rFonts w:cstheme="minorHAnsi"/>
          <w:sz w:val="20"/>
          <w:szCs w:val="18"/>
        </w:rPr>
        <w:t>This publication is licensed under a Creative Commons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4.0 International Licence from </w:t>
      </w:r>
      <w:hyperlink r:id="rId16" w:tooltip="Creative Commons licence" w:history="1">
        <w:r w:rsidRPr="000606CC">
          <w:rPr>
            <w:rStyle w:val="Hyperlink"/>
            <w:rFonts w:cstheme="minorHAnsi"/>
            <w:sz w:val="20"/>
            <w:szCs w:val="18"/>
          </w:rPr>
          <w:t>https://creativecommons.org/licenses/by-nc-nd/4.0/legalcode</w:t>
        </w:r>
      </w:hyperlink>
      <w:r w:rsidRPr="000606CC">
        <w:rPr>
          <w:rStyle w:val="URI"/>
          <w:rFonts w:cstheme="minorHAnsi"/>
          <w:sz w:val="20"/>
          <w:szCs w:val="18"/>
        </w:rPr>
        <w:t xml:space="preserve"> </w:t>
      </w:r>
      <w:r w:rsidRPr="000606CC">
        <w:rPr>
          <w:rFonts w:cstheme="minorHAnsi"/>
          <w:sz w:val="20"/>
          <w:szCs w:val="18"/>
        </w:rPr>
        <w:t>(Licence). You must read and understand the Licence before using any material from this publication.</w:t>
      </w:r>
    </w:p>
    <w:p w14:paraId="212A53B6" w14:textId="77777777" w:rsidR="000A5F42" w:rsidRPr="000606CC" w:rsidRDefault="000A5F42" w:rsidP="000A5F42">
      <w:pPr>
        <w:pStyle w:val="NoSpacing"/>
        <w:rPr>
          <w:rFonts w:cstheme="minorHAnsi"/>
          <w:sz w:val="20"/>
          <w:szCs w:val="18"/>
        </w:rPr>
      </w:pPr>
    </w:p>
    <w:p w14:paraId="6FDA4322"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Restrictions</w:t>
      </w:r>
      <w:r w:rsidRPr="000606CC">
        <w:rPr>
          <w:rStyle w:val="Strong"/>
          <w:rFonts w:cstheme="minorHAnsi"/>
          <w:sz w:val="20"/>
          <w:szCs w:val="18"/>
        </w:rPr>
        <w:br/>
      </w:r>
      <w:r w:rsidRPr="000606CC">
        <w:rPr>
          <w:rFonts w:cstheme="minorHAnsi"/>
          <w:sz w:val="20"/>
          <w:szCs w:val="18"/>
        </w:rPr>
        <w:t>The Licence does not cover, and there is no permission given for, use of any of the following material found in this publication (if</w:t>
      </w:r>
      <w:r w:rsidR="001378A3">
        <w:rPr>
          <w:rFonts w:cstheme="minorHAnsi"/>
          <w:sz w:val="20"/>
          <w:szCs w:val="18"/>
        </w:rPr>
        <w:t> </w:t>
      </w:r>
      <w:r w:rsidRPr="000606CC">
        <w:rPr>
          <w:rFonts w:cstheme="minorHAnsi"/>
          <w:sz w:val="20"/>
          <w:szCs w:val="18"/>
        </w:rPr>
        <w:t xml:space="preserve">any): </w:t>
      </w:r>
    </w:p>
    <w:p w14:paraId="234E5D46" w14:textId="1B588ABA"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the Commonwealth Coat of Arms (by way of information, the terms under which the Coat of Arms may be used can be found at </w:t>
      </w:r>
      <w:hyperlink r:id="rId17" w:tooltip="Australian Honours system website" w:history="1">
        <w:r w:rsidRPr="000606CC">
          <w:rPr>
            <w:rStyle w:val="Hyperlink"/>
            <w:rFonts w:cstheme="minorHAnsi"/>
            <w:sz w:val="20"/>
            <w:szCs w:val="18"/>
          </w:rPr>
          <w:t>www.itsanhonour.gov.au</w:t>
        </w:r>
      </w:hyperlink>
      <w:r w:rsidRPr="000606CC">
        <w:rPr>
          <w:rStyle w:val="URI"/>
          <w:rFonts w:cstheme="minorHAnsi"/>
          <w:sz w:val="20"/>
          <w:szCs w:val="18"/>
          <w:u w:val="none"/>
        </w:rPr>
        <w:t>)</w:t>
      </w:r>
      <w:r w:rsidRPr="000606CC">
        <w:rPr>
          <w:rFonts w:cstheme="minorHAnsi"/>
          <w:sz w:val="20"/>
          <w:szCs w:val="18"/>
        </w:rPr>
        <w:t xml:space="preserve">;  </w:t>
      </w:r>
    </w:p>
    <w:p w14:paraId="105D0BE4"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logos (including the Department of Health’s logo) and </w:t>
      </w:r>
      <w:proofErr w:type="gramStart"/>
      <w:r w:rsidRPr="000606CC">
        <w:rPr>
          <w:rFonts w:cstheme="minorHAnsi"/>
          <w:sz w:val="20"/>
          <w:szCs w:val="18"/>
        </w:rPr>
        <w:t>trademarks;</w:t>
      </w:r>
      <w:proofErr w:type="gramEnd"/>
    </w:p>
    <w:p w14:paraId="5C9DEBEA"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photographs and </w:t>
      </w:r>
      <w:proofErr w:type="gramStart"/>
      <w:r w:rsidRPr="000606CC">
        <w:rPr>
          <w:rFonts w:cstheme="minorHAnsi"/>
          <w:sz w:val="20"/>
          <w:szCs w:val="18"/>
        </w:rPr>
        <w:t>images;</w:t>
      </w:r>
      <w:proofErr w:type="gramEnd"/>
      <w:r w:rsidRPr="000606CC">
        <w:rPr>
          <w:rFonts w:cstheme="minorHAnsi"/>
          <w:sz w:val="20"/>
          <w:szCs w:val="18"/>
        </w:rPr>
        <w:t xml:space="preserve"> </w:t>
      </w:r>
    </w:p>
    <w:p w14:paraId="317051CA"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signatures; and</w:t>
      </w:r>
    </w:p>
    <w:p w14:paraId="3CFE8DCC"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material belonging to third parties. </w:t>
      </w:r>
    </w:p>
    <w:p w14:paraId="0C9295AB" w14:textId="77777777" w:rsidR="000A5F42" w:rsidRPr="000606CC" w:rsidRDefault="000A5F42" w:rsidP="000A5F42">
      <w:pPr>
        <w:pStyle w:val="NoSpacing"/>
        <w:rPr>
          <w:rStyle w:val="Strong"/>
          <w:rFonts w:cstheme="minorHAnsi"/>
          <w:sz w:val="20"/>
          <w:szCs w:val="18"/>
        </w:rPr>
      </w:pPr>
    </w:p>
    <w:p w14:paraId="6E846A54" w14:textId="77777777" w:rsidR="000A5F42" w:rsidRPr="000606CC" w:rsidRDefault="000A5F42" w:rsidP="000A5F42">
      <w:pPr>
        <w:pStyle w:val="NoSpacing"/>
        <w:rPr>
          <w:rStyle w:val="Strong"/>
          <w:rFonts w:cstheme="minorHAnsi"/>
          <w:sz w:val="20"/>
          <w:szCs w:val="18"/>
        </w:rPr>
      </w:pPr>
      <w:r w:rsidRPr="000606CC">
        <w:rPr>
          <w:rStyle w:val="Strong"/>
          <w:rFonts w:cstheme="minorHAnsi"/>
          <w:sz w:val="20"/>
          <w:szCs w:val="18"/>
        </w:rPr>
        <w:t>Disclaimer</w:t>
      </w:r>
      <w:r w:rsidRPr="000606CC">
        <w:rPr>
          <w:rStyle w:val="Strong"/>
          <w:rFonts w:cstheme="minorHAnsi"/>
          <w:sz w:val="20"/>
          <w:szCs w:val="18"/>
        </w:rPr>
        <w:br/>
      </w:r>
      <w:r w:rsidRPr="000606CC">
        <w:rPr>
          <w:rFonts w:cstheme="minorHAnsi"/>
          <w:sz w:val="20"/>
          <w:szCs w:val="18"/>
        </w:rPr>
        <w:t>Opinions expressed in Communicable Diseases Intelligence are those of the authors and not necessarily those of the Australian Government Department of Health or the Communicable Diseases Network Australia. Data may be subject to revision.</w:t>
      </w:r>
    </w:p>
    <w:p w14:paraId="68F014F8" w14:textId="77777777" w:rsidR="000A5F42" w:rsidRPr="000606CC" w:rsidRDefault="000A5F42" w:rsidP="000A5F42">
      <w:pPr>
        <w:pStyle w:val="NoSpacing"/>
        <w:rPr>
          <w:rStyle w:val="Strong"/>
          <w:rFonts w:cstheme="minorHAnsi"/>
          <w:sz w:val="20"/>
          <w:szCs w:val="18"/>
        </w:rPr>
      </w:pPr>
    </w:p>
    <w:p w14:paraId="5D61630E" w14:textId="2BBE1B11"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Enquiries</w:t>
      </w:r>
      <w:r w:rsidRPr="000606CC">
        <w:rPr>
          <w:rStyle w:val="Strong"/>
          <w:rFonts w:cstheme="minorHAnsi"/>
          <w:sz w:val="20"/>
          <w:szCs w:val="18"/>
        </w:rPr>
        <w:br/>
      </w:r>
      <w:proofErr w:type="spellStart"/>
      <w:r w:rsidRPr="000606CC">
        <w:rPr>
          <w:rFonts w:cstheme="minorHAnsi"/>
          <w:sz w:val="20"/>
          <w:szCs w:val="18"/>
        </w:rPr>
        <w:t>Enquiries</w:t>
      </w:r>
      <w:proofErr w:type="spellEnd"/>
      <w:r w:rsidRPr="000606CC">
        <w:rPr>
          <w:rFonts w:cstheme="minorHAnsi"/>
          <w:sz w:val="20"/>
          <w:szCs w:val="18"/>
        </w:rPr>
        <w:t xml:space="preserve"> regarding any other use of this publication should be addressed to the Communication Branch, Department of Health, GPO Box 9848, Canberra ACT 2601, or via e-mail to: </w:t>
      </w:r>
      <w:hyperlink r:id="rId18" w:history="1">
        <w:r w:rsidRPr="000606CC">
          <w:rPr>
            <w:rStyle w:val="Hyperlink"/>
            <w:rFonts w:cstheme="minorHAnsi"/>
            <w:sz w:val="20"/>
            <w:szCs w:val="18"/>
          </w:rPr>
          <w:t>copyright@health.gov.au</w:t>
        </w:r>
      </w:hyperlink>
      <w:r w:rsidRPr="000606CC">
        <w:rPr>
          <w:rStyle w:val="URI"/>
          <w:rFonts w:cstheme="minorHAnsi"/>
          <w:sz w:val="20"/>
          <w:szCs w:val="18"/>
        </w:rPr>
        <w:t xml:space="preserve"> </w:t>
      </w:r>
    </w:p>
    <w:p w14:paraId="7C21FEAD" w14:textId="77777777" w:rsidR="000A5F42" w:rsidRPr="000606CC" w:rsidRDefault="000A5F42" w:rsidP="000A5F42">
      <w:pPr>
        <w:pStyle w:val="NoSpacing"/>
        <w:rPr>
          <w:rStyle w:val="URI"/>
          <w:rFonts w:cstheme="minorHAnsi"/>
          <w:sz w:val="20"/>
          <w:szCs w:val="18"/>
        </w:rPr>
      </w:pPr>
    </w:p>
    <w:p w14:paraId="3F3436F2" w14:textId="0695726D" w:rsidR="000A5F42" w:rsidRPr="000606CC" w:rsidRDefault="000A5F42" w:rsidP="000A5F42">
      <w:pPr>
        <w:pStyle w:val="NoSpacing"/>
        <w:rPr>
          <w:rStyle w:val="Strong"/>
          <w:rFonts w:cstheme="minorHAnsi"/>
          <w:b w:val="0"/>
          <w:bCs w:val="0"/>
          <w:color w:val="000000"/>
          <w:sz w:val="20"/>
          <w:szCs w:val="18"/>
          <w:u w:val="thick"/>
        </w:rPr>
      </w:pPr>
      <w:r w:rsidRPr="000606CC">
        <w:rPr>
          <w:rStyle w:val="Strong"/>
          <w:rFonts w:cstheme="minorHAnsi"/>
          <w:sz w:val="20"/>
          <w:szCs w:val="18"/>
        </w:rPr>
        <w:t>Communicable Diseases Network Australia</w:t>
      </w:r>
      <w:r w:rsidRPr="000606CC">
        <w:rPr>
          <w:rStyle w:val="Strong"/>
          <w:rFonts w:cstheme="minorHAnsi"/>
          <w:sz w:val="20"/>
          <w:szCs w:val="18"/>
        </w:rPr>
        <w:br/>
      </w:r>
      <w:r w:rsidRPr="000606CC">
        <w:rPr>
          <w:rFonts w:cstheme="minorHAnsi"/>
          <w:sz w:val="20"/>
          <w:szCs w:val="18"/>
        </w:rPr>
        <w:t>Communicable Diseases Intelligence contributes to the work of the Communicable Diseases Network Australia.</w:t>
      </w:r>
      <w:r w:rsidRPr="000606CC">
        <w:rPr>
          <w:rFonts w:cstheme="minorHAnsi"/>
          <w:sz w:val="20"/>
          <w:szCs w:val="18"/>
        </w:rPr>
        <w:br/>
      </w:r>
      <w:hyperlink r:id="rId19" w:tooltip="Communicable Diseases Network Australia website" w:history="1">
        <w:r w:rsidRPr="000606CC">
          <w:rPr>
            <w:rStyle w:val="Hyperlink"/>
            <w:rFonts w:cstheme="minorHAnsi"/>
            <w:sz w:val="20"/>
            <w:szCs w:val="18"/>
          </w:rPr>
          <w:t>http://www.health.gov.au/cdna</w:t>
        </w:r>
      </w:hyperlink>
    </w:p>
    <w:p w14:paraId="512CC4BE" w14:textId="77777777" w:rsidR="001B37B8" w:rsidRPr="00E92237" w:rsidRDefault="001B37B8" w:rsidP="001B37B8">
      <w:pPr>
        <w:rPr>
          <w:rFonts w:cs="Myriad Pro"/>
          <w:color w:val="211D1E"/>
          <w:sz w:val="20"/>
          <w:szCs w:val="20"/>
        </w:rPr>
      </w:pPr>
    </w:p>
    <w:sectPr w:rsidR="001B37B8" w:rsidRPr="00E92237" w:rsidSect="002B75A9">
      <w:headerReference w:type="default" r:id="rId20"/>
      <w:pgSz w:w="11906" w:h="16838"/>
      <w:pgMar w:top="720" w:right="720" w:bottom="1134" w:left="72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655D20" w14:textId="77777777" w:rsidR="00705AEF" w:rsidRDefault="00705AEF" w:rsidP="00E54DBA">
      <w:r>
        <w:separator/>
      </w:r>
    </w:p>
    <w:p w14:paraId="6EB2A190" w14:textId="77777777" w:rsidR="00705AEF" w:rsidRDefault="00705AEF"/>
    <w:p w14:paraId="55ED04C7" w14:textId="77777777" w:rsidR="00705AEF" w:rsidRDefault="00705AEF" w:rsidP="008714B0"/>
  </w:endnote>
  <w:endnote w:type="continuationSeparator" w:id="0">
    <w:p w14:paraId="3DA24FF9" w14:textId="77777777" w:rsidR="00705AEF" w:rsidRDefault="00705AEF" w:rsidP="00E54DBA">
      <w:r>
        <w:continuationSeparator/>
      </w:r>
    </w:p>
    <w:p w14:paraId="16E2DA9A" w14:textId="77777777" w:rsidR="00705AEF" w:rsidRDefault="00705AEF"/>
    <w:p w14:paraId="17E90E67" w14:textId="77777777" w:rsidR="00705AEF" w:rsidRDefault="00705AEF"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Segoe UI"/>
    <w:panose1 w:val="00000000000000000000"/>
    <w:charset w:val="00"/>
    <w:family w:val="swiss"/>
    <w:notTrueType/>
    <w:pitch w:val="variable"/>
    <w:sig w:usb0="20000287" w:usb1="00000001" w:usb2="00000000" w:usb3="00000000" w:csb0="0000019F" w:csb1="00000000"/>
  </w:font>
  <w:font w:name="Minion Pro SmBd">
    <w:panose1 w:val="02040603060306020203"/>
    <w:charset w:val="00"/>
    <w:family w:val="roman"/>
    <w:notTrueType/>
    <w:pitch w:val="variable"/>
    <w:sig w:usb0="60000287" w:usb1="00000001" w:usb2="00000000" w:usb3="00000000" w:csb0="0000019F" w:csb1="00000000"/>
  </w:font>
  <w:font w:name="Myriad Pro Cond">
    <w:altName w:val="Corbel"/>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DF331" w14:textId="77777777" w:rsidR="002557B8" w:rsidRPr="0042435E" w:rsidRDefault="002557B8"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BC2255">
      <w:rPr>
        <w:noProof/>
        <w:sz w:val="18"/>
      </w:rPr>
      <w:t>6</w:t>
    </w:r>
    <w:r w:rsidRPr="00BE6C3D">
      <w:rPr>
        <w:noProof/>
        <w:sz w:val="18"/>
      </w:rPr>
      <w:fldChar w:fldCharType="end"/>
    </w:r>
    <w:r>
      <w:rPr>
        <w:noProof/>
        <w:sz w:val="18"/>
      </w:rPr>
      <w:t xml:space="preserve"> of </w:t>
    </w:r>
    <w:r>
      <w:rPr>
        <w:noProof/>
        <w:sz w:val="18"/>
      </w:rPr>
      <w:fldChar w:fldCharType="begin"/>
    </w:r>
    <w:r>
      <w:rPr>
        <w:noProof/>
        <w:sz w:val="18"/>
      </w:rPr>
      <w:instrText xml:space="preserve"> NUMPAGES \* MERGEFORMAT </w:instrText>
    </w:r>
    <w:r>
      <w:rPr>
        <w:noProof/>
        <w:sz w:val="18"/>
      </w:rPr>
      <w:fldChar w:fldCharType="separate"/>
    </w:r>
    <w:r w:rsidR="00BC2255">
      <w:rPr>
        <w:noProof/>
        <w:sz w:val="18"/>
      </w:rPr>
      <w:t>18</w:t>
    </w:r>
    <w:r>
      <w:rPr>
        <w:noProof/>
        <w:sz w:val="18"/>
      </w:rPr>
      <w:fldChar w:fldCharType="end"/>
    </w:r>
    <w:r>
      <w:rPr>
        <w:noProof/>
        <w:sz w:val="18"/>
      </w:rPr>
      <w:t xml:space="preserve"> </w:t>
    </w:r>
    <w:r w:rsidRPr="004315F5">
      <w:rPr>
        <w:sz w:val="18"/>
      </w:rPr>
      <w:t xml:space="preserve"> </w:t>
    </w:r>
    <w:r>
      <w:rPr>
        <w:noProof/>
        <w:sz w:val="18"/>
      </w:rPr>
      <w:ptab w:relativeTo="margin" w:alignment="center" w:leader="none"/>
    </w:r>
    <w:r w:rsidRPr="004315F5">
      <w:rPr>
        <w:sz w:val="18"/>
      </w:rPr>
      <w:t xml:space="preserve"> </w:t>
    </w:r>
    <w:r w:rsidRPr="00C026B3">
      <w:rPr>
        <w:i/>
        <w:sz w:val="18"/>
      </w:rPr>
      <w:t>Commun Dis Intell (2018)</w:t>
    </w:r>
    <w:r>
      <w:rPr>
        <w:sz w:val="18"/>
      </w:rPr>
      <w:t xml:space="preserve"> </w:t>
    </w:r>
    <w:r>
      <w:rPr>
        <w:sz w:val="18"/>
      </w:rPr>
      <w:fldChar w:fldCharType="begin"/>
    </w:r>
    <w:r>
      <w:rPr>
        <w:sz w:val="18"/>
      </w:rPr>
      <w:instrText xml:space="preserve"> DOCPROPERTY  Year  \* MERGEFORMAT </w:instrText>
    </w:r>
    <w:r>
      <w:rPr>
        <w:sz w:val="18"/>
      </w:rPr>
      <w:fldChar w:fldCharType="separate"/>
    </w:r>
    <w:r w:rsidR="00584441">
      <w:rPr>
        <w:sz w:val="18"/>
      </w:rPr>
      <w:t>2019</w:t>
    </w:r>
    <w:r>
      <w:rPr>
        <w:sz w:val="18"/>
      </w:rPr>
      <w:fldChar w:fldCharType="end"/>
    </w:r>
    <w:r>
      <w:rPr>
        <w:sz w:val="18"/>
      </w:rPr>
      <w:t xml:space="preserve"> </w:t>
    </w:r>
    <w:r>
      <w:rPr>
        <w:sz w:val="18"/>
      </w:rPr>
      <w:fldChar w:fldCharType="begin"/>
    </w:r>
    <w:r>
      <w:rPr>
        <w:sz w:val="18"/>
      </w:rPr>
      <w:instrText xml:space="preserve"> DOCPROPERTY  Vol  \* MERGEFORMAT </w:instrText>
    </w:r>
    <w:r>
      <w:rPr>
        <w:sz w:val="18"/>
      </w:rPr>
      <w:fldChar w:fldCharType="separate"/>
    </w:r>
    <w:r w:rsidR="00584441">
      <w:rPr>
        <w:sz w:val="18"/>
      </w:rPr>
      <w:t>43</w:t>
    </w:r>
    <w:r>
      <w:rPr>
        <w:sz w:val="18"/>
      </w:rPr>
      <w:fldChar w:fldCharType="end"/>
    </w:r>
    <w:r>
      <w:rPr>
        <w:sz w:val="18"/>
      </w:rPr>
      <w:t xml:space="preserve"> </w:t>
    </w:r>
    <w:r>
      <w:rPr>
        <w:sz w:val="18"/>
      </w:rPr>
      <w:fldChar w:fldCharType="begin"/>
    </w:r>
    <w:r>
      <w:rPr>
        <w:sz w:val="18"/>
      </w:rPr>
      <w:instrText xml:space="preserve"> DOCPROPERTY  DOI  \* MERGEFORMAT </w:instrText>
    </w:r>
    <w:r>
      <w:rPr>
        <w:sz w:val="18"/>
      </w:rPr>
      <w:fldChar w:fldCharType="separate"/>
    </w:r>
    <w:r w:rsidR="00584441">
      <w:rPr>
        <w:sz w:val="18"/>
      </w:rPr>
      <w:t>https://doi.org/10.33321/cdi.2019.43.30</w:t>
    </w:r>
    <w:r>
      <w:rPr>
        <w:sz w:val="18"/>
      </w:rPr>
      <w:fldChar w:fldCharType="end"/>
    </w:r>
    <w:r>
      <w:rPr>
        <w:sz w:val="18"/>
      </w:rPr>
      <w:t xml:space="preserve"> </w:t>
    </w:r>
    <w:r w:rsidRPr="00155582">
      <w:rPr>
        <w:sz w:val="18"/>
      </w:rPr>
      <w:t>Epub</w:t>
    </w:r>
    <w:r>
      <w:rPr>
        <w:sz w:val="18"/>
      </w:rPr>
      <w:t xml:space="preserve"> </w:t>
    </w:r>
    <w:r>
      <w:rPr>
        <w:sz w:val="18"/>
      </w:rPr>
      <w:fldChar w:fldCharType="begin"/>
    </w:r>
    <w:r>
      <w:rPr>
        <w:sz w:val="18"/>
      </w:rPr>
      <w:instrText xml:space="preserve"> DOCPROPERTY  ePubDate  \* MERGEFORMAT </w:instrText>
    </w:r>
    <w:r>
      <w:rPr>
        <w:sz w:val="18"/>
      </w:rPr>
      <w:fldChar w:fldCharType="separate"/>
    </w:r>
    <w:r w:rsidR="00584441">
      <w:rPr>
        <w:sz w:val="18"/>
      </w:rPr>
      <w:t>15/07/2019</w:t>
    </w:r>
    <w:r>
      <w:rPr>
        <w:sz w:val="18"/>
      </w:rPr>
      <w:fldChar w:fldCharType="end"/>
    </w:r>
    <w:r>
      <w:rPr>
        <w:sz w:val="18"/>
      </w:rPr>
      <w:ptab w:relativeTo="margin" w:alignment="right" w:leader="none"/>
    </w:r>
    <w:r w:rsidRPr="00155582">
      <w:rPr>
        <w:sz w:val="18"/>
      </w:rPr>
      <w:t>health.gov.au/cdi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94F0B" w14:textId="77777777" w:rsidR="002557B8" w:rsidRPr="00BB5378" w:rsidRDefault="002557B8" w:rsidP="00E538CC">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BC2255">
      <w:rPr>
        <w:noProof/>
        <w:sz w:val="18"/>
      </w:rPr>
      <w:t>1</w:t>
    </w:r>
    <w:r w:rsidRPr="00BE6C3D">
      <w:rPr>
        <w:noProof/>
        <w:sz w:val="18"/>
      </w:rPr>
      <w:fldChar w:fldCharType="end"/>
    </w:r>
    <w:r>
      <w:rPr>
        <w:noProof/>
        <w:sz w:val="18"/>
      </w:rPr>
      <w:t xml:space="preserve"> of </w:t>
    </w:r>
    <w:r>
      <w:rPr>
        <w:noProof/>
        <w:sz w:val="18"/>
      </w:rPr>
      <w:fldChar w:fldCharType="begin"/>
    </w:r>
    <w:r>
      <w:rPr>
        <w:noProof/>
        <w:sz w:val="18"/>
      </w:rPr>
      <w:instrText xml:space="preserve"> NUMPAGES \* MERGEFORMAT </w:instrText>
    </w:r>
    <w:r>
      <w:rPr>
        <w:noProof/>
        <w:sz w:val="18"/>
      </w:rPr>
      <w:fldChar w:fldCharType="separate"/>
    </w:r>
    <w:r w:rsidR="00BC2255">
      <w:rPr>
        <w:noProof/>
        <w:sz w:val="18"/>
      </w:rPr>
      <w:t>18</w:t>
    </w:r>
    <w:r>
      <w:rPr>
        <w:noProof/>
        <w:sz w:val="18"/>
      </w:rPr>
      <w:fldChar w:fldCharType="end"/>
    </w:r>
    <w:r>
      <w:rPr>
        <w:noProof/>
        <w:sz w:val="18"/>
      </w:rPr>
      <w:t xml:space="preserve"> </w:t>
    </w:r>
    <w:r>
      <w:rPr>
        <w:noProof/>
        <w:sz w:val="18"/>
      </w:rPr>
      <w:ptab w:relativeTo="margin" w:alignment="center" w:leader="none"/>
    </w:r>
    <w:r w:rsidRPr="004315F5">
      <w:rPr>
        <w:sz w:val="18"/>
      </w:rPr>
      <w:t xml:space="preserve"> </w:t>
    </w:r>
    <w:r w:rsidRPr="00C026B3">
      <w:rPr>
        <w:i/>
        <w:sz w:val="18"/>
      </w:rPr>
      <w:t>Commun Dis Intell (2018)</w:t>
    </w:r>
    <w:r>
      <w:rPr>
        <w:sz w:val="18"/>
      </w:rPr>
      <w:t xml:space="preserve"> </w:t>
    </w:r>
    <w:r>
      <w:rPr>
        <w:sz w:val="18"/>
      </w:rPr>
      <w:fldChar w:fldCharType="begin"/>
    </w:r>
    <w:r>
      <w:rPr>
        <w:sz w:val="18"/>
      </w:rPr>
      <w:instrText xml:space="preserve"> DOCPROPERTY  Year  \* MERGEFORMAT </w:instrText>
    </w:r>
    <w:r>
      <w:rPr>
        <w:sz w:val="18"/>
      </w:rPr>
      <w:fldChar w:fldCharType="separate"/>
    </w:r>
    <w:r w:rsidR="00584441">
      <w:rPr>
        <w:sz w:val="18"/>
      </w:rPr>
      <w:t>2019</w:t>
    </w:r>
    <w:r>
      <w:rPr>
        <w:sz w:val="18"/>
      </w:rPr>
      <w:fldChar w:fldCharType="end"/>
    </w:r>
    <w:r>
      <w:rPr>
        <w:sz w:val="18"/>
      </w:rPr>
      <w:t xml:space="preserve"> </w:t>
    </w:r>
    <w:r>
      <w:rPr>
        <w:sz w:val="18"/>
      </w:rPr>
      <w:fldChar w:fldCharType="begin"/>
    </w:r>
    <w:r>
      <w:rPr>
        <w:sz w:val="18"/>
      </w:rPr>
      <w:instrText xml:space="preserve"> DOCPROPERTY  Vol  \* MERGEFORMAT </w:instrText>
    </w:r>
    <w:r>
      <w:rPr>
        <w:sz w:val="18"/>
      </w:rPr>
      <w:fldChar w:fldCharType="separate"/>
    </w:r>
    <w:r w:rsidR="00584441">
      <w:rPr>
        <w:sz w:val="18"/>
      </w:rPr>
      <w:t>43</w:t>
    </w:r>
    <w:r>
      <w:rPr>
        <w:sz w:val="18"/>
      </w:rPr>
      <w:fldChar w:fldCharType="end"/>
    </w:r>
    <w:r>
      <w:rPr>
        <w:sz w:val="18"/>
      </w:rPr>
      <w:t xml:space="preserve"> </w:t>
    </w:r>
    <w:r>
      <w:rPr>
        <w:sz w:val="18"/>
      </w:rPr>
      <w:fldChar w:fldCharType="begin"/>
    </w:r>
    <w:r>
      <w:rPr>
        <w:sz w:val="18"/>
      </w:rPr>
      <w:instrText xml:space="preserve"> DOCPROPERTY  DOI  \* MERGEFORMAT </w:instrText>
    </w:r>
    <w:r>
      <w:rPr>
        <w:sz w:val="18"/>
      </w:rPr>
      <w:fldChar w:fldCharType="separate"/>
    </w:r>
    <w:r w:rsidR="00584441">
      <w:rPr>
        <w:sz w:val="18"/>
      </w:rPr>
      <w:t>https://doi.org/10.33321/cdi.2019.43.30</w:t>
    </w:r>
    <w:r>
      <w:rPr>
        <w:sz w:val="18"/>
      </w:rPr>
      <w:fldChar w:fldCharType="end"/>
    </w:r>
    <w:r>
      <w:rPr>
        <w:sz w:val="18"/>
      </w:rPr>
      <w:t xml:space="preserve"> </w:t>
    </w:r>
    <w:r w:rsidRPr="00155582">
      <w:rPr>
        <w:sz w:val="18"/>
      </w:rPr>
      <w:t xml:space="preserve">Epub </w:t>
    </w:r>
    <w:r>
      <w:rPr>
        <w:sz w:val="18"/>
      </w:rPr>
      <w:fldChar w:fldCharType="begin"/>
    </w:r>
    <w:r>
      <w:rPr>
        <w:sz w:val="18"/>
      </w:rPr>
      <w:instrText xml:space="preserve"> DOCPROPERTY  ePubDate  \* MERGEFORMAT </w:instrText>
    </w:r>
    <w:r>
      <w:rPr>
        <w:sz w:val="18"/>
      </w:rPr>
      <w:fldChar w:fldCharType="separate"/>
    </w:r>
    <w:r w:rsidR="00584441">
      <w:rPr>
        <w:sz w:val="18"/>
      </w:rPr>
      <w:t>15/07/2019</w:t>
    </w:r>
    <w:r>
      <w:rPr>
        <w:sz w:val="18"/>
      </w:rPr>
      <w:fldChar w:fldCharType="end"/>
    </w:r>
    <w:r>
      <w:rPr>
        <w:sz w:val="18"/>
      </w:rPr>
      <w:ptab w:relativeTo="margin" w:alignment="right" w:leader="none"/>
    </w:r>
    <w:r w:rsidRPr="00155582">
      <w:rPr>
        <w:sz w:val="18"/>
      </w:rPr>
      <w:t>health.gov.au/cdi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49D44" w14:textId="77777777" w:rsidR="00705AEF" w:rsidRDefault="00705AEF" w:rsidP="00E54DBA">
      <w:r>
        <w:separator/>
      </w:r>
    </w:p>
    <w:p w14:paraId="2392174A" w14:textId="77777777" w:rsidR="00705AEF" w:rsidRDefault="00705AEF"/>
    <w:p w14:paraId="369446B4" w14:textId="77777777" w:rsidR="00705AEF" w:rsidRDefault="00705AEF" w:rsidP="008714B0"/>
  </w:footnote>
  <w:footnote w:type="continuationSeparator" w:id="0">
    <w:p w14:paraId="6BC4DF73" w14:textId="77777777" w:rsidR="00705AEF" w:rsidRDefault="00705AEF" w:rsidP="00E54DBA">
      <w:r>
        <w:continuationSeparator/>
      </w:r>
    </w:p>
    <w:p w14:paraId="7ABD40C6" w14:textId="77777777" w:rsidR="00705AEF" w:rsidRDefault="00705AEF"/>
    <w:p w14:paraId="496AF1D4" w14:textId="77777777" w:rsidR="00705AEF" w:rsidRDefault="00705AEF" w:rsidP="008714B0"/>
  </w:footnote>
  <w:footnote w:id="1">
    <w:p w14:paraId="13F17366" w14:textId="77777777" w:rsidR="002557B8" w:rsidRDefault="002557B8" w:rsidP="002557B8">
      <w:pPr>
        <w:pStyle w:val="FootnoteText"/>
      </w:pPr>
      <w:r>
        <w:rPr>
          <w:rStyle w:val="FootnoteReference"/>
        </w:rPr>
        <w:footnoteRef/>
      </w:r>
      <w:r>
        <w:t xml:space="preserve"> Both questionnaires are available at: www.saxinstitute.org.au/our-work/45-up-study/questionnaires/.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CF00E" w14:textId="77777777" w:rsidR="002557B8" w:rsidRPr="00A153B6" w:rsidRDefault="00634FFD" w:rsidP="00A153B6">
    <w:pPr>
      <w:pStyle w:val="Header"/>
      <w:pBdr>
        <w:bottom w:val="single" w:sz="6"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EndPr/>
      <w:sdtContent>
        <w:r w:rsidR="00BC2255">
          <w:t>Original article</w:t>
        </w:r>
      </w:sdtContent>
    </w:sdt>
    <w:r w:rsidR="002557B8">
      <w:ptab w:relativeTo="margin" w:alignment="right" w:leader="none"/>
    </w:r>
    <w:r w:rsidR="002557B8" w:rsidRPr="00BB5378">
      <w:t>Communicable Diseases Intelligence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A18BC" w14:textId="77777777" w:rsidR="002557B8" w:rsidRPr="000A5F42" w:rsidRDefault="002557B8" w:rsidP="000A5F42">
    <w:pPr>
      <w:pStyle w:val="Header"/>
      <w:jc w:val="center"/>
      <w:rPr>
        <w:b/>
      </w:rPr>
    </w:pPr>
    <w:r w:rsidRPr="00E810C5">
      <w:rPr>
        <w:rFonts w:cs="Myriad Pro"/>
        <w:noProof/>
        <w:color w:val="211D1E"/>
        <w:sz w:val="16"/>
      </w:rPr>
      <w:drawing>
        <wp:inline distT="0" distB="0" distL="0" distR="0" wp14:anchorId="3687D48A" wp14:editId="16317A33">
          <wp:extent cx="1804481" cy="436389"/>
          <wp:effectExtent l="0" t="0" r="5715" b="1905"/>
          <wp:docPr id="1" name="Picture 1" descr="Australian Government Department of Health" title="Australian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stralian Government-inline-word.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227" cy="4527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C4BE8"/>
    <w:multiLevelType w:val="hybridMultilevel"/>
    <w:tmpl w:val="713ED32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C0C4A83"/>
    <w:multiLevelType w:val="hybridMultilevel"/>
    <w:tmpl w:val="9D64AB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FE23A4F"/>
    <w:multiLevelType w:val="multilevel"/>
    <w:tmpl w:val="62106C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99925CD"/>
    <w:multiLevelType w:val="hybridMultilevel"/>
    <w:tmpl w:val="AB6E092A"/>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51CC3D44"/>
    <w:multiLevelType w:val="hybridMultilevel"/>
    <w:tmpl w:val="3598785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FAF0006"/>
    <w:multiLevelType w:val="multilevel"/>
    <w:tmpl w:val="2D14AD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C137675"/>
    <w:multiLevelType w:val="hybridMultilevel"/>
    <w:tmpl w:val="724AE6B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01244402">
    <w:abstractNumId w:val="3"/>
  </w:num>
  <w:num w:numId="2" w16cid:durableId="1114787232">
    <w:abstractNumId w:val="5"/>
  </w:num>
  <w:num w:numId="3" w16cid:durableId="1026249868">
    <w:abstractNumId w:val="6"/>
  </w:num>
  <w:num w:numId="4" w16cid:durableId="1165707364">
    <w:abstractNumId w:val="2"/>
  </w:num>
  <w:num w:numId="5" w16cid:durableId="983511100">
    <w:abstractNumId w:val="10"/>
  </w:num>
  <w:num w:numId="6" w16cid:durableId="924799803">
    <w:abstractNumId w:val="12"/>
  </w:num>
  <w:num w:numId="7" w16cid:durableId="213009837">
    <w:abstractNumId w:val="4"/>
  </w:num>
  <w:num w:numId="8" w16cid:durableId="2068601166">
    <w:abstractNumId w:val="9"/>
  </w:num>
  <w:num w:numId="9" w16cid:durableId="1704094372">
    <w:abstractNumId w:val="7"/>
  </w:num>
  <w:num w:numId="10" w16cid:durableId="784275956">
    <w:abstractNumId w:val="0"/>
  </w:num>
  <w:num w:numId="11" w16cid:durableId="1417937290">
    <w:abstractNumId w:val="11"/>
  </w:num>
  <w:num w:numId="12" w16cid:durableId="363215849">
    <w:abstractNumId w:val="8"/>
  </w:num>
  <w:num w:numId="13" w16cid:durableId="6833646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hdrShapeDefaults>
    <o:shapedefaults v:ext="edit" spidmax="14337"/>
  </w:hdrShapeDefaults>
  <w:footnotePr>
    <w:numFmt w:val="lowerRoman"/>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F4F"/>
    <w:rsid w:val="00000B5B"/>
    <w:rsid w:val="00001611"/>
    <w:rsid w:val="000104A8"/>
    <w:rsid w:val="0001246E"/>
    <w:rsid w:val="000124B1"/>
    <w:rsid w:val="00016FE6"/>
    <w:rsid w:val="0002022E"/>
    <w:rsid w:val="0002126F"/>
    <w:rsid w:val="00031064"/>
    <w:rsid w:val="00031692"/>
    <w:rsid w:val="00032531"/>
    <w:rsid w:val="000471BF"/>
    <w:rsid w:val="00047B68"/>
    <w:rsid w:val="00052600"/>
    <w:rsid w:val="0005643C"/>
    <w:rsid w:val="0006264A"/>
    <w:rsid w:val="00073D77"/>
    <w:rsid w:val="00081655"/>
    <w:rsid w:val="000864E0"/>
    <w:rsid w:val="000969B3"/>
    <w:rsid w:val="000A5F42"/>
    <w:rsid w:val="000C63EC"/>
    <w:rsid w:val="000D4B4D"/>
    <w:rsid w:val="00113D58"/>
    <w:rsid w:val="001378A3"/>
    <w:rsid w:val="00142292"/>
    <w:rsid w:val="00155582"/>
    <w:rsid w:val="00161590"/>
    <w:rsid w:val="00171CC0"/>
    <w:rsid w:val="00175494"/>
    <w:rsid w:val="00175629"/>
    <w:rsid w:val="001830EC"/>
    <w:rsid w:val="00183534"/>
    <w:rsid w:val="001952F4"/>
    <w:rsid w:val="001A4A96"/>
    <w:rsid w:val="001A5D05"/>
    <w:rsid w:val="001A796C"/>
    <w:rsid w:val="001B2614"/>
    <w:rsid w:val="001B37B8"/>
    <w:rsid w:val="001B4057"/>
    <w:rsid w:val="001B552F"/>
    <w:rsid w:val="001C0893"/>
    <w:rsid w:val="001C1303"/>
    <w:rsid w:val="001C70B2"/>
    <w:rsid w:val="001D37C7"/>
    <w:rsid w:val="001D6888"/>
    <w:rsid w:val="00206042"/>
    <w:rsid w:val="00211941"/>
    <w:rsid w:val="00216361"/>
    <w:rsid w:val="002276DC"/>
    <w:rsid w:val="00227E00"/>
    <w:rsid w:val="002307CB"/>
    <w:rsid w:val="00231046"/>
    <w:rsid w:val="00232D0E"/>
    <w:rsid w:val="002342DE"/>
    <w:rsid w:val="00234F21"/>
    <w:rsid w:val="00240EAF"/>
    <w:rsid w:val="00242659"/>
    <w:rsid w:val="002428F7"/>
    <w:rsid w:val="0024315F"/>
    <w:rsid w:val="00252C9A"/>
    <w:rsid w:val="002557B8"/>
    <w:rsid w:val="00256309"/>
    <w:rsid w:val="00257484"/>
    <w:rsid w:val="00260636"/>
    <w:rsid w:val="002736DC"/>
    <w:rsid w:val="002759BA"/>
    <w:rsid w:val="00275C78"/>
    <w:rsid w:val="00280594"/>
    <w:rsid w:val="00281EE3"/>
    <w:rsid w:val="00284E4A"/>
    <w:rsid w:val="002A3799"/>
    <w:rsid w:val="002A3BCC"/>
    <w:rsid w:val="002A4516"/>
    <w:rsid w:val="002A569F"/>
    <w:rsid w:val="002A7066"/>
    <w:rsid w:val="002B001E"/>
    <w:rsid w:val="002B09B7"/>
    <w:rsid w:val="002B75A9"/>
    <w:rsid w:val="002C21B0"/>
    <w:rsid w:val="002C3F30"/>
    <w:rsid w:val="002E2FB3"/>
    <w:rsid w:val="002F0699"/>
    <w:rsid w:val="002F327B"/>
    <w:rsid w:val="00301626"/>
    <w:rsid w:val="00304901"/>
    <w:rsid w:val="003059EC"/>
    <w:rsid w:val="00315BAC"/>
    <w:rsid w:val="00316CCD"/>
    <w:rsid w:val="003201C0"/>
    <w:rsid w:val="0032020F"/>
    <w:rsid w:val="00324F7E"/>
    <w:rsid w:val="003323BC"/>
    <w:rsid w:val="00337974"/>
    <w:rsid w:val="00346D42"/>
    <w:rsid w:val="00346E11"/>
    <w:rsid w:val="003473F8"/>
    <w:rsid w:val="003601C0"/>
    <w:rsid w:val="003635F5"/>
    <w:rsid w:val="00372A88"/>
    <w:rsid w:val="00380BDE"/>
    <w:rsid w:val="00381A0F"/>
    <w:rsid w:val="003A1B3A"/>
    <w:rsid w:val="003A40F5"/>
    <w:rsid w:val="003B5B8C"/>
    <w:rsid w:val="003D79B1"/>
    <w:rsid w:val="003E732E"/>
    <w:rsid w:val="003E74EE"/>
    <w:rsid w:val="003F0552"/>
    <w:rsid w:val="003F3BC2"/>
    <w:rsid w:val="00401ED1"/>
    <w:rsid w:val="0040224C"/>
    <w:rsid w:val="00413EE1"/>
    <w:rsid w:val="004164BB"/>
    <w:rsid w:val="00421ECE"/>
    <w:rsid w:val="00422FEB"/>
    <w:rsid w:val="0042435E"/>
    <w:rsid w:val="004315F5"/>
    <w:rsid w:val="00431E8A"/>
    <w:rsid w:val="00433456"/>
    <w:rsid w:val="00433DFA"/>
    <w:rsid w:val="00435D67"/>
    <w:rsid w:val="00436989"/>
    <w:rsid w:val="00464A58"/>
    <w:rsid w:val="00473D2D"/>
    <w:rsid w:val="00480A65"/>
    <w:rsid w:val="004A2125"/>
    <w:rsid w:val="004A38F6"/>
    <w:rsid w:val="004B4EB6"/>
    <w:rsid w:val="004C67C6"/>
    <w:rsid w:val="004D29DE"/>
    <w:rsid w:val="00506591"/>
    <w:rsid w:val="00510EAC"/>
    <w:rsid w:val="00542A57"/>
    <w:rsid w:val="00543504"/>
    <w:rsid w:val="005732C0"/>
    <w:rsid w:val="0057336D"/>
    <w:rsid w:val="0057489A"/>
    <w:rsid w:val="00574ACF"/>
    <w:rsid w:val="005811BF"/>
    <w:rsid w:val="00581588"/>
    <w:rsid w:val="00584441"/>
    <w:rsid w:val="0058540B"/>
    <w:rsid w:val="00587C87"/>
    <w:rsid w:val="00590B80"/>
    <w:rsid w:val="005B3134"/>
    <w:rsid w:val="005B3671"/>
    <w:rsid w:val="005B4E61"/>
    <w:rsid w:val="005B595A"/>
    <w:rsid w:val="005B66C2"/>
    <w:rsid w:val="005D2465"/>
    <w:rsid w:val="005D5071"/>
    <w:rsid w:val="005D6D19"/>
    <w:rsid w:val="005E4229"/>
    <w:rsid w:val="005E540E"/>
    <w:rsid w:val="005E55FB"/>
    <w:rsid w:val="005F16BB"/>
    <w:rsid w:val="00607115"/>
    <w:rsid w:val="00620768"/>
    <w:rsid w:val="0062594B"/>
    <w:rsid w:val="00631406"/>
    <w:rsid w:val="006324FF"/>
    <w:rsid w:val="00634FFD"/>
    <w:rsid w:val="006351D6"/>
    <w:rsid w:val="00636A7D"/>
    <w:rsid w:val="00636E0D"/>
    <w:rsid w:val="0064142F"/>
    <w:rsid w:val="00643CB4"/>
    <w:rsid w:val="00656427"/>
    <w:rsid w:val="00660255"/>
    <w:rsid w:val="006971F3"/>
    <w:rsid w:val="006A31F9"/>
    <w:rsid w:val="006B53E9"/>
    <w:rsid w:val="006C74A3"/>
    <w:rsid w:val="006D1381"/>
    <w:rsid w:val="006D31BC"/>
    <w:rsid w:val="006D3CDB"/>
    <w:rsid w:val="006E7943"/>
    <w:rsid w:val="006F24EA"/>
    <w:rsid w:val="00704CA9"/>
    <w:rsid w:val="00705AEF"/>
    <w:rsid w:val="0071048D"/>
    <w:rsid w:val="00710F86"/>
    <w:rsid w:val="007111A8"/>
    <w:rsid w:val="00731BC3"/>
    <w:rsid w:val="00735A6E"/>
    <w:rsid w:val="00741192"/>
    <w:rsid w:val="00743A33"/>
    <w:rsid w:val="00746080"/>
    <w:rsid w:val="0075144A"/>
    <w:rsid w:val="00760781"/>
    <w:rsid w:val="00786329"/>
    <w:rsid w:val="00792C7D"/>
    <w:rsid w:val="00794A4D"/>
    <w:rsid w:val="00797A9E"/>
    <w:rsid w:val="007A5234"/>
    <w:rsid w:val="007A5478"/>
    <w:rsid w:val="007B7854"/>
    <w:rsid w:val="007C56A1"/>
    <w:rsid w:val="007C6454"/>
    <w:rsid w:val="007D36EE"/>
    <w:rsid w:val="007E01E0"/>
    <w:rsid w:val="007E6386"/>
    <w:rsid w:val="007F0B93"/>
    <w:rsid w:val="007F2DDA"/>
    <w:rsid w:val="007F2ECA"/>
    <w:rsid w:val="00802AD5"/>
    <w:rsid w:val="00811708"/>
    <w:rsid w:val="00816B90"/>
    <w:rsid w:val="00817799"/>
    <w:rsid w:val="00822F5F"/>
    <w:rsid w:val="00824FD3"/>
    <w:rsid w:val="00826589"/>
    <w:rsid w:val="00826BF2"/>
    <w:rsid w:val="00834BCC"/>
    <w:rsid w:val="00836CCB"/>
    <w:rsid w:val="00850D54"/>
    <w:rsid w:val="008714B0"/>
    <w:rsid w:val="00876331"/>
    <w:rsid w:val="00880726"/>
    <w:rsid w:val="008A3544"/>
    <w:rsid w:val="008B48B8"/>
    <w:rsid w:val="008B5348"/>
    <w:rsid w:val="008B58F8"/>
    <w:rsid w:val="008C0712"/>
    <w:rsid w:val="008C4520"/>
    <w:rsid w:val="008C5F09"/>
    <w:rsid w:val="008D470F"/>
    <w:rsid w:val="008E1F8F"/>
    <w:rsid w:val="008E4768"/>
    <w:rsid w:val="008E761E"/>
    <w:rsid w:val="008E7B6B"/>
    <w:rsid w:val="008F57CF"/>
    <w:rsid w:val="008F67CA"/>
    <w:rsid w:val="008F77B3"/>
    <w:rsid w:val="009008F5"/>
    <w:rsid w:val="00904CC1"/>
    <w:rsid w:val="009066AF"/>
    <w:rsid w:val="00912050"/>
    <w:rsid w:val="00912E48"/>
    <w:rsid w:val="00922714"/>
    <w:rsid w:val="0092746F"/>
    <w:rsid w:val="00935DC9"/>
    <w:rsid w:val="009446C0"/>
    <w:rsid w:val="0096082E"/>
    <w:rsid w:val="00961347"/>
    <w:rsid w:val="00967410"/>
    <w:rsid w:val="00967D73"/>
    <w:rsid w:val="0098119A"/>
    <w:rsid w:val="00984AAF"/>
    <w:rsid w:val="00991B09"/>
    <w:rsid w:val="00993CB2"/>
    <w:rsid w:val="009A5166"/>
    <w:rsid w:val="009A76F8"/>
    <w:rsid w:val="009B2B83"/>
    <w:rsid w:val="009B57B3"/>
    <w:rsid w:val="009C49F8"/>
    <w:rsid w:val="009D425F"/>
    <w:rsid w:val="009D77CC"/>
    <w:rsid w:val="009E2423"/>
    <w:rsid w:val="009E41D2"/>
    <w:rsid w:val="009E55D7"/>
    <w:rsid w:val="009F4150"/>
    <w:rsid w:val="009F5665"/>
    <w:rsid w:val="009F5DAD"/>
    <w:rsid w:val="00A01BCA"/>
    <w:rsid w:val="00A10458"/>
    <w:rsid w:val="00A14370"/>
    <w:rsid w:val="00A153B6"/>
    <w:rsid w:val="00A164D5"/>
    <w:rsid w:val="00A273C3"/>
    <w:rsid w:val="00A30C37"/>
    <w:rsid w:val="00A35124"/>
    <w:rsid w:val="00A36C65"/>
    <w:rsid w:val="00A41BBE"/>
    <w:rsid w:val="00A45BDD"/>
    <w:rsid w:val="00A46A0A"/>
    <w:rsid w:val="00A52C69"/>
    <w:rsid w:val="00A553F8"/>
    <w:rsid w:val="00A6708F"/>
    <w:rsid w:val="00A71BF6"/>
    <w:rsid w:val="00A86F9A"/>
    <w:rsid w:val="00AA35E6"/>
    <w:rsid w:val="00AA50B6"/>
    <w:rsid w:val="00AB3472"/>
    <w:rsid w:val="00AC5355"/>
    <w:rsid w:val="00AC5C92"/>
    <w:rsid w:val="00AD0762"/>
    <w:rsid w:val="00AD19B5"/>
    <w:rsid w:val="00AE4452"/>
    <w:rsid w:val="00AE7C38"/>
    <w:rsid w:val="00B01F99"/>
    <w:rsid w:val="00B02B37"/>
    <w:rsid w:val="00B05276"/>
    <w:rsid w:val="00B132DB"/>
    <w:rsid w:val="00B31338"/>
    <w:rsid w:val="00B31427"/>
    <w:rsid w:val="00B33861"/>
    <w:rsid w:val="00B40A2F"/>
    <w:rsid w:val="00B40DE2"/>
    <w:rsid w:val="00B50210"/>
    <w:rsid w:val="00B52F7F"/>
    <w:rsid w:val="00B53955"/>
    <w:rsid w:val="00B575B7"/>
    <w:rsid w:val="00B60EF1"/>
    <w:rsid w:val="00B6408A"/>
    <w:rsid w:val="00B714B8"/>
    <w:rsid w:val="00B82C2C"/>
    <w:rsid w:val="00B8720B"/>
    <w:rsid w:val="00B876EF"/>
    <w:rsid w:val="00B947A6"/>
    <w:rsid w:val="00BA2E0B"/>
    <w:rsid w:val="00BA4697"/>
    <w:rsid w:val="00BB5376"/>
    <w:rsid w:val="00BB5378"/>
    <w:rsid w:val="00BC0BD3"/>
    <w:rsid w:val="00BC2255"/>
    <w:rsid w:val="00BC6754"/>
    <w:rsid w:val="00BD0107"/>
    <w:rsid w:val="00BE0C33"/>
    <w:rsid w:val="00BE262C"/>
    <w:rsid w:val="00BE6C3D"/>
    <w:rsid w:val="00C026B3"/>
    <w:rsid w:val="00C07606"/>
    <w:rsid w:val="00C12542"/>
    <w:rsid w:val="00C13534"/>
    <w:rsid w:val="00C24725"/>
    <w:rsid w:val="00C30BA9"/>
    <w:rsid w:val="00C337B4"/>
    <w:rsid w:val="00C3541E"/>
    <w:rsid w:val="00C36A8F"/>
    <w:rsid w:val="00C42FFA"/>
    <w:rsid w:val="00C507D8"/>
    <w:rsid w:val="00C62EAC"/>
    <w:rsid w:val="00C63F9F"/>
    <w:rsid w:val="00C7723C"/>
    <w:rsid w:val="00C838F5"/>
    <w:rsid w:val="00C971F8"/>
    <w:rsid w:val="00CA1AF4"/>
    <w:rsid w:val="00CA6068"/>
    <w:rsid w:val="00CB15E1"/>
    <w:rsid w:val="00CB3D46"/>
    <w:rsid w:val="00CD1A87"/>
    <w:rsid w:val="00CD35F3"/>
    <w:rsid w:val="00CD5C93"/>
    <w:rsid w:val="00CE342B"/>
    <w:rsid w:val="00CF320C"/>
    <w:rsid w:val="00CF3A4B"/>
    <w:rsid w:val="00CF4001"/>
    <w:rsid w:val="00CF4EF4"/>
    <w:rsid w:val="00D02060"/>
    <w:rsid w:val="00D05837"/>
    <w:rsid w:val="00D12D8A"/>
    <w:rsid w:val="00D13E0C"/>
    <w:rsid w:val="00D23262"/>
    <w:rsid w:val="00D25896"/>
    <w:rsid w:val="00D373A1"/>
    <w:rsid w:val="00D37C0F"/>
    <w:rsid w:val="00D40F4F"/>
    <w:rsid w:val="00D45661"/>
    <w:rsid w:val="00D45943"/>
    <w:rsid w:val="00D45980"/>
    <w:rsid w:val="00D47D22"/>
    <w:rsid w:val="00D51865"/>
    <w:rsid w:val="00D51D0C"/>
    <w:rsid w:val="00D74140"/>
    <w:rsid w:val="00D74A2A"/>
    <w:rsid w:val="00D83BB8"/>
    <w:rsid w:val="00DA5052"/>
    <w:rsid w:val="00DA6E56"/>
    <w:rsid w:val="00DB317D"/>
    <w:rsid w:val="00DC6705"/>
    <w:rsid w:val="00DD2DE8"/>
    <w:rsid w:val="00DD34A5"/>
    <w:rsid w:val="00DD55F2"/>
    <w:rsid w:val="00DE38B4"/>
    <w:rsid w:val="00DE5D02"/>
    <w:rsid w:val="00E005A9"/>
    <w:rsid w:val="00E1166E"/>
    <w:rsid w:val="00E169CD"/>
    <w:rsid w:val="00E17701"/>
    <w:rsid w:val="00E206C9"/>
    <w:rsid w:val="00E24DC0"/>
    <w:rsid w:val="00E2519C"/>
    <w:rsid w:val="00E25F2A"/>
    <w:rsid w:val="00E41455"/>
    <w:rsid w:val="00E41F3E"/>
    <w:rsid w:val="00E42AD2"/>
    <w:rsid w:val="00E50856"/>
    <w:rsid w:val="00E538CC"/>
    <w:rsid w:val="00E54DBA"/>
    <w:rsid w:val="00E63D7C"/>
    <w:rsid w:val="00E640D5"/>
    <w:rsid w:val="00E67691"/>
    <w:rsid w:val="00E70795"/>
    <w:rsid w:val="00E92237"/>
    <w:rsid w:val="00E951EF"/>
    <w:rsid w:val="00E97197"/>
    <w:rsid w:val="00EA3D54"/>
    <w:rsid w:val="00EA56D9"/>
    <w:rsid w:val="00EA5CE3"/>
    <w:rsid w:val="00EB51C1"/>
    <w:rsid w:val="00EB5AE1"/>
    <w:rsid w:val="00EB5E0B"/>
    <w:rsid w:val="00EC2171"/>
    <w:rsid w:val="00ED0F75"/>
    <w:rsid w:val="00ED442D"/>
    <w:rsid w:val="00ED70C2"/>
    <w:rsid w:val="00EE18FF"/>
    <w:rsid w:val="00EE489F"/>
    <w:rsid w:val="00F0647F"/>
    <w:rsid w:val="00F10CE3"/>
    <w:rsid w:val="00F14F3B"/>
    <w:rsid w:val="00F16362"/>
    <w:rsid w:val="00F207C7"/>
    <w:rsid w:val="00F36B6D"/>
    <w:rsid w:val="00F43FA3"/>
    <w:rsid w:val="00F55648"/>
    <w:rsid w:val="00F70046"/>
    <w:rsid w:val="00F748C2"/>
    <w:rsid w:val="00F76C5C"/>
    <w:rsid w:val="00F81EF3"/>
    <w:rsid w:val="00F84496"/>
    <w:rsid w:val="00F85DCB"/>
    <w:rsid w:val="00F86F9C"/>
    <w:rsid w:val="00FA7545"/>
    <w:rsid w:val="00FB2DE9"/>
    <w:rsid w:val="00FC002E"/>
    <w:rsid w:val="00FC4C23"/>
    <w:rsid w:val="00FC642E"/>
    <w:rsid w:val="00FD19FF"/>
    <w:rsid w:val="00FE2AE4"/>
    <w:rsid w:val="00FE2BF2"/>
    <w:rsid w:val="00FE689F"/>
    <w:rsid w:val="00FE7809"/>
    <w:rsid w:val="00FF23DC"/>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3FB3BCF5"/>
  <w15:docId w15:val="{979DB24A-683A-4D5F-A0A5-615612CCD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192"/>
  </w:style>
  <w:style w:type="paragraph" w:styleId="Heading1">
    <w:name w:val="heading 1"/>
    <w:basedOn w:val="Normal"/>
    <w:next w:val="Normal"/>
    <w:link w:val="Heading1Char"/>
    <w:uiPriority w:val="9"/>
    <w:qFormat/>
    <w:rsid w:val="00DD2DE8"/>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E8"/>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99"/>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AE4452"/>
    <w:pPr>
      <w:spacing w:after="0" w:line="240" w:lineRule="auto"/>
    </w:pPr>
    <w:rPr>
      <w:rFonts w:ascii="Calibri" w:hAnsi="Calibri"/>
    </w:rPr>
    <w:tblPr>
      <w:tblStyleRowBandSize w:val="1"/>
    </w:tblPr>
    <w:tblStylePr w:type="firstRow">
      <w:rPr>
        <w:rFonts w:asciiTheme="minorHAnsi" w:hAnsiTheme="minorHAnsi"/>
        <w:b/>
        <w:sz w:val="22"/>
      </w:rPr>
      <w:tblPr>
        <w:tblCellMar>
          <w:top w:w="120" w:type="dxa"/>
          <w:left w:w="120" w:type="dxa"/>
          <w:bottom w:w="120" w:type="dxa"/>
          <w:right w:w="120" w:type="dxa"/>
        </w:tblCellMar>
      </w:tblPr>
      <w:tcPr>
        <w:shd w:val="clear" w:color="auto" w:fill="404040" w:themeFill="text1" w:themeFillTint="BF"/>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DE5D02"/>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DE5D02"/>
    <w:rPr>
      <w:sz w:val="18"/>
    </w:rPr>
  </w:style>
  <w:style w:type="character" w:customStyle="1" w:styleId="CDIFiguresChar">
    <w:name w:val="CDI_Figures Char"/>
    <w:basedOn w:val="NormalWebChar"/>
    <w:link w:val="CDIFigures"/>
    <w:rsid w:val="00C30BA9"/>
    <w:rPr>
      <w:b/>
    </w:rPr>
  </w:style>
  <w:style w:type="character" w:customStyle="1" w:styleId="URI">
    <w:name w:val="URI"/>
    <w:uiPriority w:val="99"/>
    <w:rsid w:val="000A5F42"/>
    <w:rPr>
      <w:color w:val="000000"/>
      <w:u w:val="thick"/>
    </w:rPr>
  </w:style>
  <w:style w:type="character" w:customStyle="1" w:styleId="nobreak">
    <w:name w:val="no break"/>
    <w:uiPriority w:val="99"/>
    <w:rsid w:val="000A5F42"/>
    <w:rPr>
      <w:u w:val="none"/>
    </w:rPr>
  </w:style>
  <w:style w:type="paragraph" w:customStyle="1" w:styleId="msonormal0">
    <w:name w:val="msonormal"/>
    <w:basedOn w:val="Normal"/>
    <w:rsid w:val="00B575B7"/>
    <w:pPr>
      <w:spacing w:before="100" w:beforeAutospacing="1" w:after="100" w:afterAutospacing="1" w:line="240" w:lineRule="auto"/>
    </w:pPr>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2557B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57B8"/>
    <w:rPr>
      <w:sz w:val="20"/>
      <w:szCs w:val="20"/>
    </w:rPr>
  </w:style>
  <w:style w:type="character" w:styleId="FootnoteReference">
    <w:name w:val="footnote reference"/>
    <w:basedOn w:val="DefaultParagraphFont"/>
    <w:uiPriority w:val="99"/>
    <w:semiHidden/>
    <w:unhideWhenUsed/>
    <w:rsid w:val="002557B8"/>
    <w:rPr>
      <w:vertAlign w:val="superscript"/>
    </w:rPr>
  </w:style>
  <w:style w:type="character" w:styleId="CommentReference">
    <w:name w:val="annotation reference"/>
    <w:basedOn w:val="DefaultParagraphFont"/>
    <w:uiPriority w:val="99"/>
    <w:semiHidden/>
    <w:unhideWhenUsed/>
    <w:rsid w:val="002557B8"/>
    <w:rPr>
      <w:sz w:val="16"/>
      <w:szCs w:val="16"/>
    </w:rPr>
  </w:style>
  <w:style w:type="paragraph" w:styleId="CommentText">
    <w:name w:val="annotation text"/>
    <w:basedOn w:val="Normal"/>
    <w:link w:val="CommentTextChar"/>
    <w:uiPriority w:val="99"/>
    <w:semiHidden/>
    <w:unhideWhenUsed/>
    <w:rsid w:val="002557B8"/>
    <w:pPr>
      <w:spacing w:line="240" w:lineRule="auto"/>
    </w:pPr>
    <w:rPr>
      <w:sz w:val="20"/>
      <w:szCs w:val="20"/>
    </w:rPr>
  </w:style>
  <w:style w:type="character" w:customStyle="1" w:styleId="CommentTextChar">
    <w:name w:val="Comment Text Char"/>
    <w:basedOn w:val="DefaultParagraphFont"/>
    <w:link w:val="CommentText"/>
    <w:uiPriority w:val="99"/>
    <w:semiHidden/>
    <w:rsid w:val="002557B8"/>
    <w:rPr>
      <w:sz w:val="20"/>
      <w:szCs w:val="20"/>
    </w:rPr>
  </w:style>
  <w:style w:type="paragraph" w:styleId="CommentSubject">
    <w:name w:val="annotation subject"/>
    <w:basedOn w:val="CommentText"/>
    <w:next w:val="CommentText"/>
    <w:link w:val="CommentSubjectChar"/>
    <w:uiPriority w:val="99"/>
    <w:semiHidden/>
    <w:unhideWhenUsed/>
    <w:rsid w:val="002557B8"/>
    <w:rPr>
      <w:b/>
      <w:bCs/>
    </w:rPr>
  </w:style>
  <w:style w:type="character" w:customStyle="1" w:styleId="CommentSubjectChar">
    <w:name w:val="Comment Subject Char"/>
    <w:basedOn w:val="CommentTextChar"/>
    <w:link w:val="CommentSubject"/>
    <w:uiPriority w:val="99"/>
    <w:semiHidden/>
    <w:rsid w:val="002557B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di.editor@health.gov.au" TargetMode="External"/><Relationship Id="rId18" Type="http://schemas.openxmlformats.org/officeDocument/2006/relationships/hyperlink" Target="mailto:copyright@health.gov.au"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health.gov.au/cdi" TargetMode="External"/><Relationship Id="rId17" Type="http://schemas.openxmlformats.org/officeDocument/2006/relationships/hyperlink" Target="http://www.itsanhonour.gov.au/" TargetMode="External"/><Relationship Id="rId2" Type="http://schemas.openxmlformats.org/officeDocument/2006/relationships/customXml" Target="../customXml/item2.xml"/><Relationship Id="rId16" Type="http://schemas.openxmlformats.org/officeDocument/2006/relationships/hyperlink" Target="https://creativecommons.org/licenses/by-nc-nd/4.0/legalcod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mailto:cdi.editor@health.gov.au" TargetMode="External"/><Relationship Id="rId10" Type="http://schemas.openxmlformats.org/officeDocument/2006/relationships/footer" Target="footer1.xml"/><Relationship Id="rId19" Type="http://schemas.openxmlformats.org/officeDocument/2006/relationships/hyperlink" Target="http://www.health.gov.au/cdna"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health.gov.au/cdi"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93CE844-78A6-43B5-95E7-E138518E1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6060</Words>
  <Characters>37174</Characters>
  <Application>Microsoft Office Word</Application>
  <DocSecurity>0</DocSecurity>
  <Lines>309</Lines>
  <Paragraphs>86</Paragraphs>
  <ScaleCrop>false</ScaleCrop>
  <HeadingPairs>
    <vt:vector size="2" baseType="variant">
      <vt:variant>
        <vt:lpstr>Title</vt:lpstr>
      </vt:variant>
      <vt:variant>
        <vt:i4>1</vt:i4>
      </vt:variant>
    </vt:vector>
  </HeadingPairs>
  <TitlesOfParts>
    <vt:vector size="1" baseType="lpstr">
      <vt:lpstr>Communicable Diseases Intelligence 2019 - Influenza vaccination coverage in a population-based cohort of Australian-born Aboriginal and non-Indigenous older adults</vt:lpstr>
    </vt:vector>
  </TitlesOfParts>
  <Company>Australian Government, Department of Health</Company>
  <LinksUpToDate>false</LinksUpToDate>
  <CharactersWithSpaces>43148</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2019 - Influenza vaccination coverage in a population-based cohort of Australian-born Aboriginal and non-Indigenous older adults</dc:title>
  <dc:subject>Data from the 45 and Up Study, a large cohort of adults aged &gt;45 years, was used to compare influenza vaccination coverage in Aboriginal and/or Torres Strait Islander adults with coverage in non-Indigenous adults. We found self-reported influenza vaccine coverage in Aboriginal adults &gt;65 years was not significantly different to non-Indigenous adults whereas in those &lt;65 years, coverage was higher among Aboriginal adults.</dc:subject>
  <dc:creator>Amalie Dyda;Surendra Karki;Marlene Kong;Heather F Gidding;John M Kaldor;Peter McIntyre;Emily Banks;C Raina MacIntyre;Bette Liu</dc:creator>
  <cp:keywords>; Aboriginal; Vaccination; Influenza; Coverage</cp:keywords>
  <dc:description>© Commonwealth of Australia CC BY-NC-ND ISSN: 2209-6051 (Online)</dc:description>
  <cp:lastPrinted>2018-05-10T02:19:00Z</cp:lastPrinted>
  <dcterms:created xsi:type="dcterms:W3CDTF">2024-08-27T07:40:00Z</dcterms:created>
  <dcterms:modified xsi:type="dcterms:W3CDTF">2024-08-27T07:40:00Z</dcterms:modified>
  <cp:category>Original article</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2019</vt:lpwstr>
  </property>
  <property fmtid="{D5CDD505-2E9C-101B-9397-08002B2CF9AE}" pid="3" name="Vol">
    <vt:i4>43</vt:i4>
  </property>
  <property fmtid="{D5CDD505-2E9C-101B-9397-08002B2CF9AE}" pid="4" name="ePubDate">
    <vt:lpwstr>15/07/2019</vt:lpwstr>
  </property>
  <property fmtid="{D5CDD505-2E9C-101B-9397-08002B2CF9AE}" pid="5" name="DOI">
    <vt:lpwstr>https://doi.org/10.33321/cdi.2019.43.30</vt:lpwstr>
  </property>
</Properties>
</file>