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1979" w14:textId="77777777" w:rsidR="00B3234C" w:rsidRDefault="00B3234C" w:rsidP="00B3234C">
      <w:pPr>
        <w:pStyle w:val="Title"/>
        <w:rPr>
          <w:rFonts w:eastAsia="Times New Roman"/>
          <w:sz w:val="48"/>
          <w:szCs w:val="48"/>
        </w:rPr>
      </w:pPr>
      <w:r>
        <w:rPr>
          <w:rFonts w:eastAsia="Times New Roman"/>
        </w:rPr>
        <w:t xml:space="preserve">Gonorrhoea enhanced surveillance for indigenous status and risk factors in the south-eastern Sydney population </w:t>
      </w:r>
    </w:p>
    <w:p w14:paraId="5B5B051B" w14:textId="77777777" w:rsidR="00B3234C" w:rsidRDefault="00B3234C" w:rsidP="00B3234C">
      <w:r>
        <w:t xml:space="preserve">Mark J Ferson, Kelly-Anne Ressler, Alma Nurkic and Paula J Spokes </w:t>
      </w:r>
    </w:p>
    <w:p w14:paraId="4DDFC7F5" w14:textId="77777777" w:rsidR="00B3234C" w:rsidRPr="00B3234C" w:rsidRDefault="00B3234C" w:rsidP="00B3234C">
      <w:pPr>
        <w:pStyle w:val="Heading1"/>
      </w:pPr>
      <w:r w:rsidRPr="00B3234C">
        <w:t xml:space="preserve">Abstract </w:t>
      </w:r>
    </w:p>
    <w:p w14:paraId="1D06D21B" w14:textId="77777777" w:rsidR="00B3234C" w:rsidRDefault="00B3234C" w:rsidP="00920343">
      <w:r>
        <w:t xml:space="preserve">Background: Gonorrhoea incidence is increasing in the Australian population. As a laboratory notifiable disease in NSW, information is not routinely available on indigenous status, sexual preference or other risk factors for infection. We conducted a 12-month pilot of enhanced surveillance in south-eastern Sydney in order to assess the feasibility of gathering this additional information. </w:t>
      </w:r>
    </w:p>
    <w:p w14:paraId="29B70FF4" w14:textId="77777777" w:rsidR="00B3234C" w:rsidRDefault="00B3234C" w:rsidP="00920343">
      <w:r>
        <w:t xml:space="preserve">Methods: For each notification in a south-eastern Sydney resident with a 2013 specimen date, we sent a letter and questionnaire to the requesting doctor seeking additional demographic and risk factor information. </w:t>
      </w:r>
    </w:p>
    <w:p w14:paraId="6EEBDBAE" w14:textId="77777777" w:rsidR="00B3234C" w:rsidRDefault="00B3234C" w:rsidP="00920343">
      <w:r>
        <w:t xml:space="preserve">Results: Of 1,341 questionnaires sent, 1,073 (79.5%) were returned, and men comprised 947 (88.3%). Indigenous status was provided for 1,009 (94.1%) cases, with seven (0.7%) identified as Aboriginal or Torres Strait Islander. Most men (83%) but a minority of women (19%) had same sex partners (p&lt;0.001). Whilst 70% of men reported acquisition from a casual partner, only 46% of women thought they had acquired infection from a casual partner. </w:t>
      </w:r>
    </w:p>
    <w:p w14:paraId="69578C75" w14:textId="77777777" w:rsidR="00B3234C" w:rsidRDefault="00B3234C" w:rsidP="00920343">
      <w:r>
        <w:t xml:space="preserve">Conclusions: The high response rate and completeness of indigenous status were strong features of this enhanced surveillance pilot which also provided valuable information on sexual preference and other risk factors for infection. However, gathering of this information was very labour intensive for both clinical and public health staff. </w:t>
      </w:r>
    </w:p>
    <w:p w14:paraId="5EB45438" w14:textId="77777777" w:rsidR="00B3234C" w:rsidRDefault="00B3234C" w:rsidP="00920343">
      <w:r>
        <w:t>Keywords: Gonorrhoea, enhanced surveillance, indigenous status, risk factors, evaluation, men who have sex with men, sex workers</w:t>
      </w:r>
    </w:p>
    <w:p w14:paraId="470FE1E1" w14:textId="77777777" w:rsidR="00B3234C" w:rsidRPr="00920343" w:rsidRDefault="00B3234C" w:rsidP="00920343">
      <w:pPr>
        <w:pStyle w:val="Heading1"/>
      </w:pPr>
      <w:r w:rsidRPr="00920343">
        <w:t xml:space="preserve">Introduction </w:t>
      </w:r>
    </w:p>
    <w:p w14:paraId="4759400B" w14:textId="77777777" w:rsidR="00B3234C" w:rsidRDefault="00B3234C" w:rsidP="00920343">
      <w:r>
        <w:t>In Australia, after a period of stability, overall gonorrhoea notification rates have shown a striking increase since 2010, and where specific risk-factor data is available, it is evident that men who have sex with men (MSM) and remote Aboriginal communities have been disproportionately affected.</w:t>
      </w:r>
      <w:r>
        <w:rPr>
          <w:vertAlign w:val="superscript"/>
        </w:rPr>
        <w:t>1</w:t>
      </w:r>
      <w:r>
        <w:t xml:space="preserve"> In New South Wales (NSW) notification rates also increased markedly in this period, primarily in men.</w:t>
      </w:r>
      <w:r>
        <w:rPr>
          <w:vertAlign w:val="superscript"/>
        </w:rPr>
        <w:t>1</w:t>
      </w:r>
      <w:r>
        <w:t xml:space="preserve"> However, as gonorrhoea is notifiable only by laboratories, and there has not been a standard requirement in NSW for public health follow up of cases, Indigenous status and risk factors for infection are not routinely available. </w:t>
      </w:r>
    </w:p>
    <w:p w14:paraId="45FAAE87" w14:textId="77777777" w:rsidR="00B3234C" w:rsidRDefault="00B3234C" w:rsidP="00920343">
      <w:r>
        <w:t>In south-eastern Sydney, which has the highest concentration of households based around same-sex male couples of all Australian cities,</w:t>
      </w:r>
      <w:r>
        <w:rPr>
          <w:vertAlign w:val="superscript"/>
        </w:rPr>
        <w:t>2</w:t>
      </w:r>
      <w:r>
        <w:t xml:space="preserve"> most gonorrhoea notifications are in male residents who also suffer a high reinfection rate.</w:t>
      </w:r>
      <w:r>
        <w:rPr>
          <w:vertAlign w:val="superscript"/>
        </w:rPr>
        <w:t>3</w:t>
      </w:r>
      <w:r>
        <w:t xml:space="preserve"> The marked increase in gonorrhoea notifications, the impetus provided by the Third National Sexually Transmissible Infections Strategy to better understand the epidemiology of gonorrhoea,</w:t>
      </w:r>
      <w:r>
        <w:rPr>
          <w:vertAlign w:val="superscript"/>
        </w:rPr>
        <w:t>4</w:t>
      </w:r>
      <w:r>
        <w:t xml:space="preserve"> and a lack of data that prevented a more complete picture of the infection, prompted this pilot of enhanced gonorrhoea surveillance in south-eastern Sydney. If the pilot were deemed successful, it was proposed to initiate enhanced gonorrhoea surveillance across NSW as done in other Australian states.</w:t>
      </w:r>
      <w:r>
        <w:rPr>
          <w:vertAlign w:val="superscript"/>
        </w:rPr>
        <w:t>5,</w:t>
      </w:r>
      <w:proofErr w:type="gramStart"/>
      <w:r>
        <w:rPr>
          <w:vertAlign w:val="superscript"/>
        </w:rPr>
        <w:t>6</w:t>
      </w:r>
      <w:proofErr w:type="gramEnd"/>
      <w:r>
        <w:t xml:space="preserve"> </w:t>
      </w:r>
    </w:p>
    <w:p w14:paraId="37EB0366" w14:textId="77777777" w:rsidR="00666CD4" w:rsidRDefault="00666CD4">
      <w:pPr>
        <w:rPr>
          <w:rFonts w:asciiTheme="majorHAnsi" w:eastAsiaTheme="majorEastAsia" w:hAnsiTheme="majorHAnsi" w:cstheme="majorBidi"/>
          <w:b/>
          <w:bCs/>
          <w:sz w:val="32"/>
          <w:szCs w:val="28"/>
        </w:rPr>
      </w:pPr>
      <w:r>
        <w:br w:type="page"/>
      </w:r>
    </w:p>
    <w:p w14:paraId="3D06444A" w14:textId="783582E2" w:rsidR="00B3234C" w:rsidRPr="00920343" w:rsidRDefault="00B3234C" w:rsidP="00920343">
      <w:pPr>
        <w:pStyle w:val="Heading1"/>
      </w:pPr>
      <w:r w:rsidRPr="00920343">
        <w:lastRenderedPageBreak/>
        <w:t xml:space="preserve">Methods </w:t>
      </w:r>
    </w:p>
    <w:p w14:paraId="34769D28" w14:textId="77777777" w:rsidR="00B3234C" w:rsidRDefault="00B3234C" w:rsidP="00920343">
      <w:r>
        <w:t xml:space="preserve">For each gonorrhoea notification in a south-eastern Sydney resident with a specimen date between 1 January and 31 December 2013, a standard letter and questionnaire were sent to the requesting doctor seeking additional information: demographics including indigenous status; date of symptom onset and treatment commencement; place and type of sexual exposure and likely source of infection, number of sexual partners, whether the patient was a sex worker, type of service where the patient was seen and reason for presentation. </w:t>
      </w:r>
    </w:p>
    <w:p w14:paraId="4577CBF1" w14:textId="71AD7F78" w:rsidR="00B3234C" w:rsidRDefault="00B3234C" w:rsidP="00920343">
      <w:r>
        <w:t xml:space="preserve">This information was collected in accordance with section 55 of the </w:t>
      </w:r>
      <w:r w:rsidRPr="00727B81">
        <w:rPr>
          <w:rStyle w:val="Emphasis"/>
          <w:b w:val="0"/>
        </w:rPr>
        <w:t xml:space="preserve">Public Health Act 2010 </w:t>
      </w:r>
      <w:r>
        <w:t xml:space="preserve">(NSW) which authorises a medical practitioner to provide the Secretary of the Ministry of Health with such further information concerning a person’s medical condition and transmission and risk factors as is available following a laboratory notification. The data collected were entered onto the NSW Notifiable Conditions Information Management System (NCIMS) and analysed using </w:t>
      </w:r>
      <w:r w:rsidR="00FD086D">
        <w:t>SPSS v24.0 (2016)</w:t>
      </w:r>
      <w:r>
        <w:t xml:space="preserve">. </w:t>
      </w:r>
    </w:p>
    <w:p w14:paraId="1FD7B02C" w14:textId="77777777" w:rsidR="00B3234C" w:rsidRPr="00920343" w:rsidRDefault="00B3234C" w:rsidP="00920343">
      <w:pPr>
        <w:pStyle w:val="Heading1"/>
      </w:pPr>
      <w:r w:rsidRPr="00920343">
        <w:t xml:space="preserve">Results </w:t>
      </w:r>
    </w:p>
    <w:p w14:paraId="308E56BC" w14:textId="77777777" w:rsidR="00B3234C" w:rsidRDefault="00B3234C" w:rsidP="00920343">
      <w:r>
        <w:t xml:space="preserve">Of 1,341 questionnaires sent out for notifications pertaining to specimen dates between 1 January 2013 and 31 December 2013, 1,073 were returned, a response rate of 79.5%. Men comprised 947 (88.3%) cases, 123 were women (11.5%), and there were three transgender cases. The mean age of men was 33.7 years (range 17–85 </w:t>
      </w:r>
      <w:proofErr w:type="spellStart"/>
      <w:r>
        <w:t>yrs</w:t>
      </w:r>
      <w:proofErr w:type="spellEnd"/>
      <w:r>
        <w:t xml:space="preserve">) and of women was 29.1 years (range 17–56 </w:t>
      </w:r>
      <w:proofErr w:type="spellStart"/>
      <w:r>
        <w:t>yrs</w:t>
      </w:r>
      <w:proofErr w:type="spellEnd"/>
      <w:r>
        <w:t xml:space="preserve">). </w:t>
      </w:r>
    </w:p>
    <w:p w14:paraId="5FA24076" w14:textId="77777777" w:rsidR="00B3234C" w:rsidRDefault="00B3234C" w:rsidP="00920343">
      <w:r>
        <w:t xml:space="preserve">Of the 1,073 cases with a returned questionnaire, seven (0.7%) were identified as Aboriginal or Torres Strait Islander; 1,002 (93.4%) were not Aboriginal or Torres Strait Islander and for 64 (6.0%) the indigenous status was not provided. </w:t>
      </w:r>
    </w:p>
    <w:p w14:paraId="6E8FEAB9" w14:textId="77777777" w:rsidR="00193F13" w:rsidRDefault="00B3234C" w:rsidP="003711EB">
      <w:r>
        <w:t xml:space="preserve">Information on presentation and sexual history is summarised in Table 1. Most patients presented to a sexual health clinic (M, 49%; F, 53%), general practice (M, 22%; F, 38%), or high caseload GP (M, 24%; F, 2.4%). In both men and women, having symptoms was the most common reason the patient initially presented (M, 47%; F, 45%), followed by attendance for screening (M, 41%, F, 36%) and for contact tracing (M, 11%; F, 16%). </w:t>
      </w:r>
    </w:p>
    <w:p w14:paraId="222C9EB7" w14:textId="77777777" w:rsidR="00193F13" w:rsidRDefault="00193F13" w:rsidP="00193F13">
      <w:r>
        <w:br w:type="page"/>
      </w:r>
    </w:p>
    <w:p w14:paraId="24D18E5A" w14:textId="77777777" w:rsidR="00B3234C" w:rsidRDefault="00B3234C" w:rsidP="00920343">
      <w:pPr>
        <w:pStyle w:val="CDIFigures"/>
      </w:pPr>
      <w:r>
        <w:lastRenderedPageBreak/>
        <w:t xml:space="preserve">Table 1. Selected responses from enhanced gonorrhoea questionnaire by </w:t>
      </w:r>
      <w:proofErr w:type="spellStart"/>
      <w:r>
        <w:t>sex</w:t>
      </w:r>
      <w:r w:rsidRPr="00920343">
        <w:rPr>
          <w:vertAlign w:val="superscript"/>
        </w:rPr>
        <w:t>a</w:t>
      </w:r>
      <w:proofErr w:type="spellEnd"/>
      <w:r>
        <w:t xml:space="preserve"> </w:t>
      </w:r>
    </w:p>
    <w:tbl>
      <w:tblPr>
        <w:tblW w:w="0" w:type="auto"/>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CellMar>
          <w:top w:w="57" w:type="dxa"/>
          <w:left w:w="57" w:type="dxa"/>
          <w:bottom w:w="57" w:type="dxa"/>
          <w:right w:w="57" w:type="dxa"/>
        </w:tblCellMar>
        <w:tblLook w:val="04A0" w:firstRow="1" w:lastRow="0" w:firstColumn="1" w:lastColumn="0" w:noHBand="0" w:noVBand="1"/>
        <w:tblDescription w:val="Table 1 provides the frequency and percent for males and females of selected responses to the enhanced questionnaire. This includes the diagnosing facility, the reason for testing, place of acquisition, sexual history, likely source of infection and current sex work. Responses are provided for 123 females and 947 males. "/>
      </w:tblPr>
      <w:tblGrid>
        <w:gridCol w:w="1976"/>
        <w:gridCol w:w="2623"/>
        <w:gridCol w:w="1459"/>
        <w:gridCol w:w="1460"/>
        <w:gridCol w:w="1459"/>
        <w:gridCol w:w="1460"/>
      </w:tblGrid>
      <w:tr w:rsidR="00B3234C" w:rsidRPr="005B122A" w14:paraId="13C6780C" w14:textId="77777777" w:rsidTr="00DA258D">
        <w:trPr>
          <w:tblHeader/>
        </w:trPr>
        <w:tc>
          <w:tcPr>
            <w:tcW w:w="0" w:type="auto"/>
            <w:vAlign w:val="center"/>
            <w:hideMark/>
          </w:tcPr>
          <w:p w14:paraId="164ECB32" w14:textId="77777777" w:rsidR="00B3234C" w:rsidRPr="005B122A" w:rsidRDefault="00B3234C" w:rsidP="00193F13">
            <w:pPr>
              <w:spacing w:after="0" w:line="240" w:lineRule="auto"/>
              <w:rPr>
                <w:rFonts w:cstheme="minorHAnsi"/>
                <w:b/>
                <w:sz w:val="18"/>
                <w:szCs w:val="18"/>
              </w:rPr>
            </w:pPr>
          </w:p>
        </w:tc>
        <w:tc>
          <w:tcPr>
            <w:tcW w:w="0" w:type="auto"/>
            <w:vAlign w:val="center"/>
            <w:hideMark/>
          </w:tcPr>
          <w:p w14:paraId="67D5EEFD" w14:textId="77777777" w:rsidR="00B3234C" w:rsidRPr="005B122A" w:rsidRDefault="00B3234C" w:rsidP="00193F13">
            <w:pPr>
              <w:spacing w:after="0" w:line="240" w:lineRule="auto"/>
              <w:rPr>
                <w:rFonts w:eastAsia="Times New Roman" w:cstheme="minorHAnsi"/>
                <w:b/>
                <w:sz w:val="18"/>
                <w:szCs w:val="18"/>
              </w:rPr>
            </w:pPr>
          </w:p>
        </w:tc>
        <w:tc>
          <w:tcPr>
            <w:tcW w:w="5838" w:type="dxa"/>
            <w:gridSpan w:val="4"/>
            <w:vAlign w:val="center"/>
            <w:hideMark/>
          </w:tcPr>
          <w:p w14:paraId="153E5819" w14:textId="77777777" w:rsidR="00B3234C" w:rsidRPr="005B122A" w:rsidRDefault="00B3234C" w:rsidP="00F8523B">
            <w:pPr>
              <w:spacing w:after="0" w:line="240" w:lineRule="auto"/>
              <w:jc w:val="center"/>
              <w:rPr>
                <w:rFonts w:eastAsia="Times New Roman" w:cstheme="minorHAnsi"/>
                <w:b/>
                <w:sz w:val="18"/>
                <w:szCs w:val="18"/>
              </w:rPr>
            </w:pPr>
            <w:r w:rsidRPr="005B122A">
              <w:rPr>
                <w:rFonts w:eastAsia="Times New Roman" w:cstheme="minorHAnsi"/>
                <w:b/>
                <w:sz w:val="18"/>
                <w:szCs w:val="18"/>
              </w:rPr>
              <w:t>Sex</w:t>
            </w:r>
          </w:p>
        </w:tc>
      </w:tr>
      <w:tr w:rsidR="00B3234C" w:rsidRPr="005B122A" w14:paraId="299EA24C" w14:textId="77777777" w:rsidTr="00DA258D">
        <w:trPr>
          <w:tblHeader/>
        </w:trPr>
        <w:tc>
          <w:tcPr>
            <w:tcW w:w="0" w:type="auto"/>
            <w:vAlign w:val="center"/>
            <w:hideMark/>
          </w:tcPr>
          <w:p w14:paraId="3FF82A58"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2E7D3E79" w14:textId="77777777" w:rsidR="00B3234C" w:rsidRPr="005B122A" w:rsidRDefault="00B3234C" w:rsidP="00193F13">
            <w:pPr>
              <w:spacing w:after="0" w:line="240" w:lineRule="auto"/>
              <w:rPr>
                <w:rFonts w:eastAsia="Times New Roman" w:cstheme="minorHAnsi"/>
                <w:b/>
                <w:sz w:val="18"/>
                <w:szCs w:val="18"/>
              </w:rPr>
            </w:pPr>
          </w:p>
        </w:tc>
        <w:tc>
          <w:tcPr>
            <w:tcW w:w="1459" w:type="dxa"/>
            <w:vAlign w:val="center"/>
            <w:hideMark/>
          </w:tcPr>
          <w:p w14:paraId="15D26CE5" w14:textId="77777777" w:rsidR="00B3234C" w:rsidRPr="005B122A" w:rsidRDefault="00B3234C" w:rsidP="00F8523B">
            <w:pPr>
              <w:spacing w:after="0" w:line="240" w:lineRule="auto"/>
              <w:jc w:val="center"/>
              <w:rPr>
                <w:rFonts w:eastAsia="Times New Roman" w:cstheme="minorHAnsi"/>
                <w:b/>
                <w:sz w:val="18"/>
                <w:szCs w:val="18"/>
              </w:rPr>
            </w:pPr>
            <w:r w:rsidRPr="005B122A">
              <w:rPr>
                <w:rFonts w:eastAsia="Times New Roman" w:cstheme="minorHAnsi"/>
                <w:b/>
                <w:sz w:val="18"/>
                <w:szCs w:val="18"/>
              </w:rPr>
              <w:t>Female</w:t>
            </w:r>
          </w:p>
        </w:tc>
        <w:tc>
          <w:tcPr>
            <w:tcW w:w="1460" w:type="dxa"/>
            <w:vAlign w:val="center"/>
            <w:hideMark/>
          </w:tcPr>
          <w:p w14:paraId="44A844DD" w14:textId="77777777" w:rsidR="00B3234C" w:rsidRPr="005B122A" w:rsidRDefault="00B3234C" w:rsidP="00F8523B">
            <w:pPr>
              <w:spacing w:after="0" w:line="240" w:lineRule="auto"/>
              <w:jc w:val="center"/>
              <w:rPr>
                <w:rFonts w:eastAsia="Times New Roman" w:cstheme="minorHAnsi"/>
                <w:b/>
                <w:sz w:val="18"/>
                <w:szCs w:val="18"/>
              </w:rPr>
            </w:pPr>
          </w:p>
        </w:tc>
        <w:tc>
          <w:tcPr>
            <w:tcW w:w="1459" w:type="dxa"/>
            <w:vAlign w:val="center"/>
            <w:hideMark/>
          </w:tcPr>
          <w:p w14:paraId="0666AA8E" w14:textId="77777777" w:rsidR="00B3234C" w:rsidRPr="005B122A" w:rsidRDefault="00B3234C" w:rsidP="00F8523B">
            <w:pPr>
              <w:spacing w:after="0" w:line="240" w:lineRule="auto"/>
              <w:jc w:val="center"/>
              <w:rPr>
                <w:rFonts w:eastAsia="Times New Roman" w:cstheme="minorHAnsi"/>
                <w:b/>
                <w:sz w:val="18"/>
                <w:szCs w:val="18"/>
              </w:rPr>
            </w:pPr>
            <w:r w:rsidRPr="005B122A">
              <w:rPr>
                <w:rFonts w:eastAsia="Times New Roman" w:cstheme="minorHAnsi"/>
                <w:b/>
                <w:sz w:val="18"/>
                <w:szCs w:val="18"/>
              </w:rPr>
              <w:t>Male</w:t>
            </w:r>
          </w:p>
        </w:tc>
        <w:tc>
          <w:tcPr>
            <w:tcW w:w="1460" w:type="dxa"/>
            <w:vAlign w:val="center"/>
            <w:hideMark/>
          </w:tcPr>
          <w:p w14:paraId="2BA9BC04" w14:textId="77777777" w:rsidR="00B3234C" w:rsidRPr="005B122A" w:rsidRDefault="00B3234C" w:rsidP="00F8523B">
            <w:pPr>
              <w:spacing w:after="0" w:line="240" w:lineRule="auto"/>
              <w:jc w:val="center"/>
              <w:rPr>
                <w:rFonts w:eastAsia="Times New Roman" w:cstheme="minorHAnsi"/>
                <w:b/>
                <w:sz w:val="18"/>
                <w:szCs w:val="18"/>
              </w:rPr>
            </w:pPr>
          </w:p>
        </w:tc>
      </w:tr>
      <w:tr w:rsidR="00B3234C" w:rsidRPr="005B122A" w14:paraId="70CB9A51" w14:textId="77777777" w:rsidTr="00DA258D">
        <w:trPr>
          <w:tblHeader/>
        </w:trPr>
        <w:tc>
          <w:tcPr>
            <w:tcW w:w="0" w:type="auto"/>
            <w:vAlign w:val="center"/>
            <w:hideMark/>
          </w:tcPr>
          <w:p w14:paraId="45C503F8"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32360A13" w14:textId="77777777" w:rsidR="00B3234C" w:rsidRPr="005B122A" w:rsidRDefault="00B3234C" w:rsidP="00193F13">
            <w:pPr>
              <w:spacing w:after="0" w:line="240" w:lineRule="auto"/>
              <w:rPr>
                <w:rFonts w:eastAsia="Times New Roman" w:cstheme="minorHAnsi"/>
                <w:b/>
                <w:sz w:val="18"/>
                <w:szCs w:val="18"/>
              </w:rPr>
            </w:pPr>
          </w:p>
        </w:tc>
        <w:tc>
          <w:tcPr>
            <w:tcW w:w="1459" w:type="dxa"/>
            <w:vAlign w:val="center"/>
            <w:hideMark/>
          </w:tcPr>
          <w:p w14:paraId="5E2D5198" w14:textId="77777777" w:rsidR="00B3234C" w:rsidRPr="005B122A" w:rsidRDefault="00B3234C" w:rsidP="00F8523B">
            <w:pPr>
              <w:spacing w:after="0" w:line="240" w:lineRule="auto"/>
              <w:jc w:val="center"/>
              <w:rPr>
                <w:rFonts w:eastAsia="Times New Roman" w:cstheme="minorHAnsi"/>
                <w:b/>
                <w:sz w:val="18"/>
                <w:szCs w:val="18"/>
              </w:rPr>
            </w:pPr>
            <w:r w:rsidRPr="005B122A">
              <w:rPr>
                <w:rFonts w:eastAsia="Times New Roman" w:cstheme="minorHAnsi"/>
                <w:b/>
                <w:sz w:val="18"/>
                <w:szCs w:val="18"/>
              </w:rPr>
              <w:t>Count</w:t>
            </w:r>
          </w:p>
        </w:tc>
        <w:tc>
          <w:tcPr>
            <w:tcW w:w="1460" w:type="dxa"/>
            <w:vAlign w:val="center"/>
            <w:hideMark/>
          </w:tcPr>
          <w:p w14:paraId="0BA01421" w14:textId="77777777" w:rsidR="00B3234C" w:rsidRPr="005B122A" w:rsidRDefault="00B3234C" w:rsidP="00F8523B">
            <w:pPr>
              <w:spacing w:after="0" w:line="240" w:lineRule="auto"/>
              <w:jc w:val="center"/>
              <w:rPr>
                <w:rFonts w:eastAsia="Times New Roman" w:cstheme="minorHAnsi"/>
                <w:b/>
                <w:sz w:val="18"/>
                <w:szCs w:val="18"/>
              </w:rPr>
            </w:pPr>
            <w:r w:rsidRPr="005B122A">
              <w:rPr>
                <w:rFonts w:eastAsia="Times New Roman" w:cstheme="minorHAnsi"/>
                <w:b/>
                <w:sz w:val="18"/>
                <w:szCs w:val="18"/>
              </w:rPr>
              <w:t>Percent %</w:t>
            </w:r>
          </w:p>
        </w:tc>
        <w:tc>
          <w:tcPr>
            <w:tcW w:w="1459" w:type="dxa"/>
            <w:vAlign w:val="center"/>
            <w:hideMark/>
          </w:tcPr>
          <w:p w14:paraId="1730FCA6" w14:textId="77777777" w:rsidR="00B3234C" w:rsidRPr="005B122A" w:rsidRDefault="00B3234C" w:rsidP="00F8523B">
            <w:pPr>
              <w:spacing w:after="0" w:line="240" w:lineRule="auto"/>
              <w:jc w:val="center"/>
              <w:rPr>
                <w:rFonts w:eastAsia="Times New Roman" w:cstheme="minorHAnsi"/>
                <w:b/>
                <w:sz w:val="18"/>
                <w:szCs w:val="18"/>
              </w:rPr>
            </w:pPr>
            <w:r w:rsidRPr="005B122A">
              <w:rPr>
                <w:rFonts w:eastAsia="Times New Roman" w:cstheme="minorHAnsi"/>
                <w:b/>
                <w:sz w:val="18"/>
                <w:szCs w:val="18"/>
              </w:rPr>
              <w:t>Count</w:t>
            </w:r>
          </w:p>
        </w:tc>
        <w:tc>
          <w:tcPr>
            <w:tcW w:w="1460" w:type="dxa"/>
            <w:vAlign w:val="center"/>
            <w:hideMark/>
          </w:tcPr>
          <w:p w14:paraId="4D592ACB" w14:textId="77777777" w:rsidR="00B3234C" w:rsidRPr="005B122A" w:rsidRDefault="00B3234C" w:rsidP="00F8523B">
            <w:pPr>
              <w:spacing w:after="0" w:line="240" w:lineRule="auto"/>
              <w:jc w:val="center"/>
              <w:rPr>
                <w:rFonts w:eastAsia="Times New Roman" w:cstheme="minorHAnsi"/>
                <w:b/>
                <w:sz w:val="18"/>
                <w:szCs w:val="18"/>
              </w:rPr>
            </w:pPr>
            <w:r w:rsidRPr="005B122A">
              <w:rPr>
                <w:rFonts w:eastAsia="Times New Roman" w:cstheme="minorHAnsi"/>
                <w:b/>
                <w:sz w:val="18"/>
                <w:szCs w:val="18"/>
              </w:rPr>
              <w:t>Percent %</w:t>
            </w:r>
          </w:p>
        </w:tc>
      </w:tr>
      <w:tr w:rsidR="00B3234C" w:rsidRPr="005B122A" w14:paraId="0E6115E5" w14:textId="77777777" w:rsidTr="00DA258D">
        <w:tc>
          <w:tcPr>
            <w:tcW w:w="0" w:type="auto"/>
            <w:vMerge w:val="restart"/>
            <w:vAlign w:val="center"/>
            <w:hideMark/>
          </w:tcPr>
          <w:p w14:paraId="4DEBF6D5" w14:textId="77777777" w:rsidR="00B3234C" w:rsidRPr="005B122A" w:rsidRDefault="00B3234C" w:rsidP="00193F13">
            <w:pPr>
              <w:spacing w:after="0" w:line="240" w:lineRule="auto"/>
              <w:rPr>
                <w:rFonts w:eastAsia="Times New Roman" w:cstheme="minorHAnsi"/>
                <w:b/>
                <w:sz w:val="18"/>
                <w:szCs w:val="18"/>
              </w:rPr>
            </w:pPr>
            <w:r w:rsidRPr="005B122A">
              <w:rPr>
                <w:rFonts w:eastAsia="Times New Roman" w:cstheme="minorHAnsi"/>
                <w:b/>
                <w:sz w:val="18"/>
                <w:szCs w:val="18"/>
              </w:rPr>
              <w:t>Diagnosing facility</w:t>
            </w:r>
          </w:p>
        </w:tc>
        <w:tc>
          <w:tcPr>
            <w:tcW w:w="0" w:type="auto"/>
            <w:vAlign w:val="center"/>
            <w:hideMark/>
          </w:tcPr>
          <w:p w14:paraId="7069284F"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General practice</w:t>
            </w:r>
          </w:p>
        </w:tc>
        <w:tc>
          <w:tcPr>
            <w:tcW w:w="1459" w:type="dxa"/>
            <w:vAlign w:val="center"/>
            <w:hideMark/>
          </w:tcPr>
          <w:p w14:paraId="0D3C643A"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47</w:t>
            </w:r>
          </w:p>
        </w:tc>
        <w:tc>
          <w:tcPr>
            <w:tcW w:w="1460" w:type="dxa"/>
            <w:vAlign w:val="center"/>
            <w:hideMark/>
          </w:tcPr>
          <w:p w14:paraId="60DDAC8E"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38.2%</w:t>
            </w:r>
          </w:p>
        </w:tc>
        <w:tc>
          <w:tcPr>
            <w:tcW w:w="1459" w:type="dxa"/>
            <w:vAlign w:val="center"/>
            <w:hideMark/>
          </w:tcPr>
          <w:p w14:paraId="3331B939"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204</w:t>
            </w:r>
          </w:p>
        </w:tc>
        <w:tc>
          <w:tcPr>
            <w:tcW w:w="1460" w:type="dxa"/>
            <w:vAlign w:val="center"/>
            <w:hideMark/>
          </w:tcPr>
          <w:p w14:paraId="159BA04B"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21.5%</w:t>
            </w:r>
          </w:p>
        </w:tc>
      </w:tr>
      <w:tr w:rsidR="00B3234C" w:rsidRPr="005B122A" w14:paraId="34C94DAA" w14:textId="77777777" w:rsidTr="00DA258D">
        <w:tc>
          <w:tcPr>
            <w:tcW w:w="0" w:type="auto"/>
            <w:vMerge/>
            <w:vAlign w:val="center"/>
            <w:hideMark/>
          </w:tcPr>
          <w:p w14:paraId="3D91B1F5"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1964CD96"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High caseload GP</w:t>
            </w:r>
          </w:p>
        </w:tc>
        <w:tc>
          <w:tcPr>
            <w:tcW w:w="1459" w:type="dxa"/>
            <w:vAlign w:val="center"/>
            <w:hideMark/>
          </w:tcPr>
          <w:p w14:paraId="4B2FB534"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3</w:t>
            </w:r>
          </w:p>
        </w:tc>
        <w:tc>
          <w:tcPr>
            <w:tcW w:w="1460" w:type="dxa"/>
            <w:vAlign w:val="center"/>
            <w:hideMark/>
          </w:tcPr>
          <w:p w14:paraId="00477133"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2.4%</w:t>
            </w:r>
          </w:p>
        </w:tc>
        <w:tc>
          <w:tcPr>
            <w:tcW w:w="1459" w:type="dxa"/>
            <w:vAlign w:val="center"/>
            <w:hideMark/>
          </w:tcPr>
          <w:p w14:paraId="4FCE54D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227</w:t>
            </w:r>
          </w:p>
        </w:tc>
        <w:tc>
          <w:tcPr>
            <w:tcW w:w="1460" w:type="dxa"/>
            <w:vAlign w:val="center"/>
            <w:hideMark/>
          </w:tcPr>
          <w:p w14:paraId="3998C4F9"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24.0%</w:t>
            </w:r>
          </w:p>
        </w:tc>
      </w:tr>
      <w:tr w:rsidR="00B3234C" w:rsidRPr="005B122A" w14:paraId="0CF668B7" w14:textId="77777777" w:rsidTr="00DA258D">
        <w:tc>
          <w:tcPr>
            <w:tcW w:w="0" w:type="auto"/>
            <w:vMerge/>
            <w:vAlign w:val="center"/>
            <w:hideMark/>
          </w:tcPr>
          <w:p w14:paraId="29B537FE"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2831DED2"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Other</w:t>
            </w:r>
          </w:p>
        </w:tc>
        <w:tc>
          <w:tcPr>
            <w:tcW w:w="1459" w:type="dxa"/>
            <w:vAlign w:val="center"/>
            <w:hideMark/>
          </w:tcPr>
          <w:p w14:paraId="1C3DE613"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w:t>
            </w:r>
          </w:p>
        </w:tc>
        <w:tc>
          <w:tcPr>
            <w:tcW w:w="1460" w:type="dxa"/>
            <w:vAlign w:val="center"/>
            <w:hideMark/>
          </w:tcPr>
          <w:p w14:paraId="0DB01AD5"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1.6%</w:t>
            </w:r>
          </w:p>
        </w:tc>
        <w:tc>
          <w:tcPr>
            <w:tcW w:w="1459" w:type="dxa"/>
            <w:vAlign w:val="center"/>
            <w:hideMark/>
          </w:tcPr>
          <w:p w14:paraId="38020C23"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5</w:t>
            </w:r>
          </w:p>
        </w:tc>
        <w:tc>
          <w:tcPr>
            <w:tcW w:w="1460" w:type="dxa"/>
            <w:vAlign w:val="center"/>
            <w:hideMark/>
          </w:tcPr>
          <w:p w14:paraId="41985B6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0.5%</w:t>
            </w:r>
          </w:p>
        </w:tc>
      </w:tr>
      <w:tr w:rsidR="00B3234C" w:rsidRPr="005B122A" w14:paraId="6B411970" w14:textId="77777777" w:rsidTr="00DA258D">
        <w:tc>
          <w:tcPr>
            <w:tcW w:w="0" w:type="auto"/>
            <w:vMerge/>
            <w:vAlign w:val="center"/>
            <w:hideMark/>
          </w:tcPr>
          <w:p w14:paraId="641BEB1A"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1E172E3F"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Private hospital</w:t>
            </w:r>
          </w:p>
        </w:tc>
        <w:tc>
          <w:tcPr>
            <w:tcW w:w="1459" w:type="dxa"/>
            <w:vAlign w:val="center"/>
            <w:hideMark/>
          </w:tcPr>
          <w:p w14:paraId="7A55ECA4"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0</w:t>
            </w:r>
          </w:p>
        </w:tc>
        <w:tc>
          <w:tcPr>
            <w:tcW w:w="1460" w:type="dxa"/>
            <w:vAlign w:val="center"/>
            <w:hideMark/>
          </w:tcPr>
          <w:p w14:paraId="4D6453E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0.0%</w:t>
            </w:r>
          </w:p>
        </w:tc>
        <w:tc>
          <w:tcPr>
            <w:tcW w:w="1459" w:type="dxa"/>
            <w:vAlign w:val="center"/>
            <w:hideMark/>
          </w:tcPr>
          <w:p w14:paraId="1CF3965E"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w:t>
            </w:r>
          </w:p>
        </w:tc>
        <w:tc>
          <w:tcPr>
            <w:tcW w:w="1460" w:type="dxa"/>
            <w:vAlign w:val="center"/>
            <w:hideMark/>
          </w:tcPr>
          <w:p w14:paraId="47DC58A2"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0.2%</w:t>
            </w:r>
          </w:p>
        </w:tc>
      </w:tr>
      <w:tr w:rsidR="00B3234C" w:rsidRPr="005B122A" w14:paraId="5D029428" w14:textId="77777777" w:rsidTr="00DA258D">
        <w:tc>
          <w:tcPr>
            <w:tcW w:w="0" w:type="auto"/>
            <w:vMerge/>
            <w:vAlign w:val="center"/>
            <w:hideMark/>
          </w:tcPr>
          <w:p w14:paraId="3B79CEAE"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4AFABFC1"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Public hospital</w:t>
            </w:r>
          </w:p>
        </w:tc>
        <w:tc>
          <w:tcPr>
            <w:tcW w:w="1459" w:type="dxa"/>
            <w:vAlign w:val="center"/>
            <w:hideMark/>
          </w:tcPr>
          <w:p w14:paraId="109B211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6</w:t>
            </w:r>
          </w:p>
        </w:tc>
        <w:tc>
          <w:tcPr>
            <w:tcW w:w="1460" w:type="dxa"/>
            <w:vAlign w:val="center"/>
            <w:hideMark/>
          </w:tcPr>
          <w:p w14:paraId="2A5117E5"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4.9%</w:t>
            </w:r>
          </w:p>
        </w:tc>
        <w:tc>
          <w:tcPr>
            <w:tcW w:w="1459" w:type="dxa"/>
            <w:vAlign w:val="center"/>
            <w:hideMark/>
          </w:tcPr>
          <w:p w14:paraId="040E69F0"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45</w:t>
            </w:r>
          </w:p>
        </w:tc>
        <w:tc>
          <w:tcPr>
            <w:tcW w:w="1460" w:type="dxa"/>
            <w:vAlign w:val="center"/>
            <w:hideMark/>
          </w:tcPr>
          <w:p w14:paraId="3802C313"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4.8%</w:t>
            </w:r>
          </w:p>
        </w:tc>
      </w:tr>
      <w:tr w:rsidR="00B3234C" w:rsidRPr="005B122A" w14:paraId="522A004E" w14:textId="77777777" w:rsidTr="00DA258D">
        <w:tc>
          <w:tcPr>
            <w:tcW w:w="0" w:type="auto"/>
            <w:vMerge/>
            <w:vAlign w:val="center"/>
            <w:hideMark/>
          </w:tcPr>
          <w:p w14:paraId="46FA9DB8"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178177DC"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Sexual health clinic</w:t>
            </w:r>
          </w:p>
        </w:tc>
        <w:tc>
          <w:tcPr>
            <w:tcW w:w="1459" w:type="dxa"/>
            <w:vAlign w:val="center"/>
            <w:hideMark/>
          </w:tcPr>
          <w:p w14:paraId="5CDFE87F"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65</w:t>
            </w:r>
          </w:p>
        </w:tc>
        <w:tc>
          <w:tcPr>
            <w:tcW w:w="1460" w:type="dxa"/>
            <w:vAlign w:val="center"/>
            <w:hideMark/>
          </w:tcPr>
          <w:p w14:paraId="14E7251C"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52.8%</w:t>
            </w:r>
          </w:p>
        </w:tc>
        <w:tc>
          <w:tcPr>
            <w:tcW w:w="1459" w:type="dxa"/>
            <w:vAlign w:val="center"/>
            <w:hideMark/>
          </w:tcPr>
          <w:p w14:paraId="028755E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464</w:t>
            </w:r>
          </w:p>
        </w:tc>
        <w:tc>
          <w:tcPr>
            <w:tcW w:w="1460" w:type="dxa"/>
            <w:vAlign w:val="center"/>
            <w:hideMark/>
          </w:tcPr>
          <w:p w14:paraId="1CF73146"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49.0%</w:t>
            </w:r>
          </w:p>
        </w:tc>
      </w:tr>
      <w:tr w:rsidR="00B3234C" w:rsidRPr="005B122A" w14:paraId="2494A666" w14:textId="77777777" w:rsidTr="00DA258D">
        <w:tc>
          <w:tcPr>
            <w:tcW w:w="0" w:type="auto"/>
            <w:vMerge w:val="restart"/>
            <w:vAlign w:val="center"/>
            <w:hideMark/>
          </w:tcPr>
          <w:p w14:paraId="305A91D2" w14:textId="77777777" w:rsidR="00B3234C" w:rsidRPr="005B122A" w:rsidRDefault="00B3234C" w:rsidP="00193F13">
            <w:pPr>
              <w:spacing w:after="0" w:line="240" w:lineRule="auto"/>
              <w:rPr>
                <w:rFonts w:eastAsia="Times New Roman" w:cstheme="minorHAnsi"/>
                <w:b/>
                <w:sz w:val="18"/>
                <w:szCs w:val="18"/>
              </w:rPr>
            </w:pPr>
            <w:r w:rsidRPr="005B122A">
              <w:rPr>
                <w:rFonts w:eastAsia="Times New Roman" w:cstheme="minorHAnsi"/>
                <w:b/>
                <w:sz w:val="18"/>
                <w:szCs w:val="18"/>
              </w:rPr>
              <w:t xml:space="preserve">Reason for </w:t>
            </w:r>
            <w:proofErr w:type="spellStart"/>
            <w:r w:rsidRPr="005B122A">
              <w:rPr>
                <w:rFonts w:eastAsia="Times New Roman" w:cstheme="minorHAnsi"/>
                <w:b/>
                <w:sz w:val="18"/>
                <w:szCs w:val="18"/>
              </w:rPr>
              <w:t>test</w:t>
            </w:r>
            <w:r w:rsidRPr="00B07ECB">
              <w:rPr>
                <w:rFonts w:eastAsia="Times New Roman" w:cstheme="minorHAnsi"/>
                <w:b/>
                <w:sz w:val="18"/>
                <w:szCs w:val="18"/>
                <w:vertAlign w:val="superscript"/>
              </w:rPr>
              <w:t>b</w:t>
            </w:r>
            <w:proofErr w:type="spellEnd"/>
          </w:p>
        </w:tc>
        <w:tc>
          <w:tcPr>
            <w:tcW w:w="0" w:type="auto"/>
            <w:vAlign w:val="center"/>
            <w:hideMark/>
          </w:tcPr>
          <w:p w14:paraId="1D98E4D5"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Symptoms</w:t>
            </w:r>
          </w:p>
        </w:tc>
        <w:tc>
          <w:tcPr>
            <w:tcW w:w="1459" w:type="dxa"/>
            <w:vAlign w:val="center"/>
            <w:hideMark/>
          </w:tcPr>
          <w:p w14:paraId="0D8F740F"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55</w:t>
            </w:r>
          </w:p>
        </w:tc>
        <w:tc>
          <w:tcPr>
            <w:tcW w:w="1460" w:type="dxa"/>
            <w:vAlign w:val="center"/>
            <w:hideMark/>
          </w:tcPr>
          <w:p w14:paraId="53640B29"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44.7%</w:t>
            </w:r>
          </w:p>
        </w:tc>
        <w:tc>
          <w:tcPr>
            <w:tcW w:w="1459" w:type="dxa"/>
            <w:vAlign w:val="center"/>
            <w:hideMark/>
          </w:tcPr>
          <w:p w14:paraId="400D0813"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445</w:t>
            </w:r>
          </w:p>
        </w:tc>
        <w:tc>
          <w:tcPr>
            <w:tcW w:w="1460" w:type="dxa"/>
            <w:vAlign w:val="center"/>
            <w:hideMark/>
          </w:tcPr>
          <w:p w14:paraId="4EFB951F"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47.0%</w:t>
            </w:r>
          </w:p>
        </w:tc>
      </w:tr>
      <w:tr w:rsidR="00B3234C" w:rsidRPr="005B122A" w14:paraId="07E4847E" w14:textId="77777777" w:rsidTr="00DA258D">
        <w:tc>
          <w:tcPr>
            <w:tcW w:w="0" w:type="auto"/>
            <w:vMerge/>
            <w:vAlign w:val="center"/>
            <w:hideMark/>
          </w:tcPr>
          <w:p w14:paraId="75C04C40"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6D3A321A"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Screening</w:t>
            </w:r>
          </w:p>
        </w:tc>
        <w:tc>
          <w:tcPr>
            <w:tcW w:w="1459" w:type="dxa"/>
            <w:vAlign w:val="center"/>
            <w:hideMark/>
          </w:tcPr>
          <w:p w14:paraId="6CA0FD36"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44</w:t>
            </w:r>
          </w:p>
        </w:tc>
        <w:tc>
          <w:tcPr>
            <w:tcW w:w="1460" w:type="dxa"/>
            <w:vAlign w:val="center"/>
            <w:hideMark/>
          </w:tcPr>
          <w:p w14:paraId="771F04DD"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35.8%</w:t>
            </w:r>
          </w:p>
        </w:tc>
        <w:tc>
          <w:tcPr>
            <w:tcW w:w="1459" w:type="dxa"/>
            <w:vAlign w:val="center"/>
            <w:hideMark/>
          </w:tcPr>
          <w:p w14:paraId="7C0A830D"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385</w:t>
            </w:r>
          </w:p>
        </w:tc>
        <w:tc>
          <w:tcPr>
            <w:tcW w:w="1460" w:type="dxa"/>
            <w:vAlign w:val="center"/>
            <w:hideMark/>
          </w:tcPr>
          <w:p w14:paraId="3A5271CC"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40.7%</w:t>
            </w:r>
          </w:p>
        </w:tc>
      </w:tr>
      <w:tr w:rsidR="00B3234C" w:rsidRPr="005B122A" w14:paraId="0CEF1C80" w14:textId="77777777" w:rsidTr="00DA258D">
        <w:tc>
          <w:tcPr>
            <w:tcW w:w="0" w:type="auto"/>
            <w:vMerge/>
            <w:vAlign w:val="center"/>
            <w:hideMark/>
          </w:tcPr>
          <w:p w14:paraId="64BB8008"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082B9DD5"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Contact tracing</w:t>
            </w:r>
          </w:p>
        </w:tc>
        <w:tc>
          <w:tcPr>
            <w:tcW w:w="1459" w:type="dxa"/>
            <w:vAlign w:val="center"/>
            <w:hideMark/>
          </w:tcPr>
          <w:p w14:paraId="0C52AF93"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20</w:t>
            </w:r>
          </w:p>
        </w:tc>
        <w:tc>
          <w:tcPr>
            <w:tcW w:w="1460" w:type="dxa"/>
            <w:vAlign w:val="center"/>
            <w:hideMark/>
          </w:tcPr>
          <w:p w14:paraId="5B2660E9"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16.3%</w:t>
            </w:r>
          </w:p>
        </w:tc>
        <w:tc>
          <w:tcPr>
            <w:tcW w:w="1459" w:type="dxa"/>
            <w:vAlign w:val="center"/>
            <w:hideMark/>
          </w:tcPr>
          <w:p w14:paraId="6A60A18F"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103</w:t>
            </w:r>
          </w:p>
        </w:tc>
        <w:tc>
          <w:tcPr>
            <w:tcW w:w="1460" w:type="dxa"/>
            <w:vAlign w:val="center"/>
            <w:hideMark/>
          </w:tcPr>
          <w:p w14:paraId="1822DFC4"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10.9%</w:t>
            </w:r>
          </w:p>
        </w:tc>
      </w:tr>
      <w:tr w:rsidR="00B3234C" w:rsidRPr="005B122A" w14:paraId="14D01EAF" w14:textId="77777777" w:rsidTr="00DA258D">
        <w:tc>
          <w:tcPr>
            <w:tcW w:w="0" w:type="auto"/>
            <w:vMerge w:val="restart"/>
            <w:vAlign w:val="center"/>
            <w:hideMark/>
          </w:tcPr>
          <w:p w14:paraId="4C251A1D" w14:textId="77777777" w:rsidR="00B3234C" w:rsidRPr="005B122A" w:rsidRDefault="00B3234C" w:rsidP="00193F13">
            <w:pPr>
              <w:spacing w:after="0" w:line="240" w:lineRule="auto"/>
              <w:rPr>
                <w:rFonts w:eastAsia="Times New Roman" w:cstheme="minorHAnsi"/>
                <w:b/>
                <w:sz w:val="18"/>
                <w:szCs w:val="18"/>
              </w:rPr>
            </w:pPr>
            <w:r w:rsidRPr="005B122A">
              <w:rPr>
                <w:rFonts w:eastAsia="Times New Roman" w:cstheme="minorHAnsi"/>
                <w:b/>
                <w:sz w:val="18"/>
                <w:szCs w:val="18"/>
              </w:rPr>
              <w:t>Place of acquisition</w:t>
            </w:r>
          </w:p>
        </w:tc>
        <w:tc>
          <w:tcPr>
            <w:tcW w:w="0" w:type="auto"/>
            <w:vAlign w:val="center"/>
            <w:hideMark/>
          </w:tcPr>
          <w:p w14:paraId="4667AC8B"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Acquired in Australia outside NSW</w:t>
            </w:r>
          </w:p>
        </w:tc>
        <w:tc>
          <w:tcPr>
            <w:tcW w:w="1459" w:type="dxa"/>
            <w:vAlign w:val="center"/>
            <w:hideMark/>
          </w:tcPr>
          <w:p w14:paraId="12531A74"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0</w:t>
            </w:r>
          </w:p>
        </w:tc>
        <w:tc>
          <w:tcPr>
            <w:tcW w:w="1460" w:type="dxa"/>
            <w:vAlign w:val="center"/>
            <w:hideMark/>
          </w:tcPr>
          <w:p w14:paraId="192A9255"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0.0%</w:t>
            </w:r>
          </w:p>
        </w:tc>
        <w:tc>
          <w:tcPr>
            <w:tcW w:w="1459" w:type="dxa"/>
            <w:vAlign w:val="center"/>
            <w:hideMark/>
          </w:tcPr>
          <w:p w14:paraId="113C9794"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6</w:t>
            </w:r>
          </w:p>
        </w:tc>
        <w:tc>
          <w:tcPr>
            <w:tcW w:w="1460" w:type="dxa"/>
            <w:vAlign w:val="center"/>
            <w:hideMark/>
          </w:tcPr>
          <w:p w14:paraId="5C8FD44B"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0.6%</w:t>
            </w:r>
          </w:p>
        </w:tc>
      </w:tr>
      <w:tr w:rsidR="00B3234C" w:rsidRPr="005B122A" w14:paraId="6B4E9C84" w14:textId="77777777" w:rsidTr="00DA258D">
        <w:tc>
          <w:tcPr>
            <w:tcW w:w="0" w:type="auto"/>
            <w:vMerge/>
            <w:vAlign w:val="center"/>
            <w:hideMark/>
          </w:tcPr>
          <w:p w14:paraId="0F35E676"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21D6E9E7"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Acquired in NSW</w:t>
            </w:r>
          </w:p>
        </w:tc>
        <w:tc>
          <w:tcPr>
            <w:tcW w:w="1459" w:type="dxa"/>
            <w:vAlign w:val="center"/>
            <w:hideMark/>
          </w:tcPr>
          <w:p w14:paraId="4CD7FCC3"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100</w:t>
            </w:r>
          </w:p>
        </w:tc>
        <w:tc>
          <w:tcPr>
            <w:tcW w:w="1460" w:type="dxa"/>
            <w:vAlign w:val="center"/>
            <w:hideMark/>
          </w:tcPr>
          <w:p w14:paraId="1508A760"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81.3%</w:t>
            </w:r>
          </w:p>
        </w:tc>
        <w:tc>
          <w:tcPr>
            <w:tcW w:w="1459" w:type="dxa"/>
            <w:vAlign w:val="center"/>
            <w:hideMark/>
          </w:tcPr>
          <w:p w14:paraId="0809BBE2"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772</w:t>
            </w:r>
          </w:p>
        </w:tc>
        <w:tc>
          <w:tcPr>
            <w:tcW w:w="1460" w:type="dxa"/>
            <w:vAlign w:val="center"/>
            <w:hideMark/>
          </w:tcPr>
          <w:p w14:paraId="787994CE"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81.5%</w:t>
            </w:r>
          </w:p>
        </w:tc>
      </w:tr>
      <w:tr w:rsidR="00B3234C" w:rsidRPr="005B122A" w14:paraId="6FFD301A" w14:textId="77777777" w:rsidTr="00DA258D">
        <w:tc>
          <w:tcPr>
            <w:tcW w:w="0" w:type="auto"/>
            <w:vMerge/>
            <w:vAlign w:val="center"/>
            <w:hideMark/>
          </w:tcPr>
          <w:p w14:paraId="41D7738E"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0178F551"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Acquired outside Australia</w:t>
            </w:r>
          </w:p>
        </w:tc>
        <w:tc>
          <w:tcPr>
            <w:tcW w:w="1459" w:type="dxa"/>
            <w:vAlign w:val="center"/>
            <w:hideMark/>
          </w:tcPr>
          <w:p w14:paraId="1867D90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7</w:t>
            </w:r>
          </w:p>
        </w:tc>
        <w:tc>
          <w:tcPr>
            <w:tcW w:w="1460" w:type="dxa"/>
            <w:vAlign w:val="center"/>
            <w:hideMark/>
          </w:tcPr>
          <w:p w14:paraId="62FDA8A6"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5.7%</w:t>
            </w:r>
          </w:p>
        </w:tc>
        <w:tc>
          <w:tcPr>
            <w:tcW w:w="1459" w:type="dxa"/>
            <w:vAlign w:val="center"/>
            <w:hideMark/>
          </w:tcPr>
          <w:p w14:paraId="383BDC1B"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52</w:t>
            </w:r>
          </w:p>
        </w:tc>
        <w:tc>
          <w:tcPr>
            <w:tcW w:w="1460" w:type="dxa"/>
            <w:vAlign w:val="center"/>
            <w:hideMark/>
          </w:tcPr>
          <w:p w14:paraId="6B77DA43"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5.5%</w:t>
            </w:r>
          </w:p>
        </w:tc>
      </w:tr>
      <w:tr w:rsidR="00B3234C" w:rsidRPr="005B122A" w14:paraId="4F3BAB60" w14:textId="77777777" w:rsidTr="00DA258D">
        <w:tc>
          <w:tcPr>
            <w:tcW w:w="0" w:type="auto"/>
            <w:vMerge/>
            <w:vAlign w:val="center"/>
            <w:hideMark/>
          </w:tcPr>
          <w:p w14:paraId="5F2B47B6"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1A6AEB1C"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Unknown</w:t>
            </w:r>
          </w:p>
        </w:tc>
        <w:tc>
          <w:tcPr>
            <w:tcW w:w="1459" w:type="dxa"/>
            <w:vAlign w:val="center"/>
            <w:hideMark/>
          </w:tcPr>
          <w:p w14:paraId="12CA4A6C"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16</w:t>
            </w:r>
          </w:p>
        </w:tc>
        <w:tc>
          <w:tcPr>
            <w:tcW w:w="1460" w:type="dxa"/>
            <w:vAlign w:val="center"/>
            <w:hideMark/>
          </w:tcPr>
          <w:p w14:paraId="7595BC04"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13.0%</w:t>
            </w:r>
          </w:p>
        </w:tc>
        <w:tc>
          <w:tcPr>
            <w:tcW w:w="1459" w:type="dxa"/>
            <w:vAlign w:val="center"/>
            <w:hideMark/>
          </w:tcPr>
          <w:p w14:paraId="0C5ADACB"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117</w:t>
            </w:r>
          </w:p>
        </w:tc>
        <w:tc>
          <w:tcPr>
            <w:tcW w:w="1460" w:type="dxa"/>
            <w:vAlign w:val="center"/>
            <w:hideMark/>
          </w:tcPr>
          <w:p w14:paraId="1488629C"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12.4%</w:t>
            </w:r>
          </w:p>
        </w:tc>
      </w:tr>
      <w:tr w:rsidR="00B3234C" w:rsidRPr="005B122A" w14:paraId="144F325F" w14:textId="77777777" w:rsidTr="00DA258D">
        <w:tc>
          <w:tcPr>
            <w:tcW w:w="0" w:type="auto"/>
            <w:vMerge w:val="restart"/>
            <w:vAlign w:val="center"/>
            <w:hideMark/>
          </w:tcPr>
          <w:p w14:paraId="3F2A5E43" w14:textId="77777777" w:rsidR="00B3234C" w:rsidRPr="005B122A" w:rsidRDefault="00B3234C" w:rsidP="00193F13">
            <w:pPr>
              <w:spacing w:after="0" w:line="240" w:lineRule="auto"/>
              <w:rPr>
                <w:rFonts w:eastAsia="Times New Roman" w:cstheme="minorHAnsi"/>
                <w:b/>
                <w:sz w:val="18"/>
                <w:szCs w:val="18"/>
              </w:rPr>
            </w:pPr>
            <w:r w:rsidRPr="005B122A">
              <w:rPr>
                <w:rFonts w:eastAsia="Times New Roman" w:cstheme="minorHAnsi"/>
                <w:b/>
                <w:sz w:val="18"/>
                <w:szCs w:val="18"/>
              </w:rPr>
              <w:t>Sexual history</w:t>
            </w:r>
          </w:p>
        </w:tc>
        <w:tc>
          <w:tcPr>
            <w:tcW w:w="0" w:type="auto"/>
            <w:vAlign w:val="center"/>
            <w:hideMark/>
          </w:tcPr>
          <w:p w14:paraId="576F08C1"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Person(s) of the opposite sex only</w:t>
            </w:r>
          </w:p>
        </w:tc>
        <w:tc>
          <w:tcPr>
            <w:tcW w:w="1459" w:type="dxa"/>
            <w:vAlign w:val="center"/>
            <w:hideMark/>
          </w:tcPr>
          <w:p w14:paraId="59AFBAD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100</w:t>
            </w:r>
          </w:p>
        </w:tc>
        <w:tc>
          <w:tcPr>
            <w:tcW w:w="1460" w:type="dxa"/>
            <w:vAlign w:val="center"/>
            <w:hideMark/>
          </w:tcPr>
          <w:p w14:paraId="459FA512"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81.3%</w:t>
            </w:r>
          </w:p>
        </w:tc>
        <w:tc>
          <w:tcPr>
            <w:tcW w:w="1459" w:type="dxa"/>
            <w:vAlign w:val="center"/>
            <w:hideMark/>
          </w:tcPr>
          <w:p w14:paraId="188C6AA6"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122</w:t>
            </w:r>
          </w:p>
        </w:tc>
        <w:tc>
          <w:tcPr>
            <w:tcW w:w="1460" w:type="dxa"/>
            <w:vAlign w:val="center"/>
            <w:hideMark/>
          </w:tcPr>
          <w:p w14:paraId="5DE4243D"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12.9%</w:t>
            </w:r>
          </w:p>
        </w:tc>
      </w:tr>
      <w:tr w:rsidR="00B3234C" w:rsidRPr="005B122A" w14:paraId="157435EE" w14:textId="77777777" w:rsidTr="00DA258D">
        <w:tc>
          <w:tcPr>
            <w:tcW w:w="0" w:type="auto"/>
            <w:vMerge/>
            <w:vAlign w:val="center"/>
            <w:hideMark/>
          </w:tcPr>
          <w:p w14:paraId="3D4C23CE"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2D065FA4"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Person(s) of the same sex only</w:t>
            </w:r>
          </w:p>
        </w:tc>
        <w:tc>
          <w:tcPr>
            <w:tcW w:w="1459" w:type="dxa"/>
            <w:vAlign w:val="center"/>
            <w:hideMark/>
          </w:tcPr>
          <w:p w14:paraId="688FED3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w:t>
            </w:r>
          </w:p>
        </w:tc>
        <w:tc>
          <w:tcPr>
            <w:tcW w:w="1460" w:type="dxa"/>
            <w:vAlign w:val="center"/>
            <w:hideMark/>
          </w:tcPr>
          <w:p w14:paraId="748B701A"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3.3%</w:t>
            </w:r>
          </w:p>
        </w:tc>
        <w:tc>
          <w:tcPr>
            <w:tcW w:w="1459" w:type="dxa"/>
            <w:vAlign w:val="center"/>
            <w:hideMark/>
          </w:tcPr>
          <w:p w14:paraId="2458869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773</w:t>
            </w:r>
          </w:p>
        </w:tc>
        <w:tc>
          <w:tcPr>
            <w:tcW w:w="1460" w:type="dxa"/>
            <w:vAlign w:val="center"/>
            <w:hideMark/>
          </w:tcPr>
          <w:p w14:paraId="73300D1E"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81.6%</w:t>
            </w:r>
          </w:p>
        </w:tc>
      </w:tr>
      <w:tr w:rsidR="00B3234C" w:rsidRPr="005B122A" w14:paraId="262BB714" w14:textId="77777777" w:rsidTr="00DA258D">
        <w:tc>
          <w:tcPr>
            <w:tcW w:w="0" w:type="auto"/>
            <w:vMerge/>
            <w:vAlign w:val="center"/>
            <w:hideMark/>
          </w:tcPr>
          <w:p w14:paraId="2645B305"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5AF18C33"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Persons of both sexes</w:t>
            </w:r>
          </w:p>
        </w:tc>
        <w:tc>
          <w:tcPr>
            <w:tcW w:w="1459" w:type="dxa"/>
            <w:vAlign w:val="center"/>
            <w:hideMark/>
          </w:tcPr>
          <w:p w14:paraId="7F9C620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5</w:t>
            </w:r>
          </w:p>
        </w:tc>
        <w:tc>
          <w:tcPr>
            <w:tcW w:w="1460" w:type="dxa"/>
            <w:vAlign w:val="center"/>
            <w:hideMark/>
          </w:tcPr>
          <w:p w14:paraId="2D68CCA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4.1%</w:t>
            </w:r>
          </w:p>
        </w:tc>
        <w:tc>
          <w:tcPr>
            <w:tcW w:w="1459" w:type="dxa"/>
            <w:vAlign w:val="center"/>
            <w:hideMark/>
          </w:tcPr>
          <w:p w14:paraId="287F178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14</w:t>
            </w:r>
          </w:p>
        </w:tc>
        <w:tc>
          <w:tcPr>
            <w:tcW w:w="1460" w:type="dxa"/>
            <w:vAlign w:val="center"/>
            <w:hideMark/>
          </w:tcPr>
          <w:p w14:paraId="2EB6641F"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1.5%</w:t>
            </w:r>
          </w:p>
        </w:tc>
      </w:tr>
      <w:tr w:rsidR="00B3234C" w:rsidRPr="005B122A" w14:paraId="1667BAAB" w14:textId="77777777" w:rsidTr="00DA258D">
        <w:tc>
          <w:tcPr>
            <w:tcW w:w="0" w:type="auto"/>
            <w:vMerge/>
            <w:vAlign w:val="center"/>
            <w:hideMark/>
          </w:tcPr>
          <w:p w14:paraId="761B4E7B"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109ECB2F"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Sexual exposure unknown</w:t>
            </w:r>
          </w:p>
        </w:tc>
        <w:tc>
          <w:tcPr>
            <w:tcW w:w="1459" w:type="dxa"/>
            <w:vAlign w:val="center"/>
            <w:hideMark/>
          </w:tcPr>
          <w:p w14:paraId="36E57F59"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14</w:t>
            </w:r>
          </w:p>
        </w:tc>
        <w:tc>
          <w:tcPr>
            <w:tcW w:w="1460" w:type="dxa"/>
            <w:vAlign w:val="center"/>
            <w:hideMark/>
          </w:tcPr>
          <w:p w14:paraId="1D5358CB"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11.4%</w:t>
            </w:r>
          </w:p>
        </w:tc>
        <w:tc>
          <w:tcPr>
            <w:tcW w:w="1459" w:type="dxa"/>
            <w:vAlign w:val="center"/>
            <w:hideMark/>
          </w:tcPr>
          <w:p w14:paraId="218226F5"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38</w:t>
            </w:r>
          </w:p>
        </w:tc>
        <w:tc>
          <w:tcPr>
            <w:tcW w:w="1460" w:type="dxa"/>
            <w:vAlign w:val="center"/>
            <w:hideMark/>
          </w:tcPr>
          <w:p w14:paraId="191D5C39"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4.0%</w:t>
            </w:r>
          </w:p>
        </w:tc>
      </w:tr>
      <w:tr w:rsidR="00B3234C" w:rsidRPr="005B122A" w14:paraId="4DEE3F58" w14:textId="77777777" w:rsidTr="00DA258D">
        <w:tc>
          <w:tcPr>
            <w:tcW w:w="0" w:type="auto"/>
            <w:vMerge w:val="restart"/>
            <w:vAlign w:val="center"/>
            <w:hideMark/>
          </w:tcPr>
          <w:p w14:paraId="2471024C" w14:textId="77777777" w:rsidR="00B3234C" w:rsidRPr="005B122A" w:rsidRDefault="00B3234C" w:rsidP="00193F13">
            <w:pPr>
              <w:spacing w:after="0" w:line="240" w:lineRule="auto"/>
              <w:rPr>
                <w:rFonts w:eastAsia="Times New Roman" w:cstheme="minorHAnsi"/>
                <w:b/>
                <w:sz w:val="18"/>
                <w:szCs w:val="18"/>
              </w:rPr>
            </w:pPr>
            <w:r w:rsidRPr="005B122A">
              <w:rPr>
                <w:rFonts w:eastAsia="Times New Roman" w:cstheme="minorHAnsi"/>
                <w:b/>
                <w:sz w:val="18"/>
                <w:szCs w:val="18"/>
              </w:rPr>
              <w:t>Likely source of infection</w:t>
            </w:r>
          </w:p>
        </w:tc>
        <w:tc>
          <w:tcPr>
            <w:tcW w:w="0" w:type="auto"/>
            <w:vAlign w:val="center"/>
            <w:hideMark/>
          </w:tcPr>
          <w:p w14:paraId="1E71DEB9"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Casual partner</w:t>
            </w:r>
          </w:p>
        </w:tc>
        <w:tc>
          <w:tcPr>
            <w:tcW w:w="1459" w:type="dxa"/>
            <w:vAlign w:val="center"/>
            <w:hideMark/>
          </w:tcPr>
          <w:p w14:paraId="117A332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56</w:t>
            </w:r>
          </w:p>
        </w:tc>
        <w:tc>
          <w:tcPr>
            <w:tcW w:w="1460" w:type="dxa"/>
            <w:vAlign w:val="center"/>
            <w:hideMark/>
          </w:tcPr>
          <w:p w14:paraId="18083D40"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45.5%</w:t>
            </w:r>
          </w:p>
        </w:tc>
        <w:tc>
          <w:tcPr>
            <w:tcW w:w="1459" w:type="dxa"/>
            <w:vAlign w:val="center"/>
            <w:hideMark/>
          </w:tcPr>
          <w:p w14:paraId="0F2285F0"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666</w:t>
            </w:r>
          </w:p>
        </w:tc>
        <w:tc>
          <w:tcPr>
            <w:tcW w:w="1460" w:type="dxa"/>
            <w:vAlign w:val="center"/>
            <w:hideMark/>
          </w:tcPr>
          <w:p w14:paraId="3A78F8D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70.3%</w:t>
            </w:r>
          </w:p>
        </w:tc>
      </w:tr>
      <w:tr w:rsidR="00B3234C" w:rsidRPr="005B122A" w14:paraId="3EC85E05" w14:textId="77777777" w:rsidTr="00DA258D">
        <w:tc>
          <w:tcPr>
            <w:tcW w:w="0" w:type="auto"/>
            <w:vMerge/>
            <w:vAlign w:val="center"/>
            <w:hideMark/>
          </w:tcPr>
          <w:p w14:paraId="4800EF81"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66F10E37"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Man who has had sex with men</w:t>
            </w:r>
          </w:p>
        </w:tc>
        <w:tc>
          <w:tcPr>
            <w:tcW w:w="1459" w:type="dxa"/>
            <w:vAlign w:val="center"/>
            <w:hideMark/>
          </w:tcPr>
          <w:p w14:paraId="48BB327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0</w:t>
            </w:r>
          </w:p>
        </w:tc>
        <w:tc>
          <w:tcPr>
            <w:tcW w:w="1460" w:type="dxa"/>
            <w:vAlign w:val="center"/>
            <w:hideMark/>
          </w:tcPr>
          <w:p w14:paraId="508BDAF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0.0%</w:t>
            </w:r>
          </w:p>
        </w:tc>
        <w:tc>
          <w:tcPr>
            <w:tcW w:w="1459" w:type="dxa"/>
            <w:vAlign w:val="center"/>
            <w:hideMark/>
          </w:tcPr>
          <w:p w14:paraId="205B35FB"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20</w:t>
            </w:r>
          </w:p>
        </w:tc>
        <w:tc>
          <w:tcPr>
            <w:tcW w:w="1460" w:type="dxa"/>
            <w:vAlign w:val="center"/>
            <w:hideMark/>
          </w:tcPr>
          <w:p w14:paraId="66329D45"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2.1%</w:t>
            </w:r>
          </w:p>
        </w:tc>
      </w:tr>
      <w:tr w:rsidR="00B3234C" w:rsidRPr="005B122A" w14:paraId="39BF1A60" w14:textId="77777777" w:rsidTr="00DA258D">
        <w:tc>
          <w:tcPr>
            <w:tcW w:w="0" w:type="auto"/>
            <w:vMerge/>
            <w:vAlign w:val="center"/>
            <w:hideMark/>
          </w:tcPr>
          <w:p w14:paraId="27CBCC9F"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5075AB54"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Partner from overseas</w:t>
            </w:r>
          </w:p>
        </w:tc>
        <w:tc>
          <w:tcPr>
            <w:tcW w:w="1459" w:type="dxa"/>
            <w:vAlign w:val="center"/>
            <w:hideMark/>
          </w:tcPr>
          <w:p w14:paraId="4D3A9EDD"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w:t>
            </w:r>
          </w:p>
        </w:tc>
        <w:tc>
          <w:tcPr>
            <w:tcW w:w="1460" w:type="dxa"/>
            <w:vAlign w:val="center"/>
            <w:hideMark/>
          </w:tcPr>
          <w:p w14:paraId="5CED6CF5"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1.6%</w:t>
            </w:r>
          </w:p>
        </w:tc>
        <w:tc>
          <w:tcPr>
            <w:tcW w:w="1459" w:type="dxa"/>
            <w:vAlign w:val="center"/>
            <w:hideMark/>
          </w:tcPr>
          <w:p w14:paraId="1B79E9B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17</w:t>
            </w:r>
          </w:p>
        </w:tc>
        <w:tc>
          <w:tcPr>
            <w:tcW w:w="1460" w:type="dxa"/>
            <w:vAlign w:val="center"/>
            <w:hideMark/>
          </w:tcPr>
          <w:p w14:paraId="2F06FA5A"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1.8%</w:t>
            </w:r>
          </w:p>
        </w:tc>
      </w:tr>
      <w:tr w:rsidR="00B3234C" w:rsidRPr="005B122A" w14:paraId="5F10FD0C" w14:textId="77777777" w:rsidTr="00DA258D">
        <w:tc>
          <w:tcPr>
            <w:tcW w:w="0" w:type="auto"/>
            <w:vMerge/>
            <w:vAlign w:val="center"/>
            <w:hideMark/>
          </w:tcPr>
          <w:p w14:paraId="736399E2"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4F13581B"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Regular partner</w:t>
            </w:r>
          </w:p>
        </w:tc>
        <w:tc>
          <w:tcPr>
            <w:tcW w:w="1459" w:type="dxa"/>
            <w:vAlign w:val="center"/>
            <w:hideMark/>
          </w:tcPr>
          <w:p w14:paraId="3427D7F4"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42</w:t>
            </w:r>
          </w:p>
        </w:tc>
        <w:tc>
          <w:tcPr>
            <w:tcW w:w="1460" w:type="dxa"/>
            <w:vAlign w:val="center"/>
            <w:hideMark/>
          </w:tcPr>
          <w:p w14:paraId="779484CD"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34.1%</w:t>
            </w:r>
          </w:p>
        </w:tc>
        <w:tc>
          <w:tcPr>
            <w:tcW w:w="1459" w:type="dxa"/>
            <w:vAlign w:val="center"/>
            <w:hideMark/>
          </w:tcPr>
          <w:p w14:paraId="17B7B286"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122</w:t>
            </w:r>
          </w:p>
        </w:tc>
        <w:tc>
          <w:tcPr>
            <w:tcW w:w="1460" w:type="dxa"/>
            <w:vAlign w:val="center"/>
            <w:hideMark/>
          </w:tcPr>
          <w:p w14:paraId="7D48708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12.9%</w:t>
            </w:r>
          </w:p>
        </w:tc>
      </w:tr>
      <w:tr w:rsidR="00B3234C" w:rsidRPr="005B122A" w14:paraId="48D89007" w14:textId="77777777" w:rsidTr="00DA258D">
        <w:tc>
          <w:tcPr>
            <w:tcW w:w="0" w:type="auto"/>
            <w:vMerge/>
            <w:vAlign w:val="center"/>
            <w:hideMark/>
          </w:tcPr>
          <w:p w14:paraId="29C89CB0"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102FD1EC"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Unknown</w:t>
            </w:r>
          </w:p>
        </w:tc>
        <w:tc>
          <w:tcPr>
            <w:tcW w:w="1459" w:type="dxa"/>
            <w:vAlign w:val="center"/>
            <w:hideMark/>
          </w:tcPr>
          <w:p w14:paraId="1595173D"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23</w:t>
            </w:r>
          </w:p>
        </w:tc>
        <w:tc>
          <w:tcPr>
            <w:tcW w:w="1460" w:type="dxa"/>
            <w:vAlign w:val="center"/>
            <w:hideMark/>
          </w:tcPr>
          <w:p w14:paraId="13A94419"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18.7%</w:t>
            </w:r>
          </w:p>
        </w:tc>
        <w:tc>
          <w:tcPr>
            <w:tcW w:w="1459" w:type="dxa"/>
            <w:vAlign w:val="center"/>
            <w:hideMark/>
          </w:tcPr>
          <w:p w14:paraId="5FA62AC1"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122</w:t>
            </w:r>
          </w:p>
        </w:tc>
        <w:tc>
          <w:tcPr>
            <w:tcW w:w="1460" w:type="dxa"/>
            <w:vAlign w:val="center"/>
            <w:hideMark/>
          </w:tcPr>
          <w:p w14:paraId="04C30662"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12.9%</w:t>
            </w:r>
          </w:p>
        </w:tc>
      </w:tr>
      <w:tr w:rsidR="00B3234C" w:rsidRPr="005B122A" w14:paraId="4B9DCB1F" w14:textId="77777777" w:rsidTr="00DA258D">
        <w:tc>
          <w:tcPr>
            <w:tcW w:w="0" w:type="auto"/>
            <w:vMerge w:val="restart"/>
            <w:vAlign w:val="center"/>
            <w:hideMark/>
          </w:tcPr>
          <w:p w14:paraId="371A3FC0" w14:textId="77777777" w:rsidR="00B3234C" w:rsidRPr="005B122A" w:rsidRDefault="00B3234C" w:rsidP="00193F13">
            <w:pPr>
              <w:spacing w:after="0" w:line="240" w:lineRule="auto"/>
              <w:rPr>
                <w:rFonts w:eastAsia="Times New Roman" w:cstheme="minorHAnsi"/>
                <w:b/>
                <w:sz w:val="18"/>
                <w:szCs w:val="18"/>
              </w:rPr>
            </w:pPr>
            <w:r w:rsidRPr="005B122A">
              <w:rPr>
                <w:rFonts w:eastAsia="Times New Roman" w:cstheme="minorHAnsi"/>
                <w:b/>
                <w:sz w:val="18"/>
                <w:szCs w:val="18"/>
              </w:rPr>
              <w:t>Current sex work</w:t>
            </w:r>
          </w:p>
        </w:tc>
        <w:tc>
          <w:tcPr>
            <w:tcW w:w="0" w:type="auto"/>
            <w:vAlign w:val="center"/>
            <w:hideMark/>
          </w:tcPr>
          <w:p w14:paraId="050C6F1D"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No</w:t>
            </w:r>
          </w:p>
        </w:tc>
        <w:tc>
          <w:tcPr>
            <w:tcW w:w="1459" w:type="dxa"/>
            <w:vAlign w:val="center"/>
            <w:hideMark/>
          </w:tcPr>
          <w:p w14:paraId="490F4E2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59</w:t>
            </w:r>
          </w:p>
        </w:tc>
        <w:tc>
          <w:tcPr>
            <w:tcW w:w="1460" w:type="dxa"/>
            <w:vAlign w:val="center"/>
            <w:hideMark/>
          </w:tcPr>
          <w:p w14:paraId="6B3604DC"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48.0%</w:t>
            </w:r>
          </w:p>
        </w:tc>
        <w:tc>
          <w:tcPr>
            <w:tcW w:w="1459" w:type="dxa"/>
            <w:vAlign w:val="center"/>
            <w:hideMark/>
          </w:tcPr>
          <w:p w14:paraId="12654BD5"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826</w:t>
            </w:r>
          </w:p>
        </w:tc>
        <w:tc>
          <w:tcPr>
            <w:tcW w:w="1460" w:type="dxa"/>
            <w:vAlign w:val="center"/>
            <w:hideMark/>
          </w:tcPr>
          <w:p w14:paraId="531AF109"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87.2%</w:t>
            </w:r>
          </w:p>
        </w:tc>
      </w:tr>
      <w:tr w:rsidR="00B3234C" w:rsidRPr="005B122A" w14:paraId="6029DF66" w14:textId="77777777" w:rsidTr="00DA258D">
        <w:tc>
          <w:tcPr>
            <w:tcW w:w="0" w:type="auto"/>
            <w:vMerge/>
            <w:vAlign w:val="center"/>
            <w:hideMark/>
          </w:tcPr>
          <w:p w14:paraId="7F8650D4"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5ED7DCC9"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Unknown</w:t>
            </w:r>
          </w:p>
        </w:tc>
        <w:tc>
          <w:tcPr>
            <w:tcW w:w="1459" w:type="dxa"/>
            <w:vAlign w:val="center"/>
            <w:hideMark/>
          </w:tcPr>
          <w:p w14:paraId="1A3DE9F5"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18</w:t>
            </w:r>
          </w:p>
        </w:tc>
        <w:tc>
          <w:tcPr>
            <w:tcW w:w="1460" w:type="dxa"/>
            <w:vAlign w:val="center"/>
            <w:hideMark/>
          </w:tcPr>
          <w:p w14:paraId="544514CC"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14.6%</w:t>
            </w:r>
          </w:p>
        </w:tc>
        <w:tc>
          <w:tcPr>
            <w:tcW w:w="1459" w:type="dxa"/>
            <w:vAlign w:val="center"/>
            <w:hideMark/>
          </w:tcPr>
          <w:p w14:paraId="793BCA2C"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92</w:t>
            </w:r>
          </w:p>
        </w:tc>
        <w:tc>
          <w:tcPr>
            <w:tcW w:w="1460" w:type="dxa"/>
            <w:vAlign w:val="center"/>
            <w:hideMark/>
          </w:tcPr>
          <w:p w14:paraId="05C7E1B0"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9.7%</w:t>
            </w:r>
          </w:p>
        </w:tc>
      </w:tr>
      <w:tr w:rsidR="00B3234C" w:rsidRPr="005B122A" w14:paraId="77EE14B8" w14:textId="77777777" w:rsidTr="00DA258D">
        <w:tc>
          <w:tcPr>
            <w:tcW w:w="0" w:type="auto"/>
            <w:vMerge/>
            <w:vAlign w:val="center"/>
            <w:hideMark/>
          </w:tcPr>
          <w:p w14:paraId="416C2A51" w14:textId="77777777" w:rsidR="00B3234C" w:rsidRPr="005B122A" w:rsidRDefault="00B3234C" w:rsidP="00193F13">
            <w:pPr>
              <w:spacing w:after="0" w:line="240" w:lineRule="auto"/>
              <w:rPr>
                <w:rFonts w:eastAsia="Times New Roman" w:cstheme="minorHAnsi"/>
                <w:b/>
                <w:sz w:val="18"/>
                <w:szCs w:val="18"/>
              </w:rPr>
            </w:pPr>
          </w:p>
        </w:tc>
        <w:tc>
          <w:tcPr>
            <w:tcW w:w="0" w:type="auto"/>
            <w:vAlign w:val="center"/>
            <w:hideMark/>
          </w:tcPr>
          <w:p w14:paraId="6DA02C3B" w14:textId="77777777" w:rsidR="00B3234C" w:rsidRPr="005B122A" w:rsidRDefault="00B3234C" w:rsidP="00193F13">
            <w:pPr>
              <w:spacing w:after="0" w:line="240" w:lineRule="auto"/>
              <w:rPr>
                <w:rFonts w:eastAsia="Times New Roman" w:cstheme="minorHAnsi"/>
                <w:sz w:val="18"/>
                <w:szCs w:val="18"/>
              </w:rPr>
            </w:pPr>
            <w:r w:rsidRPr="005B122A">
              <w:rPr>
                <w:rFonts w:eastAsia="Times New Roman" w:cstheme="minorHAnsi"/>
                <w:sz w:val="18"/>
                <w:szCs w:val="18"/>
              </w:rPr>
              <w:t>Yes</w:t>
            </w:r>
          </w:p>
        </w:tc>
        <w:tc>
          <w:tcPr>
            <w:tcW w:w="1459" w:type="dxa"/>
            <w:vAlign w:val="center"/>
            <w:hideMark/>
          </w:tcPr>
          <w:p w14:paraId="34CDC63A"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46</w:t>
            </w:r>
          </w:p>
        </w:tc>
        <w:tc>
          <w:tcPr>
            <w:tcW w:w="1460" w:type="dxa"/>
            <w:vAlign w:val="center"/>
            <w:hideMark/>
          </w:tcPr>
          <w:p w14:paraId="553A5D09"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37.4%</w:t>
            </w:r>
          </w:p>
        </w:tc>
        <w:tc>
          <w:tcPr>
            <w:tcW w:w="1459" w:type="dxa"/>
            <w:vAlign w:val="center"/>
            <w:hideMark/>
          </w:tcPr>
          <w:p w14:paraId="3B10046D"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29</w:t>
            </w:r>
          </w:p>
        </w:tc>
        <w:tc>
          <w:tcPr>
            <w:tcW w:w="1460" w:type="dxa"/>
            <w:vAlign w:val="center"/>
            <w:hideMark/>
          </w:tcPr>
          <w:p w14:paraId="7086A17C"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3.1%</w:t>
            </w:r>
          </w:p>
        </w:tc>
      </w:tr>
      <w:tr w:rsidR="002A300A" w:rsidRPr="005B122A" w14:paraId="7D84FA05" w14:textId="77777777" w:rsidTr="002A300A">
        <w:tc>
          <w:tcPr>
            <w:tcW w:w="0" w:type="auto"/>
            <w:shd w:val="clear" w:color="auto" w:fill="FDE9D9" w:themeFill="accent6" w:themeFillTint="33"/>
            <w:vAlign w:val="center"/>
            <w:hideMark/>
          </w:tcPr>
          <w:p w14:paraId="039DCEA8" w14:textId="77777777" w:rsidR="00B3234C" w:rsidRPr="005B122A" w:rsidRDefault="00B3234C" w:rsidP="00193F13">
            <w:pPr>
              <w:spacing w:after="0" w:line="240" w:lineRule="auto"/>
              <w:rPr>
                <w:rFonts w:eastAsia="Times New Roman" w:cstheme="minorHAnsi"/>
                <w:b/>
                <w:sz w:val="18"/>
                <w:szCs w:val="18"/>
              </w:rPr>
            </w:pPr>
            <w:r w:rsidRPr="005B122A">
              <w:rPr>
                <w:rFonts w:eastAsia="Times New Roman" w:cstheme="minorHAnsi"/>
                <w:b/>
                <w:sz w:val="18"/>
                <w:szCs w:val="18"/>
              </w:rPr>
              <w:t>Total</w:t>
            </w:r>
          </w:p>
        </w:tc>
        <w:tc>
          <w:tcPr>
            <w:tcW w:w="0" w:type="auto"/>
            <w:shd w:val="clear" w:color="auto" w:fill="FDE9D9" w:themeFill="accent6" w:themeFillTint="33"/>
            <w:vAlign w:val="center"/>
            <w:hideMark/>
          </w:tcPr>
          <w:p w14:paraId="580DC797" w14:textId="77777777" w:rsidR="00B3234C" w:rsidRPr="005B122A" w:rsidRDefault="00B3234C" w:rsidP="00193F13">
            <w:pPr>
              <w:spacing w:after="0" w:line="240" w:lineRule="auto"/>
              <w:rPr>
                <w:rFonts w:eastAsia="Times New Roman" w:cstheme="minorHAnsi"/>
                <w:sz w:val="18"/>
                <w:szCs w:val="18"/>
              </w:rPr>
            </w:pPr>
          </w:p>
        </w:tc>
        <w:tc>
          <w:tcPr>
            <w:tcW w:w="1459" w:type="dxa"/>
            <w:shd w:val="clear" w:color="auto" w:fill="FDE9D9" w:themeFill="accent6" w:themeFillTint="33"/>
            <w:vAlign w:val="center"/>
            <w:hideMark/>
          </w:tcPr>
          <w:p w14:paraId="23AECD6A"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123</w:t>
            </w:r>
          </w:p>
        </w:tc>
        <w:tc>
          <w:tcPr>
            <w:tcW w:w="1460" w:type="dxa"/>
            <w:shd w:val="clear" w:color="auto" w:fill="FDE9D9" w:themeFill="accent6" w:themeFillTint="33"/>
            <w:vAlign w:val="center"/>
            <w:hideMark/>
          </w:tcPr>
          <w:p w14:paraId="040B2205"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100.0%</w:t>
            </w:r>
          </w:p>
        </w:tc>
        <w:tc>
          <w:tcPr>
            <w:tcW w:w="1459" w:type="dxa"/>
            <w:shd w:val="clear" w:color="auto" w:fill="FDE9D9" w:themeFill="accent6" w:themeFillTint="33"/>
            <w:vAlign w:val="center"/>
            <w:hideMark/>
          </w:tcPr>
          <w:p w14:paraId="3A24CA5F"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947</w:t>
            </w:r>
          </w:p>
        </w:tc>
        <w:tc>
          <w:tcPr>
            <w:tcW w:w="1460" w:type="dxa"/>
            <w:shd w:val="clear" w:color="auto" w:fill="FDE9D9" w:themeFill="accent6" w:themeFillTint="33"/>
            <w:vAlign w:val="center"/>
            <w:hideMark/>
          </w:tcPr>
          <w:p w14:paraId="30746CF7" w14:textId="77777777" w:rsidR="00B3234C" w:rsidRPr="005B122A" w:rsidRDefault="00B3234C" w:rsidP="00F8523B">
            <w:pPr>
              <w:spacing w:after="0" w:line="240" w:lineRule="auto"/>
              <w:jc w:val="center"/>
              <w:rPr>
                <w:rFonts w:eastAsia="Times New Roman" w:cstheme="minorHAnsi"/>
                <w:sz w:val="18"/>
                <w:szCs w:val="18"/>
              </w:rPr>
            </w:pPr>
            <w:r w:rsidRPr="005B122A">
              <w:rPr>
                <w:rFonts w:eastAsia="Times New Roman" w:cstheme="minorHAnsi"/>
                <w:sz w:val="18"/>
                <w:szCs w:val="18"/>
              </w:rPr>
              <w:t>100.0%</w:t>
            </w:r>
          </w:p>
        </w:tc>
      </w:tr>
    </w:tbl>
    <w:p w14:paraId="71789E28" w14:textId="77777777" w:rsidR="00B07ECB" w:rsidRDefault="00B3234C" w:rsidP="00582038">
      <w:pPr>
        <w:pStyle w:val="CDIfootnotes"/>
        <w:spacing w:after="0" w:afterAutospacing="0"/>
        <w:rPr>
          <w:rFonts w:eastAsia="Times New Roman"/>
        </w:rPr>
      </w:pPr>
      <w:r>
        <w:rPr>
          <w:rFonts w:eastAsia="Times New Roman"/>
        </w:rPr>
        <w:t>a</w:t>
      </w:r>
      <w:r>
        <w:rPr>
          <w:rFonts w:eastAsia="Times New Roman"/>
        </w:rPr>
        <w:tab/>
      </w:r>
      <w:proofErr w:type="gramStart"/>
      <w:r>
        <w:rPr>
          <w:rFonts w:eastAsia="Times New Roman"/>
        </w:rPr>
        <w:t>responses</w:t>
      </w:r>
      <w:proofErr w:type="gramEnd"/>
      <w:r>
        <w:rPr>
          <w:rFonts w:eastAsia="Times New Roman"/>
        </w:rPr>
        <w:t xml:space="preserve"> from 3 trans</w:t>
      </w:r>
      <w:r w:rsidR="00B07ECB">
        <w:rPr>
          <w:rFonts w:eastAsia="Times New Roman"/>
        </w:rPr>
        <w:t>gender cases have been excluded</w:t>
      </w:r>
    </w:p>
    <w:p w14:paraId="3B58469D" w14:textId="28001894" w:rsidR="00B3234C" w:rsidRDefault="00B3234C" w:rsidP="00582038">
      <w:pPr>
        <w:pStyle w:val="CDIfootnotes"/>
        <w:spacing w:before="0" w:beforeAutospacing="0"/>
        <w:rPr>
          <w:rFonts w:eastAsia="Times New Roman"/>
        </w:rPr>
      </w:pPr>
      <w:r>
        <w:rPr>
          <w:rFonts w:eastAsia="Times New Roman"/>
        </w:rPr>
        <w:t>b</w:t>
      </w:r>
      <w:r>
        <w:rPr>
          <w:rFonts w:eastAsia="Times New Roman"/>
        </w:rPr>
        <w:tab/>
        <w:t xml:space="preserve">Four female (3.3%) and fourteen male (1.5%) participants did not provide a reason for seeking testing </w:t>
      </w:r>
    </w:p>
    <w:p w14:paraId="4499C608" w14:textId="77777777" w:rsidR="00B3234C" w:rsidRDefault="00B3234C" w:rsidP="00920343">
      <w:r>
        <w:t xml:space="preserve">For both men and women, the majority considered their infections to have been acquired in NSW. Most women (81%) had sexual partners of only the opposite sex, whilst most men (83%) had same sex partners (p&lt;0.001). For women, 46% thought they had acquired infection from a casual partner compared to 70% of men reporting acquisition from a casual partner. Current sex work was reported for 46 (37%) women and 29 (3.1%) men (p&lt;0.001). Of the 46 women who reported current sex work, 31 (67.4%) were reported to have acquired their infection from a casual partner, 5 (10.9%) from a regular partner and the source of infection for 10 (21.7%) of sex workers was unknown. This is compared to 33 (55%) of non-sex workers who were reported to have acquired their infection from a regular partner. The number of partners was reported for 508 (48%) of cases (Table 2); men who had sex with men </w:t>
      </w:r>
      <w:r>
        <w:lastRenderedPageBreak/>
        <w:t>were far more likely (86%) to report multiple partners than were heterosexual men (57%) or heterosexual women</w:t>
      </w:r>
      <w:r w:rsidR="00B3619B">
        <w:t> </w:t>
      </w:r>
      <w:r>
        <w:t xml:space="preserve">(36%). </w:t>
      </w:r>
    </w:p>
    <w:p w14:paraId="5A4F084E" w14:textId="77777777" w:rsidR="00B3234C" w:rsidRDefault="00B3234C" w:rsidP="00920343">
      <w:pPr>
        <w:pStyle w:val="CDIFigures"/>
      </w:pPr>
      <w:r>
        <w:t xml:space="preserve">Table 2. Number of sexual partners in last 3 months by sex and sexual history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Description w:val="provides the number of sexual partners in the last three months by sex and sexual history. The number of partners was reported for 48 women and 460 men. 20 women and 374 men had more than one sexual partner. Men who had sex with men were far more likely to report multiple partners than were heterosexual men or heterosexual women."/>
      </w:tblPr>
      <w:tblGrid>
        <w:gridCol w:w="648"/>
        <w:gridCol w:w="4179"/>
        <w:gridCol w:w="1870"/>
        <w:gridCol w:w="1870"/>
        <w:gridCol w:w="1870"/>
      </w:tblGrid>
      <w:tr w:rsidR="0055577A" w:rsidRPr="000D625E" w14:paraId="70CA236B" w14:textId="77777777" w:rsidTr="0055577A">
        <w:trPr>
          <w:tblHeader/>
        </w:trPr>
        <w:tc>
          <w:tcPr>
            <w:tcW w:w="0" w:type="auto"/>
            <w:tcBorders>
              <w:top w:val="nil"/>
              <w:left w:val="nil"/>
              <w:bottom w:val="nil"/>
              <w:right w:val="nil"/>
            </w:tcBorders>
            <w:shd w:val="clear" w:color="auto" w:fill="808080" w:themeFill="background1" w:themeFillShade="80"/>
            <w:vAlign w:val="center"/>
            <w:hideMark/>
          </w:tcPr>
          <w:p w14:paraId="24FE8BA7" w14:textId="77777777" w:rsidR="00B3234C" w:rsidRPr="000D625E" w:rsidRDefault="00B3234C" w:rsidP="00FE244B">
            <w:pPr>
              <w:spacing w:after="0" w:line="240" w:lineRule="auto"/>
              <w:rPr>
                <w:rFonts w:cstheme="minorHAnsi"/>
                <w:b/>
                <w:color w:val="FFFFFF" w:themeColor="background1"/>
                <w:sz w:val="18"/>
                <w:szCs w:val="18"/>
              </w:rPr>
            </w:pPr>
          </w:p>
        </w:tc>
        <w:tc>
          <w:tcPr>
            <w:tcW w:w="4179" w:type="dxa"/>
            <w:tcBorders>
              <w:top w:val="nil"/>
              <w:left w:val="nil"/>
              <w:bottom w:val="nil"/>
              <w:right w:val="nil"/>
            </w:tcBorders>
            <w:shd w:val="clear" w:color="auto" w:fill="808080" w:themeFill="background1" w:themeFillShade="80"/>
            <w:vAlign w:val="center"/>
            <w:hideMark/>
          </w:tcPr>
          <w:p w14:paraId="54404E0C" w14:textId="77777777" w:rsidR="00B3234C" w:rsidRPr="000D625E" w:rsidRDefault="00B3234C" w:rsidP="00FE244B">
            <w:pPr>
              <w:spacing w:after="0" w:line="240" w:lineRule="auto"/>
              <w:rPr>
                <w:rFonts w:eastAsia="Times New Roman" w:cstheme="minorHAnsi"/>
                <w:b/>
                <w:color w:val="FFFFFF" w:themeColor="background1"/>
                <w:sz w:val="18"/>
                <w:szCs w:val="18"/>
              </w:rPr>
            </w:pPr>
          </w:p>
        </w:tc>
        <w:tc>
          <w:tcPr>
            <w:tcW w:w="5610" w:type="dxa"/>
            <w:gridSpan w:val="3"/>
            <w:tcBorders>
              <w:top w:val="nil"/>
              <w:left w:val="nil"/>
              <w:bottom w:val="nil"/>
              <w:right w:val="nil"/>
            </w:tcBorders>
            <w:shd w:val="clear" w:color="auto" w:fill="808080" w:themeFill="background1" w:themeFillShade="80"/>
            <w:vAlign w:val="center"/>
            <w:hideMark/>
          </w:tcPr>
          <w:p w14:paraId="41FF0E08" w14:textId="77777777" w:rsidR="00B3234C" w:rsidRPr="000D625E" w:rsidRDefault="00B3234C" w:rsidP="0055577A">
            <w:pPr>
              <w:spacing w:after="0" w:line="240" w:lineRule="auto"/>
              <w:jc w:val="center"/>
              <w:rPr>
                <w:rFonts w:eastAsia="Times New Roman" w:cstheme="minorHAnsi"/>
                <w:b/>
                <w:color w:val="FFFFFF" w:themeColor="background1"/>
                <w:sz w:val="18"/>
                <w:szCs w:val="18"/>
              </w:rPr>
            </w:pPr>
            <w:r w:rsidRPr="000D625E">
              <w:rPr>
                <w:rFonts w:eastAsia="Times New Roman" w:cstheme="minorHAnsi"/>
                <w:b/>
                <w:color w:val="FFFFFF" w:themeColor="background1"/>
                <w:sz w:val="18"/>
                <w:szCs w:val="18"/>
              </w:rPr>
              <w:t>Reported number of partners</w:t>
            </w:r>
          </w:p>
        </w:tc>
      </w:tr>
      <w:tr w:rsidR="0055577A" w:rsidRPr="000D625E" w14:paraId="076235A9" w14:textId="77777777" w:rsidTr="00D617D0">
        <w:trPr>
          <w:tblHeader/>
        </w:trPr>
        <w:tc>
          <w:tcPr>
            <w:tcW w:w="0" w:type="auto"/>
            <w:tcBorders>
              <w:top w:val="nil"/>
              <w:left w:val="nil"/>
              <w:bottom w:val="nil"/>
              <w:right w:val="nil"/>
            </w:tcBorders>
            <w:shd w:val="clear" w:color="auto" w:fill="808080" w:themeFill="background1" w:themeFillShade="80"/>
            <w:vAlign w:val="center"/>
            <w:hideMark/>
          </w:tcPr>
          <w:p w14:paraId="15BDA9E6" w14:textId="77777777" w:rsidR="00B3234C" w:rsidRPr="000D625E" w:rsidRDefault="00B3234C" w:rsidP="00FE244B">
            <w:pPr>
              <w:spacing w:after="0" w:line="240" w:lineRule="auto"/>
              <w:rPr>
                <w:rFonts w:eastAsia="Times New Roman" w:cstheme="minorHAnsi"/>
                <w:b/>
                <w:color w:val="FFFFFF" w:themeColor="background1"/>
                <w:sz w:val="18"/>
                <w:szCs w:val="18"/>
              </w:rPr>
            </w:pPr>
            <w:r w:rsidRPr="000D625E">
              <w:rPr>
                <w:rFonts w:eastAsia="Times New Roman" w:cstheme="minorHAnsi"/>
                <w:b/>
                <w:color w:val="FFFFFF" w:themeColor="background1"/>
                <w:sz w:val="18"/>
                <w:szCs w:val="18"/>
              </w:rPr>
              <w:t>Sex</w:t>
            </w:r>
          </w:p>
        </w:tc>
        <w:tc>
          <w:tcPr>
            <w:tcW w:w="4179" w:type="dxa"/>
            <w:tcBorders>
              <w:top w:val="nil"/>
              <w:left w:val="nil"/>
              <w:bottom w:val="nil"/>
              <w:right w:val="nil"/>
            </w:tcBorders>
            <w:shd w:val="clear" w:color="auto" w:fill="808080" w:themeFill="background1" w:themeFillShade="80"/>
            <w:vAlign w:val="center"/>
            <w:hideMark/>
          </w:tcPr>
          <w:p w14:paraId="282B90EE" w14:textId="77777777" w:rsidR="00B3234C" w:rsidRPr="000D625E" w:rsidRDefault="00B3234C" w:rsidP="00FE244B">
            <w:pPr>
              <w:spacing w:after="0" w:line="240" w:lineRule="auto"/>
              <w:rPr>
                <w:rFonts w:eastAsia="Times New Roman" w:cstheme="minorHAnsi"/>
                <w:b/>
                <w:color w:val="FFFFFF" w:themeColor="background1"/>
                <w:sz w:val="18"/>
                <w:szCs w:val="18"/>
              </w:rPr>
            </w:pPr>
            <w:r w:rsidRPr="000D625E">
              <w:rPr>
                <w:rFonts w:eastAsia="Times New Roman" w:cstheme="minorHAnsi"/>
                <w:b/>
                <w:color w:val="FFFFFF" w:themeColor="background1"/>
                <w:sz w:val="18"/>
                <w:szCs w:val="18"/>
              </w:rPr>
              <w:t>Sexual history</w:t>
            </w:r>
          </w:p>
        </w:tc>
        <w:tc>
          <w:tcPr>
            <w:tcW w:w="1870" w:type="dxa"/>
            <w:tcBorders>
              <w:top w:val="nil"/>
              <w:left w:val="nil"/>
              <w:bottom w:val="nil"/>
              <w:right w:val="nil"/>
            </w:tcBorders>
            <w:shd w:val="clear" w:color="auto" w:fill="808080" w:themeFill="background1" w:themeFillShade="80"/>
            <w:vAlign w:val="center"/>
            <w:hideMark/>
          </w:tcPr>
          <w:p w14:paraId="2A63D307" w14:textId="77777777" w:rsidR="00B3234C" w:rsidRPr="000D625E" w:rsidRDefault="00B3234C" w:rsidP="0055577A">
            <w:pPr>
              <w:spacing w:after="0" w:line="240" w:lineRule="auto"/>
              <w:jc w:val="center"/>
              <w:rPr>
                <w:rFonts w:eastAsia="Times New Roman" w:cstheme="minorHAnsi"/>
                <w:b/>
                <w:color w:val="FFFFFF" w:themeColor="background1"/>
                <w:sz w:val="18"/>
                <w:szCs w:val="18"/>
              </w:rPr>
            </w:pPr>
            <w:r w:rsidRPr="000D625E">
              <w:rPr>
                <w:rFonts w:eastAsia="Times New Roman" w:cstheme="minorHAnsi"/>
                <w:b/>
                <w:color w:val="FFFFFF" w:themeColor="background1"/>
                <w:sz w:val="18"/>
                <w:szCs w:val="18"/>
              </w:rPr>
              <w:t>1</w:t>
            </w:r>
          </w:p>
        </w:tc>
        <w:tc>
          <w:tcPr>
            <w:tcW w:w="1870" w:type="dxa"/>
            <w:tcBorders>
              <w:top w:val="nil"/>
              <w:left w:val="nil"/>
              <w:bottom w:val="nil"/>
              <w:right w:val="nil"/>
            </w:tcBorders>
            <w:shd w:val="clear" w:color="auto" w:fill="808080" w:themeFill="background1" w:themeFillShade="80"/>
            <w:vAlign w:val="center"/>
            <w:hideMark/>
          </w:tcPr>
          <w:p w14:paraId="52A381D8" w14:textId="77777777" w:rsidR="00B3234C" w:rsidRPr="000D625E" w:rsidRDefault="00B3234C" w:rsidP="0055577A">
            <w:pPr>
              <w:spacing w:after="0" w:line="240" w:lineRule="auto"/>
              <w:jc w:val="center"/>
              <w:rPr>
                <w:rFonts w:eastAsia="Times New Roman" w:cstheme="minorHAnsi"/>
                <w:b/>
                <w:color w:val="FFFFFF" w:themeColor="background1"/>
                <w:sz w:val="18"/>
                <w:szCs w:val="18"/>
              </w:rPr>
            </w:pPr>
            <w:r w:rsidRPr="000D625E">
              <w:rPr>
                <w:rFonts w:eastAsia="Times New Roman" w:cstheme="minorHAnsi"/>
                <w:b/>
                <w:color w:val="FFFFFF" w:themeColor="background1"/>
                <w:sz w:val="18"/>
                <w:szCs w:val="18"/>
              </w:rPr>
              <w:t>&gt;1</w:t>
            </w:r>
          </w:p>
        </w:tc>
        <w:tc>
          <w:tcPr>
            <w:tcW w:w="1870" w:type="dxa"/>
            <w:tcBorders>
              <w:top w:val="nil"/>
              <w:left w:val="nil"/>
              <w:bottom w:val="nil"/>
              <w:right w:val="nil"/>
            </w:tcBorders>
            <w:shd w:val="clear" w:color="auto" w:fill="808080" w:themeFill="background1" w:themeFillShade="80"/>
            <w:vAlign w:val="center"/>
            <w:hideMark/>
          </w:tcPr>
          <w:p w14:paraId="65B90E30" w14:textId="77777777" w:rsidR="00B3234C" w:rsidRPr="000D625E" w:rsidRDefault="00B3234C" w:rsidP="0055577A">
            <w:pPr>
              <w:spacing w:after="0" w:line="240" w:lineRule="auto"/>
              <w:jc w:val="center"/>
              <w:rPr>
                <w:rFonts w:eastAsia="Times New Roman" w:cstheme="minorHAnsi"/>
                <w:b/>
                <w:color w:val="FFFFFF" w:themeColor="background1"/>
                <w:sz w:val="18"/>
                <w:szCs w:val="18"/>
              </w:rPr>
            </w:pPr>
            <w:r w:rsidRPr="000D625E">
              <w:rPr>
                <w:rFonts w:eastAsia="Times New Roman" w:cstheme="minorHAnsi"/>
                <w:b/>
                <w:color w:val="FFFFFF" w:themeColor="background1"/>
                <w:sz w:val="18"/>
                <w:szCs w:val="18"/>
              </w:rPr>
              <w:t>Total</w:t>
            </w:r>
          </w:p>
        </w:tc>
      </w:tr>
      <w:tr w:rsidR="0055577A" w:rsidRPr="000D625E" w14:paraId="43612231" w14:textId="77777777" w:rsidTr="00D617D0">
        <w:tc>
          <w:tcPr>
            <w:tcW w:w="0" w:type="auto"/>
            <w:vMerge w:val="restart"/>
            <w:tcBorders>
              <w:top w:val="nil"/>
              <w:left w:val="nil"/>
              <w:bottom w:val="single" w:sz="2" w:space="0" w:color="000000" w:themeColor="text1"/>
            </w:tcBorders>
            <w:vAlign w:val="center"/>
            <w:hideMark/>
          </w:tcPr>
          <w:p w14:paraId="5DB14F49"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Female</w:t>
            </w:r>
          </w:p>
        </w:tc>
        <w:tc>
          <w:tcPr>
            <w:tcW w:w="4179" w:type="dxa"/>
            <w:tcBorders>
              <w:top w:val="nil"/>
            </w:tcBorders>
            <w:vAlign w:val="center"/>
            <w:hideMark/>
          </w:tcPr>
          <w:p w14:paraId="763B9AE1"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Person(s) of the opposite sex only</w:t>
            </w:r>
          </w:p>
        </w:tc>
        <w:tc>
          <w:tcPr>
            <w:tcW w:w="1870" w:type="dxa"/>
            <w:tcBorders>
              <w:top w:val="nil"/>
            </w:tcBorders>
            <w:vAlign w:val="center"/>
            <w:hideMark/>
          </w:tcPr>
          <w:p w14:paraId="67B19123"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28</w:t>
            </w:r>
          </w:p>
        </w:tc>
        <w:tc>
          <w:tcPr>
            <w:tcW w:w="1870" w:type="dxa"/>
            <w:tcBorders>
              <w:top w:val="nil"/>
            </w:tcBorders>
            <w:vAlign w:val="center"/>
            <w:hideMark/>
          </w:tcPr>
          <w:p w14:paraId="2219DF08"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16</w:t>
            </w:r>
          </w:p>
        </w:tc>
        <w:tc>
          <w:tcPr>
            <w:tcW w:w="1870" w:type="dxa"/>
            <w:tcBorders>
              <w:top w:val="nil"/>
            </w:tcBorders>
            <w:vAlign w:val="center"/>
            <w:hideMark/>
          </w:tcPr>
          <w:p w14:paraId="558DFE49"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44</w:t>
            </w:r>
          </w:p>
        </w:tc>
      </w:tr>
      <w:tr w:rsidR="0055577A" w:rsidRPr="000D625E" w14:paraId="0F7E7100" w14:textId="77777777" w:rsidTr="0055577A">
        <w:tc>
          <w:tcPr>
            <w:tcW w:w="0" w:type="auto"/>
            <w:vMerge/>
            <w:tcBorders>
              <w:top w:val="nil"/>
              <w:left w:val="nil"/>
              <w:bottom w:val="single" w:sz="2" w:space="0" w:color="000000" w:themeColor="text1"/>
            </w:tcBorders>
            <w:vAlign w:val="center"/>
            <w:hideMark/>
          </w:tcPr>
          <w:p w14:paraId="00698C52" w14:textId="77777777" w:rsidR="00B3234C" w:rsidRPr="000D625E" w:rsidRDefault="00B3234C" w:rsidP="00FE244B">
            <w:pPr>
              <w:spacing w:after="0" w:line="240" w:lineRule="auto"/>
              <w:rPr>
                <w:rFonts w:eastAsia="Times New Roman" w:cstheme="minorHAnsi"/>
                <w:sz w:val="18"/>
                <w:szCs w:val="18"/>
              </w:rPr>
            </w:pPr>
          </w:p>
        </w:tc>
        <w:tc>
          <w:tcPr>
            <w:tcW w:w="4179" w:type="dxa"/>
            <w:vAlign w:val="center"/>
            <w:hideMark/>
          </w:tcPr>
          <w:p w14:paraId="6C38C315"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Person(s) of the same sex only</w:t>
            </w:r>
          </w:p>
        </w:tc>
        <w:tc>
          <w:tcPr>
            <w:tcW w:w="1870" w:type="dxa"/>
            <w:vAlign w:val="center"/>
            <w:hideMark/>
          </w:tcPr>
          <w:p w14:paraId="58A0FDA8"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0</w:t>
            </w:r>
          </w:p>
        </w:tc>
        <w:tc>
          <w:tcPr>
            <w:tcW w:w="1870" w:type="dxa"/>
            <w:vAlign w:val="center"/>
            <w:hideMark/>
          </w:tcPr>
          <w:p w14:paraId="332FF604"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2</w:t>
            </w:r>
          </w:p>
        </w:tc>
        <w:tc>
          <w:tcPr>
            <w:tcW w:w="1870" w:type="dxa"/>
            <w:vAlign w:val="center"/>
            <w:hideMark/>
          </w:tcPr>
          <w:p w14:paraId="51FDC514"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2</w:t>
            </w:r>
          </w:p>
        </w:tc>
      </w:tr>
      <w:tr w:rsidR="0055577A" w:rsidRPr="000D625E" w14:paraId="6417513E" w14:textId="77777777" w:rsidTr="0055577A">
        <w:tc>
          <w:tcPr>
            <w:tcW w:w="0" w:type="auto"/>
            <w:vMerge/>
            <w:tcBorders>
              <w:top w:val="nil"/>
              <w:left w:val="nil"/>
              <w:bottom w:val="single" w:sz="2" w:space="0" w:color="000000" w:themeColor="text1"/>
            </w:tcBorders>
            <w:vAlign w:val="center"/>
            <w:hideMark/>
          </w:tcPr>
          <w:p w14:paraId="00C1D396" w14:textId="77777777" w:rsidR="00B3234C" w:rsidRPr="000D625E" w:rsidRDefault="00B3234C" w:rsidP="00FE244B">
            <w:pPr>
              <w:spacing w:after="0" w:line="240" w:lineRule="auto"/>
              <w:rPr>
                <w:rFonts w:eastAsia="Times New Roman" w:cstheme="minorHAnsi"/>
                <w:sz w:val="18"/>
                <w:szCs w:val="18"/>
              </w:rPr>
            </w:pPr>
          </w:p>
        </w:tc>
        <w:tc>
          <w:tcPr>
            <w:tcW w:w="4179" w:type="dxa"/>
            <w:vAlign w:val="center"/>
            <w:hideMark/>
          </w:tcPr>
          <w:p w14:paraId="26DED904"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Persons of both sexes</w:t>
            </w:r>
          </w:p>
        </w:tc>
        <w:tc>
          <w:tcPr>
            <w:tcW w:w="1870" w:type="dxa"/>
            <w:vAlign w:val="center"/>
            <w:hideMark/>
          </w:tcPr>
          <w:p w14:paraId="4E3838C8"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0</w:t>
            </w:r>
          </w:p>
        </w:tc>
        <w:tc>
          <w:tcPr>
            <w:tcW w:w="1870" w:type="dxa"/>
            <w:vAlign w:val="center"/>
            <w:hideMark/>
          </w:tcPr>
          <w:p w14:paraId="5DE73D30"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1</w:t>
            </w:r>
          </w:p>
        </w:tc>
        <w:tc>
          <w:tcPr>
            <w:tcW w:w="1870" w:type="dxa"/>
            <w:vAlign w:val="center"/>
            <w:hideMark/>
          </w:tcPr>
          <w:p w14:paraId="0B234B95"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1</w:t>
            </w:r>
          </w:p>
        </w:tc>
      </w:tr>
      <w:tr w:rsidR="0055577A" w:rsidRPr="000D625E" w14:paraId="45132D69" w14:textId="77777777" w:rsidTr="0055577A">
        <w:tc>
          <w:tcPr>
            <w:tcW w:w="0" w:type="auto"/>
            <w:vMerge/>
            <w:tcBorders>
              <w:top w:val="nil"/>
              <w:left w:val="nil"/>
              <w:bottom w:val="single" w:sz="2" w:space="0" w:color="000000" w:themeColor="text1"/>
            </w:tcBorders>
            <w:vAlign w:val="center"/>
            <w:hideMark/>
          </w:tcPr>
          <w:p w14:paraId="6D94A79D" w14:textId="77777777" w:rsidR="00B3234C" w:rsidRPr="000D625E" w:rsidRDefault="00B3234C" w:rsidP="00FE244B">
            <w:pPr>
              <w:spacing w:after="0" w:line="240" w:lineRule="auto"/>
              <w:rPr>
                <w:rFonts w:eastAsia="Times New Roman" w:cstheme="minorHAnsi"/>
                <w:sz w:val="18"/>
                <w:szCs w:val="18"/>
              </w:rPr>
            </w:pPr>
          </w:p>
        </w:tc>
        <w:tc>
          <w:tcPr>
            <w:tcW w:w="4179" w:type="dxa"/>
            <w:vAlign w:val="center"/>
            <w:hideMark/>
          </w:tcPr>
          <w:p w14:paraId="7AEF280B"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Sexual exposure unknown</w:t>
            </w:r>
          </w:p>
        </w:tc>
        <w:tc>
          <w:tcPr>
            <w:tcW w:w="1870" w:type="dxa"/>
            <w:vAlign w:val="center"/>
            <w:hideMark/>
          </w:tcPr>
          <w:p w14:paraId="43E0317F"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0</w:t>
            </w:r>
          </w:p>
        </w:tc>
        <w:tc>
          <w:tcPr>
            <w:tcW w:w="1870" w:type="dxa"/>
            <w:vAlign w:val="center"/>
            <w:hideMark/>
          </w:tcPr>
          <w:p w14:paraId="0AD7A696"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1</w:t>
            </w:r>
          </w:p>
        </w:tc>
        <w:tc>
          <w:tcPr>
            <w:tcW w:w="1870" w:type="dxa"/>
            <w:vAlign w:val="center"/>
            <w:hideMark/>
          </w:tcPr>
          <w:p w14:paraId="0E1E8CFB"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1</w:t>
            </w:r>
          </w:p>
        </w:tc>
      </w:tr>
      <w:tr w:rsidR="0055577A" w:rsidRPr="000D625E" w14:paraId="2D98364C" w14:textId="77777777" w:rsidTr="0055577A">
        <w:tc>
          <w:tcPr>
            <w:tcW w:w="0" w:type="auto"/>
            <w:vMerge/>
            <w:tcBorders>
              <w:top w:val="nil"/>
              <w:left w:val="nil"/>
              <w:bottom w:val="single" w:sz="2" w:space="0" w:color="000000" w:themeColor="text1"/>
            </w:tcBorders>
            <w:vAlign w:val="center"/>
            <w:hideMark/>
          </w:tcPr>
          <w:p w14:paraId="0BC1DFC7" w14:textId="77777777" w:rsidR="00B3234C" w:rsidRPr="000D625E" w:rsidRDefault="00B3234C" w:rsidP="00FE244B">
            <w:pPr>
              <w:spacing w:after="0" w:line="240" w:lineRule="auto"/>
              <w:rPr>
                <w:rFonts w:eastAsia="Times New Roman" w:cstheme="minorHAnsi"/>
                <w:sz w:val="18"/>
                <w:szCs w:val="18"/>
              </w:rPr>
            </w:pPr>
          </w:p>
        </w:tc>
        <w:tc>
          <w:tcPr>
            <w:tcW w:w="4179" w:type="dxa"/>
            <w:shd w:val="clear" w:color="auto" w:fill="FDE9D9" w:themeFill="accent6" w:themeFillTint="33"/>
            <w:vAlign w:val="center"/>
            <w:hideMark/>
          </w:tcPr>
          <w:p w14:paraId="27B28579"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Total</w:t>
            </w:r>
          </w:p>
        </w:tc>
        <w:tc>
          <w:tcPr>
            <w:tcW w:w="1870" w:type="dxa"/>
            <w:shd w:val="clear" w:color="auto" w:fill="FDE9D9" w:themeFill="accent6" w:themeFillTint="33"/>
            <w:vAlign w:val="center"/>
            <w:hideMark/>
          </w:tcPr>
          <w:p w14:paraId="06B744EF"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28</w:t>
            </w:r>
          </w:p>
        </w:tc>
        <w:tc>
          <w:tcPr>
            <w:tcW w:w="1870" w:type="dxa"/>
            <w:shd w:val="clear" w:color="auto" w:fill="FDE9D9" w:themeFill="accent6" w:themeFillTint="33"/>
            <w:vAlign w:val="center"/>
            <w:hideMark/>
          </w:tcPr>
          <w:p w14:paraId="3FDC2D5C"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20</w:t>
            </w:r>
          </w:p>
        </w:tc>
        <w:tc>
          <w:tcPr>
            <w:tcW w:w="1870" w:type="dxa"/>
            <w:shd w:val="clear" w:color="auto" w:fill="FDE9D9" w:themeFill="accent6" w:themeFillTint="33"/>
            <w:vAlign w:val="center"/>
            <w:hideMark/>
          </w:tcPr>
          <w:p w14:paraId="7CC50686"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48</w:t>
            </w:r>
          </w:p>
        </w:tc>
      </w:tr>
      <w:tr w:rsidR="0055577A" w:rsidRPr="000D625E" w14:paraId="1E81C32B" w14:textId="77777777" w:rsidTr="0055577A">
        <w:tc>
          <w:tcPr>
            <w:tcW w:w="0" w:type="auto"/>
            <w:tcBorders>
              <w:top w:val="single" w:sz="2" w:space="0" w:color="000000" w:themeColor="text1"/>
              <w:left w:val="nil"/>
              <w:bottom w:val="nil"/>
            </w:tcBorders>
            <w:vAlign w:val="center"/>
            <w:hideMark/>
          </w:tcPr>
          <w:p w14:paraId="4367BF93"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Male</w:t>
            </w:r>
          </w:p>
        </w:tc>
        <w:tc>
          <w:tcPr>
            <w:tcW w:w="4179" w:type="dxa"/>
            <w:vAlign w:val="center"/>
            <w:hideMark/>
          </w:tcPr>
          <w:p w14:paraId="7E2D4C8E"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Person(s) of the opposite sex only</w:t>
            </w:r>
          </w:p>
        </w:tc>
        <w:tc>
          <w:tcPr>
            <w:tcW w:w="1870" w:type="dxa"/>
            <w:vAlign w:val="center"/>
            <w:hideMark/>
          </w:tcPr>
          <w:p w14:paraId="2ADEE1D7"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27</w:t>
            </w:r>
          </w:p>
        </w:tc>
        <w:tc>
          <w:tcPr>
            <w:tcW w:w="1870" w:type="dxa"/>
            <w:vAlign w:val="center"/>
            <w:hideMark/>
          </w:tcPr>
          <w:p w14:paraId="438AD17E"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36</w:t>
            </w:r>
          </w:p>
        </w:tc>
        <w:tc>
          <w:tcPr>
            <w:tcW w:w="1870" w:type="dxa"/>
            <w:vAlign w:val="center"/>
            <w:hideMark/>
          </w:tcPr>
          <w:p w14:paraId="3F93A730"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63</w:t>
            </w:r>
          </w:p>
        </w:tc>
      </w:tr>
      <w:tr w:rsidR="0055577A" w:rsidRPr="000D625E" w14:paraId="06B7EFF4" w14:textId="77777777" w:rsidTr="0055577A">
        <w:tc>
          <w:tcPr>
            <w:tcW w:w="0" w:type="auto"/>
            <w:vMerge w:val="restart"/>
            <w:tcBorders>
              <w:top w:val="nil"/>
              <w:left w:val="nil"/>
              <w:bottom w:val="nil"/>
            </w:tcBorders>
            <w:vAlign w:val="center"/>
            <w:hideMark/>
          </w:tcPr>
          <w:p w14:paraId="7328FD38" w14:textId="77777777" w:rsidR="00B3234C" w:rsidRPr="000D625E" w:rsidRDefault="00B3234C" w:rsidP="00FE244B">
            <w:pPr>
              <w:spacing w:after="0" w:line="240" w:lineRule="auto"/>
              <w:rPr>
                <w:rFonts w:eastAsia="Times New Roman" w:cstheme="minorHAnsi"/>
                <w:sz w:val="18"/>
                <w:szCs w:val="18"/>
              </w:rPr>
            </w:pPr>
          </w:p>
        </w:tc>
        <w:tc>
          <w:tcPr>
            <w:tcW w:w="4179" w:type="dxa"/>
            <w:vAlign w:val="center"/>
            <w:hideMark/>
          </w:tcPr>
          <w:p w14:paraId="06873AD1"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Person(s) of the same sex only</w:t>
            </w:r>
          </w:p>
        </w:tc>
        <w:tc>
          <w:tcPr>
            <w:tcW w:w="1870" w:type="dxa"/>
            <w:vAlign w:val="center"/>
            <w:hideMark/>
          </w:tcPr>
          <w:p w14:paraId="0CE825F1"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55</w:t>
            </w:r>
          </w:p>
        </w:tc>
        <w:tc>
          <w:tcPr>
            <w:tcW w:w="1870" w:type="dxa"/>
            <w:vAlign w:val="center"/>
            <w:hideMark/>
          </w:tcPr>
          <w:p w14:paraId="41044300"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327</w:t>
            </w:r>
          </w:p>
        </w:tc>
        <w:tc>
          <w:tcPr>
            <w:tcW w:w="1870" w:type="dxa"/>
            <w:vAlign w:val="center"/>
            <w:hideMark/>
          </w:tcPr>
          <w:p w14:paraId="5B8B3688"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382</w:t>
            </w:r>
          </w:p>
        </w:tc>
      </w:tr>
      <w:tr w:rsidR="0055577A" w:rsidRPr="000D625E" w14:paraId="7394DE32" w14:textId="77777777" w:rsidTr="0055577A">
        <w:tc>
          <w:tcPr>
            <w:tcW w:w="0" w:type="auto"/>
            <w:vMerge/>
            <w:tcBorders>
              <w:top w:val="nil"/>
              <w:left w:val="nil"/>
              <w:bottom w:val="nil"/>
            </w:tcBorders>
            <w:vAlign w:val="center"/>
            <w:hideMark/>
          </w:tcPr>
          <w:p w14:paraId="597D105F" w14:textId="77777777" w:rsidR="00B3234C" w:rsidRPr="000D625E" w:rsidRDefault="00B3234C" w:rsidP="00FE244B">
            <w:pPr>
              <w:spacing w:after="0" w:line="240" w:lineRule="auto"/>
              <w:rPr>
                <w:rFonts w:eastAsia="Times New Roman" w:cstheme="minorHAnsi"/>
                <w:sz w:val="18"/>
                <w:szCs w:val="18"/>
              </w:rPr>
            </w:pPr>
          </w:p>
        </w:tc>
        <w:tc>
          <w:tcPr>
            <w:tcW w:w="4179" w:type="dxa"/>
            <w:vAlign w:val="center"/>
            <w:hideMark/>
          </w:tcPr>
          <w:p w14:paraId="2DE9F736"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Persons of both sexes</w:t>
            </w:r>
          </w:p>
        </w:tc>
        <w:tc>
          <w:tcPr>
            <w:tcW w:w="1870" w:type="dxa"/>
            <w:vAlign w:val="center"/>
            <w:hideMark/>
          </w:tcPr>
          <w:p w14:paraId="03BD9F46"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0</w:t>
            </w:r>
          </w:p>
        </w:tc>
        <w:tc>
          <w:tcPr>
            <w:tcW w:w="1870" w:type="dxa"/>
            <w:vAlign w:val="center"/>
            <w:hideMark/>
          </w:tcPr>
          <w:p w14:paraId="1C93ECF1"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9</w:t>
            </w:r>
          </w:p>
        </w:tc>
        <w:tc>
          <w:tcPr>
            <w:tcW w:w="1870" w:type="dxa"/>
            <w:vAlign w:val="center"/>
            <w:hideMark/>
          </w:tcPr>
          <w:p w14:paraId="71F588FA"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9</w:t>
            </w:r>
          </w:p>
        </w:tc>
      </w:tr>
      <w:tr w:rsidR="0055577A" w:rsidRPr="000D625E" w14:paraId="4D6C4580" w14:textId="77777777" w:rsidTr="0055577A">
        <w:tc>
          <w:tcPr>
            <w:tcW w:w="0" w:type="auto"/>
            <w:vMerge/>
            <w:tcBorders>
              <w:top w:val="nil"/>
              <w:left w:val="nil"/>
              <w:bottom w:val="nil"/>
            </w:tcBorders>
            <w:vAlign w:val="center"/>
            <w:hideMark/>
          </w:tcPr>
          <w:p w14:paraId="311D1C46" w14:textId="77777777" w:rsidR="00B3234C" w:rsidRPr="000D625E" w:rsidRDefault="00B3234C" w:rsidP="00FE244B">
            <w:pPr>
              <w:spacing w:after="0" w:line="240" w:lineRule="auto"/>
              <w:rPr>
                <w:rFonts w:eastAsia="Times New Roman" w:cstheme="minorHAnsi"/>
                <w:sz w:val="18"/>
                <w:szCs w:val="18"/>
              </w:rPr>
            </w:pPr>
          </w:p>
        </w:tc>
        <w:tc>
          <w:tcPr>
            <w:tcW w:w="4179" w:type="dxa"/>
            <w:vAlign w:val="center"/>
            <w:hideMark/>
          </w:tcPr>
          <w:p w14:paraId="44D289DD" w14:textId="77777777" w:rsidR="00B3234C" w:rsidRPr="000D625E" w:rsidRDefault="00B3234C" w:rsidP="00FE244B">
            <w:pPr>
              <w:spacing w:after="0" w:line="240" w:lineRule="auto"/>
              <w:rPr>
                <w:rFonts w:eastAsia="Times New Roman" w:cstheme="minorHAnsi"/>
                <w:sz w:val="18"/>
                <w:szCs w:val="18"/>
              </w:rPr>
            </w:pPr>
            <w:r w:rsidRPr="000D625E">
              <w:rPr>
                <w:rFonts w:eastAsia="Times New Roman" w:cstheme="minorHAnsi"/>
                <w:sz w:val="18"/>
                <w:szCs w:val="18"/>
              </w:rPr>
              <w:t>Sexual exposure unknown</w:t>
            </w:r>
          </w:p>
        </w:tc>
        <w:tc>
          <w:tcPr>
            <w:tcW w:w="1870" w:type="dxa"/>
            <w:vAlign w:val="center"/>
            <w:hideMark/>
          </w:tcPr>
          <w:p w14:paraId="5BFFB45B"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4</w:t>
            </w:r>
          </w:p>
        </w:tc>
        <w:tc>
          <w:tcPr>
            <w:tcW w:w="1870" w:type="dxa"/>
            <w:vAlign w:val="center"/>
            <w:hideMark/>
          </w:tcPr>
          <w:p w14:paraId="7BB6F56D"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2</w:t>
            </w:r>
          </w:p>
        </w:tc>
        <w:tc>
          <w:tcPr>
            <w:tcW w:w="1870" w:type="dxa"/>
            <w:vAlign w:val="center"/>
            <w:hideMark/>
          </w:tcPr>
          <w:p w14:paraId="34F245CB" w14:textId="77777777" w:rsidR="00B3234C" w:rsidRPr="000D625E" w:rsidRDefault="00B3234C" w:rsidP="0055577A">
            <w:pPr>
              <w:spacing w:after="0" w:line="240" w:lineRule="auto"/>
              <w:jc w:val="center"/>
              <w:rPr>
                <w:rFonts w:eastAsia="Times New Roman" w:cstheme="minorHAnsi"/>
                <w:sz w:val="18"/>
                <w:szCs w:val="18"/>
              </w:rPr>
            </w:pPr>
            <w:r w:rsidRPr="000D625E">
              <w:rPr>
                <w:rFonts w:eastAsia="Times New Roman" w:cstheme="minorHAnsi"/>
                <w:sz w:val="18"/>
                <w:szCs w:val="18"/>
              </w:rPr>
              <w:t>6</w:t>
            </w:r>
          </w:p>
        </w:tc>
      </w:tr>
      <w:tr w:rsidR="0055577A" w:rsidRPr="000D625E" w14:paraId="2737198D" w14:textId="77777777" w:rsidTr="0055577A">
        <w:tc>
          <w:tcPr>
            <w:tcW w:w="0" w:type="auto"/>
            <w:tcBorders>
              <w:top w:val="nil"/>
              <w:left w:val="nil"/>
              <w:bottom w:val="nil"/>
            </w:tcBorders>
            <w:shd w:val="clear" w:color="auto" w:fill="FFFFFF" w:themeFill="background1"/>
            <w:vAlign w:val="center"/>
            <w:hideMark/>
          </w:tcPr>
          <w:p w14:paraId="4DB327A6" w14:textId="77777777" w:rsidR="00B3234C" w:rsidRPr="000D625E" w:rsidRDefault="00B3234C" w:rsidP="00FE244B">
            <w:pPr>
              <w:spacing w:after="0" w:line="240" w:lineRule="auto"/>
              <w:rPr>
                <w:rFonts w:eastAsia="Times New Roman" w:cstheme="minorHAnsi"/>
                <w:b/>
                <w:sz w:val="18"/>
                <w:szCs w:val="18"/>
              </w:rPr>
            </w:pPr>
          </w:p>
        </w:tc>
        <w:tc>
          <w:tcPr>
            <w:tcW w:w="4179" w:type="dxa"/>
            <w:shd w:val="clear" w:color="auto" w:fill="FDE9D9" w:themeFill="accent6" w:themeFillTint="33"/>
            <w:vAlign w:val="center"/>
            <w:hideMark/>
          </w:tcPr>
          <w:p w14:paraId="6D04F793" w14:textId="77777777" w:rsidR="00B3234C" w:rsidRPr="000D625E" w:rsidRDefault="00B3234C" w:rsidP="00FE244B">
            <w:pPr>
              <w:spacing w:after="0" w:line="240" w:lineRule="auto"/>
              <w:rPr>
                <w:rFonts w:eastAsia="Times New Roman" w:cstheme="minorHAnsi"/>
                <w:b/>
                <w:sz w:val="18"/>
                <w:szCs w:val="18"/>
              </w:rPr>
            </w:pPr>
            <w:r w:rsidRPr="000D625E">
              <w:rPr>
                <w:rFonts w:eastAsia="Times New Roman" w:cstheme="minorHAnsi"/>
                <w:b/>
                <w:sz w:val="18"/>
                <w:szCs w:val="18"/>
              </w:rPr>
              <w:t>Total</w:t>
            </w:r>
          </w:p>
        </w:tc>
        <w:tc>
          <w:tcPr>
            <w:tcW w:w="1870" w:type="dxa"/>
            <w:shd w:val="clear" w:color="auto" w:fill="FDE9D9" w:themeFill="accent6" w:themeFillTint="33"/>
            <w:vAlign w:val="center"/>
            <w:hideMark/>
          </w:tcPr>
          <w:p w14:paraId="729AAE4C" w14:textId="77777777" w:rsidR="00B3234C" w:rsidRPr="000D625E" w:rsidRDefault="00B3234C" w:rsidP="0055577A">
            <w:pPr>
              <w:spacing w:after="0" w:line="240" w:lineRule="auto"/>
              <w:jc w:val="center"/>
              <w:rPr>
                <w:rFonts w:eastAsia="Times New Roman" w:cstheme="minorHAnsi"/>
                <w:b/>
                <w:sz w:val="18"/>
                <w:szCs w:val="18"/>
              </w:rPr>
            </w:pPr>
            <w:r w:rsidRPr="000D625E">
              <w:rPr>
                <w:rFonts w:eastAsia="Times New Roman" w:cstheme="minorHAnsi"/>
                <w:b/>
                <w:sz w:val="18"/>
                <w:szCs w:val="18"/>
              </w:rPr>
              <w:t>86</w:t>
            </w:r>
          </w:p>
        </w:tc>
        <w:tc>
          <w:tcPr>
            <w:tcW w:w="1870" w:type="dxa"/>
            <w:shd w:val="clear" w:color="auto" w:fill="FDE9D9" w:themeFill="accent6" w:themeFillTint="33"/>
            <w:vAlign w:val="center"/>
            <w:hideMark/>
          </w:tcPr>
          <w:p w14:paraId="331D8907" w14:textId="77777777" w:rsidR="00B3234C" w:rsidRPr="000D625E" w:rsidRDefault="00B3234C" w:rsidP="0055577A">
            <w:pPr>
              <w:spacing w:after="0" w:line="240" w:lineRule="auto"/>
              <w:jc w:val="center"/>
              <w:rPr>
                <w:rFonts w:eastAsia="Times New Roman" w:cstheme="minorHAnsi"/>
                <w:b/>
                <w:sz w:val="18"/>
                <w:szCs w:val="18"/>
              </w:rPr>
            </w:pPr>
            <w:r w:rsidRPr="000D625E">
              <w:rPr>
                <w:rFonts w:eastAsia="Times New Roman" w:cstheme="minorHAnsi"/>
                <w:b/>
                <w:sz w:val="18"/>
                <w:szCs w:val="18"/>
              </w:rPr>
              <w:t>374</w:t>
            </w:r>
          </w:p>
        </w:tc>
        <w:tc>
          <w:tcPr>
            <w:tcW w:w="1870" w:type="dxa"/>
            <w:shd w:val="clear" w:color="auto" w:fill="FDE9D9" w:themeFill="accent6" w:themeFillTint="33"/>
            <w:vAlign w:val="center"/>
            <w:hideMark/>
          </w:tcPr>
          <w:p w14:paraId="0F1EAF48" w14:textId="77777777" w:rsidR="00B3234C" w:rsidRPr="000D625E" w:rsidRDefault="00B3234C" w:rsidP="0055577A">
            <w:pPr>
              <w:spacing w:after="0" w:line="240" w:lineRule="auto"/>
              <w:jc w:val="center"/>
              <w:rPr>
                <w:rFonts w:eastAsia="Times New Roman" w:cstheme="minorHAnsi"/>
                <w:b/>
                <w:sz w:val="18"/>
                <w:szCs w:val="18"/>
              </w:rPr>
            </w:pPr>
            <w:r w:rsidRPr="000D625E">
              <w:rPr>
                <w:rFonts w:eastAsia="Times New Roman" w:cstheme="minorHAnsi"/>
                <w:b/>
                <w:sz w:val="18"/>
                <w:szCs w:val="18"/>
              </w:rPr>
              <w:t>460</w:t>
            </w:r>
          </w:p>
        </w:tc>
      </w:tr>
    </w:tbl>
    <w:p w14:paraId="07DBF923" w14:textId="77777777" w:rsidR="00B3234C" w:rsidRPr="00920343" w:rsidRDefault="00B3234C" w:rsidP="00920343">
      <w:pPr>
        <w:pStyle w:val="Heading1"/>
      </w:pPr>
      <w:r w:rsidRPr="00920343">
        <w:t xml:space="preserve">Discussion </w:t>
      </w:r>
    </w:p>
    <w:p w14:paraId="1CF16F0F" w14:textId="77777777" w:rsidR="00B3234C" w:rsidRDefault="00B3234C" w:rsidP="00920343">
      <w:r>
        <w:t>This 12-month pilot of enhanced surveillance in a single NSW health district elicited an 80% response rate and gave an ascertainment rate for indigenous status of 94%, thus providing the first high quality data on Indigenous status among gonorrhoea cases, based on follow up of statutory laboratory notifications. The recent study from inner western and south-western Sydney found a high response rate approaching 90% but did not attempt to ascertain indigenous status.</w:t>
      </w:r>
      <w:r>
        <w:rPr>
          <w:vertAlign w:val="superscript"/>
        </w:rPr>
        <w:t>7</w:t>
      </w:r>
      <w:r>
        <w:t xml:space="preserve"> The completeness of indigenous status in a study from western Sydney was 56% in the absence of a systematic approach to collection of this information.</w:t>
      </w:r>
      <w:r>
        <w:rPr>
          <w:vertAlign w:val="superscript"/>
        </w:rPr>
        <w:t>8</w:t>
      </w:r>
      <w:r>
        <w:t xml:space="preserve"> The high response rate and completeness of indigenous status are slightly improved over enhanced surveillance conducted in south-eastern Queensland from 2003 to 2008, when a response rate of 72% was achieved and indigenous status was reported in 78%.</w:t>
      </w:r>
      <w:r>
        <w:rPr>
          <w:vertAlign w:val="superscript"/>
        </w:rPr>
        <w:t>9</w:t>
      </w:r>
      <w:r>
        <w:t xml:space="preserve"> </w:t>
      </w:r>
    </w:p>
    <w:p w14:paraId="753E66E4" w14:textId="77777777" w:rsidR="00B3234C" w:rsidRDefault="00B3234C" w:rsidP="00920343">
      <w:r>
        <w:t>As well, the current observations on the sexual preference and sexual history of gonorrhoea cases comes from the urban region containing Australia’s highest concentration of men who have sex with men.</w:t>
      </w:r>
      <w:r>
        <w:rPr>
          <w:vertAlign w:val="superscript"/>
        </w:rPr>
        <w:t>2</w:t>
      </w:r>
      <w:r>
        <w:t xml:space="preserve"> For men in inner eastern Sydney, gonorrhoea is occurring mainly in MSM who are engaging in sexual activity with multiple casual partners. In contrast, the majority of cases in women are acquired from opposite-sex partners; for cases in female sex workers, two thirds of cases were reported by their testing doctors to have been acquired from casual partners, and for women who were not sex workers, the likely source of infection was from their regular partner. </w:t>
      </w:r>
    </w:p>
    <w:p w14:paraId="75FE2DDD" w14:textId="77777777" w:rsidR="00B3234C" w:rsidRDefault="00B3234C" w:rsidP="00920343">
      <w:r>
        <w:t>In the present study, gonorrhoea was diagnosed in individuals who presented to a variety of health service providers: 46% to general practitioners and 49% to sexual health clinics. This latter figure is substantially higher than the 34% found in the inner western and south-western Sydney study,</w:t>
      </w:r>
      <w:r>
        <w:rPr>
          <w:vertAlign w:val="superscript"/>
        </w:rPr>
        <w:t>7</w:t>
      </w:r>
      <w:r>
        <w:t xml:space="preserve"> and the 26% made in inner metropolitan sexual health services in 2009.</w:t>
      </w:r>
      <w:r>
        <w:rPr>
          <w:vertAlign w:val="superscript"/>
        </w:rPr>
        <w:t>10</w:t>
      </w:r>
      <w:r>
        <w:t xml:space="preserve"> This difference may reflect a number of factors including a change with time, greater number of publicly funded services located in south-eastern Sydney, or the distribution of MSM in this area. The high proportion of notifications from general practice, and in particular from doctors who are not high HIV caseload has important public health implications for targeted sexual health screening, education and promotional activities. </w:t>
      </w:r>
    </w:p>
    <w:p w14:paraId="33326D00" w14:textId="77777777" w:rsidR="00B3234C" w:rsidRDefault="00B3234C" w:rsidP="00920343">
      <w:r>
        <w:lastRenderedPageBreak/>
        <w:t>However, it should be noted that this type of notification-based surveillance is relatively labour intensive as it requires questionnaires to be mailed to notifying practice staff, who must complete and return them in a timely fashion, and the additional data entered by public health personnel into the notifiable diseases database. Despite this added work, such a surveillance-based process is unable to provide detailed information on the behaviours leading to acquisition of infection which may be provided by clinical studies based in sexual health services,</w:t>
      </w:r>
      <w:r>
        <w:rPr>
          <w:vertAlign w:val="superscript"/>
        </w:rPr>
        <w:t>11,12</w:t>
      </w:r>
      <w:r>
        <w:t xml:space="preserve"> or through formal research using community recruitment.</w:t>
      </w:r>
      <w:r>
        <w:rPr>
          <w:vertAlign w:val="superscript"/>
        </w:rPr>
        <w:t>13</w:t>
      </w:r>
      <w:r>
        <w:t xml:space="preserve"> </w:t>
      </w:r>
    </w:p>
    <w:p w14:paraId="308C5A44" w14:textId="77777777" w:rsidR="00B3234C" w:rsidRDefault="00B3234C" w:rsidP="00920343">
      <w:r>
        <w:t xml:space="preserve">Although state-wide enhanced surveillance in this form is not recommended due to the labour involved, this pilot of enhanced surveillance has contributed to gonorrhoea surveillance in NSW by increasing completeness of the indigenous status of people notified with gonorrhoea and reporting basic risk factor information. </w:t>
      </w:r>
    </w:p>
    <w:p w14:paraId="136F9E33" w14:textId="77777777" w:rsidR="00B3234C" w:rsidRDefault="00B3234C" w:rsidP="00920343">
      <w:r>
        <w:t>An alternative approach to gathering important data on indigenous status, which is less time consuming for clinical and public health personnel, is the use of linkage with other health datasets, and following a trial of this methodology, routine linkage of health and vital statistics datasets has been initiated by the NSW Ministry of Health since this project.</w:t>
      </w:r>
      <w:r>
        <w:rPr>
          <w:vertAlign w:val="superscript"/>
        </w:rPr>
        <w:t>14</w:t>
      </w:r>
      <w:r>
        <w:t xml:space="preserve"> </w:t>
      </w:r>
    </w:p>
    <w:p w14:paraId="3C14C68C" w14:textId="26BBB484" w:rsidR="00B3234C" w:rsidRPr="00920343" w:rsidRDefault="00B3234C" w:rsidP="00920343">
      <w:pPr>
        <w:pStyle w:val="Heading1"/>
      </w:pPr>
      <w:r w:rsidRPr="00920343">
        <w:t>Author</w:t>
      </w:r>
      <w:r w:rsidR="00582038">
        <w:t xml:space="preserve"> details</w:t>
      </w:r>
      <w:r w:rsidRPr="00920343">
        <w:t xml:space="preserve"> </w:t>
      </w:r>
    </w:p>
    <w:p w14:paraId="0411AF4C" w14:textId="77777777" w:rsidR="00B3234C" w:rsidRDefault="00B3234C" w:rsidP="00920343">
      <w:pPr>
        <w:pStyle w:val="NoSpacing"/>
      </w:pPr>
      <w:r>
        <w:t>Prof Mark J Ferson, MBBS MPH MD FRACP FAFPHM, Director</w:t>
      </w:r>
      <w:r>
        <w:rPr>
          <w:vertAlign w:val="superscript"/>
        </w:rPr>
        <w:t>1</w:t>
      </w:r>
      <w:r>
        <w:t xml:space="preserve"> and Conjoint Professor</w:t>
      </w:r>
      <w:r>
        <w:rPr>
          <w:vertAlign w:val="superscript"/>
        </w:rPr>
        <w:t>3</w:t>
      </w:r>
      <w:r>
        <w:t xml:space="preserve"> </w:t>
      </w:r>
    </w:p>
    <w:p w14:paraId="357EA032" w14:textId="77777777" w:rsidR="00B3234C" w:rsidRDefault="00B3234C" w:rsidP="00920343">
      <w:pPr>
        <w:pStyle w:val="NoSpacing"/>
      </w:pPr>
      <w:r>
        <w:t>Ms Kelly-Anne Ressler, BSc (</w:t>
      </w:r>
      <w:proofErr w:type="spellStart"/>
      <w:r>
        <w:t>Nutr</w:t>
      </w:r>
      <w:proofErr w:type="spellEnd"/>
      <w:r>
        <w:t>) MPH, Epidemiologist</w:t>
      </w:r>
      <w:r>
        <w:rPr>
          <w:vertAlign w:val="superscript"/>
        </w:rPr>
        <w:t>1</w:t>
      </w:r>
      <w:r>
        <w:t xml:space="preserve"> </w:t>
      </w:r>
    </w:p>
    <w:p w14:paraId="55D470BC" w14:textId="77777777" w:rsidR="00B3234C" w:rsidRDefault="00B3234C" w:rsidP="00920343">
      <w:pPr>
        <w:pStyle w:val="NoSpacing"/>
      </w:pPr>
      <w:r>
        <w:t>Ms Alma Nurkic, Surveillance Officer</w:t>
      </w:r>
      <w:r>
        <w:rPr>
          <w:vertAlign w:val="superscript"/>
        </w:rPr>
        <w:t>1</w:t>
      </w:r>
      <w:r>
        <w:t xml:space="preserve"> </w:t>
      </w:r>
    </w:p>
    <w:p w14:paraId="51F5BC94" w14:textId="77777777" w:rsidR="00B3234C" w:rsidRDefault="00B3234C" w:rsidP="00920343">
      <w:pPr>
        <w:pStyle w:val="NoSpacing"/>
      </w:pPr>
      <w:r>
        <w:t>Ms Paula Spokes, RN MIPH, Manager, Surveillance</w:t>
      </w:r>
      <w:r>
        <w:rPr>
          <w:vertAlign w:val="superscript"/>
        </w:rPr>
        <w:t>2</w:t>
      </w:r>
      <w:r>
        <w:t xml:space="preserve"> </w:t>
      </w:r>
    </w:p>
    <w:p w14:paraId="5B506343" w14:textId="77777777" w:rsidR="00B3234C" w:rsidRPr="00920343" w:rsidRDefault="00B3234C" w:rsidP="00920343">
      <w:pPr>
        <w:pStyle w:val="ListParagraph"/>
        <w:numPr>
          <w:ilvl w:val="0"/>
          <w:numId w:val="9"/>
        </w:numPr>
        <w:spacing w:before="100" w:beforeAutospacing="1" w:after="100" w:afterAutospacing="1" w:line="240" w:lineRule="auto"/>
        <w:rPr>
          <w:rFonts w:eastAsia="Times New Roman"/>
        </w:rPr>
      </w:pPr>
      <w:r w:rsidRPr="00920343">
        <w:rPr>
          <w:rFonts w:eastAsia="Times New Roman"/>
        </w:rPr>
        <w:t xml:space="preserve">Public Health Unit, South Eastern Sydney Local Health District, Randwick, NSW, Australia </w:t>
      </w:r>
    </w:p>
    <w:p w14:paraId="35FCF7F4" w14:textId="77777777" w:rsidR="00B3234C" w:rsidRPr="00920343" w:rsidRDefault="00B3234C" w:rsidP="00920343">
      <w:pPr>
        <w:pStyle w:val="ListParagraph"/>
        <w:numPr>
          <w:ilvl w:val="0"/>
          <w:numId w:val="9"/>
        </w:numPr>
        <w:spacing w:before="100" w:beforeAutospacing="1" w:after="100" w:afterAutospacing="1" w:line="240" w:lineRule="auto"/>
        <w:rPr>
          <w:rFonts w:eastAsia="Times New Roman"/>
        </w:rPr>
      </w:pPr>
      <w:r w:rsidRPr="00920343">
        <w:rPr>
          <w:rFonts w:eastAsia="Times New Roman"/>
        </w:rPr>
        <w:t xml:space="preserve">Communicable Diseases Branch, Health Protection NSW, Sydney, NSW, Australia </w:t>
      </w:r>
    </w:p>
    <w:p w14:paraId="44C113B9" w14:textId="5F5EEBDE" w:rsidR="00B3234C" w:rsidRDefault="00B3234C" w:rsidP="00920343">
      <w:pPr>
        <w:pStyle w:val="ListParagraph"/>
        <w:numPr>
          <w:ilvl w:val="0"/>
          <w:numId w:val="9"/>
        </w:numPr>
        <w:spacing w:before="100" w:beforeAutospacing="1" w:after="100" w:afterAutospacing="1" w:line="240" w:lineRule="auto"/>
        <w:rPr>
          <w:rFonts w:eastAsia="Times New Roman"/>
        </w:rPr>
      </w:pPr>
      <w:r w:rsidRPr="00920343">
        <w:rPr>
          <w:rFonts w:eastAsia="Times New Roman"/>
        </w:rPr>
        <w:t xml:space="preserve">School of Public Health &amp; Community Medicine, University of NSW, Kensington, NSW, Australia </w:t>
      </w:r>
    </w:p>
    <w:p w14:paraId="51C24FB1" w14:textId="3062FA4F" w:rsidR="00D30ED9" w:rsidRDefault="00D51339" w:rsidP="000D1C54">
      <w:pPr>
        <w:pStyle w:val="Heading2"/>
      </w:pPr>
      <w:r>
        <w:t>Corresponding author</w:t>
      </w:r>
    </w:p>
    <w:p w14:paraId="1E36F142" w14:textId="77777777" w:rsidR="000D1C54" w:rsidRDefault="000D1C54" w:rsidP="000D1C54">
      <w:pPr>
        <w:pStyle w:val="NoSpacing"/>
      </w:pPr>
    </w:p>
    <w:p w14:paraId="3A1CCFFC" w14:textId="4F62D94B" w:rsidR="000D1C54" w:rsidRDefault="000D1C54" w:rsidP="000D1C54">
      <w:pPr>
        <w:pStyle w:val="NoSpacing"/>
      </w:pPr>
      <w:r w:rsidRPr="000D1C54">
        <w:t xml:space="preserve">Prof Mark J Ferson </w:t>
      </w:r>
    </w:p>
    <w:p w14:paraId="7E63D9D3" w14:textId="25BCF2E3" w:rsidR="000D1C54" w:rsidRPr="000D1C54" w:rsidRDefault="000D1C54" w:rsidP="000D1C54">
      <w:pPr>
        <w:pStyle w:val="NoSpacing"/>
      </w:pPr>
      <w:r w:rsidRPr="000D1C54">
        <w:t xml:space="preserve">Director, Public Health Unit, South Eastern Sydney Local Health District </w:t>
      </w:r>
    </w:p>
    <w:p w14:paraId="744602AD" w14:textId="4FE9D6EA" w:rsidR="000D1C54" w:rsidRDefault="000D1C54" w:rsidP="000D1C54">
      <w:pPr>
        <w:pStyle w:val="NoSpacing"/>
        <w:rPr>
          <w:b/>
          <w:bCs/>
        </w:rPr>
      </w:pPr>
      <w:r w:rsidRPr="00F83AC3">
        <w:t>mark.ferson@health.nsw.gov.au</w:t>
      </w:r>
    </w:p>
    <w:p w14:paraId="3E1E7002" w14:textId="003B0BF2" w:rsidR="00B3234C" w:rsidRPr="000D1C54" w:rsidRDefault="00B3234C" w:rsidP="000D1C54">
      <w:pPr>
        <w:pStyle w:val="Heading1"/>
      </w:pPr>
      <w:r w:rsidRPr="000D1C54">
        <w:t xml:space="preserve">Acknowledgements </w:t>
      </w:r>
    </w:p>
    <w:p w14:paraId="30BBC15D" w14:textId="77777777" w:rsidR="00B3234C" w:rsidRDefault="00B3234C" w:rsidP="00920343">
      <w:r>
        <w:t xml:space="preserve">The authors gratefully acknowledge members of the Public Health Unit’s infectious diseases team, and the medical practitioners and practice staff on whom we relied for the timely completion and return of questionnaires. </w:t>
      </w:r>
    </w:p>
    <w:p w14:paraId="2DF5CEF3" w14:textId="77777777" w:rsidR="00B3234C" w:rsidRPr="00920343" w:rsidRDefault="00B3234C" w:rsidP="00920343">
      <w:pPr>
        <w:pStyle w:val="Heading1"/>
      </w:pPr>
      <w:r w:rsidRPr="00920343">
        <w:t xml:space="preserve">References </w:t>
      </w:r>
    </w:p>
    <w:p w14:paraId="4A1102AA"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Roberts-Witteveen A, Pennington K, Higgins N, Lang C, Lahra M, Waddell R, et al. Epidemiology of gonorrhoea notifications in Australia, 2007–12. </w:t>
      </w:r>
      <w:r w:rsidRPr="00B3619B">
        <w:rPr>
          <w:rStyle w:val="Emphasis"/>
          <w:rFonts w:eastAsia="Times New Roman"/>
          <w:b w:val="0"/>
        </w:rPr>
        <w:t>Sex Health</w:t>
      </w:r>
      <w:r w:rsidRPr="00B3619B">
        <w:rPr>
          <w:rFonts w:eastAsia="Times New Roman"/>
        </w:rPr>
        <w:t xml:space="preserve"> 2014;11:324–31. </w:t>
      </w:r>
    </w:p>
    <w:p w14:paraId="09A00B0E" w14:textId="43EA4AF4"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Australian Bureau of Statistics. Australian Social Trends Same Sex Couples. Cat. No. 4102.0. Accessed 20 May 2017. Available at </w:t>
      </w:r>
      <w:r w:rsidRPr="00C53426">
        <w:rPr>
          <w:rFonts w:eastAsia="Times New Roman"/>
        </w:rPr>
        <w:t>http://www.abs.gov.au/AUSSTATS/abs@.nsf/Lookup/4102.0Main+Features10July+2013#live</w:t>
      </w:r>
      <w:r w:rsidRPr="00B3619B">
        <w:rPr>
          <w:rFonts w:eastAsia="Times New Roman"/>
        </w:rPr>
        <w:t xml:space="preserve"> </w:t>
      </w:r>
    </w:p>
    <w:p w14:paraId="5BD4BCA6"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Ressler KA, Ferson MJ, Smedley EJ. Gonorrhoea infection, reinfection and co-infection in men in inner Sydney: a population-based analysis. </w:t>
      </w:r>
      <w:r w:rsidRPr="00B3619B">
        <w:rPr>
          <w:rStyle w:val="Emphasis"/>
          <w:rFonts w:eastAsia="Times New Roman"/>
          <w:b w:val="0"/>
        </w:rPr>
        <w:t>Med J Aust</w:t>
      </w:r>
      <w:r w:rsidRPr="00B3619B">
        <w:rPr>
          <w:rFonts w:eastAsia="Times New Roman"/>
        </w:rPr>
        <w:t xml:space="preserve"> 2014;200:26. </w:t>
      </w:r>
    </w:p>
    <w:p w14:paraId="0B561EB9"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lastRenderedPageBreak/>
        <w:t xml:space="preserve">Australian Government Department of Health. </w:t>
      </w:r>
      <w:r w:rsidRPr="00B3619B">
        <w:rPr>
          <w:rStyle w:val="Emphasis"/>
          <w:rFonts w:eastAsia="Times New Roman"/>
          <w:b w:val="0"/>
        </w:rPr>
        <w:t>Third National Sexually Transmissible Infections Strategy 2014–2017</w:t>
      </w:r>
      <w:r w:rsidRPr="00B3619B">
        <w:rPr>
          <w:rFonts w:eastAsia="Times New Roman"/>
        </w:rPr>
        <w:t xml:space="preserve">. Canberra: Commonwealth of Australia, 2014. ISBN 9781741861662 </w:t>
      </w:r>
    </w:p>
    <w:p w14:paraId="01E560B3"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Fagan PS, Downing SG, McCall B, Carroll HJ, Howard TM, Palmer CM . Enhanced surveillance for gonorrhoea in two diverse settings in Queensland in the 2000s: Comparative epidemiology and selected management outcomes. </w:t>
      </w:r>
      <w:r w:rsidRPr="00B3619B">
        <w:rPr>
          <w:rStyle w:val="Emphasis"/>
          <w:rFonts w:eastAsia="Times New Roman"/>
          <w:b w:val="0"/>
        </w:rPr>
        <w:t xml:space="preserve">Commun Dis Intell Q Rep </w:t>
      </w:r>
      <w:r w:rsidRPr="00B3619B">
        <w:rPr>
          <w:rFonts w:eastAsia="Times New Roman"/>
        </w:rPr>
        <w:t>2013;37: E253</w:t>
      </w:r>
      <w:r w:rsidR="00CC5B6C" w:rsidRPr="00B3619B">
        <w:rPr>
          <w:rFonts w:eastAsia="Times New Roman"/>
        </w:rPr>
        <w:t>–</w:t>
      </w:r>
      <w:r w:rsidRPr="00B3619B">
        <w:rPr>
          <w:rFonts w:eastAsia="Times New Roman"/>
        </w:rPr>
        <w:t xml:space="preserve">59. </w:t>
      </w:r>
    </w:p>
    <w:p w14:paraId="57BB5D10" w14:textId="734E57BE"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Department of Health, Western Australia. The epidemiology of notifiable sexually transmitted infections and blood-borne viruses in Western Australia 2016. Perth, 2016. Accessed 16 October 2018. Available at </w:t>
      </w:r>
      <w:hyperlink r:id="rId9" w:tooltip="Epidemiology of STIs and BBVs in Western Australia" w:history="1">
        <w:r w:rsidRPr="00CC5B6C">
          <w:rPr>
            <w:rStyle w:val="Hyperlink"/>
            <w:rFonts w:eastAsia="Times New Roman"/>
          </w:rPr>
          <w:t>https://ww2.health.wa.gov.au/Articles/A_E/Epidemiology-of-STIs-and-BBVs-in-Western-Australia</w:t>
        </w:r>
      </w:hyperlink>
      <w:r w:rsidRPr="00B3619B">
        <w:rPr>
          <w:rFonts w:eastAsia="Times New Roman"/>
        </w:rPr>
        <w:t xml:space="preserve"> </w:t>
      </w:r>
    </w:p>
    <w:p w14:paraId="49EE04D5"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Ingleton A, Hope K, Najjar Z, Templeton DJ, Gupta L. Characteristics of gonorrhoea cases notified in inner and south-western Sydney, Australia: results of population-based enhanced surveillance. </w:t>
      </w:r>
      <w:r w:rsidRPr="00B3619B">
        <w:rPr>
          <w:rStyle w:val="Emphasis"/>
          <w:rFonts w:eastAsia="Times New Roman"/>
          <w:b w:val="0"/>
        </w:rPr>
        <w:t xml:space="preserve">Sex Health </w:t>
      </w:r>
      <w:r w:rsidRPr="00B3619B">
        <w:rPr>
          <w:rFonts w:eastAsia="Times New Roman"/>
        </w:rPr>
        <w:t xml:space="preserve">2016;13:484–8. </w:t>
      </w:r>
    </w:p>
    <w:p w14:paraId="4B3C3DF0"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Gale M, </w:t>
      </w:r>
      <w:proofErr w:type="spellStart"/>
      <w:r w:rsidRPr="00B3619B">
        <w:rPr>
          <w:rFonts w:eastAsia="Times New Roman"/>
        </w:rPr>
        <w:t>Hayen</w:t>
      </w:r>
      <w:proofErr w:type="spellEnd"/>
      <w:r w:rsidRPr="00B3619B">
        <w:rPr>
          <w:rFonts w:eastAsia="Times New Roman"/>
        </w:rPr>
        <w:t xml:space="preserve"> A, Truman G, Varma R, Forssman BL, Macintyre CR. Demographic and geographical risk factors for gonorrhoea and chlamydia in greater western Sydney, 2003–2013. </w:t>
      </w:r>
      <w:r w:rsidRPr="00B3619B">
        <w:rPr>
          <w:rStyle w:val="Emphasis"/>
          <w:rFonts w:eastAsia="Times New Roman"/>
          <w:b w:val="0"/>
        </w:rPr>
        <w:t xml:space="preserve">Commun Dis Intell </w:t>
      </w:r>
      <w:r w:rsidRPr="00B3619B">
        <w:rPr>
          <w:rFonts w:eastAsia="Times New Roman"/>
        </w:rPr>
        <w:t>2017; 41: E134</w:t>
      </w:r>
      <w:r w:rsidR="00125AA4" w:rsidRPr="00B3619B">
        <w:rPr>
          <w:rFonts w:eastAsia="Times New Roman"/>
        </w:rPr>
        <w:t>–</w:t>
      </w:r>
      <w:r w:rsidRPr="00B3619B">
        <w:rPr>
          <w:rFonts w:eastAsia="Times New Roman"/>
        </w:rPr>
        <w:t xml:space="preserve">41. </w:t>
      </w:r>
    </w:p>
    <w:p w14:paraId="612102DE"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125AA4">
        <w:rPr>
          <w:rStyle w:val="Emphasis"/>
          <w:rFonts w:eastAsia="Times New Roman"/>
          <w:b w:val="0"/>
          <w:i w:val="0"/>
        </w:rPr>
        <w:t xml:space="preserve">Field E, Heel K, Palmer C, Vally H, Beard F, McCall B. Evaluation of clinical management of gonorrhoea using enhanced surveillance in South East Queensland. </w:t>
      </w:r>
      <w:r w:rsidRPr="00B3619B">
        <w:rPr>
          <w:rStyle w:val="Emphasis"/>
          <w:rFonts w:eastAsia="Times New Roman"/>
          <w:b w:val="0"/>
        </w:rPr>
        <w:t xml:space="preserve">Sex Health </w:t>
      </w:r>
      <w:r w:rsidRPr="00125AA4">
        <w:rPr>
          <w:rStyle w:val="Emphasis"/>
          <w:rFonts w:eastAsia="Times New Roman"/>
          <w:b w:val="0"/>
          <w:i w:val="0"/>
        </w:rPr>
        <w:t>2010;7:448–52</w:t>
      </w:r>
      <w:r w:rsidR="00125AA4" w:rsidRPr="00125AA4">
        <w:rPr>
          <w:rStyle w:val="Emphasis"/>
          <w:rFonts w:eastAsia="Times New Roman"/>
          <w:b w:val="0"/>
          <w:i w:val="0"/>
        </w:rPr>
        <w:t>.</w:t>
      </w:r>
      <w:r w:rsidRPr="00125AA4">
        <w:rPr>
          <w:rStyle w:val="Emphasis"/>
          <w:rFonts w:eastAsia="Times New Roman"/>
          <w:b w:val="0"/>
          <w:i w:val="0"/>
        </w:rPr>
        <w:t xml:space="preserve"> </w:t>
      </w:r>
    </w:p>
    <w:p w14:paraId="4A77E0F4"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Bourne C, Allen D, Brown K, Davies SC, McNulty A, Smith DE, et al. What proportion of sexually transmissible infections and HIV are diagnosed in New South Wales’ public sexual health services compared with other services? </w:t>
      </w:r>
      <w:r w:rsidRPr="00B3619B">
        <w:rPr>
          <w:rStyle w:val="Emphasis"/>
          <w:rFonts w:eastAsia="Times New Roman"/>
          <w:b w:val="0"/>
        </w:rPr>
        <w:t>Sex Health</w:t>
      </w:r>
      <w:r w:rsidRPr="00B3619B">
        <w:rPr>
          <w:rFonts w:eastAsia="Times New Roman"/>
        </w:rPr>
        <w:t xml:space="preserve"> 2013;10:119</w:t>
      </w:r>
      <w:r w:rsidR="00125AA4" w:rsidRPr="00B3619B">
        <w:rPr>
          <w:rFonts w:eastAsia="Times New Roman"/>
        </w:rPr>
        <w:t>–</w:t>
      </w:r>
      <w:r w:rsidRPr="00B3619B">
        <w:rPr>
          <w:rFonts w:eastAsia="Times New Roman"/>
        </w:rPr>
        <w:t xml:space="preserve">23. </w:t>
      </w:r>
    </w:p>
    <w:p w14:paraId="73FDD677"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Chow EPF, </w:t>
      </w:r>
      <w:proofErr w:type="spellStart"/>
      <w:r w:rsidRPr="00B3619B">
        <w:rPr>
          <w:rFonts w:eastAsia="Times New Roman"/>
        </w:rPr>
        <w:t>Tomnay</w:t>
      </w:r>
      <w:proofErr w:type="spellEnd"/>
      <w:r w:rsidRPr="00B3619B">
        <w:rPr>
          <w:rFonts w:eastAsia="Times New Roman"/>
        </w:rPr>
        <w:t xml:space="preserve"> J, Fehler G, Whiley D, Read TRH, Denham I, et al. Substantial Increases in chlamydia and </w:t>
      </w:r>
      <w:proofErr w:type="spellStart"/>
      <w:r w:rsidRPr="00B3619B">
        <w:rPr>
          <w:rFonts w:eastAsia="Times New Roman"/>
        </w:rPr>
        <w:t>gonorrhea</w:t>
      </w:r>
      <w:proofErr w:type="spellEnd"/>
      <w:r w:rsidRPr="00B3619B">
        <w:rPr>
          <w:rFonts w:eastAsia="Times New Roman"/>
        </w:rPr>
        <w:t xml:space="preserve"> positivity unexplained by changes in individual-level sexual </w:t>
      </w:r>
      <w:proofErr w:type="spellStart"/>
      <w:r w:rsidRPr="00B3619B">
        <w:rPr>
          <w:rFonts w:eastAsia="Times New Roman"/>
        </w:rPr>
        <w:t>behaviors</w:t>
      </w:r>
      <w:proofErr w:type="spellEnd"/>
      <w:r w:rsidRPr="00B3619B">
        <w:rPr>
          <w:rFonts w:eastAsia="Times New Roman"/>
        </w:rPr>
        <w:t xml:space="preserve"> among men who have sex with men in an Australian sexual health service from 2007 to 2013. </w:t>
      </w:r>
      <w:r w:rsidRPr="00B3619B">
        <w:rPr>
          <w:rStyle w:val="Emphasis"/>
          <w:rFonts w:eastAsia="Times New Roman"/>
          <w:b w:val="0"/>
        </w:rPr>
        <w:t xml:space="preserve">Sex </w:t>
      </w:r>
      <w:proofErr w:type="spellStart"/>
      <w:r w:rsidRPr="00B3619B">
        <w:rPr>
          <w:rStyle w:val="Emphasis"/>
          <w:rFonts w:eastAsia="Times New Roman"/>
          <w:b w:val="0"/>
        </w:rPr>
        <w:t>Transm</w:t>
      </w:r>
      <w:proofErr w:type="spellEnd"/>
      <w:r w:rsidRPr="00B3619B">
        <w:rPr>
          <w:rStyle w:val="Emphasis"/>
          <w:rFonts w:eastAsia="Times New Roman"/>
          <w:b w:val="0"/>
        </w:rPr>
        <w:t xml:space="preserve"> Dis</w:t>
      </w:r>
      <w:r w:rsidRPr="00B3619B">
        <w:rPr>
          <w:rFonts w:eastAsia="Times New Roman"/>
        </w:rPr>
        <w:t xml:space="preserve"> 2015;42:81–7. </w:t>
      </w:r>
    </w:p>
    <w:p w14:paraId="6C198DA9"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McDonagh P, Ryder N, McNulty AM, Freedman E. </w:t>
      </w:r>
      <w:r w:rsidRPr="00B3619B">
        <w:rPr>
          <w:rStyle w:val="Emphasis"/>
          <w:rFonts w:eastAsia="Times New Roman"/>
          <w:b w:val="0"/>
        </w:rPr>
        <w:t>Neisseria gonorrhoeae</w:t>
      </w:r>
      <w:r w:rsidRPr="00B3619B">
        <w:rPr>
          <w:rFonts w:eastAsia="Times New Roman"/>
        </w:rPr>
        <w:t xml:space="preserve"> infection in urban Sydney women: prevalence and predictors. </w:t>
      </w:r>
      <w:r w:rsidRPr="00B3619B">
        <w:rPr>
          <w:rStyle w:val="Emphasis"/>
          <w:rFonts w:eastAsia="Times New Roman"/>
          <w:b w:val="0"/>
        </w:rPr>
        <w:t>Sex Health</w:t>
      </w:r>
      <w:r w:rsidRPr="00B3619B">
        <w:rPr>
          <w:rFonts w:eastAsia="Times New Roman"/>
        </w:rPr>
        <w:t xml:space="preserve"> 2009; 6:241–4. </w:t>
      </w:r>
    </w:p>
    <w:p w14:paraId="2B5C851B" w14:textId="77777777"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Zou H, </w:t>
      </w:r>
      <w:proofErr w:type="spellStart"/>
      <w:r w:rsidRPr="00B3619B">
        <w:rPr>
          <w:rFonts w:eastAsia="Times New Roman"/>
        </w:rPr>
        <w:t>Prestage</w:t>
      </w:r>
      <w:proofErr w:type="spellEnd"/>
      <w:r w:rsidRPr="00B3619B">
        <w:rPr>
          <w:rFonts w:eastAsia="Times New Roman"/>
        </w:rPr>
        <w:t xml:space="preserve"> G, Fairley CK, </w:t>
      </w:r>
      <w:proofErr w:type="spellStart"/>
      <w:r w:rsidRPr="00B3619B">
        <w:rPr>
          <w:rFonts w:eastAsia="Times New Roman"/>
        </w:rPr>
        <w:t>Grulich</w:t>
      </w:r>
      <w:proofErr w:type="spellEnd"/>
      <w:r w:rsidRPr="00B3619B">
        <w:rPr>
          <w:rFonts w:eastAsia="Times New Roman"/>
        </w:rPr>
        <w:t xml:space="preserve"> AE, Garland SM, Hocking JS, et al. Sexual </w:t>
      </w:r>
      <w:proofErr w:type="spellStart"/>
      <w:r w:rsidRPr="00B3619B">
        <w:rPr>
          <w:rFonts w:eastAsia="Times New Roman"/>
        </w:rPr>
        <w:t>behaviors</w:t>
      </w:r>
      <w:proofErr w:type="spellEnd"/>
      <w:r w:rsidRPr="00B3619B">
        <w:rPr>
          <w:rFonts w:eastAsia="Times New Roman"/>
        </w:rPr>
        <w:t xml:space="preserve"> and risk for sexually transmitted infections among teenage men who have sex with men. </w:t>
      </w:r>
      <w:r w:rsidRPr="00B3619B">
        <w:rPr>
          <w:rStyle w:val="Emphasis"/>
          <w:rFonts w:eastAsia="Times New Roman"/>
          <w:b w:val="0"/>
        </w:rPr>
        <w:t xml:space="preserve">J </w:t>
      </w:r>
      <w:proofErr w:type="spellStart"/>
      <w:r w:rsidRPr="00B3619B">
        <w:rPr>
          <w:rStyle w:val="Emphasis"/>
          <w:rFonts w:eastAsia="Times New Roman"/>
          <w:b w:val="0"/>
        </w:rPr>
        <w:t>Adolesc</w:t>
      </w:r>
      <w:proofErr w:type="spellEnd"/>
      <w:r w:rsidRPr="00B3619B">
        <w:rPr>
          <w:rStyle w:val="Emphasis"/>
          <w:rFonts w:eastAsia="Times New Roman"/>
          <w:b w:val="0"/>
        </w:rPr>
        <w:t xml:space="preserve"> Health </w:t>
      </w:r>
      <w:r w:rsidRPr="00B3619B">
        <w:rPr>
          <w:rFonts w:eastAsia="Times New Roman"/>
        </w:rPr>
        <w:t xml:space="preserve">2014;55:247–53. </w:t>
      </w:r>
    </w:p>
    <w:p w14:paraId="176B2844" w14:textId="51D0334E" w:rsidR="00B3234C" w:rsidRPr="00B3619B" w:rsidRDefault="00B3234C" w:rsidP="00B3619B">
      <w:pPr>
        <w:pStyle w:val="ListParagraph"/>
        <w:numPr>
          <w:ilvl w:val="0"/>
          <w:numId w:val="11"/>
        </w:numPr>
        <w:spacing w:before="100" w:beforeAutospacing="1" w:after="100" w:afterAutospacing="1" w:line="240" w:lineRule="auto"/>
        <w:rPr>
          <w:rFonts w:eastAsia="Times New Roman"/>
        </w:rPr>
      </w:pPr>
      <w:r w:rsidRPr="00B3619B">
        <w:rPr>
          <w:rFonts w:eastAsia="Times New Roman"/>
        </w:rPr>
        <w:t xml:space="preserve">NSW Ministry of Health. </w:t>
      </w:r>
      <w:r w:rsidRPr="00B3619B">
        <w:rPr>
          <w:rStyle w:val="Emphasis"/>
          <w:rFonts w:eastAsia="Times New Roman"/>
          <w:b w:val="0"/>
        </w:rPr>
        <w:t>NSW Sexually Transmissible Infections Strategy 2016–2020: Data Report January to December 2017.</w:t>
      </w:r>
      <w:r w:rsidRPr="00B3619B">
        <w:rPr>
          <w:rFonts w:eastAsia="Times New Roman"/>
        </w:rPr>
        <w:t xml:space="preserve"> SHPN: (CPH) 180164. Accessed 15 November 2018. Available at </w:t>
      </w:r>
      <w:r w:rsidRPr="00A1243B">
        <w:rPr>
          <w:rFonts w:eastAsia="Times New Roman"/>
        </w:rPr>
        <w:t>https://www.health.nsw.gov.au/Infectious/Reports/Publications/sti/nsw-2017-sti-report.pdf#page15</w:t>
      </w:r>
    </w:p>
    <w:p w14:paraId="04F468D0" w14:textId="77777777" w:rsidR="008B5348" w:rsidRDefault="008B5348" w:rsidP="00286073">
      <w:pPr>
        <w:pStyle w:val="NormalWeb"/>
        <w:rPr>
          <w:rStyle w:val="A10"/>
        </w:rPr>
      </w:pPr>
    </w:p>
    <w:p w14:paraId="2F659834" w14:textId="77777777" w:rsidR="008B5348" w:rsidRDefault="008B5348">
      <w:pPr>
        <w:rPr>
          <w:rStyle w:val="A10"/>
        </w:rPr>
        <w:sectPr w:rsidR="008B5348" w:rsidSect="00193F13">
          <w:headerReference w:type="default" r:id="rId10"/>
          <w:footerReference w:type="default" r:id="rId11"/>
          <w:footerReference w:type="first" r:id="rId12"/>
          <w:pgSz w:w="11906" w:h="16838"/>
          <w:pgMar w:top="720" w:right="720" w:bottom="1134" w:left="720" w:header="709" w:footer="284" w:gutter="0"/>
          <w:pgNumType w:start="1"/>
          <w:cols w:space="708"/>
          <w:titlePg/>
          <w:docGrid w:linePitch="360"/>
        </w:sectPr>
      </w:pPr>
    </w:p>
    <w:p w14:paraId="678CD5E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0F72F6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5E146A6" w14:textId="77777777" w:rsidR="000A5F42" w:rsidRPr="000606CC" w:rsidRDefault="000A5F42" w:rsidP="000A5F42">
      <w:pPr>
        <w:pStyle w:val="NoSpacing"/>
        <w:rPr>
          <w:rStyle w:val="URI"/>
          <w:rFonts w:cstheme="minorHAnsi"/>
          <w:sz w:val="20"/>
          <w:szCs w:val="18"/>
        </w:rPr>
      </w:pPr>
    </w:p>
    <w:p w14:paraId="6E6020C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8D731C9" w14:textId="77777777" w:rsidR="000A5F42" w:rsidRPr="000606CC" w:rsidRDefault="000A5F42" w:rsidP="000A5F42">
      <w:pPr>
        <w:pStyle w:val="NoSpacing"/>
        <w:rPr>
          <w:rStyle w:val="Strong"/>
          <w:rFonts w:cstheme="minorHAnsi"/>
          <w:sz w:val="20"/>
          <w:szCs w:val="18"/>
        </w:rPr>
      </w:pPr>
    </w:p>
    <w:p w14:paraId="729DD9A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2CB3388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28C65B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F25F83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EAF2EF7" w14:textId="77777777" w:rsidR="000A5F42" w:rsidRPr="000606CC" w:rsidRDefault="000A5F42" w:rsidP="000A5F42">
      <w:pPr>
        <w:pStyle w:val="NoSpacing"/>
        <w:rPr>
          <w:rStyle w:val="Strong"/>
          <w:rFonts w:cstheme="minorHAnsi"/>
          <w:sz w:val="20"/>
          <w:szCs w:val="18"/>
        </w:rPr>
      </w:pPr>
    </w:p>
    <w:p w14:paraId="61A9984A" w14:textId="5ABBEB2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2443190" w14:textId="77777777" w:rsidR="000A5F42" w:rsidRPr="000606CC" w:rsidRDefault="000A5F42" w:rsidP="000A5F42">
      <w:pPr>
        <w:pStyle w:val="NoSpacing"/>
        <w:rPr>
          <w:rStyle w:val="Strong"/>
          <w:rFonts w:cstheme="minorHAnsi"/>
          <w:sz w:val="20"/>
          <w:szCs w:val="18"/>
        </w:rPr>
      </w:pPr>
    </w:p>
    <w:p w14:paraId="4D2E439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2E4EA3B" w14:textId="77777777" w:rsidR="000A5F42" w:rsidRPr="000606CC" w:rsidRDefault="000A5F42" w:rsidP="000A5F42">
      <w:pPr>
        <w:pStyle w:val="NoSpacing"/>
        <w:rPr>
          <w:rStyle w:val="Strong"/>
          <w:rFonts w:cstheme="minorHAnsi"/>
          <w:sz w:val="20"/>
          <w:szCs w:val="18"/>
        </w:rPr>
      </w:pPr>
    </w:p>
    <w:p w14:paraId="22FA8724" w14:textId="18B0FE7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01F4248" w14:textId="77777777" w:rsidR="000A5F42" w:rsidRPr="000606CC" w:rsidRDefault="000A5F42" w:rsidP="000A5F42">
      <w:pPr>
        <w:pStyle w:val="NoSpacing"/>
        <w:rPr>
          <w:rStyle w:val="Strong"/>
          <w:rFonts w:cstheme="minorHAnsi"/>
          <w:sz w:val="20"/>
          <w:szCs w:val="18"/>
        </w:rPr>
      </w:pPr>
    </w:p>
    <w:p w14:paraId="4A3E723D" w14:textId="5C34928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8B15CD6" w14:textId="0C6D830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27435B54" w14:textId="77777777" w:rsidR="000A5F42" w:rsidRPr="000606CC" w:rsidRDefault="000A5F42" w:rsidP="000A5F42">
      <w:pPr>
        <w:pStyle w:val="NoSpacing"/>
        <w:pBdr>
          <w:bottom w:val="single" w:sz="6" w:space="1" w:color="auto"/>
        </w:pBdr>
        <w:rPr>
          <w:rStyle w:val="Strong"/>
          <w:rFonts w:cstheme="minorHAnsi"/>
          <w:sz w:val="12"/>
          <w:szCs w:val="18"/>
        </w:rPr>
      </w:pPr>
    </w:p>
    <w:p w14:paraId="5E137A55" w14:textId="77777777" w:rsidR="000A5F42" w:rsidRPr="000606CC" w:rsidRDefault="000A5F42" w:rsidP="000A5F42">
      <w:pPr>
        <w:pStyle w:val="NoSpacing"/>
        <w:rPr>
          <w:rFonts w:cstheme="minorHAnsi"/>
          <w:sz w:val="20"/>
          <w:szCs w:val="18"/>
        </w:rPr>
      </w:pPr>
    </w:p>
    <w:p w14:paraId="2C49006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7A103A7" w14:textId="77777777" w:rsidR="000A5F42" w:rsidRPr="000606CC" w:rsidRDefault="000A5F42" w:rsidP="000A5F42">
      <w:pPr>
        <w:pStyle w:val="NoSpacing"/>
        <w:rPr>
          <w:rFonts w:cstheme="minorHAnsi"/>
          <w:sz w:val="20"/>
          <w:szCs w:val="18"/>
        </w:rPr>
      </w:pPr>
    </w:p>
    <w:p w14:paraId="4715D2C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B448745"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F062D84" w14:textId="382B0BD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B0D1DC9" w14:textId="77777777" w:rsidR="000A5F42" w:rsidRPr="000606CC" w:rsidRDefault="000A5F42" w:rsidP="000A5F42">
      <w:pPr>
        <w:pStyle w:val="NoSpacing"/>
        <w:rPr>
          <w:rFonts w:cstheme="minorHAnsi"/>
          <w:sz w:val="20"/>
          <w:szCs w:val="18"/>
        </w:rPr>
      </w:pPr>
    </w:p>
    <w:p w14:paraId="313C732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771B3FF0" w14:textId="3620F0B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B70DC0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3B63D3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157D2E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143CDC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13A128D" w14:textId="77777777" w:rsidR="000A5F42" w:rsidRPr="000606CC" w:rsidRDefault="000A5F42" w:rsidP="000A5F42">
      <w:pPr>
        <w:pStyle w:val="NoSpacing"/>
        <w:rPr>
          <w:rStyle w:val="Strong"/>
          <w:rFonts w:cstheme="minorHAnsi"/>
          <w:sz w:val="20"/>
          <w:szCs w:val="18"/>
        </w:rPr>
      </w:pPr>
    </w:p>
    <w:p w14:paraId="4BE67B1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40D452F" w14:textId="77777777" w:rsidR="000A5F42" w:rsidRPr="000606CC" w:rsidRDefault="000A5F42" w:rsidP="000A5F42">
      <w:pPr>
        <w:pStyle w:val="NoSpacing"/>
        <w:rPr>
          <w:rStyle w:val="Strong"/>
          <w:rFonts w:cstheme="minorHAnsi"/>
          <w:sz w:val="20"/>
          <w:szCs w:val="18"/>
        </w:rPr>
      </w:pPr>
    </w:p>
    <w:p w14:paraId="6C240F29" w14:textId="6BFF0E2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E669819" w14:textId="77777777" w:rsidR="000A5F42" w:rsidRPr="000606CC" w:rsidRDefault="000A5F42" w:rsidP="000A5F42">
      <w:pPr>
        <w:pStyle w:val="NoSpacing"/>
        <w:rPr>
          <w:rStyle w:val="URI"/>
          <w:rFonts w:cstheme="minorHAnsi"/>
          <w:sz w:val="20"/>
          <w:szCs w:val="18"/>
        </w:rPr>
      </w:pPr>
    </w:p>
    <w:p w14:paraId="00E5C8D5" w14:textId="5946DB0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0A564D61" w14:textId="77777777" w:rsidR="001B37B8" w:rsidRPr="00E92237" w:rsidRDefault="001B37B8" w:rsidP="001B37B8">
      <w:pPr>
        <w:rPr>
          <w:rFonts w:cs="Myriad Pro"/>
          <w:color w:val="211D1E"/>
          <w:sz w:val="20"/>
          <w:szCs w:val="20"/>
        </w:rPr>
      </w:pPr>
    </w:p>
    <w:sectPr w:rsidR="001B37B8" w:rsidRPr="00E92237" w:rsidSect="00193F13">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133F" w14:textId="77777777" w:rsidR="00DC20B6" w:rsidRDefault="00DC20B6" w:rsidP="00E54DBA">
      <w:r>
        <w:separator/>
      </w:r>
    </w:p>
    <w:p w14:paraId="04875027" w14:textId="77777777" w:rsidR="00DC20B6" w:rsidRDefault="00DC20B6"/>
    <w:p w14:paraId="561A89BC" w14:textId="77777777" w:rsidR="00DC20B6" w:rsidRDefault="00DC20B6" w:rsidP="008714B0"/>
  </w:endnote>
  <w:endnote w:type="continuationSeparator" w:id="0">
    <w:p w14:paraId="7AFFB68E" w14:textId="77777777" w:rsidR="00DC20B6" w:rsidRDefault="00DC20B6" w:rsidP="00E54DBA">
      <w:r>
        <w:continuationSeparator/>
      </w:r>
    </w:p>
    <w:p w14:paraId="3F0B4D5D" w14:textId="77777777" w:rsidR="00DC20B6" w:rsidRDefault="00DC20B6"/>
    <w:p w14:paraId="2FA3B24B" w14:textId="77777777" w:rsidR="00DC20B6" w:rsidRDefault="00DC20B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603030403020204"/>
    <w:charset w:val="00"/>
    <w:family w:val="swiss"/>
    <w:notTrueType/>
    <w:pitch w:val="variable"/>
    <w:sig w:usb0="20000287" w:usb1="00000001" w:usb2="00000000" w:usb3="00000000" w:csb0="0000019F" w:csb1="00000000"/>
  </w:font>
  <w:font w:name="Minion Pro">
    <w:altName w:val="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2CE1" w14:textId="1BEF0DE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66CD4">
      <w:rPr>
        <w:noProof/>
        <w:sz w:val="18"/>
      </w:rPr>
      <w:t>7</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666CD4">
      <w:rPr>
        <w:noProof/>
        <w:sz w:val="18"/>
      </w:rPr>
      <w:t>7</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727B81">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72FCA">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72FCA">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51681">
      <w:rPr>
        <w:sz w:val="18"/>
      </w:rPr>
      <w:t>https://doi.org/10.33321/cdi.2019.43.23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51681">
      <w:rPr>
        <w:sz w:val="18"/>
      </w:rPr>
      <w:t>17/06/2019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6833" w14:textId="5C68CFC5"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66CD4">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66CD4">
      <w:rPr>
        <w:noProof/>
        <w:sz w:val="18"/>
      </w:rPr>
      <w:t>7</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727B81">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72FCA">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72FCA">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51681">
      <w:rPr>
        <w:sz w:val="18"/>
      </w:rPr>
      <w:t>https://doi.org/10.33321/cdi.2019.43.23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151681">
      <w:rPr>
        <w:sz w:val="18"/>
      </w:rPr>
      <w:t>17/06/2019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8812" w14:textId="77777777" w:rsidR="00DC20B6" w:rsidRDefault="00DC20B6" w:rsidP="00E54DBA">
      <w:r>
        <w:separator/>
      </w:r>
    </w:p>
    <w:p w14:paraId="064B052B" w14:textId="77777777" w:rsidR="00DC20B6" w:rsidRDefault="00DC20B6"/>
    <w:p w14:paraId="0711EF95" w14:textId="77777777" w:rsidR="00DC20B6" w:rsidRDefault="00DC20B6" w:rsidP="008714B0"/>
  </w:footnote>
  <w:footnote w:type="continuationSeparator" w:id="0">
    <w:p w14:paraId="45583F04" w14:textId="77777777" w:rsidR="00DC20B6" w:rsidRDefault="00DC20B6" w:rsidP="00E54DBA">
      <w:r>
        <w:continuationSeparator/>
      </w:r>
    </w:p>
    <w:p w14:paraId="65765072" w14:textId="77777777" w:rsidR="00DC20B6" w:rsidRDefault="00DC20B6"/>
    <w:p w14:paraId="06F91702" w14:textId="77777777" w:rsidR="00DC20B6" w:rsidRDefault="00DC20B6"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5056" w14:textId="77777777" w:rsidR="00257484" w:rsidRPr="00A153B6" w:rsidRDefault="00EE784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C5924">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5AF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2A0ECAE" wp14:editId="02A4ADC6">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036"/>
    <w:multiLevelType w:val="hybridMultilevel"/>
    <w:tmpl w:val="C666EA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30605"/>
    <w:multiLevelType w:val="multilevel"/>
    <w:tmpl w:val="285A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4B401D"/>
    <w:multiLevelType w:val="multilevel"/>
    <w:tmpl w:val="A45A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866157"/>
    <w:multiLevelType w:val="hybridMultilevel"/>
    <w:tmpl w:val="2B7EF6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C801ECE"/>
    <w:multiLevelType w:val="hybridMultilevel"/>
    <w:tmpl w:val="F954A97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11052954">
    <w:abstractNumId w:val="2"/>
  </w:num>
  <w:num w:numId="2" w16cid:durableId="86390350">
    <w:abstractNumId w:val="4"/>
  </w:num>
  <w:num w:numId="3" w16cid:durableId="1432894736">
    <w:abstractNumId w:val="5"/>
  </w:num>
  <w:num w:numId="4" w16cid:durableId="14041127">
    <w:abstractNumId w:val="1"/>
  </w:num>
  <w:num w:numId="5" w16cid:durableId="1423188343">
    <w:abstractNumId w:val="7"/>
  </w:num>
  <w:num w:numId="6" w16cid:durableId="656956385">
    <w:abstractNumId w:val="8"/>
  </w:num>
  <w:num w:numId="7" w16cid:durableId="606816598">
    <w:abstractNumId w:val="6"/>
  </w:num>
  <w:num w:numId="8" w16cid:durableId="1902641751">
    <w:abstractNumId w:val="3"/>
  </w:num>
  <w:num w:numId="9" w16cid:durableId="707219593">
    <w:abstractNumId w:val="0"/>
  </w:num>
  <w:num w:numId="10" w16cid:durableId="1888643416">
    <w:abstractNumId w:val="9"/>
  </w:num>
  <w:num w:numId="11" w16cid:durableId="2054500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CA"/>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1C54"/>
    <w:rsid w:val="000D4B4D"/>
    <w:rsid w:val="000D625E"/>
    <w:rsid w:val="00113D58"/>
    <w:rsid w:val="00124244"/>
    <w:rsid w:val="00125AA4"/>
    <w:rsid w:val="00151681"/>
    <w:rsid w:val="00155582"/>
    <w:rsid w:val="00161590"/>
    <w:rsid w:val="00171CC0"/>
    <w:rsid w:val="00172FCA"/>
    <w:rsid w:val="00175494"/>
    <w:rsid w:val="00175629"/>
    <w:rsid w:val="001830EC"/>
    <w:rsid w:val="00183534"/>
    <w:rsid w:val="00193F13"/>
    <w:rsid w:val="001A4A96"/>
    <w:rsid w:val="001A5D05"/>
    <w:rsid w:val="001A796C"/>
    <w:rsid w:val="001B2614"/>
    <w:rsid w:val="001B37B8"/>
    <w:rsid w:val="001B552F"/>
    <w:rsid w:val="001C0893"/>
    <w:rsid w:val="001C1303"/>
    <w:rsid w:val="001C70B2"/>
    <w:rsid w:val="001D37C7"/>
    <w:rsid w:val="001D6888"/>
    <w:rsid w:val="001E5C4E"/>
    <w:rsid w:val="0021577E"/>
    <w:rsid w:val="002276DC"/>
    <w:rsid w:val="00227E00"/>
    <w:rsid w:val="002307CB"/>
    <w:rsid w:val="00231046"/>
    <w:rsid w:val="00234F21"/>
    <w:rsid w:val="00236893"/>
    <w:rsid w:val="00242659"/>
    <w:rsid w:val="002428F7"/>
    <w:rsid w:val="0024315F"/>
    <w:rsid w:val="00252C9A"/>
    <w:rsid w:val="00256309"/>
    <w:rsid w:val="00257484"/>
    <w:rsid w:val="00260636"/>
    <w:rsid w:val="00275C78"/>
    <w:rsid w:val="00280594"/>
    <w:rsid w:val="00281EE3"/>
    <w:rsid w:val="002823E3"/>
    <w:rsid w:val="00284E4A"/>
    <w:rsid w:val="00286073"/>
    <w:rsid w:val="002A300A"/>
    <w:rsid w:val="002A3799"/>
    <w:rsid w:val="002A3BCC"/>
    <w:rsid w:val="002A4516"/>
    <w:rsid w:val="002A569F"/>
    <w:rsid w:val="002A7066"/>
    <w:rsid w:val="002B001E"/>
    <w:rsid w:val="002B09B7"/>
    <w:rsid w:val="002B75A9"/>
    <w:rsid w:val="002C21B0"/>
    <w:rsid w:val="002E2FB3"/>
    <w:rsid w:val="002E6CB6"/>
    <w:rsid w:val="002F327B"/>
    <w:rsid w:val="00301626"/>
    <w:rsid w:val="003059EC"/>
    <w:rsid w:val="00316CCD"/>
    <w:rsid w:val="00324F7E"/>
    <w:rsid w:val="003323BC"/>
    <w:rsid w:val="00346D42"/>
    <w:rsid w:val="00346E11"/>
    <w:rsid w:val="003601C0"/>
    <w:rsid w:val="003635F5"/>
    <w:rsid w:val="003711EB"/>
    <w:rsid w:val="00372A88"/>
    <w:rsid w:val="00381A0F"/>
    <w:rsid w:val="003A1B3A"/>
    <w:rsid w:val="003A40F5"/>
    <w:rsid w:val="003B31DC"/>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67C6"/>
    <w:rsid w:val="004D29DE"/>
    <w:rsid w:val="00510EAC"/>
    <w:rsid w:val="00542A57"/>
    <w:rsid w:val="0055577A"/>
    <w:rsid w:val="00565094"/>
    <w:rsid w:val="005732C0"/>
    <w:rsid w:val="0057336D"/>
    <w:rsid w:val="0057489A"/>
    <w:rsid w:val="00574ACF"/>
    <w:rsid w:val="00581588"/>
    <w:rsid w:val="00582038"/>
    <w:rsid w:val="0058540B"/>
    <w:rsid w:val="00587C87"/>
    <w:rsid w:val="00590B80"/>
    <w:rsid w:val="00591C2D"/>
    <w:rsid w:val="005B122A"/>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6CD4"/>
    <w:rsid w:val="0067562F"/>
    <w:rsid w:val="006971F3"/>
    <w:rsid w:val="006C74A3"/>
    <w:rsid w:val="006D1381"/>
    <w:rsid w:val="006D31BC"/>
    <w:rsid w:val="006E7943"/>
    <w:rsid w:val="006F24EA"/>
    <w:rsid w:val="00704CA9"/>
    <w:rsid w:val="0071048D"/>
    <w:rsid w:val="00710F86"/>
    <w:rsid w:val="007111A8"/>
    <w:rsid w:val="00727B81"/>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0343"/>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243B"/>
    <w:rsid w:val="00A153B6"/>
    <w:rsid w:val="00A164D5"/>
    <w:rsid w:val="00A273C3"/>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0627A"/>
    <w:rsid w:val="00B07ECB"/>
    <w:rsid w:val="00B132DB"/>
    <w:rsid w:val="00B31427"/>
    <w:rsid w:val="00B3234C"/>
    <w:rsid w:val="00B33861"/>
    <w:rsid w:val="00B3619B"/>
    <w:rsid w:val="00B40DE2"/>
    <w:rsid w:val="00B50210"/>
    <w:rsid w:val="00B53955"/>
    <w:rsid w:val="00B6408A"/>
    <w:rsid w:val="00B714B8"/>
    <w:rsid w:val="00B82C2C"/>
    <w:rsid w:val="00B8720B"/>
    <w:rsid w:val="00B876EF"/>
    <w:rsid w:val="00BA4697"/>
    <w:rsid w:val="00BB5378"/>
    <w:rsid w:val="00BC0BD3"/>
    <w:rsid w:val="00BC5924"/>
    <w:rsid w:val="00BD0107"/>
    <w:rsid w:val="00BE0C33"/>
    <w:rsid w:val="00BE262C"/>
    <w:rsid w:val="00BE6C3D"/>
    <w:rsid w:val="00C07606"/>
    <w:rsid w:val="00C12542"/>
    <w:rsid w:val="00C24725"/>
    <w:rsid w:val="00C30BA9"/>
    <w:rsid w:val="00C3541E"/>
    <w:rsid w:val="00C36A8F"/>
    <w:rsid w:val="00C42FFA"/>
    <w:rsid w:val="00C507D8"/>
    <w:rsid w:val="00C53426"/>
    <w:rsid w:val="00C62EAC"/>
    <w:rsid w:val="00C63F9F"/>
    <w:rsid w:val="00C7723C"/>
    <w:rsid w:val="00C838F5"/>
    <w:rsid w:val="00CA1AF4"/>
    <w:rsid w:val="00CA6068"/>
    <w:rsid w:val="00CB15E1"/>
    <w:rsid w:val="00CB3D46"/>
    <w:rsid w:val="00CC5B6C"/>
    <w:rsid w:val="00CD1A87"/>
    <w:rsid w:val="00CD35F3"/>
    <w:rsid w:val="00CD5C93"/>
    <w:rsid w:val="00CE342B"/>
    <w:rsid w:val="00CF320C"/>
    <w:rsid w:val="00CF3A4B"/>
    <w:rsid w:val="00CF4001"/>
    <w:rsid w:val="00D05837"/>
    <w:rsid w:val="00D12D8A"/>
    <w:rsid w:val="00D13E0C"/>
    <w:rsid w:val="00D25896"/>
    <w:rsid w:val="00D30ED9"/>
    <w:rsid w:val="00D373A1"/>
    <w:rsid w:val="00D37C0F"/>
    <w:rsid w:val="00D37FAD"/>
    <w:rsid w:val="00D45661"/>
    <w:rsid w:val="00D45943"/>
    <w:rsid w:val="00D47D22"/>
    <w:rsid w:val="00D51339"/>
    <w:rsid w:val="00D51865"/>
    <w:rsid w:val="00D51D0C"/>
    <w:rsid w:val="00D617D0"/>
    <w:rsid w:val="00D74140"/>
    <w:rsid w:val="00DA258D"/>
    <w:rsid w:val="00DA6E56"/>
    <w:rsid w:val="00DC20B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57B9A"/>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EE784E"/>
    <w:rsid w:val="00F0647F"/>
    <w:rsid w:val="00F10CE3"/>
    <w:rsid w:val="00F14F3B"/>
    <w:rsid w:val="00F16362"/>
    <w:rsid w:val="00F207C7"/>
    <w:rsid w:val="00F36B6D"/>
    <w:rsid w:val="00F43FA3"/>
    <w:rsid w:val="00F55648"/>
    <w:rsid w:val="00F70046"/>
    <w:rsid w:val="00F748C2"/>
    <w:rsid w:val="00F76C5C"/>
    <w:rsid w:val="00F81EF3"/>
    <w:rsid w:val="00F83AC3"/>
    <w:rsid w:val="00F84496"/>
    <w:rsid w:val="00F8523B"/>
    <w:rsid w:val="00F85DCB"/>
    <w:rsid w:val="00F86F9C"/>
    <w:rsid w:val="00FC002E"/>
    <w:rsid w:val="00FC4C23"/>
    <w:rsid w:val="00FC642E"/>
    <w:rsid w:val="00FD086D"/>
    <w:rsid w:val="00FE244B"/>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4D6D6A"/>
  <w15:docId w15:val="{410E7CE4-49D0-457B-9B5F-691E5DE4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582038"/>
    <w:rPr>
      <w:sz w:val="16"/>
      <w:szCs w:val="16"/>
    </w:rPr>
  </w:style>
  <w:style w:type="paragraph" w:styleId="CommentText">
    <w:name w:val="annotation text"/>
    <w:basedOn w:val="Normal"/>
    <w:link w:val="CommentTextChar"/>
    <w:uiPriority w:val="99"/>
    <w:semiHidden/>
    <w:unhideWhenUsed/>
    <w:rsid w:val="00582038"/>
    <w:pPr>
      <w:spacing w:line="240" w:lineRule="auto"/>
    </w:pPr>
    <w:rPr>
      <w:sz w:val="20"/>
      <w:szCs w:val="20"/>
    </w:rPr>
  </w:style>
  <w:style w:type="character" w:customStyle="1" w:styleId="CommentTextChar">
    <w:name w:val="Comment Text Char"/>
    <w:basedOn w:val="DefaultParagraphFont"/>
    <w:link w:val="CommentText"/>
    <w:uiPriority w:val="99"/>
    <w:semiHidden/>
    <w:rsid w:val="00582038"/>
    <w:rPr>
      <w:sz w:val="20"/>
      <w:szCs w:val="20"/>
    </w:rPr>
  </w:style>
  <w:style w:type="paragraph" w:styleId="CommentSubject">
    <w:name w:val="annotation subject"/>
    <w:basedOn w:val="CommentText"/>
    <w:next w:val="CommentText"/>
    <w:link w:val="CommentSubjectChar"/>
    <w:uiPriority w:val="99"/>
    <w:semiHidden/>
    <w:unhideWhenUsed/>
    <w:rsid w:val="00582038"/>
    <w:rPr>
      <w:b/>
      <w:bCs/>
    </w:rPr>
  </w:style>
  <w:style w:type="character" w:customStyle="1" w:styleId="CommentSubjectChar">
    <w:name w:val="Comment Subject Char"/>
    <w:basedOn w:val="CommentTextChar"/>
    <w:link w:val="CommentSubject"/>
    <w:uiPriority w:val="99"/>
    <w:semiHidden/>
    <w:rsid w:val="00582038"/>
    <w:rPr>
      <w:b/>
      <w:bCs/>
      <w:sz w:val="20"/>
      <w:szCs w:val="20"/>
    </w:rPr>
  </w:style>
  <w:style w:type="paragraph" w:customStyle="1" w:styleId="H2">
    <w:name w:val="H2"/>
    <w:basedOn w:val="Normal"/>
    <w:next w:val="Normal"/>
    <w:uiPriority w:val="99"/>
    <w:rsid w:val="00D51339"/>
    <w:pPr>
      <w:keepNext/>
      <w:suppressAutoHyphens/>
      <w:autoSpaceDE w:val="0"/>
      <w:autoSpaceDN w:val="0"/>
      <w:adjustRightInd w:val="0"/>
      <w:spacing w:after="113" w:line="288" w:lineRule="auto"/>
      <w:textAlignment w:val="baseline"/>
    </w:pPr>
    <w:rPr>
      <w:rFonts w:ascii="Myriad Pro Light" w:hAnsi="Myriad Pro Light" w:cs="Myriad Pro Light"/>
      <w:color w:val="000000"/>
      <w:sz w:val="26"/>
      <w:szCs w:val="26"/>
      <w:lang w:val="en-GB"/>
    </w:rPr>
  </w:style>
  <w:style w:type="paragraph" w:customStyle="1" w:styleId="Palignleft">
    <w:name w:val="P align left"/>
    <w:basedOn w:val="Normal"/>
    <w:uiPriority w:val="99"/>
    <w:rsid w:val="00D51339"/>
    <w:pPr>
      <w:autoSpaceDE w:val="0"/>
      <w:autoSpaceDN w:val="0"/>
      <w:adjustRightInd w:val="0"/>
      <w:spacing w:after="240" w:line="288" w:lineRule="auto"/>
      <w:textAlignment w:val="baseline"/>
    </w:pPr>
    <w:rPr>
      <w:rFonts w:ascii="Minion Pro" w:hAnsi="Minion Pro" w:cs="Minion Pro"/>
      <w:color w:val="000000"/>
      <w:sz w:val="24"/>
      <w:szCs w:val="24"/>
      <w:lang w:val="en-GB"/>
    </w:rPr>
  </w:style>
  <w:style w:type="character" w:styleId="FollowedHyperlink">
    <w:name w:val="FollowedHyperlink"/>
    <w:basedOn w:val="DefaultParagraphFont"/>
    <w:uiPriority w:val="99"/>
    <w:semiHidden/>
    <w:unhideWhenUsed/>
    <w:rsid w:val="00C534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1623550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s://ww2.health.wa.gov.au/Articles/A_E/Epidemiology-of-STIs-and-BBVs-in-Western-Australia"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C1D08-F656-4AF1-86A0-7525BB39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Communicable Diseases Intelligence 2019 - Gonorrhoea enhanced surveillance for indigenous status and risk factors in the south-eastern Sydney population</vt:lpstr>
    </vt:vector>
  </TitlesOfParts>
  <Company>Australian Government, Department of Health</Company>
  <LinksUpToDate>false</LinksUpToDate>
  <CharactersWithSpaces>19063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Gonorrhoea enhanced surveillance for indigenous status and risk factors in the south-eastern Sydney population</dc:title>
  <dc:subject>Gonorrhoea incidence is increasing in the Australian population. As a laboratory notifiable disease in NSW, information is not routinely available on indigenous status, sexual preference or other risk factors for infection. This study reports the results of a 12-month pilot of enhanced gonorrhoea surveillance in south-eastern Sydney in order to assess the feasibility of gathering this additional information routinely. For each notification in a south-eastern Sydney resident with a 2013 specimen date, a letter and questionnaire were sent to the requesting doctor seeking additional information. Of 1341 questionnaires sent, 1073 or 79.5 percent were returned, and men comprised 88.3 percent. Indigenous status was provided for 94.1 percent of cases, with seven identified as Aboriginal or Torres Strait Islander. Most men, 83 percent, but a minority of women, 19 percent, had same sex partners. Whilst 70 percent of men reported acquisition from a casual partner, only 46 percent of women thought they had acquired infection from a casual partner. The authors concluded that the high response rate and completeness of indigenous status were strong features of this enhanced surveillance pilot which also provided valuable information on sexual preference and other risk factors for infection. However, gathering of this information was very labour intensive to both clinicians and surveillance staff.</dc:subject>
  <dc:creator>Mark J Ferson;Kelly-Anne Ressler;Alma Nurkic and Paula J Spokes</dc:creator>
  <cp:keywords>Gonorrhoea; enhanced surveillance; indigenous status; risk factors; evaluation; men who</cp:keywords>
  <dc:description>© Commonwealth of Australia CC BY-NC-ND ISSN: 2209-6051 (Online)</dc:description>
  <cp:lastPrinted>2018-05-10T02:19:00Z</cp:lastPrinted>
  <dcterms:created xsi:type="dcterms:W3CDTF">2024-08-27T07:17:00Z</dcterms:created>
  <dcterms:modified xsi:type="dcterms:W3CDTF">2024-08-27T07:17:00Z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17/06/2019</vt:lpwstr>
  </property>
  <property fmtid="{D5CDD505-2E9C-101B-9397-08002B2CF9AE}" pid="5" name="DOI">
    <vt:lpwstr>https://doi.org/10.33321/cdi.2019.43.23</vt:lpwstr>
  </property>
</Properties>
</file>