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D782" w14:textId="77777777" w:rsidR="00FD3719" w:rsidRDefault="00FD3719" w:rsidP="00C93B04">
      <w:pPr>
        <w:pStyle w:val="Title"/>
        <w:rPr>
          <w:rFonts w:eastAsia="Times New Roman"/>
          <w:sz w:val="48"/>
          <w:szCs w:val="48"/>
        </w:rPr>
      </w:pPr>
      <w:r>
        <w:rPr>
          <w:rFonts w:eastAsia="Times New Roman"/>
        </w:rPr>
        <w:t xml:space="preserve">Potential </w:t>
      </w:r>
      <w:r w:rsidR="00034D85">
        <w:rPr>
          <w:rFonts w:eastAsia="Times New Roman"/>
        </w:rPr>
        <w:t>u</w:t>
      </w:r>
      <w:r>
        <w:rPr>
          <w:rFonts w:eastAsia="Times New Roman"/>
        </w:rPr>
        <w:t xml:space="preserve">se of Western Australia’s </w:t>
      </w:r>
      <w:r w:rsidR="00D960F3">
        <w:rPr>
          <w:rFonts w:eastAsia="Times New Roman"/>
        </w:rPr>
        <w:t>m</w:t>
      </w:r>
      <w:r>
        <w:rPr>
          <w:rFonts w:eastAsia="Times New Roman"/>
        </w:rPr>
        <w:t>andatory Mi</w:t>
      </w:r>
      <w:r w:rsidR="00034D85">
        <w:rPr>
          <w:rFonts w:eastAsia="Times New Roman"/>
        </w:rPr>
        <w:t>dwives Notification System for r</w:t>
      </w:r>
      <w:r>
        <w:rPr>
          <w:rFonts w:eastAsia="Times New Roman"/>
        </w:rPr>
        <w:t xml:space="preserve">outinely </w:t>
      </w:r>
      <w:r w:rsidR="00034D85">
        <w:rPr>
          <w:rFonts w:eastAsia="Times New Roman"/>
        </w:rPr>
        <w:t>m</w:t>
      </w:r>
      <w:r>
        <w:rPr>
          <w:rFonts w:eastAsia="Times New Roman"/>
        </w:rPr>
        <w:t xml:space="preserve">onitoring </w:t>
      </w:r>
      <w:r w:rsidR="00034D85">
        <w:rPr>
          <w:rFonts w:eastAsia="Times New Roman"/>
        </w:rPr>
        <w:t>a</w:t>
      </w:r>
      <w:r>
        <w:rPr>
          <w:rFonts w:eastAsia="Times New Roman"/>
        </w:rPr>
        <w:t xml:space="preserve">ntenatal </w:t>
      </w:r>
      <w:r w:rsidR="00034D85">
        <w:rPr>
          <w:rFonts w:eastAsia="Times New Roman"/>
        </w:rPr>
        <w:t>v</w:t>
      </w:r>
      <w:r>
        <w:rPr>
          <w:rFonts w:eastAsia="Times New Roman"/>
        </w:rPr>
        <w:t xml:space="preserve">accine </w:t>
      </w:r>
      <w:r w:rsidR="00034D85">
        <w:rPr>
          <w:rFonts w:eastAsia="Times New Roman"/>
        </w:rPr>
        <w:t>c</w:t>
      </w:r>
      <w:r>
        <w:rPr>
          <w:rFonts w:eastAsia="Times New Roman"/>
        </w:rPr>
        <w:t>overage</w:t>
      </w:r>
    </w:p>
    <w:p w14:paraId="222E6CFF" w14:textId="77777777" w:rsidR="00FD3719" w:rsidRDefault="00FD3719" w:rsidP="00C93B04">
      <w:r>
        <w:t xml:space="preserve">Annette K. Regan, Paul V. </w:t>
      </w:r>
      <w:proofErr w:type="spellStart"/>
      <w:r>
        <w:t>Effler</w:t>
      </w:r>
      <w:proofErr w:type="spellEnd"/>
      <w:r>
        <w:t>, Chloe Thomson, Donna B. Mak</w:t>
      </w:r>
    </w:p>
    <w:p w14:paraId="6A183326" w14:textId="77777777" w:rsidR="00FD3719" w:rsidRPr="00C93B04" w:rsidRDefault="00FD3719" w:rsidP="00C93B04">
      <w:pPr>
        <w:pStyle w:val="Heading1"/>
      </w:pPr>
      <w:r w:rsidRPr="00C93B04">
        <w:t>Abstract</w:t>
      </w:r>
    </w:p>
    <w:p w14:paraId="3D6F21B4" w14:textId="77777777" w:rsidR="00FD3719" w:rsidRPr="00C93B04" w:rsidRDefault="00FD3719" w:rsidP="00C93B04">
      <w:pPr>
        <w:pStyle w:val="Heading2"/>
      </w:pPr>
      <w:r w:rsidRPr="00C93B04">
        <w:t>Background</w:t>
      </w:r>
    </w:p>
    <w:p w14:paraId="6B6CDB9E" w14:textId="77777777" w:rsidR="00FD3719" w:rsidRDefault="00FD3719" w:rsidP="00C93B04">
      <w:r>
        <w:t xml:space="preserve">Despite the maternal and infant health benefits of antenatal vaccines and availability of government-funded vaccination programs, Australia does not have a national system for routinely monitoring antenatal vaccination coverage. We evaluated the potential use of Western Australia’s mandatory Midwives Notification System (MNS) as a tool for routinely monitoring antenatal vaccination coverage. </w:t>
      </w:r>
    </w:p>
    <w:p w14:paraId="4A322573" w14:textId="77777777" w:rsidR="00FD3719" w:rsidRPr="00C93B04" w:rsidRDefault="00FD3719" w:rsidP="00C93B04">
      <w:pPr>
        <w:pStyle w:val="Heading2"/>
      </w:pPr>
      <w:r w:rsidRPr="00C93B04">
        <w:t>Methods</w:t>
      </w:r>
    </w:p>
    <w:p w14:paraId="00D379BC" w14:textId="77777777" w:rsidR="00FD3719" w:rsidRDefault="00FD3719" w:rsidP="00C93B04">
      <w:r>
        <w:t>Two hundred and sixty-eight women who gave birth to a live infant between August and October 2016 participated in a telephone survey of vaccines received in their most recent pregnancy. For women who reported receiving influenza and/or pertussis vaccine and whose vaccination status was documented by their vaccine provider, MNS vaccination data were compared with the vaccine provider’s record as the ‘gold standard.’ For women who reported receiving no vaccines, MNS vaccination data were compared with self-reported information.</w:t>
      </w:r>
    </w:p>
    <w:p w14:paraId="4BF1C350" w14:textId="77777777" w:rsidR="00FD3719" w:rsidRPr="00C93B04" w:rsidRDefault="00FD3719" w:rsidP="00C93B04">
      <w:pPr>
        <w:pStyle w:val="Heading2"/>
      </w:pPr>
      <w:r w:rsidRPr="00C93B04">
        <w:t>Results</w:t>
      </w:r>
    </w:p>
    <w:p w14:paraId="14DEBFBD" w14:textId="77777777" w:rsidR="00FD3719" w:rsidRDefault="00FD3719" w:rsidP="00C93B04">
      <w:r>
        <w:t>Influenza and pertussis vaccination status was complete (i.e. documented as either vaccinated or not vaccinated) for 66% and 63% of women, respectively. Sensitivity of MNS influenza vaccination data was 65.7% (95% CI 56.0-74.2%) and specificity was 53.0% (95% CI 42.4-63.4%). Sensitivity of MNS pertussis vaccination data was 62.5% (95% CI 53.3-70.9%) and specificity was 40.4% (95% CI 27.6-54.7%). There was no difference between vaccinated and unvaccinated women in the proportion of MNS records with missing or unknown vaccination information. When considering only MNS records with complete vaccination information, the sensitivity of the MNS influenza vaccination field was 91.8% (95% CI 83.0-96.9%) and the sensitivity of the MNS pertussis vaccination field was 88.0% (95% CI 76.7-95.5%).</w:t>
      </w:r>
    </w:p>
    <w:p w14:paraId="406E7546" w14:textId="77777777" w:rsidR="00FD3719" w:rsidRPr="00C93B04" w:rsidRDefault="00FD3719" w:rsidP="00C93B04">
      <w:pPr>
        <w:pStyle w:val="Heading2"/>
      </w:pPr>
      <w:r w:rsidRPr="00C93B04">
        <w:t>Conclusion</w:t>
      </w:r>
    </w:p>
    <w:p w14:paraId="6895E06F" w14:textId="77777777" w:rsidR="00FD3719" w:rsidRDefault="00FD3719" w:rsidP="00C93B04">
      <w:r>
        <w:t>Due to the high proportion of records with missing or unknown vaccination status, we observed low sensitivity and specificity of antenatal vaccination data in the MNS. However, given we did not observe differential ascertainment by vaccination status, MNS records with complete information may be reliable data source for routinely monitoring antenatal vaccine coverage.</w:t>
      </w:r>
    </w:p>
    <w:p w14:paraId="58CFF2A4" w14:textId="77777777" w:rsidR="00FD3719" w:rsidRDefault="00FD3719" w:rsidP="00C93B04">
      <w:r>
        <w:t>Keywords: Antenatal vaccination, pregnancy, vaccine surveillance, vaccine coverage, influenza vaccine, pertussis vaccine, public health, evaluation</w:t>
      </w:r>
    </w:p>
    <w:p w14:paraId="3C9C6222" w14:textId="77777777" w:rsidR="00FD3719" w:rsidRPr="00C13AF8" w:rsidRDefault="00FD3719" w:rsidP="00C13AF8">
      <w:pPr>
        <w:pStyle w:val="Heading1"/>
      </w:pPr>
      <w:r w:rsidRPr="00C13AF8">
        <w:t>Article summary</w:t>
      </w:r>
    </w:p>
    <w:p w14:paraId="566D830C" w14:textId="77777777" w:rsidR="00FD3719" w:rsidRDefault="00FD3719" w:rsidP="00C13AF8">
      <w:r>
        <w:t xml:space="preserve">We evaluated the use of Western Australia’s mandatory Midwives Notification System (MNS) for routinely monitoring antenatal vaccine coverage. Despite the low proportion of completed vaccine fields, complete vaccine </w:t>
      </w:r>
      <w:r>
        <w:lastRenderedPageBreak/>
        <w:t>information in the MNS was highly reliable and is a potential source of state-wide vaccine coverage data for public health surveillance.</w:t>
      </w:r>
    </w:p>
    <w:p w14:paraId="42495540" w14:textId="77777777" w:rsidR="00FD3719" w:rsidRPr="00C13AF8" w:rsidRDefault="00FD3719" w:rsidP="00C13AF8">
      <w:pPr>
        <w:pStyle w:val="Heading1"/>
      </w:pPr>
      <w:r w:rsidRPr="00C13AF8">
        <w:t>Introduction</w:t>
      </w:r>
    </w:p>
    <w:p w14:paraId="125855B0" w14:textId="77777777" w:rsidR="00FD3719" w:rsidRDefault="00FD3719" w:rsidP="00C13AF8">
      <w:r>
        <w:t>Influenza and pertussis-containing vaccines are routinely recommended for pregnant women in Australia</w:t>
      </w:r>
      <w:r>
        <w:rPr>
          <w:vertAlign w:val="superscript"/>
        </w:rPr>
        <w:t>1</w:t>
      </w:r>
      <w:r>
        <w:t xml:space="preserve"> and other developed countries</w:t>
      </w:r>
      <w:r>
        <w:rPr>
          <w:vertAlign w:val="superscript"/>
        </w:rPr>
        <w:t>2-4</w:t>
      </w:r>
      <w:r>
        <w:t xml:space="preserve"> , as seasonal influenza vaccine can prevent up to 63% of influenza infections in infants and 36% of febrile respiratory illnesses in pregnant women</w:t>
      </w:r>
      <w:r>
        <w:rPr>
          <w:vertAlign w:val="superscript"/>
        </w:rPr>
        <w:t>5,6</w:t>
      </w:r>
      <w:r>
        <w:t xml:space="preserve"> and antenatal pertussis vaccination can prevent up to 91% of infections in infants &lt;2 months of age.</w:t>
      </w:r>
      <w:r>
        <w:rPr>
          <w:vertAlign w:val="superscript"/>
        </w:rPr>
        <w:t>7-10</w:t>
      </w:r>
      <w:r>
        <w:t xml:space="preserve"> Despite these benefits, uptake of influenza and pertussis vaccines by pregnant women in Australia and other countries has been suboptimal.</w:t>
      </w:r>
      <w:r>
        <w:rPr>
          <w:vertAlign w:val="superscript"/>
        </w:rPr>
        <w:t>11-14</w:t>
      </w:r>
      <w:r>
        <w:t xml:space="preserve"> Recently published estimates in Western Australia suggest that fewer than 50% of pregnant women received an influenza vaccine in 2014</w:t>
      </w:r>
      <w:r>
        <w:rPr>
          <w:vertAlign w:val="superscript"/>
        </w:rPr>
        <w:t>15</w:t>
      </w:r>
      <w:r>
        <w:t xml:space="preserve"> and in 2015, 62% of Aboriginal women received an influenza vaccine; 63% received a pertussis vaccine.</w:t>
      </w:r>
      <w:r>
        <w:rPr>
          <w:vertAlign w:val="superscript"/>
        </w:rPr>
        <w:t>16</w:t>
      </w:r>
      <w:r>
        <w:t xml:space="preserve"> </w:t>
      </w:r>
    </w:p>
    <w:p w14:paraId="61DC07D1" w14:textId="77777777" w:rsidR="00FD3719" w:rsidRDefault="00FD3719" w:rsidP="00C13AF8">
      <w:r>
        <w:t>To improve vaccine coverage in Australia, routine monitoring of vaccine coverage in pregnant women will be needed to inform targeted vaccine promotion strategies. Unfortunately, Australia does not currently have a routine national data collection for monitoring vaccine uptake in pregnancy. We investigated the potential use of the mandatory Midwives Notification System (MNS) in Western Australia as a tool for routine monitoring of antenatal influenza and pertussis vaccination coverage.</w:t>
      </w:r>
    </w:p>
    <w:p w14:paraId="5124D6AF" w14:textId="77777777" w:rsidR="00FD3719" w:rsidRPr="00C13AF8" w:rsidRDefault="00FD3719" w:rsidP="00C13AF8">
      <w:pPr>
        <w:pStyle w:val="Heading1"/>
      </w:pPr>
      <w:r w:rsidRPr="00C13AF8">
        <w:t>Methods</w:t>
      </w:r>
    </w:p>
    <w:p w14:paraId="0D4CD7C9" w14:textId="77777777" w:rsidR="00FD3719" w:rsidRDefault="00FD3719" w:rsidP="00C13AF8">
      <w:r>
        <w:t>The MNS is a mandated perinatal data collection system, capturing information on &gt;99% of births in Western Australia.</w:t>
      </w:r>
      <w:r>
        <w:rPr>
          <w:vertAlign w:val="superscript"/>
        </w:rPr>
        <w:t>17</w:t>
      </w:r>
      <w:r>
        <w:t xml:space="preserve"> It includes information on the health of the mother and neonate, including pregnancy and labour complications and procedures during pregnancy. The ‘Notification of Case Attending’ form is used to provide this information and is completed by the first medical professional attending the birth (typically a midwife). In July 2016, 4 additional variables were introduced to the ‘Notification of Case Attending’ form to collect influenza and pertussis vaccination status and the trimester of vaccination during pregnancy.</w:t>
      </w:r>
      <w:r>
        <w:rPr>
          <w:vertAlign w:val="superscript"/>
        </w:rPr>
        <w:t>18</w:t>
      </w:r>
      <w:r>
        <w:t xml:space="preserve"> This information is now maintained as part of the MNS.</w:t>
      </w:r>
    </w:p>
    <w:p w14:paraId="57FEF630" w14:textId="77777777" w:rsidR="00FD3719" w:rsidRDefault="00FD3719" w:rsidP="00C13AF8">
      <w:r>
        <w:t>Since 2012, the Department of Health Western Australia has conducted annual surveys of antenatal vaccination coverage.</w:t>
      </w:r>
      <w:r>
        <w:rPr>
          <w:vertAlign w:val="superscript"/>
        </w:rPr>
        <w:t>15</w:t>
      </w:r>
      <w:r>
        <w:t xml:space="preserve"> In brief, a random sample of women aged ≥18 years who gave birth to a live infant between April and October are selected and sent a letter describing procedures opting-out. Women who do not opt-out are contacted by telephone and asked to provide sociodemographic information, whether a provider recommended any vaccines to them, whether they received any vaccines, and reasons why they were or were not vaccinated. For vaccinated women, permission was obtained to contact their immunisation provider to verify their vaccination record.</w:t>
      </w:r>
    </w:p>
    <w:p w14:paraId="6B3763CE" w14:textId="77777777" w:rsidR="00FD3719" w:rsidRDefault="00FD3719" w:rsidP="00C13AF8">
      <w:r>
        <w:t xml:space="preserve">We requested vaccination fields from the MNS for all women who participated in the survey and gave birth in August 2016 (at least one month after the introduction of the mandatory vaccination field) through October 2016. We verified the vaccination information obtained from the MNS against the woman’s self-reported and medically-verified vaccination status (vaccinated women) and against the woman’s self-reported vaccination status (unvaccinated women). Vaccinated women were those who self-reported receiving a vaccine during pregnancy and whose nominated vaccination provider confirmed the vaccination record. Unvaccinated women were those who self-reported receiving no vaccine during pregnancy. Using this information, we estimated the positive predictive value (PPV), negative predictive value (NPV), sensitivity and specificity of vaccination information obtained from the MNS, overall and by trimester of vaccination (influenza only) and the woman’s antenatal care provider. Supplementary analyses estimated sensitivity and specificity after excluding incomplete vaccination fields in the </w:t>
      </w:r>
      <w:r>
        <w:lastRenderedPageBreak/>
        <w:t xml:space="preserve">MNS. Women whose vaccination status in their MNS record was either ‘vaccinated’ or ‘not vaccinated’, i.e. not ‘missing’ or ‘unknown’, were considered as having complete vaccination information in the MNS. To investigate whether data recorded in the MNS as missing or unknown vaccination status were distributed randomly among vaccinated and unvaccinated women, we performed chi-square analyses comparing characteristics of women with complete vaccination information in the MNS to women with missing unknown vaccination status in the MNS. This study was approved by the WA Department of Health’s Human Research Ethics Committee (approval # 2015/29). </w:t>
      </w:r>
    </w:p>
    <w:p w14:paraId="46FCC3E8" w14:textId="77777777" w:rsidR="00FD3719" w:rsidRPr="00C13AF8" w:rsidRDefault="00FD3719" w:rsidP="00C13AF8">
      <w:pPr>
        <w:pStyle w:val="Heading1"/>
      </w:pPr>
      <w:r w:rsidRPr="00C13AF8">
        <w:t>Results</w:t>
      </w:r>
    </w:p>
    <w:p w14:paraId="69F46EAD" w14:textId="77777777" w:rsidR="00FD3719" w:rsidRDefault="00FD3719" w:rsidP="00C13AF8">
      <w:r>
        <w:t>A total of 277 women completed the telephone survey. Nine women were excluded because they had missing demographic information (n=5) or did not self-report a vaccination status (n=4). Information from the remaining 268 participating women was available for the final validation analysis (Figure 1). Of the 185 women who self-reported receiving seasonal influenza vaccine, 178 gave permission to verify their vaccination details with their immunisation provider, 102 of which were successfully verified. Of the 268 women who self-reported receiving a pertussis vaccine during pregnancy, 215 gave permission to verify their vaccination record, 112 of which could be confirmed by the immunisation provider. The final sample for the validation analysis included the vaccination records of 212 women: 185 in the analysis of influenza vaccination (102 vaccinated, 83 non-vaccinated) and 159 in the analysis of pertussis vaccination (112 vaccinated, 47 unvaccinated). Of the 76 influenza and 103 pertussis vaccinations that were not verified, reasons for lack of verification included incorrect or insufficient contact details for vaccination provider, no response from vaccination provider after at least 3 contact attempts by telephone and email over at least 3 weeks, and in cases where the provider was contacted, the provider could not confirm the vaccination record. The characteristics (for which state-wide data were available) of women who completed the survey were similar to the characteristics of women who gave birth in the state during the study time period (Table 1).</w:t>
      </w:r>
    </w:p>
    <w:p w14:paraId="6146C30E" w14:textId="77777777" w:rsidR="009E7ACD" w:rsidRDefault="009E7ACD">
      <w:pPr>
        <w:sectPr w:rsidR="009E7ACD" w:rsidSect="00656427">
          <w:headerReference w:type="default" r:id="rId9"/>
          <w:footerReference w:type="default" r:id="rId10"/>
          <w:footerReference w:type="first" r:id="rId11"/>
          <w:pgSz w:w="11906" w:h="16838"/>
          <w:pgMar w:top="720" w:right="720" w:bottom="1134" w:left="720" w:header="709" w:footer="284" w:gutter="0"/>
          <w:pgNumType w:start="1"/>
          <w:cols w:space="708"/>
          <w:titlePg/>
          <w:docGrid w:linePitch="360"/>
        </w:sectPr>
      </w:pPr>
    </w:p>
    <w:p w14:paraId="72B5D29D" w14:textId="77777777" w:rsidR="00FD3719" w:rsidRDefault="00FD3719" w:rsidP="009E7ACD">
      <w:pPr>
        <w:pStyle w:val="CDIFigures"/>
      </w:pPr>
      <w:r>
        <w:lastRenderedPageBreak/>
        <w:t>Figure 1. Selection of verification sample from telephone survey of new mothers – Western Australia, 2016.</w:t>
      </w:r>
    </w:p>
    <w:p w14:paraId="445DCBC5" w14:textId="77777777" w:rsidR="00FD3719" w:rsidRDefault="00FD3719" w:rsidP="00726265">
      <w:pPr>
        <w:pStyle w:val="NormalWeb"/>
      </w:pPr>
      <w:r>
        <w:rPr>
          <w:noProof/>
        </w:rPr>
        <w:drawing>
          <wp:inline distT="0" distB="0" distL="0" distR="0" wp14:anchorId="1C2E8924">
            <wp:extent cx="9519314" cy="5841690"/>
            <wp:effectExtent l="0" t="0" r="5715" b="6985"/>
            <wp:docPr id="2" name="Picture 2" descr="Figure 1 is a flow diagram showing the selection of participants included in the final sample for analysis. The diagram begins with 528 women who completed the telephone survey and shows the exclusion of 251 women who could not be contacted or declined participation in the survey, nine women with missing information, 13 women who did not provide consent for the researchers to verify their vaccination status, and 179 women whose vaccination status could not be confirmed by their nominated immunisation provi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flow diagram showing the selection of participants included in the final sample for analysis. The diagram begins with 528 women who completed the telephone survey and shows the exclusion of 251 women who could not be contacted or declined participation in the survey, nine women with missing information, 13 women who did not provide consent for the researchers to verify their vaccination status, and 179 women whose vaccination status could not be confirmed by their nominated immunisation provide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37214" cy="5852675"/>
                    </a:xfrm>
                    <a:prstGeom prst="rect">
                      <a:avLst/>
                    </a:prstGeom>
                    <a:noFill/>
                    <a:ln>
                      <a:noFill/>
                    </a:ln>
                  </pic:spPr>
                </pic:pic>
              </a:graphicData>
            </a:graphic>
          </wp:inline>
        </w:drawing>
      </w:r>
    </w:p>
    <w:p w14:paraId="5D5F0C6C" w14:textId="77777777" w:rsidR="001409E5" w:rsidRDefault="001409E5">
      <w:pPr>
        <w:rPr>
          <w:b/>
        </w:rPr>
        <w:sectPr w:rsidR="001409E5" w:rsidSect="00726265">
          <w:pgSz w:w="16838" w:h="11906" w:orient="landscape"/>
          <w:pgMar w:top="720" w:right="720" w:bottom="720" w:left="1134" w:header="709" w:footer="284" w:gutter="0"/>
          <w:cols w:space="708"/>
          <w:titlePg/>
          <w:docGrid w:linePitch="360"/>
        </w:sectPr>
      </w:pPr>
    </w:p>
    <w:p w14:paraId="226C6C7E" w14:textId="77777777" w:rsidR="00FD3719" w:rsidRDefault="00FD3719" w:rsidP="003C652A">
      <w:pPr>
        <w:pStyle w:val="CDIFigures"/>
      </w:pPr>
      <w:r>
        <w:lastRenderedPageBreak/>
        <w:t xml:space="preserve">Table 1. Characteristics of pregnant women included in analysis (n=268) – Western Australia, 2016.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1 presents the characteristics of the 268 pregnant women who were included in the final analysis as compared to the characteristics of all pregnant women in Western Australia during the same time period."/>
      </w:tblPr>
      <w:tblGrid>
        <w:gridCol w:w="2431"/>
        <w:gridCol w:w="1888"/>
        <w:gridCol w:w="1889"/>
        <w:gridCol w:w="2128"/>
        <w:gridCol w:w="2130"/>
      </w:tblGrid>
      <w:tr w:rsidR="00FD3719" w14:paraId="5B90C1BD" w14:textId="77777777" w:rsidTr="00E83FA2">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348AEEC6" w14:textId="77777777" w:rsidR="00FD3719" w:rsidRPr="0091686D" w:rsidRDefault="00FD3719">
            <w:pPr>
              <w:pStyle w:val="NormalWeb"/>
              <w:rPr>
                <w:color w:val="FFFFFF" w:themeColor="background1"/>
              </w:rPr>
            </w:pPr>
            <w:r w:rsidRPr="0091686D">
              <w:rPr>
                <w:color w:val="FFFFFF" w:themeColor="background1"/>
              </w:rPr>
              <w:t>Characteristic</w:t>
            </w:r>
          </w:p>
        </w:tc>
        <w:tc>
          <w:tcPr>
            <w:tcW w:w="0" w:type="auto"/>
            <w:gridSpan w:val="2"/>
            <w:tcBorders>
              <w:right w:val="single" w:sz="2" w:space="0" w:color="FFFFFF" w:themeColor="background1"/>
            </w:tcBorders>
            <w:hideMark/>
          </w:tcPr>
          <w:p w14:paraId="50F6E2F7" w14:textId="77777777" w:rsidR="00FD3719" w:rsidRPr="0091686D" w:rsidRDefault="00FD3719" w:rsidP="006D2D67">
            <w:pPr>
              <w:pStyle w:val="NormalWeb"/>
              <w:jc w:val="center"/>
              <w:rPr>
                <w:color w:val="FFFFFF" w:themeColor="background1"/>
              </w:rPr>
            </w:pPr>
            <w:r w:rsidRPr="0091686D">
              <w:rPr>
                <w:color w:val="FFFFFF" w:themeColor="background1"/>
              </w:rPr>
              <w:t>Pregnant women included in analysis</w:t>
            </w:r>
          </w:p>
        </w:tc>
        <w:tc>
          <w:tcPr>
            <w:tcW w:w="0" w:type="auto"/>
            <w:gridSpan w:val="2"/>
            <w:tcBorders>
              <w:left w:val="single" w:sz="2" w:space="0" w:color="FFFFFF" w:themeColor="background1"/>
            </w:tcBorders>
            <w:hideMark/>
          </w:tcPr>
          <w:p w14:paraId="2A6E110C" w14:textId="77777777" w:rsidR="00FD3719" w:rsidRPr="0091686D" w:rsidRDefault="00FD3719" w:rsidP="006D2D67">
            <w:pPr>
              <w:pStyle w:val="NormalWeb"/>
              <w:jc w:val="center"/>
              <w:rPr>
                <w:color w:val="FFFFFF" w:themeColor="background1"/>
              </w:rPr>
            </w:pPr>
            <w:r w:rsidRPr="0091686D">
              <w:rPr>
                <w:color w:val="FFFFFF" w:themeColor="background1"/>
              </w:rPr>
              <w:t>Pregnant women in state during study period</w:t>
            </w:r>
          </w:p>
        </w:tc>
      </w:tr>
      <w:tr w:rsidR="00FD3719" w14:paraId="202D343D" w14:textId="77777777" w:rsidTr="00E83FA2">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5B655B55" w14:textId="77777777" w:rsidR="00FD3719" w:rsidRPr="0091686D" w:rsidRDefault="00FD3719">
            <w:pPr>
              <w:rPr>
                <w:color w:val="FFFFFF" w:themeColor="background1"/>
              </w:rPr>
            </w:pPr>
          </w:p>
        </w:tc>
        <w:tc>
          <w:tcPr>
            <w:tcW w:w="0" w:type="auto"/>
            <w:tcBorders>
              <w:right w:val="single" w:sz="2" w:space="0" w:color="FFFFFF" w:themeColor="background1"/>
            </w:tcBorders>
            <w:hideMark/>
          </w:tcPr>
          <w:p w14:paraId="5A6DA664" w14:textId="77777777" w:rsidR="00FD3719" w:rsidRPr="0091686D" w:rsidRDefault="00FD3719" w:rsidP="006D2D67">
            <w:pPr>
              <w:pStyle w:val="NormalWeb"/>
              <w:jc w:val="center"/>
              <w:rPr>
                <w:color w:val="FFFFFF" w:themeColor="background1"/>
                <w:sz w:val="24"/>
                <w:szCs w:val="24"/>
              </w:rPr>
            </w:pPr>
            <w:r w:rsidRPr="0091686D">
              <w:rPr>
                <w:color w:val="FFFFFF" w:themeColor="background1"/>
              </w:rPr>
              <w:t>n</w:t>
            </w:r>
          </w:p>
        </w:tc>
        <w:tc>
          <w:tcPr>
            <w:tcW w:w="0" w:type="auto"/>
            <w:tcBorders>
              <w:left w:val="single" w:sz="2" w:space="0" w:color="FFFFFF" w:themeColor="background1"/>
              <w:right w:val="single" w:sz="2" w:space="0" w:color="FFFFFF" w:themeColor="background1"/>
            </w:tcBorders>
            <w:hideMark/>
          </w:tcPr>
          <w:p w14:paraId="3B95345A" w14:textId="77777777" w:rsidR="00FD3719" w:rsidRPr="0091686D" w:rsidRDefault="00FD3719" w:rsidP="006D2D67">
            <w:pPr>
              <w:pStyle w:val="NormalWeb"/>
              <w:jc w:val="center"/>
              <w:rPr>
                <w:color w:val="FFFFFF" w:themeColor="background1"/>
              </w:rPr>
            </w:pPr>
            <w:r w:rsidRPr="0091686D">
              <w:rPr>
                <w:color w:val="FFFFFF" w:themeColor="background1"/>
              </w:rPr>
              <w:t>%</w:t>
            </w:r>
          </w:p>
        </w:tc>
        <w:tc>
          <w:tcPr>
            <w:tcW w:w="0" w:type="auto"/>
            <w:tcBorders>
              <w:left w:val="single" w:sz="2" w:space="0" w:color="FFFFFF" w:themeColor="background1"/>
              <w:right w:val="single" w:sz="2" w:space="0" w:color="FFFFFF" w:themeColor="background1"/>
            </w:tcBorders>
            <w:hideMark/>
          </w:tcPr>
          <w:p w14:paraId="66063B5B" w14:textId="77777777" w:rsidR="00FD3719" w:rsidRPr="0091686D" w:rsidRDefault="00FD3719" w:rsidP="006D2D67">
            <w:pPr>
              <w:pStyle w:val="NormalWeb"/>
              <w:jc w:val="center"/>
              <w:rPr>
                <w:color w:val="FFFFFF" w:themeColor="background1"/>
              </w:rPr>
            </w:pPr>
            <w:r w:rsidRPr="0091686D">
              <w:rPr>
                <w:color w:val="FFFFFF" w:themeColor="background1"/>
              </w:rPr>
              <w:t>N</w:t>
            </w:r>
          </w:p>
        </w:tc>
        <w:tc>
          <w:tcPr>
            <w:tcW w:w="0" w:type="auto"/>
            <w:tcBorders>
              <w:left w:val="single" w:sz="2" w:space="0" w:color="FFFFFF" w:themeColor="background1"/>
            </w:tcBorders>
            <w:hideMark/>
          </w:tcPr>
          <w:p w14:paraId="18200A06" w14:textId="77777777" w:rsidR="00FD3719" w:rsidRPr="0091686D" w:rsidRDefault="00FD3719" w:rsidP="006D2D67">
            <w:pPr>
              <w:pStyle w:val="NormalWeb"/>
              <w:jc w:val="center"/>
              <w:rPr>
                <w:color w:val="FFFFFF" w:themeColor="background1"/>
              </w:rPr>
            </w:pPr>
            <w:r w:rsidRPr="0091686D">
              <w:rPr>
                <w:color w:val="FFFFFF" w:themeColor="background1"/>
              </w:rPr>
              <w:t>%</w:t>
            </w:r>
          </w:p>
        </w:tc>
      </w:tr>
      <w:tr w:rsidR="00245107" w:rsidRPr="00245107" w14:paraId="75308A93" w14:textId="77777777" w:rsidTr="0018495B">
        <w:tc>
          <w:tcPr>
            <w:tcW w:w="0" w:type="auto"/>
            <w:shd w:val="clear" w:color="auto" w:fill="808080" w:themeFill="background1" w:themeFillShade="80"/>
            <w:hideMark/>
          </w:tcPr>
          <w:p w14:paraId="0139DA83" w14:textId="77777777" w:rsidR="00FD3719" w:rsidRPr="00245107" w:rsidRDefault="00FD3719">
            <w:pPr>
              <w:pStyle w:val="NormalWeb"/>
              <w:rPr>
                <w:color w:val="FFFFFF" w:themeColor="background1"/>
              </w:rPr>
            </w:pPr>
            <w:r w:rsidRPr="00245107">
              <w:rPr>
                <w:color w:val="FFFFFF" w:themeColor="background1"/>
              </w:rPr>
              <w:t>Age group</w:t>
            </w:r>
          </w:p>
        </w:tc>
        <w:tc>
          <w:tcPr>
            <w:tcW w:w="1888" w:type="dxa"/>
            <w:tcBorders>
              <w:right w:val="single" w:sz="2" w:space="0" w:color="auto"/>
            </w:tcBorders>
            <w:shd w:val="clear" w:color="auto" w:fill="808080" w:themeFill="background1" w:themeFillShade="80"/>
            <w:hideMark/>
          </w:tcPr>
          <w:p w14:paraId="2380789B" w14:textId="77777777" w:rsidR="00FD3719" w:rsidRPr="00245107" w:rsidRDefault="00FD3719" w:rsidP="006D2D67">
            <w:pPr>
              <w:jc w:val="center"/>
              <w:rPr>
                <w:color w:val="FFFFFF" w:themeColor="background1"/>
              </w:rPr>
            </w:pPr>
          </w:p>
        </w:tc>
        <w:tc>
          <w:tcPr>
            <w:tcW w:w="1889" w:type="dxa"/>
            <w:tcBorders>
              <w:left w:val="single" w:sz="2" w:space="0" w:color="auto"/>
              <w:right w:val="single" w:sz="2" w:space="0" w:color="auto"/>
            </w:tcBorders>
            <w:shd w:val="clear" w:color="auto" w:fill="808080" w:themeFill="background1" w:themeFillShade="80"/>
            <w:hideMark/>
          </w:tcPr>
          <w:p w14:paraId="129FA1D0" w14:textId="77777777" w:rsidR="00FD3719" w:rsidRPr="00245107" w:rsidRDefault="00FD3719" w:rsidP="006D2D67">
            <w:pPr>
              <w:jc w:val="center"/>
              <w:rPr>
                <w:rFonts w:eastAsia="Times New Roman"/>
                <w:color w:val="FFFFFF" w:themeColor="background1"/>
                <w:sz w:val="20"/>
                <w:szCs w:val="20"/>
              </w:rPr>
            </w:pPr>
          </w:p>
        </w:tc>
        <w:tc>
          <w:tcPr>
            <w:tcW w:w="1888" w:type="dxa"/>
            <w:tcBorders>
              <w:left w:val="single" w:sz="2" w:space="0" w:color="auto"/>
              <w:right w:val="single" w:sz="2" w:space="0" w:color="auto"/>
            </w:tcBorders>
            <w:shd w:val="clear" w:color="auto" w:fill="808080" w:themeFill="background1" w:themeFillShade="80"/>
            <w:hideMark/>
          </w:tcPr>
          <w:p w14:paraId="110F5CD4" w14:textId="77777777" w:rsidR="00FD3719" w:rsidRPr="00245107" w:rsidRDefault="00FD3719" w:rsidP="006D2D67">
            <w:pPr>
              <w:jc w:val="center"/>
              <w:rPr>
                <w:rFonts w:eastAsia="Times New Roman"/>
                <w:color w:val="FFFFFF" w:themeColor="background1"/>
                <w:sz w:val="20"/>
                <w:szCs w:val="20"/>
              </w:rPr>
            </w:pPr>
          </w:p>
        </w:tc>
        <w:tc>
          <w:tcPr>
            <w:tcW w:w="1889" w:type="dxa"/>
            <w:tcBorders>
              <w:left w:val="single" w:sz="2" w:space="0" w:color="auto"/>
            </w:tcBorders>
            <w:shd w:val="clear" w:color="auto" w:fill="808080" w:themeFill="background1" w:themeFillShade="80"/>
            <w:hideMark/>
          </w:tcPr>
          <w:p w14:paraId="1568EBF3" w14:textId="77777777" w:rsidR="00FD3719" w:rsidRPr="00245107" w:rsidRDefault="00FD3719" w:rsidP="006D2D67">
            <w:pPr>
              <w:jc w:val="center"/>
              <w:rPr>
                <w:rFonts w:eastAsia="Times New Roman"/>
                <w:color w:val="FFFFFF" w:themeColor="background1"/>
                <w:sz w:val="20"/>
                <w:szCs w:val="20"/>
              </w:rPr>
            </w:pPr>
          </w:p>
        </w:tc>
      </w:tr>
      <w:tr w:rsidR="00FD3719" w14:paraId="3A23A5E4"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624121EC" w14:textId="77777777" w:rsidR="00FD3719" w:rsidRDefault="00FD3719">
            <w:pPr>
              <w:pStyle w:val="NormalWeb"/>
              <w:rPr>
                <w:sz w:val="24"/>
                <w:szCs w:val="24"/>
              </w:rPr>
            </w:pPr>
            <w:r>
              <w:t>18-24 years</w:t>
            </w:r>
          </w:p>
        </w:tc>
        <w:tc>
          <w:tcPr>
            <w:tcW w:w="1888" w:type="dxa"/>
            <w:tcBorders>
              <w:right w:val="single" w:sz="2" w:space="0" w:color="auto"/>
            </w:tcBorders>
            <w:hideMark/>
          </w:tcPr>
          <w:p w14:paraId="77BF4E58" w14:textId="77777777" w:rsidR="00FD3719" w:rsidRDefault="00FD3719" w:rsidP="006D2D67">
            <w:pPr>
              <w:pStyle w:val="NormalWeb"/>
              <w:jc w:val="center"/>
            </w:pPr>
            <w:r>
              <w:t>35</w:t>
            </w:r>
          </w:p>
        </w:tc>
        <w:tc>
          <w:tcPr>
            <w:tcW w:w="1889" w:type="dxa"/>
            <w:tcBorders>
              <w:left w:val="single" w:sz="2" w:space="0" w:color="auto"/>
              <w:right w:val="single" w:sz="2" w:space="0" w:color="auto"/>
            </w:tcBorders>
            <w:hideMark/>
          </w:tcPr>
          <w:p w14:paraId="012D9097" w14:textId="77777777" w:rsidR="00FD3719" w:rsidRDefault="00FD3719" w:rsidP="006D2D67">
            <w:pPr>
              <w:pStyle w:val="NormalWeb"/>
              <w:jc w:val="center"/>
            </w:pPr>
            <w:r>
              <w:t>13%</w:t>
            </w:r>
          </w:p>
        </w:tc>
        <w:tc>
          <w:tcPr>
            <w:tcW w:w="1888" w:type="dxa"/>
            <w:tcBorders>
              <w:left w:val="single" w:sz="2" w:space="0" w:color="auto"/>
              <w:right w:val="single" w:sz="2" w:space="0" w:color="auto"/>
            </w:tcBorders>
            <w:hideMark/>
          </w:tcPr>
          <w:p w14:paraId="4C10A5D4" w14:textId="77777777" w:rsidR="00FD3719" w:rsidRDefault="00FD3719" w:rsidP="006D2D67">
            <w:pPr>
              <w:pStyle w:val="NormalWeb"/>
              <w:jc w:val="center"/>
            </w:pPr>
            <w:r>
              <w:t>818</w:t>
            </w:r>
          </w:p>
        </w:tc>
        <w:tc>
          <w:tcPr>
            <w:tcW w:w="1889" w:type="dxa"/>
            <w:tcBorders>
              <w:left w:val="single" w:sz="2" w:space="0" w:color="auto"/>
            </w:tcBorders>
            <w:hideMark/>
          </w:tcPr>
          <w:p w14:paraId="35B69FF7" w14:textId="77777777" w:rsidR="00FD3719" w:rsidRDefault="00FD3719" w:rsidP="006D2D67">
            <w:pPr>
              <w:pStyle w:val="NormalWeb"/>
              <w:jc w:val="center"/>
            </w:pPr>
            <w:r>
              <w:t>14%</w:t>
            </w:r>
          </w:p>
        </w:tc>
      </w:tr>
      <w:tr w:rsidR="0018495B" w14:paraId="325FA179" w14:textId="77777777" w:rsidTr="0018495B">
        <w:tc>
          <w:tcPr>
            <w:tcW w:w="0" w:type="auto"/>
            <w:hideMark/>
          </w:tcPr>
          <w:p w14:paraId="049FE988" w14:textId="77777777" w:rsidR="00FD3719" w:rsidRDefault="00FD3719">
            <w:pPr>
              <w:pStyle w:val="NormalWeb"/>
            </w:pPr>
            <w:r>
              <w:t>25-29 years</w:t>
            </w:r>
          </w:p>
        </w:tc>
        <w:tc>
          <w:tcPr>
            <w:tcW w:w="1888" w:type="dxa"/>
            <w:tcBorders>
              <w:right w:val="single" w:sz="2" w:space="0" w:color="auto"/>
            </w:tcBorders>
            <w:hideMark/>
          </w:tcPr>
          <w:p w14:paraId="05CEC7BF" w14:textId="77777777" w:rsidR="00FD3719" w:rsidRDefault="00FD3719" w:rsidP="006D2D67">
            <w:pPr>
              <w:pStyle w:val="NormalWeb"/>
              <w:jc w:val="center"/>
            </w:pPr>
            <w:r>
              <w:t>75</w:t>
            </w:r>
          </w:p>
        </w:tc>
        <w:tc>
          <w:tcPr>
            <w:tcW w:w="1889" w:type="dxa"/>
            <w:tcBorders>
              <w:left w:val="single" w:sz="2" w:space="0" w:color="auto"/>
              <w:right w:val="single" w:sz="2" w:space="0" w:color="auto"/>
            </w:tcBorders>
            <w:hideMark/>
          </w:tcPr>
          <w:p w14:paraId="68D1ACD9" w14:textId="77777777" w:rsidR="00FD3719" w:rsidRDefault="00FD3719" w:rsidP="006D2D67">
            <w:pPr>
              <w:pStyle w:val="NormalWeb"/>
              <w:jc w:val="center"/>
            </w:pPr>
            <w:r>
              <w:t>28%</w:t>
            </w:r>
          </w:p>
        </w:tc>
        <w:tc>
          <w:tcPr>
            <w:tcW w:w="1888" w:type="dxa"/>
            <w:tcBorders>
              <w:left w:val="single" w:sz="2" w:space="0" w:color="auto"/>
              <w:right w:val="single" w:sz="2" w:space="0" w:color="auto"/>
            </w:tcBorders>
            <w:hideMark/>
          </w:tcPr>
          <w:p w14:paraId="4EE0DF17" w14:textId="77777777" w:rsidR="00FD3719" w:rsidRDefault="00FD3719" w:rsidP="006D2D67">
            <w:pPr>
              <w:pStyle w:val="NormalWeb"/>
              <w:jc w:val="center"/>
            </w:pPr>
            <w:r>
              <w:t>1,662</w:t>
            </w:r>
          </w:p>
        </w:tc>
        <w:tc>
          <w:tcPr>
            <w:tcW w:w="1889" w:type="dxa"/>
            <w:tcBorders>
              <w:left w:val="single" w:sz="2" w:space="0" w:color="auto"/>
            </w:tcBorders>
            <w:hideMark/>
          </w:tcPr>
          <w:p w14:paraId="23DB6287" w14:textId="77777777" w:rsidR="00FD3719" w:rsidRDefault="00FD3719" w:rsidP="006D2D67">
            <w:pPr>
              <w:pStyle w:val="NormalWeb"/>
              <w:jc w:val="center"/>
            </w:pPr>
            <w:r>
              <w:t>28%</w:t>
            </w:r>
          </w:p>
        </w:tc>
      </w:tr>
      <w:tr w:rsidR="00FD3719" w14:paraId="392A6C2C"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19C25CED" w14:textId="77777777" w:rsidR="00FD3719" w:rsidRDefault="00FD3719">
            <w:pPr>
              <w:pStyle w:val="NormalWeb"/>
            </w:pPr>
            <w:r>
              <w:t>30-34 years</w:t>
            </w:r>
          </w:p>
        </w:tc>
        <w:tc>
          <w:tcPr>
            <w:tcW w:w="1888" w:type="dxa"/>
            <w:tcBorders>
              <w:right w:val="single" w:sz="2" w:space="0" w:color="auto"/>
            </w:tcBorders>
            <w:hideMark/>
          </w:tcPr>
          <w:p w14:paraId="5073ABE4" w14:textId="77777777" w:rsidR="00FD3719" w:rsidRDefault="00FD3719" w:rsidP="006D2D67">
            <w:pPr>
              <w:pStyle w:val="NormalWeb"/>
              <w:jc w:val="center"/>
            </w:pPr>
            <w:r>
              <w:t>103</w:t>
            </w:r>
          </w:p>
        </w:tc>
        <w:tc>
          <w:tcPr>
            <w:tcW w:w="1889" w:type="dxa"/>
            <w:tcBorders>
              <w:left w:val="single" w:sz="2" w:space="0" w:color="auto"/>
              <w:right w:val="single" w:sz="2" w:space="0" w:color="auto"/>
            </w:tcBorders>
            <w:hideMark/>
          </w:tcPr>
          <w:p w14:paraId="009621B9" w14:textId="77777777" w:rsidR="00FD3719" w:rsidRDefault="00FD3719" w:rsidP="006D2D67">
            <w:pPr>
              <w:pStyle w:val="NormalWeb"/>
              <w:jc w:val="center"/>
            </w:pPr>
            <w:r>
              <w:t>38%</w:t>
            </w:r>
          </w:p>
        </w:tc>
        <w:tc>
          <w:tcPr>
            <w:tcW w:w="1888" w:type="dxa"/>
            <w:tcBorders>
              <w:left w:val="single" w:sz="2" w:space="0" w:color="auto"/>
              <w:right w:val="single" w:sz="2" w:space="0" w:color="auto"/>
            </w:tcBorders>
            <w:hideMark/>
          </w:tcPr>
          <w:p w14:paraId="1A986C28" w14:textId="77777777" w:rsidR="00FD3719" w:rsidRDefault="00FD3719" w:rsidP="006D2D67">
            <w:pPr>
              <w:pStyle w:val="NormalWeb"/>
              <w:jc w:val="center"/>
            </w:pPr>
            <w:r>
              <w:t>2,205</w:t>
            </w:r>
          </w:p>
        </w:tc>
        <w:tc>
          <w:tcPr>
            <w:tcW w:w="1889" w:type="dxa"/>
            <w:tcBorders>
              <w:left w:val="single" w:sz="2" w:space="0" w:color="auto"/>
            </w:tcBorders>
            <w:hideMark/>
          </w:tcPr>
          <w:p w14:paraId="647A0BFA" w14:textId="77777777" w:rsidR="00FD3719" w:rsidRDefault="00FD3719" w:rsidP="006D2D67">
            <w:pPr>
              <w:pStyle w:val="NormalWeb"/>
              <w:jc w:val="center"/>
            </w:pPr>
            <w:r>
              <w:t>37%</w:t>
            </w:r>
          </w:p>
        </w:tc>
      </w:tr>
      <w:tr w:rsidR="0018495B" w14:paraId="7C9F9910" w14:textId="77777777" w:rsidTr="0018495B">
        <w:tc>
          <w:tcPr>
            <w:tcW w:w="0" w:type="auto"/>
            <w:hideMark/>
          </w:tcPr>
          <w:p w14:paraId="2B8496D2" w14:textId="77777777" w:rsidR="00FD3719" w:rsidRDefault="00FD3719">
            <w:pPr>
              <w:pStyle w:val="NormalWeb"/>
            </w:pPr>
            <w:r>
              <w:t>35-39 years</w:t>
            </w:r>
          </w:p>
        </w:tc>
        <w:tc>
          <w:tcPr>
            <w:tcW w:w="1888" w:type="dxa"/>
            <w:tcBorders>
              <w:right w:val="single" w:sz="2" w:space="0" w:color="auto"/>
            </w:tcBorders>
            <w:hideMark/>
          </w:tcPr>
          <w:p w14:paraId="189AD108" w14:textId="77777777" w:rsidR="00FD3719" w:rsidRDefault="00FD3719" w:rsidP="006D2D67">
            <w:pPr>
              <w:pStyle w:val="NormalWeb"/>
              <w:jc w:val="center"/>
            </w:pPr>
            <w:r>
              <w:t>45</w:t>
            </w:r>
          </w:p>
        </w:tc>
        <w:tc>
          <w:tcPr>
            <w:tcW w:w="1889" w:type="dxa"/>
            <w:tcBorders>
              <w:left w:val="single" w:sz="2" w:space="0" w:color="auto"/>
              <w:right w:val="single" w:sz="2" w:space="0" w:color="auto"/>
            </w:tcBorders>
            <w:hideMark/>
          </w:tcPr>
          <w:p w14:paraId="0651D21D" w14:textId="77777777" w:rsidR="00FD3719" w:rsidRDefault="00FD3719" w:rsidP="006D2D67">
            <w:pPr>
              <w:pStyle w:val="NormalWeb"/>
              <w:jc w:val="center"/>
            </w:pPr>
            <w:r>
              <w:t>16%</w:t>
            </w:r>
          </w:p>
        </w:tc>
        <w:tc>
          <w:tcPr>
            <w:tcW w:w="1888" w:type="dxa"/>
            <w:tcBorders>
              <w:left w:val="single" w:sz="2" w:space="0" w:color="auto"/>
              <w:right w:val="single" w:sz="2" w:space="0" w:color="auto"/>
            </w:tcBorders>
            <w:hideMark/>
          </w:tcPr>
          <w:p w14:paraId="0BF64A7A" w14:textId="77777777" w:rsidR="00FD3719" w:rsidRDefault="00FD3719" w:rsidP="006D2D67">
            <w:pPr>
              <w:pStyle w:val="NormalWeb"/>
              <w:jc w:val="center"/>
            </w:pPr>
            <w:r>
              <w:t>1,074</w:t>
            </w:r>
          </w:p>
        </w:tc>
        <w:tc>
          <w:tcPr>
            <w:tcW w:w="1889" w:type="dxa"/>
            <w:tcBorders>
              <w:left w:val="single" w:sz="2" w:space="0" w:color="auto"/>
            </w:tcBorders>
            <w:hideMark/>
          </w:tcPr>
          <w:p w14:paraId="0293D6AF" w14:textId="77777777" w:rsidR="00FD3719" w:rsidRDefault="00FD3719" w:rsidP="006D2D67">
            <w:pPr>
              <w:pStyle w:val="NormalWeb"/>
              <w:jc w:val="center"/>
            </w:pPr>
            <w:r>
              <w:t>18%</w:t>
            </w:r>
          </w:p>
        </w:tc>
      </w:tr>
      <w:tr w:rsidR="00FD3719" w14:paraId="62354518"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11C00270" w14:textId="77777777" w:rsidR="00FD3719" w:rsidRDefault="00FD3719">
            <w:pPr>
              <w:pStyle w:val="NormalWeb"/>
            </w:pPr>
            <w:r>
              <w:t>≥40 years</w:t>
            </w:r>
          </w:p>
        </w:tc>
        <w:tc>
          <w:tcPr>
            <w:tcW w:w="1888" w:type="dxa"/>
            <w:tcBorders>
              <w:right w:val="single" w:sz="2" w:space="0" w:color="auto"/>
            </w:tcBorders>
            <w:hideMark/>
          </w:tcPr>
          <w:p w14:paraId="0E2A4467" w14:textId="77777777" w:rsidR="00FD3719" w:rsidRDefault="00FD3719" w:rsidP="006D2D67">
            <w:pPr>
              <w:pStyle w:val="NormalWeb"/>
              <w:jc w:val="center"/>
            </w:pPr>
            <w:r>
              <w:t>10</w:t>
            </w:r>
          </w:p>
        </w:tc>
        <w:tc>
          <w:tcPr>
            <w:tcW w:w="1889" w:type="dxa"/>
            <w:tcBorders>
              <w:left w:val="single" w:sz="2" w:space="0" w:color="auto"/>
              <w:right w:val="single" w:sz="2" w:space="0" w:color="auto"/>
            </w:tcBorders>
            <w:hideMark/>
          </w:tcPr>
          <w:p w14:paraId="068EE25D" w14:textId="77777777" w:rsidR="00FD3719" w:rsidRDefault="00FD3719" w:rsidP="006D2D67">
            <w:pPr>
              <w:pStyle w:val="NormalWeb"/>
              <w:jc w:val="center"/>
            </w:pPr>
            <w:r>
              <w:t>4%</w:t>
            </w:r>
          </w:p>
        </w:tc>
        <w:tc>
          <w:tcPr>
            <w:tcW w:w="1888" w:type="dxa"/>
            <w:tcBorders>
              <w:left w:val="single" w:sz="2" w:space="0" w:color="auto"/>
              <w:right w:val="single" w:sz="2" w:space="0" w:color="auto"/>
            </w:tcBorders>
            <w:hideMark/>
          </w:tcPr>
          <w:p w14:paraId="328EAD14" w14:textId="77777777" w:rsidR="00FD3719" w:rsidRDefault="00FD3719" w:rsidP="006D2D67">
            <w:pPr>
              <w:pStyle w:val="NormalWeb"/>
              <w:jc w:val="center"/>
            </w:pPr>
            <w:r>
              <w:t>186</w:t>
            </w:r>
          </w:p>
        </w:tc>
        <w:tc>
          <w:tcPr>
            <w:tcW w:w="1889" w:type="dxa"/>
            <w:tcBorders>
              <w:left w:val="single" w:sz="2" w:space="0" w:color="auto"/>
            </w:tcBorders>
            <w:hideMark/>
          </w:tcPr>
          <w:p w14:paraId="2692A0F3" w14:textId="77777777" w:rsidR="00FD3719" w:rsidRDefault="00FD3719" w:rsidP="006D2D67">
            <w:pPr>
              <w:pStyle w:val="NormalWeb"/>
              <w:jc w:val="center"/>
            </w:pPr>
            <w:r>
              <w:t>3%</w:t>
            </w:r>
          </w:p>
        </w:tc>
      </w:tr>
      <w:tr w:rsidR="00245107" w:rsidRPr="00245107" w14:paraId="04696F3C" w14:textId="77777777" w:rsidTr="0018495B">
        <w:tc>
          <w:tcPr>
            <w:tcW w:w="0" w:type="auto"/>
            <w:shd w:val="clear" w:color="auto" w:fill="808080" w:themeFill="background1" w:themeFillShade="80"/>
            <w:hideMark/>
          </w:tcPr>
          <w:p w14:paraId="30A89A1D" w14:textId="77777777" w:rsidR="00FD3719" w:rsidRPr="00245107" w:rsidRDefault="00FD3719">
            <w:pPr>
              <w:pStyle w:val="NormalWeb"/>
              <w:rPr>
                <w:color w:val="FFFFFF" w:themeColor="background1"/>
              </w:rPr>
            </w:pPr>
            <w:r w:rsidRPr="00245107">
              <w:rPr>
                <w:color w:val="FFFFFF" w:themeColor="background1"/>
              </w:rPr>
              <w:t>Socioeconomic level</w:t>
            </w:r>
          </w:p>
        </w:tc>
        <w:tc>
          <w:tcPr>
            <w:tcW w:w="1888" w:type="dxa"/>
            <w:tcBorders>
              <w:right w:val="single" w:sz="2" w:space="0" w:color="auto"/>
            </w:tcBorders>
            <w:shd w:val="clear" w:color="auto" w:fill="808080" w:themeFill="background1" w:themeFillShade="80"/>
            <w:hideMark/>
          </w:tcPr>
          <w:p w14:paraId="4F2D0FB2" w14:textId="77777777" w:rsidR="00FD3719" w:rsidRPr="00245107" w:rsidRDefault="00FD3719" w:rsidP="006D2D67">
            <w:pPr>
              <w:jc w:val="center"/>
              <w:rPr>
                <w:color w:val="FFFFFF" w:themeColor="background1"/>
              </w:rPr>
            </w:pPr>
          </w:p>
        </w:tc>
        <w:tc>
          <w:tcPr>
            <w:tcW w:w="1889" w:type="dxa"/>
            <w:tcBorders>
              <w:left w:val="single" w:sz="2" w:space="0" w:color="auto"/>
              <w:right w:val="single" w:sz="2" w:space="0" w:color="auto"/>
            </w:tcBorders>
            <w:shd w:val="clear" w:color="auto" w:fill="808080" w:themeFill="background1" w:themeFillShade="80"/>
            <w:hideMark/>
          </w:tcPr>
          <w:p w14:paraId="0EBFEC3E" w14:textId="77777777" w:rsidR="00FD3719" w:rsidRPr="00245107" w:rsidRDefault="00FD3719" w:rsidP="006D2D67">
            <w:pPr>
              <w:jc w:val="center"/>
              <w:rPr>
                <w:rFonts w:eastAsia="Times New Roman"/>
                <w:color w:val="FFFFFF" w:themeColor="background1"/>
                <w:sz w:val="20"/>
                <w:szCs w:val="20"/>
              </w:rPr>
            </w:pPr>
          </w:p>
        </w:tc>
        <w:tc>
          <w:tcPr>
            <w:tcW w:w="1888" w:type="dxa"/>
            <w:tcBorders>
              <w:left w:val="single" w:sz="2" w:space="0" w:color="auto"/>
              <w:right w:val="single" w:sz="2" w:space="0" w:color="auto"/>
            </w:tcBorders>
            <w:shd w:val="clear" w:color="auto" w:fill="808080" w:themeFill="background1" w:themeFillShade="80"/>
            <w:hideMark/>
          </w:tcPr>
          <w:p w14:paraId="73D6D26C" w14:textId="77777777" w:rsidR="00FD3719" w:rsidRPr="00245107" w:rsidRDefault="00FD3719" w:rsidP="006D2D67">
            <w:pPr>
              <w:jc w:val="center"/>
              <w:rPr>
                <w:rFonts w:eastAsia="Times New Roman"/>
                <w:color w:val="FFFFFF" w:themeColor="background1"/>
                <w:sz w:val="20"/>
                <w:szCs w:val="20"/>
              </w:rPr>
            </w:pPr>
          </w:p>
        </w:tc>
        <w:tc>
          <w:tcPr>
            <w:tcW w:w="1889" w:type="dxa"/>
            <w:tcBorders>
              <w:left w:val="single" w:sz="2" w:space="0" w:color="auto"/>
            </w:tcBorders>
            <w:shd w:val="clear" w:color="auto" w:fill="808080" w:themeFill="background1" w:themeFillShade="80"/>
            <w:hideMark/>
          </w:tcPr>
          <w:p w14:paraId="13537984" w14:textId="77777777" w:rsidR="00FD3719" w:rsidRPr="00245107" w:rsidRDefault="00FD3719" w:rsidP="006D2D67">
            <w:pPr>
              <w:jc w:val="center"/>
              <w:rPr>
                <w:rFonts w:eastAsia="Times New Roman"/>
                <w:color w:val="FFFFFF" w:themeColor="background1"/>
                <w:sz w:val="20"/>
                <w:szCs w:val="20"/>
              </w:rPr>
            </w:pPr>
          </w:p>
        </w:tc>
      </w:tr>
      <w:tr w:rsidR="00FD3719" w14:paraId="25526085"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5BDCFFB3" w14:textId="77777777" w:rsidR="00FD3719" w:rsidRDefault="00FD3719">
            <w:pPr>
              <w:pStyle w:val="NormalWeb"/>
              <w:rPr>
                <w:sz w:val="24"/>
                <w:szCs w:val="24"/>
              </w:rPr>
            </w:pPr>
            <w:r>
              <w:t>Lowest 20%</w:t>
            </w:r>
          </w:p>
        </w:tc>
        <w:tc>
          <w:tcPr>
            <w:tcW w:w="1888" w:type="dxa"/>
            <w:tcBorders>
              <w:right w:val="single" w:sz="2" w:space="0" w:color="auto"/>
            </w:tcBorders>
            <w:hideMark/>
          </w:tcPr>
          <w:p w14:paraId="484A6AFD" w14:textId="77777777" w:rsidR="00FD3719" w:rsidRDefault="00FD3719" w:rsidP="006D2D67">
            <w:pPr>
              <w:pStyle w:val="NormalWeb"/>
              <w:jc w:val="center"/>
            </w:pPr>
            <w:r>
              <w:t>21</w:t>
            </w:r>
          </w:p>
        </w:tc>
        <w:tc>
          <w:tcPr>
            <w:tcW w:w="1889" w:type="dxa"/>
            <w:tcBorders>
              <w:left w:val="single" w:sz="2" w:space="0" w:color="auto"/>
              <w:right w:val="single" w:sz="2" w:space="0" w:color="auto"/>
            </w:tcBorders>
            <w:hideMark/>
          </w:tcPr>
          <w:p w14:paraId="69F75A81" w14:textId="77777777" w:rsidR="00FD3719" w:rsidRDefault="00FD3719" w:rsidP="006D2D67">
            <w:pPr>
              <w:pStyle w:val="NormalWeb"/>
              <w:jc w:val="center"/>
            </w:pPr>
            <w:r>
              <w:t>8%</w:t>
            </w:r>
          </w:p>
        </w:tc>
        <w:tc>
          <w:tcPr>
            <w:tcW w:w="1888" w:type="dxa"/>
            <w:tcBorders>
              <w:left w:val="single" w:sz="2" w:space="0" w:color="auto"/>
              <w:right w:val="single" w:sz="2" w:space="0" w:color="auto"/>
            </w:tcBorders>
            <w:hideMark/>
          </w:tcPr>
          <w:p w14:paraId="5157E499" w14:textId="77777777" w:rsidR="00FD3719" w:rsidRDefault="00FD3719" w:rsidP="006D2D67">
            <w:pPr>
              <w:pStyle w:val="NormalWeb"/>
              <w:jc w:val="center"/>
            </w:pPr>
            <w:r>
              <w:t>—</w:t>
            </w:r>
            <w:r>
              <w:rPr>
                <w:vertAlign w:val="superscript"/>
              </w:rPr>
              <w:t>*</w:t>
            </w:r>
          </w:p>
        </w:tc>
        <w:tc>
          <w:tcPr>
            <w:tcW w:w="1889" w:type="dxa"/>
            <w:tcBorders>
              <w:left w:val="single" w:sz="2" w:space="0" w:color="auto"/>
            </w:tcBorders>
            <w:hideMark/>
          </w:tcPr>
          <w:p w14:paraId="33E9A457" w14:textId="77777777" w:rsidR="00FD3719" w:rsidRDefault="00FD3719" w:rsidP="006D2D67">
            <w:pPr>
              <w:pStyle w:val="NormalWeb"/>
              <w:jc w:val="center"/>
            </w:pPr>
            <w:r>
              <w:t>—</w:t>
            </w:r>
          </w:p>
        </w:tc>
      </w:tr>
      <w:tr w:rsidR="0018495B" w14:paraId="1959A31E" w14:textId="77777777" w:rsidTr="0018495B">
        <w:tc>
          <w:tcPr>
            <w:tcW w:w="0" w:type="auto"/>
            <w:hideMark/>
          </w:tcPr>
          <w:p w14:paraId="644D89A8" w14:textId="77777777" w:rsidR="00FD3719" w:rsidRDefault="00FD3719">
            <w:pPr>
              <w:pStyle w:val="NormalWeb"/>
            </w:pPr>
            <w:r>
              <w:t>20-39%</w:t>
            </w:r>
          </w:p>
        </w:tc>
        <w:tc>
          <w:tcPr>
            <w:tcW w:w="1888" w:type="dxa"/>
            <w:tcBorders>
              <w:right w:val="single" w:sz="2" w:space="0" w:color="auto"/>
            </w:tcBorders>
            <w:hideMark/>
          </w:tcPr>
          <w:p w14:paraId="0DA6ECD8" w14:textId="77777777" w:rsidR="00FD3719" w:rsidRDefault="00FD3719" w:rsidP="006D2D67">
            <w:pPr>
              <w:pStyle w:val="NormalWeb"/>
              <w:jc w:val="center"/>
            </w:pPr>
            <w:r>
              <w:t>46</w:t>
            </w:r>
          </w:p>
        </w:tc>
        <w:tc>
          <w:tcPr>
            <w:tcW w:w="1889" w:type="dxa"/>
            <w:tcBorders>
              <w:left w:val="single" w:sz="2" w:space="0" w:color="auto"/>
              <w:right w:val="single" w:sz="2" w:space="0" w:color="auto"/>
            </w:tcBorders>
            <w:hideMark/>
          </w:tcPr>
          <w:p w14:paraId="57D8C2C7" w14:textId="77777777" w:rsidR="00FD3719" w:rsidRDefault="00FD3719" w:rsidP="006D2D67">
            <w:pPr>
              <w:pStyle w:val="NormalWeb"/>
              <w:jc w:val="center"/>
            </w:pPr>
            <w:r>
              <w:t>17%</w:t>
            </w:r>
          </w:p>
        </w:tc>
        <w:tc>
          <w:tcPr>
            <w:tcW w:w="1888" w:type="dxa"/>
            <w:tcBorders>
              <w:left w:val="single" w:sz="2" w:space="0" w:color="auto"/>
              <w:right w:val="single" w:sz="2" w:space="0" w:color="auto"/>
            </w:tcBorders>
            <w:hideMark/>
          </w:tcPr>
          <w:p w14:paraId="31B541DB" w14:textId="77777777" w:rsidR="00FD3719" w:rsidRDefault="00FD3719" w:rsidP="006D2D67">
            <w:pPr>
              <w:pStyle w:val="NormalWeb"/>
              <w:jc w:val="center"/>
            </w:pPr>
            <w:r>
              <w:t>—</w:t>
            </w:r>
          </w:p>
        </w:tc>
        <w:tc>
          <w:tcPr>
            <w:tcW w:w="1889" w:type="dxa"/>
            <w:tcBorders>
              <w:left w:val="single" w:sz="2" w:space="0" w:color="auto"/>
            </w:tcBorders>
            <w:hideMark/>
          </w:tcPr>
          <w:p w14:paraId="11AC482D" w14:textId="77777777" w:rsidR="00FD3719" w:rsidRDefault="00FD3719" w:rsidP="006D2D67">
            <w:pPr>
              <w:pStyle w:val="NormalWeb"/>
              <w:jc w:val="center"/>
            </w:pPr>
            <w:r>
              <w:t>—</w:t>
            </w:r>
          </w:p>
        </w:tc>
      </w:tr>
      <w:tr w:rsidR="00FD3719" w14:paraId="1F3A9102"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1ED3754A" w14:textId="77777777" w:rsidR="00FD3719" w:rsidRDefault="00FD3719">
            <w:pPr>
              <w:pStyle w:val="NormalWeb"/>
            </w:pPr>
            <w:r>
              <w:t>40-59%</w:t>
            </w:r>
          </w:p>
        </w:tc>
        <w:tc>
          <w:tcPr>
            <w:tcW w:w="1888" w:type="dxa"/>
            <w:tcBorders>
              <w:right w:val="single" w:sz="2" w:space="0" w:color="auto"/>
            </w:tcBorders>
            <w:hideMark/>
          </w:tcPr>
          <w:p w14:paraId="314764FC" w14:textId="77777777" w:rsidR="00FD3719" w:rsidRDefault="00FD3719" w:rsidP="006D2D67">
            <w:pPr>
              <w:pStyle w:val="NormalWeb"/>
              <w:jc w:val="center"/>
            </w:pPr>
            <w:r>
              <w:t>67</w:t>
            </w:r>
          </w:p>
        </w:tc>
        <w:tc>
          <w:tcPr>
            <w:tcW w:w="1889" w:type="dxa"/>
            <w:tcBorders>
              <w:left w:val="single" w:sz="2" w:space="0" w:color="auto"/>
              <w:right w:val="single" w:sz="2" w:space="0" w:color="auto"/>
            </w:tcBorders>
            <w:hideMark/>
          </w:tcPr>
          <w:p w14:paraId="1AF9EDDE" w14:textId="77777777" w:rsidR="00FD3719" w:rsidRDefault="00FD3719" w:rsidP="006D2D67">
            <w:pPr>
              <w:pStyle w:val="NormalWeb"/>
              <w:jc w:val="center"/>
            </w:pPr>
            <w:r>
              <w:t>25%</w:t>
            </w:r>
          </w:p>
        </w:tc>
        <w:tc>
          <w:tcPr>
            <w:tcW w:w="1888" w:type="dxa"/>
            <w:tcBorders>
              <w:left w:val="single" w:sz="2" w:space="0" w:color="auto"/>
              <w:right w:val="single" w:sz="2" w:space="0" w:color="auto"/>
            </w:tcBorders>
            <w:hideMark/>
          </w:tcPr>
          <w:p w14:paraId="01271AB8" w14:textId="77777777" w:rsidR="00FD3719" w:rsidRDefault="00FD3719" w:rsidP="006D2D67">
            <w:pPr>
              <w:pStyle w:val="NormalWeb"/>
              <w:jc w:val="center"/>
            </w:pPr>
            <w:r>
              <w:t>—</w:t>
            </w:r>
          </w:p>
        </w:tc>
        <w:tc>
          <w:tcPr>
            <w:tcW w:w="1889" w:type="dxa"/>
            <w:tcBorders>
              <w:left w:val="single" w:sz="2" w:space="0" w:color="auto"/>
            </w:tcBorders>
            <w:hideMark/>
          </w:tcPr>
          <w:p w14:paraId="5438B9BE" w14:textId="77777777" w:rsidR="00FD3719" w:rsidRDefault="00FD3719" w:rsidP="006D2D67">
            <w:pPr>
              <w:pStyle w:val="NormalWeb"/>
              <w:jc w:val="center"/>
            </w:pPr>
            <w:r>
              <w:t>—</w:t>
            </w:r>
          </w:p>
        </w:tc>
      </w:tr>
      <w:tr w:rsidR="0018495B" w14:paraId="65C62C2C" w14:textId="77777777" w:rsidTr="0018495B">
        <w:tc>
          <w:tcPr>
            <w:tcW w:w="0" w:type="auto"/>
            <w:hideMark/>
          </w:tcPr>
          <w:p w14:paraId="24D9B6A5" w14:textId="77777777" w:rsidR="00FD3719" w:rsidRDefault="00FD3719">
            <w:pPr>
              <w:pStyle w:val="NormalWeb"/>
            </w:pPr>
            <w:r>
              <w:t>60-79%</w:t>
            </w:r>
          </w:p>
        </w:tc>
        <w:tc>
          <w:tcPr>
            <w:tcW w:w="1888" w:type="dxa"/>
            <w:tcBorders>
              <w:right w:val="single" w:sz="2" w:space="0" w:color="auto"/>
            </w:tcBorders>
            <w:hideMark/>
          </w:tcPr>
          <w:p w14:paraId="4F40A544" w14:textId="77777777" w:rsidR="00FD3719" w:rsidRDefault="00FD3719" w:rsidP="006D2D67">
            <w:pPr>
              <w:pStyle w:val="NormalWeb"/>
              <w:jc w:val="center"/>
            </w:pPr>
            <w:r>
              <w:t>49</w:t>
            </w:r>
          </w:p>
        </w:tc>
        <w:tc>
          <w:tcPr>
            <w:tcW w:w="1889" w:type="dxa"/>
            <w:tcBorders>
              <w:left w:val="single" w:sz="2" w:space="0" w:color="auto"/>
              <w:right w:val="single" w:sz="2" w:space="0" w:color="auto"/>
            </w:tcBorders>
            <w:hideMark/>
          </w:tcPr>
          <w:p w14:paraId="7E110CEC" w14:textId="77777777" w:rsidR="00FD3719" w:rsidRDefault="00FD3719" w:rsidP="006D2D67">
            <w:pPr>
              <w:pStyle w:val="NormalWeb"/>
              <w:jc w:val="center"/>
            </w:pPr>
            <w:r>
              <w:t>18%</w:t>
            </w:r>
          </w:p>
        </w:tc>
        <w:tc>
          <w:tcPr>
            <w:tcW w:w="1888" w:type="dxa"/>
            <w:tcBorders>
              <w:left w:val="single" w:sz="2" w:space="0" w:color="auto"/>
              <w:right w:val="single" w:sz="2" w:space="0" w:color="auto"/>
            </w:tcBorders>
            <w:hideMark/>
          </w:tcPr>
          <w:p w14:paraId="6F29B729" w14:textId="77777777" w:rsidR="00FD3719" w:rsidRDefault="00FD3719" w:rsidP="006D2D67">
            <w:pPr>
              <w:pStyle w:val="NormalWeb"/>
              <w:jc w:val="center"/>
            </w:pPr>
            <w:r>
              <w:t>—</w:t>
            </w:r>
          </w:p>
        </w:tc>
        <w:tc>
          <w:tcPr>
            <w:tcW w:w="1889" w:type="dxa"/>
            <w:tcBorders>
              <w:left w:val="single" w:sz="2" w:space="0" w:color="auto"/>
            </w:tcBorders>
            <w:hideMark/>
          </w:tcPr>
          <w:p w14:paraId="2E64A2CC" w14:textId="77777777" w:rsidR="00FD3719" w:rsidRDefault="00FD3719" w:rsidP="006D2D67">
            <w:pPr>
              <w:pStyle w:val="NormalWeb"/>
              <w:jc w:val="center"/>
            </w:pPr>
            <w:r>
              <w:t>—</w:t>
            </w:r>
          </w:p>
        </w:tc>
      </w:tr>
      <w:tr w:rsidR="00FD3719" w14:paraId="4FAE680C"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7E99796F" w14:textId="77777777" w:rsidR="00FD3719" w:rsidRDefault="00FD3719">
            <w:pPr>
              <w:pStyle w:val="NormalWeb"/>
            </w:pPr>
            <w:r>
              <w:t>Highest 20%</w:t>
            </w:r>
          </w:p>
        </w:tc>
        <w:tc>
          <w:tcPr>
            <w:tcW w:w="1888" w:type="dxa"/>
            <w:tcBorders>
              <w:right w:val="single" w:sz="2" w:space="0" w:color="auto"/>
            </w:tcBorders>
            <w:hideMark/>
          </w:tcPr>
          <w:p w14:paraId="60D49547" w14:textId="77777777" w:rsidR="00FD3719" w:rsidRDefault="00FD3719" w:rsidP="006D2D67">
            <w:pPr>
              <w:pStyle w:val="NormalWeb"/>
              <w:jc w:val="center"/>
            </w:pPr>
            <w:r>
              <w:t>85</w:t>
            </w:r>
          </w:p>
        </w:tc>
        <w:tc>
          <w:tcPr>
            <w:tcW w:w="1889" w:type="dxa"/>
            <w:tcBorders>
              <w:left w:val="single" w:sz="2" w:space="0" w:color="auto"/>
              <w:right w:val="single" w:sz="2" w:space="0" w:color="auto"/>
            </w:tcBorders>
            <w:hideMark/>
          </w:tcPr>
          <w:p w14:paraId="566FABAB" w14:textId="77777777" w:rsidR="00FD3719" w:rsidRDefault="00FD3719" w:rsidP="006D2D67">
            <w:pPr>
              <w:pStyle w:val="NormalWeb"/>
              <w:jc w:val="center"/>
            </w:pPr>
            <w:r>
              <w:t>32%</w:t>
            </w:r>
          </w:p>
        </w:tc>
        <w:tc>
          <w:tcPr>
            <w:tcW w:w="1888" w:type="dxa"/>
            <w:tcBorders>
              <w:left w:val="single" w:sz="2" w:space="0" w:color="auto"/>
              <w:right w:val="single" w:sz="2" w:space="0" w:color="auto"/>
            </w:tcBorders>
            <w:hideMark/>
          </w:tcPr>
          <w:p w14:paraId="1519A806" w14:textId="77777777" w:rsidR="00FD3719" w:rsidRDefault="00FD3719" w:rsidP="006D2D67">
            <w:pPr>
              <w:pStyle w:val="NormalWeb"/>
              <w:jc w:val="center"/>
            </w:pPr>
            <w:r>
              <w:t>—</w:t>
            </w:r>
          </w:p>
        </w:tc>
        <w:tc>
          <w:tcPr>
            <w:tcW w:w="1889" w:type="dxa"/>
            <w:tcBorders>
              <w:left w:val="single" w:sz="2" w:space="0" w:color="auto"/>
            </w:tcBorders>
            <w:hideMark/>
          </w:tcPr>
          <w:p w14:paraId="144FAD0C" w14:textId="77777777" w:rsidR="00FD3719" w:rsidRDefault="00FD3719" w:rsidP="006D2D67">
            <w:pPr>
              <w:pStyle w:val="NormalWeb"/>
              <w:jc w:val="center"/>
            </w:pPr>
            <w:r>
              <w:t>—</w:t>
            </w:r>
          </w:p>
        </w:tc>
      </w:tr>
      <w:tr w:rsidR="00245107" w:rsidRPr="00245107" w14:paraId="64AFB43D" w14:textId="77777777" w:rsidTr="0018495B">
        <w:tc>
          <w:tcPr>
            <w:tcW w:w="0" w:type="auto"/>
            <w:shd w:val="clear" w:color="auto" w:fill="808080" w:themeFill="background1" w:themeFillShade="80"/>
            <w:hideMark/>
          </w:tcPr>
          <w:p w14:paraId="70DA6129" w14:textId="77777777" w:rsidR="00FD3719" w:rsidRPr="00245107" w:rsidRDefault="00FD3719">
            <w:pPr>
              <w:pStyle w:val="NormalWeb"/>
              <w:rPr>
                <w:color w:val="FFFFFF" w:themeColor="background1"/>
              </w:rPr>
            </w:pPr>
            <w:r w:rsidRPr="00245107">
              <w:rPr>
                <w:color w:val="FFFFFF" w:themeColor="background1"/>
              </w:rPr>
              <w:t>Educational attainment</w:t>
            </w:r>
          </w:p>
        </w:tc>
        <w:tc>
          <w:tcPr>
            <w:tcW w:w="1888" w:type="dxa"/>
            <w:tcBorders>
              <w:right w:val="single" w:sz="2" w:space="0" w:color="auto"/>
            </w:tcBorders>
            <w:shd w:val="clear" w:color="auto" w:fill="808080" w:themeFill="background1" w:themeFillShade="80"/>
            <w:hideMark/>
          </w:tcPr>
          <w:p w14:paraId="04CE42B5" w14:textId="77777777" w:rsidR="00FD3719" w:rsidRPr="00245107" w:rsidRDefault="00FD3719" w:rsidP="006D2D67">
            <w:pPr>
              <w:jc w:val="center"/>
              <w:rPr>
                <w:color w:val="FFFFFF" w:themeColor="background1"/>
              </w:rPr>
            </w:pPr>
          </w:p>
        </w:tc>
        <w:tc>
          <w:tcPr>
            <w:tcW w:w="1889" w:type="dxa"/>
            <w:tcBorders>
              <w:left w:val="single" w:sz="2" w:space="0" w:color="auto"/>
              <w:right w:val="single" w:sz="2" w:space="0" w:color="auto"/>
            </w:tcBorders>
            <w:shd w:val="clear" w:color="auto" w:fill="808080" w:themeFill="background1" w:themeFillShade="80"/>
            <w:hideMark/>
          </w:tcPr>
          <w:p w14:paraId="77E1C0F0" w14:textId="77777777" w:rsidR="00FD3719" w:rsidRPr="00245107" w:rsidRDefault="00FD3719" w:rsidP="006D2D67">
            <w:pPr>
              <w:jc w:val="center"/>
              <w:rPr>
                <w:rFonts w:eastAsia="Times New Roman"/>
                <w:color w:val="FFFFFF" w:themeColor="background1"/>
                <w:sz w:val="20"/>
                <w:szCs w:val="20"/>
              </w:rPr>
            </w:pPr>
          </w:p>
        </w:tc>
        <w:tc>
          <w:tcPr>
            <w:tcW w:w="1888" w:type="dxa"/>
            <w:tcBorders>
              <w:left w:val="single" w:sz="2" w:space="0" w:color="auto"/>
              <w:right w:val="single" w:sz="2" w:space="0" w:color="auto"/>
            </w:tcBorders>
            <w:shd w:val="clear" w:color="auto" w:fill="808080" w:themeFill="background1" w:themeFillShade="80"/>
            <w:hideMark/>
          </w:tcPr>
          <w:p w14:paraId="2AB3B751" w14:textId="77777777" w:rsidR="00FD3719" w:rsidRPr="00245107" w:rsidRDefault="00FD3719" w:rsidP="006D2D67">
            <w:pPr>
              <w:jc w:val="center"/>
              <w:rPr>
                <w:rFonts w:eastAsia="Times New Roman"/>
                <w:color w:val="FFFFFF" w:themeColor="background1"/>
                <w:sz w:val="20"/>
                <w:szCs w:val="20"/>
              </w:rPr>
            </w:pPr>
          </w:p>
        </w:tc>
        <w:tc>
          <w:tcPr>
            <w:tcW w:w="1889" w:type="dxa"/>
            <w:tcBorders>
              <w:left w:val="single" w:sz="2" w:space="0" w:color="auto"/>
            </w:tcBorders>
            <w:shd w:val="clear" w:color="auto" w:fill="808080" w:themeFill="background1" w:themeFillShade="80"/>
            <w:hideMark/>
          </w:tcPr>
          <w:p w14:paraId="4B8C6947" w14:textId="77777777" w:rsidR="00FD3719" w:rsidRPr="00245107" w:rsidRDefault="00FD3719" w:rsidP="006D2D67">
            <w:pPr>
              <w:jc w:val="center"/>
              <w:rPr>
                <w:rFonts w:eastAsia="Times New Roman"/>
                <w:color w:val="FFFFFF" w:themeColor="background1"/>
                <w:sz w:val="20"/>
                <w:szCs w:val="20"/>
              </w:rPr>
            </w:pPr>
          </w:p>
        </w:tc>
      </w:tr>
      <w:tr w:rsidR="00FD3719" w14:paraId="4753EE5D"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43A27422" w14:textId="77777777" w:rsidR="00FD3719" w:rsidRDefault="00FD3719">
            <w:pPr>
              <w:pStyle w:val="NormalWeb"/>
              <w:rPr>
                <w:sz w:val="24"/>
                <w:szCs w:val="24"/>
              </w:rPr>
            </w:pPr>
            <w:r>
              <w:t>≤High school</w:t>
            </w:r>
          </w:p>
        </w:tc>
        <w:tc>
          <w:tcPr>
            <w:tcW w:w="1888" w:type="dxa"/>
            <w:tcBorders>
              <w:right w:val="single" w:sz="2" w:space="0" w:color="auto"/>
            </w:tcBorders>
            <w:hideMark/>
          </w:tcPr>
          <w:p w14:paraId="4A4E0C60" w14:textId="77777777" w:rsidR="00FD3719" w:rsidRDefault="00FD3719" w:rsidP="006D2D67">
            <w:pPr>
              <w:pStyle w:val="NormalWeb"/>
              <w:jc w:val="center"/>
            </w:pPr>
            <w:r>
              <w:t>72</w:t>
            </w:r>
          </w:p>
        </w:tc>
        <w:tc>
          <w:tcPr>
            <w:tcW w:w="1889" w:type="dxa"/>
            <w:tcBorders>
              <w:left w:val="single" w:sz="2" w:space="0" w:color="auto"/>
              <w:right w:val="single" w:sz="2" w:space="0" w:color="auto"/>
            </w:tcBorders>
            <w:hideMark/>
          </w:tcPr>
          <w:p w14:paraId="2F3D986A" w14:textId="77777777" w:rsidR="00FD3719" w:rsidRDefault="00FD3719" w:rsidP="006D2D67">
            <w:pPr>
              <w:pStyle w:val="NormalWeb"/>
              <w:jc w:val="center"/>
            </w:pPr>
            <w:r>
              <w:t>27%</w:t>
            </w:r>
          </w:p>
        </w:tc>
        <w:tc>
          <w:tcPr>
            <w:tcW w:w="1888" w:type="dxa"/>
            <w:tcBorders>
              <w:left w:val="single" w:sz="2" w:space="0" w:color="auto"/>
              <w:right w:val="single" w:sz="2" w:space="0" w:color="auto"/>
            </w:tcBorders>
            <w:hideMark/>
          </w:tcPr>
          <w:p w14:paraId="690CF6AB" w14:textId="77777777" w:rsidR="00FD3719" w:rsidRDefault="00FD3719" w:rsidP="006D2D67">
            <w:pPr>
              <w:pStyle w:val="NormalWeb"/>
              <w:jc w:val="center"/>
            </w:pPr>
            <w:r>
              <w:t>—</w:t>
            </w:r>
            <w:r>
              <w:rPr>
                <w:vertAlign w:val="superscript"/>
              </w:rPr>
              <w:t>*</w:t>
            </w:r>
          </w:p>
        </w:tc>
        <w:tc>
          <w:tcPr>
            <w:tcW w:w="1889" w:type="dxa"/>
            <w:tcBorders>
              <w:left w:val="single" w:sz="2" w:space="0" w:color="auto"/>
            </w:tcBorders>
            <w:hideMark/>
          </w:tcPr>
          <w:p w14:paraId="315FE7FF" w14:textId="77777777" w:rsidR="00FD3719" w:rsidRDefault="00FD3719" w:rsidP="006D2D67">
            <w:pPr>
              <w:pStyle w:val="NormalWeb"/>
              <w:jc w:val="center"/>
            </w:pPr>
            <w:r>
              <w:t>—</w:t>
            </w:r>
          </w:p>
        </w:tc>
      </w:tr>
      <w:tr w:rsidR="0018495B" w14:paraId="0F6B666E" w14:textId="77777777" w:rsidTr="0018495B">
        <w:tc>
          <w:tcPr>
            <w:tcW w:w="0" w:type="auto"/>
            <w:hideMark/>
          </w:tcPr>
          <w:p w14:paraId="79EC3F9F" w14:textId="77777777" w:rsidR="00FD3719" w:rsidRDefault="00FD3719">
            <w:pPr>
              <w:pStyle w:val="NormalWeb"/>
            </w:pPr>
            <w:r>
              <w:t>Technical and further education</w:t>
            </w:r>
          </w:p>
        </w:tc>
        <w:tc>
          <w:tcPr>
            <w:tcW w:w="1888" w:type="dxa"/>
            <w:tcBorders>
              <w:right w:val="single" w:sz="2" w:space="0" w:color="auto"/>
            </w:tcBorders>
            <w:hideMark/>
          </w:tcPr>
          <w:p w14:paraId="7751AECB" w14:textId="77777777" w:rsidR="00FD3719" w:rsidRDefault="00FD3719" w:rsidP="006D2D67">
            <w:pPr>
              <w:pStyle w:val="NormalWeb"/>
              <w:jc w:val="center"/>
            </w:pPr>
            <w:r>
              <w:t>64</w:t>
            </w:r>
          </w:p>
        </w:tc>
        <w:tc>
          <w:tcPr>
            <w:tcW w:w="1889" w:type="dxa"/>
            <w:tcBorders>
              <w:left w:val="single" w:sz="2" w:space="0" w:color="auto"/>
              <w:right w:val="single" w:sz="2" w:space="0" w:color="auto"/>
            </w:tcBorders>
            <w:hideMark/>
          </w:tcPr>
          <w:p w14:paraId="13ABA1A7" w14:textId="77777777" w:rsidR="00FD3719" w:rsidRDefault="00FD3719" w:rsidP="006D2D67">
            <w:pPr>
              <w:pStyle w:val="NormalWeb"/>
              <w:jc w:val="center"/>
            </w:pPr>
            <w:r>
              <w:t>24%</w:t>
            </w:r>
          </w:p>
        </w:tc>
        <w:tc>
          <w:tcPr>
            <w:tcW w:w="1888" w:type="dxa"/>
            <w:tcBorders>
              <w:left w:val="single" w:sz="2" w:space="0" w:color="auto"/>
              <w:right w:val="single" w:sz="2" w:space="0" w:color="auto"/>
            </w:tcBorders>
            <w:hideMark/>
          </w:tcPr>
          <w:p w14:paraId="3A65398B" w14:textId="77777777" w:rsidR="00FD3719" w:rsidRDefault="00FD3719" w:rsidP="006D2D67">
            <w:pPr>
              <w:pStyle w:val="NormalWeb"/>
              <w:jc w:val="center"/>
            </w:pPr>
            <w:r>
              <w:t>—</w:t>
            </w:r>
          </w:p>
        </w:tc>
        <w:tc>
          <w:tcPr>
            <w:tcW w:w="1889" w:type="dxa"/>
            <w:tcBorders>
              <w:left w:val="single" w:sz="2" w:space="0" w:color="auto"/>
            </w:tcBorders>
            <w:hideMark/>
          </w:tcPr>
          <w:p w14:paraId="585D53F9" w14:textId="77777777" w:rsidR="00FD3719" w:rsidRDefault="00FD3719" w:rsidP="006D2D67">
            <w:pPr>
              <w:pStyle w:val="NormalWeb"/>
              <w:jc w:val="center"/>
            </w:pPr>
            <w:r>
              <w:t>—</w:t>
            </w:r>
          </w:p>
        </w:tc>
      </w:tr>
      <w:tr w:rsidR="00FD3719" w14:paraId="40B3643A"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26453DD0" w14:textId="77777777" w:rsidR="00FD3719" w:rsidRDefault="00FD3719">
            <w:pPr>
              <w:pStyle w:val="NormalWeb"/>
            </w:pPr>
            <w:r>
              <w:t>≥University degree</w:t>
            </w:r>
          </w:p>
        </w:tc>
        <w:tc>
          <w:tcPr>
            <w:tcW w:w="1888" w:type="dxa"/>
            <w:tcBorders>
              <w:right w:val="single" w:sz="2" w:space="0" w:color="auto"/>
            </w:tcBorders>
            <w:hideMark/>
          </w:tcPr>
          <w:p w14:paraId="496122B6" w14:textId="77777777" w:rsidR="00FD3719" w:rsidRDefault="00FD3719" w:rsidP="006D2D67">
            <w:pPr>
              <w:pStyle w:val="NormalWeb"/>
              <w:jc w:val="center"/>
            </w:pPr>
            <w:r>
              <w:t>132</w:t>
            </w:r>
          </w:p>
        </w:tc>
        <w:tc>
          <w:tcPr>
            <w:tcW w:w="1889" w:type="dxa"/>
            <w:tcBorders>
              <w:left w:val="single" w:sz="2" w:space="0" w:color="auto"/>
              <w:right w:val="single" w:sz="2" w:space="0" w:color="auto"/>
            </w:tcBorders>
            <w:hideMark/>
          </w:tcPr>
          <w:p w14:paraId="2E7D8B44" w14:textId="77777777" w:rsidR="00FD3719" w:rsidRDefault="00FD3719" w:rsidP="006D2D67">
            <w:pPr>
              <w:pStyle w:val="NormalWeb"/>
              <w:jc w:val="center"/>
            </w:pPr>
            <w:r>
              <w:t>49%</w:t>
            </w:r>
          </w:p>
        </w:tc>
        <w:tc>
          <w:tcPr>
            <w:tcW w:w="1888" w:type="dxa"/>
            <w:tcBorders>
              <w:left w:val="single" w:sz="2" w:space="0" w:color="auto"/>
              <w:right w:val="single" w:sz="2" w:space="0" w:color="auto"/>
            </w:tcBorders>
            <w:hideMark/>
          </w:tcPr>
          <w:p w14:paraId="21547FCE" w14:textId="77777777" w:rsidR="00FD3719" w:rsidRDefault="00FD3719" w:rsidP="006D2D67">
            <w:pPr>
              <w:pStyle w:val="NormalWeb"/>
              <w:jc w:val="center"/>
            </w:pPr>
            <w:r>
              <w:t>—</w:t>
            </w:r>
          </w:p>
        </w:tc>
        <w:tc>
          <w:tcPr>
            <w:tcW w:w="1889" w:type="dxa"/>
            <w:tcBorders>
              <w:left w:val="single" w:sz="2" w:space="0" w:color="auto"/>
            </w:tcBorders>
            <w:hideMark/>
          </w:tcPr>
          <w:p w14:paraId="41B7BBFB" w14:textId="77777777" w:rsidR="00FD3719" w:rsidRDefault="00FD3719" w:rsidP="006D2D67">
            <w:pPr>
              <w:pStyle w:val="NormalWeb"/>
              <w:jc w:val="center"/>
            </w:pPr>
            <w:r>
              <w:t>—</w:t>
            </w:r>
          </w:p>
        </w:tc>
      </w:tr>
      <w:tr w:rsidR="00245107" w:rsidRPr="00245107" w14:paraId="7F68DB1F" w14:textId="77777777" w:rsidTr="0018495B">
        <w:tc>
          <w:tcPr>
            <w:tcW w:w="0" w:type="auto"/>
            <w:shd w:val="clear" w:color="auto" w:fill="808080" w:themeFill="background1" w:themeFillShade="80"/>
            <w:hideMark/>
          </w:tcPr>
          <w:p w14:paraId="3D18C8F5" w14:textId="77777777" w:rsidR="00FD3719" w:rsidRPr="00245107" w:rsidRDefault="00FD3719">
            <w:pPr>
              <w:pStyle w:val="NormalWeb"/>
              <w:rPr>
                <w:color w:val="FFFFFF" w:themeColor="background1"/>
              </w:rPr>
            </w:pPr>
            <w:r w:rsidRPr="00245107">
              <w:rPr>
                <w:color w:val="FFFFFF" w:themeColor="background1"/>
              </w:rPr>
              <w:t>Residence</w:t>
            </w:r>
          </w:p>
        </w:tc>
        <w:tc>
          <w:tcPr>
            <w:tcW w:w="1888" w:type="dxa"/>
            <w:tcBorders>
              <w:right w:val="single" w:sz="2" w:space="0" w:color="auto"/>
            </w:tcBorders>
            <w:shd w:val="clear" w:color="auto" w:fill="808080" w:themeFill="background1" w:themeFillShade="80"/>
            <w:hideMark/>
          </w:tcPr>
          <w:p w14:paraId="7AE22835" w14:textId="77777777" w:rsidR="00FD3719" w:rsidRPr="00245107" w:rsidRDefault="00FD3719" w:rsidP="006D2D67">
            <w:pPr>
              <w:jc w:val="center"/>
              <w:rPr>
                <w:color w:val="FFFFFF" w:themeColor="background1"/>
              </w:rPr>
            </w:pPr>
          </w:p>
        </w:tc>
        <w:tc>
          <w:tcPr>
            <w:tcW w:w="1889" w:type="dxa"/>
            <w:tcBorders>
              <w:left w:val="single" w:sz="2" w:space="0" w:color="auto"/>
              <w:right w:val="single" w:sz="2" w:space="0" w:color="auto"/>
            </w:tcBorders>
            <w:shd w:val="clear" w:color="auto" w:fill="808080" w:themeFill="background1" w:themeFillShade="80"/>
            <w:hideMark/>
          </w:tcPr>
          <w:p w14:paraId="512D64DA" w14:textId="77777777" w:rsidR="00FD3719" w:rsidRPr="00245107" w:rsidRDefault="00FD3719" w:rsidP="006D2D67">
            <w:pPr>
              <w:jc w:val="center"/>
              <w:rPr>
                <w:rFonts w:eastAsia="Times New Roman"/>
                <w:color w:val="FFFFFF" w:themeColor="background1"/>
                <w:sz w:val="20"/>
                <w:szCs w:val="20"/>
              </w:rPr>
            </w:pPr>
          </w:p>
        </w:tc>
        <w:tc>
          <w:tcPr>
            <w:tcW w:w="1888" w:type="dxa"/>
            <w:tcBorders>
              <w:left w:val="single" w:sz="2" w:space="0" w:color="auto"/>
              <w:right w:val="single" w:sz="2" w:space="0" w:color="auto"/>
            </w:tcBorders>
            <w:shd w:val="clear" w:color="auto" w:fill="808080" w:themeFill="background1" w:themeFillShade="80"/>
            <w:hideMark/>
          </w:tcPr>
          <w:p w14:paraId="5582D2BD" w14:textId="77777777" w:rsidR="00FD3719" w:rsidRPr="00245107" w:rsidRDefault="00FD3719" w:rsidP="006D2D67">
            <w:pPr>
              <w:jc w:val="center"/>
              <w:rPr>
                <w:rFonts w:eastAsia="Times New Roman"/>
                <w:color w:val="FFFFFF" w:themeColor="background1"/>
                <w:sz w:val="20"/>
                <w:szCs w:val="20"/>
              </w:rPr>
            </w:pPr>
          </w:p>
        </w:tc>
        <w:tc>
          <w:tcPr>
            <w:tcW w:w="1889" w:type="dxa"/>
            <w:tcBorders>
              <w:left w:val="single" w:sz="2" w:space="0" w:color="auto"/>
            </w:tcBorders>
            <w:shd w:val="clear" w:color="auto" w:fill="808080" w:themeFill="background1" w:themeFillShade="80"/>
            <w:hideMark/>
          </w:tcPr>
          <w:p w14:paraId="16DB8ACF" w14:textId="77777777" w:rsidR="00FD3719" w:rsidRPr="00245107" w:rsidRDefault="00FD3719" w:rsidP="006D2D67">
            <w:pPr>
              <w:jc w:val="center"/>
              <w:rPr>
                <w:rFonts w:eastAsia="Times New Roman"/>
                <w:color w:val="FFFFFF" w:themeColor="background1"/>
                <w:sz w:val="20"/>
                <w:szCs w:val="20"/>
              </w:rPr>
            </w:pPr>
          </w:p>
        </w:tc>
      </w:tr>
      <w:tr w:rsidR="00FD3719" w14:paraId="2C66C445"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74AB2FBE" w14:textId="77777777" w:rsidR="00FD3719" w:rsidRDefault="00FD3719">
            <w:pPr>
              <w:pStyle w:val="NormalWeb"/>
              <w:rPr>
                <w:sz w:val="24"/>
                <w:szCs w:val="24"/>
              </w:rPr>
            </w:pPr>
            <w:r>
              <w:t>Metropolitan</w:t>
            </w:r>
          </w:p>
        </w:tc>
        <w:tc>
          <w:tcPr>
            <w:tcW w:w="1888" w:type="dxa"/>
            <w:tcBorders>
              <w:right w:val="single" w:sz="2" w:space="0" w:color="auto"/>
            </w:tcBorders>
            <w:hideMark/>
          </w:tcPr>
          <w:p w14:paraId="6653730C" w14:textId="77777777" w:rsidR="00FD3719" w:rsidRDefault="00FD3719" w:rsidP="006D2D67">
            <w:pPr>
              <w:pStyle w:val="NormalWeb"/>
              <w:jc w:val="center"/>
            </w:pPr>
            <w:r>
              <w:t>210</w:t>
            </w:r>
          </w:p>
        </w:tc>
        <w:tc>
          <w:tcPr>
            <w:tcW w:w="1889" w:type="dxa"/>
            <w:tcBorders>
              <w:left w:val="single" w:sz="2" w:space="0" w:color="auto"/>
              <w:right w:val="single" w:sz="2" w:space="0" w:color="auto"/>
            </w:tcBorders>
            <w:hideMark/>
          </w:tcPr>
          <w:p w14:paraId="2A718A46" w14:textId="77777777" w:rsidR="00FD3719" w:rsidRDefault="00FD3719" w:rsidP="006D2D67">
            <w:pPr>
              <w:pStyle w:val="NormalWeb"/>
              <w:jc w:val="center"/>
            </w:pPr>
            <w:r>
              <w:t>78%</w:t>
            </w:r>
          </w:p>
        </w:tc>
        <w:tc>
          <w:tcPr>
            <w:tcW w:w="1888" w:type="dxa"/>
            <w:tcBorders>
              <w:left w:val="single" w:sz="2" w:space="0" w:color="auto"/>
              <w:right w:val="single" w:sz="2" w:space="0" w:color="auto"/>
            </w:tcBorders>
            <w:hideMark/>
          </w:tcPr>
          <w:p w14:paraId="60D25D05" w14:textId="77777777" w:rsidR="00FD3719" w:rsidRDefault="00FD3719" w:rsidP="006D2D67">
            <w:pPr>
              <w:pStyle w:val="NormalWeb"/>
              <w:jc w:val="center"/>
            </w:pPr>
            <w:r>
              <w:t>4,770</w:t>
            </w:r>
          </w:p>
        </w:tc>
        <w:tc>
          <w:tcPr>
            <w:tcW w:w="1889" w:type="dxa"/>
            <w:tcBorders>
              <w:left w:val="single" w:sz="2" w:space="0" w:color="auto"/>
            </w:tcBorders>
            <w:hideMark/>
          </w:tcPr>
          <w:p w14:paraId="01476E80" w14:textId="77777777" w:rsidR="00FD3719" w:rsidRDefault="00FD3719" w:rsidP="006D2D67">
            <w:pPr>
              <w:pStyle w:val="NormalWeb"/>
              <w:jc w:val="center"/>
            </w:pPr>
            <w:r>
              <w:t>80%</w:t>
            </w:r>
          </w:p>
        </w:tc>
      </w:tr>
      <w:tr w:rsidR="0018495B" w14:paraId="4701225B" w14:textId="77777777" w:rsidTr="0018495B">
        <w:tc>
          <w:tcPr>
            <w:tcW w:w="0" w:type="auto"/>
            <w:hideMark/>
          </w:tcPr>
          <w:p w14:paraId="7D846581" w14:textId="77777777" w:rsidR="00FD3719" w:rsidRDefault="00FD3719">
            <w:pPr>
              <w:pStyle w:val="NormalWeb"/>
            </w:pPr>
            <w:r>
              <w:t>Non-metropolitan</w:t>
            </w:r>
          </w:p>
        </w:tc>
        <w:tc>
          <w:tcPr>
            <w:tcW w:w="1888" w:type="dxa"/>
            <w:tcBorders>
              <w:right w:val="single" w:sz="2" w:space="0" w:color="auto"/>
            </w:tcBorders>
            <w:hideMark/>
          </w:tcPr>
          <w:p w14:paraId="5B36F46B" w14:textId="77777777" w:rsidR="00FD3719" w:rsidRDefault="00FD3719" w:rsidP="006D2D67">
            <w:pPr>
              <w:pStyle w:val="NormalWeb"/>
              <w:jc w:val="center"/>
            </w:pPr>
            <w:r>
              <w:t>58</w:t>
            </w:r>
          </w:p>
        </w:tc>
        <w:tc>
          <w:tcPr>
            <w:tcW w:w="1889" w:type="dxa"/>
            <w:tcBorders>
              <w:left w:val="single" w:sz="2" w:space="0" w:color="auto"/>
              <w:right w:val="single" w:sz="2" w:space="0" w:color="auto"/>
            </w:tcBorders>
            <w:hideMark/>
          </w:tcPr>
          <w:p w14:paraId="664B9A57" w14:textId="77777777" w:rsidR="00FD3719" w:rsidRDefault="00FD3719" w:rsidP="006D2D67">
            <w:pPr>
              <w:pStyle w:val="NormalWeb"/>
              <w:jc w:val="center"/>
            </w:pPr>
            <w:r>
              <w:t>22%</w:t>
            </w:r>
          </w:p>
        </w:tc>
        <w:tc>
          <w:tcPr>
            <w:tcW w:w="1888" w:type="dxa"/>
            <w:tcBorders>
              <w:left w:val="single" w:sz="2" w:space="0" w:color="auto"/>
              <w:right w:val="single" w:sz="2" w:space="0" w:color="auto"/>
            </w:tcBorders>
            <w:hideMark/>
          </w:tcPr>
          <w:p w14:paraId="7D6CE3E7" w14:textId="77777777" w:rsidR="00FD3719" w:rsidRDefault="00FD3719" w:rsidP="006D2D67">
            <w:pPr>
              <w:pStyle w:val="NormalWeb"/>
              <w:jc w:val="center"/>
            </w:pPr>
            <w:r>
              <w:t>1,175</w:t>
            </w:r>
          </w:p>
        </w:tc>
        <w:tc>
          <w:tcPr>
            <w:tcW w:w="1889" w:type="dxa"/>
            <w:tcBorders>
              <w:left w:val="single" w:sz="2" w:space="0" w:color="auto"/>
            </w:tcBorders>
            <w:hideMark/>
          </w:tcPr>
          <w:p w14:paraId="55700F20" w14:textId="77777777" w:rsidR="00FD3719" w:rsidRDefault="00FD3719" w:rsidP="006D2D67">
            <w:pPr>
              <w:pStyle w:val="NormalWeb"/>
              <w:jc w:val="center"/>
            </w:pPr>
            <w:r>
              <w:t>20%</w:t>
            </w:r>
          </w:p>
        </w:tc>
      </w:tr>
      <w:tr w:rsidR="00245107" w:rsidRPr="00245107" w14:paraId="7F553040"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118FCDD6" w14:textId="77777777" w:rsidR="00FD3719" w:rsidRPr="00245107" w:rsidRDefault="00FD3719">
            <w:pPr>
              <w:pStyle w:val="NormalWeb"/>
              <w:rPr>
                <w:color w:val="FFFFFF" w:themeColor="background1"/>
              </w:rPr>
            </w:pPr>
            <w:r w:rsidRPr="00245107">
              <w:rPr>
                <w:color w:val="FFFFFF" w:themeColor="background1"/>
              </w:rPr>
              <w:t>Chronic medical condition</w:t>
            </w:r>
          </w:p>
        </w:tc>
        <w:tc>
          <w:tcPr>
            <w:tcW w:w="1888" w:type="dxa"/>
            <w:tcBorders>
              <w:right w:val="single" w:sz="2" w:space="0" w:color="auto"/>
            </w:tcBorders>
            <w:shd w:val="clear" w:color="auto" w:fill="808080" w:themeFill="background1" w:themeFillShade="80"/>
            <w:hideMark/>
          </w:tcPr>
          <w:p w14:paraId="54D836E0" w14:textId="77777777" w:rsidR="00FD3719" w:rsidRPr="00245107" w:rsidRDefault="00FD3719" w:rsidP="006D2D67">
            <w:pPr>
              <w:jc w:val="center"/>
              <w:rPr>
                <w:color w:val="FFFFFF" w:themeColor="background1"/>
              </w:rPr>
            </w:pPr>
          </w:p>
        </w:tc>
        <w:tc>
          <w:tcPr>
            <w:tcW w:w="1889" w:type="dxa"/>
            <w:tcBorders>
              <w:left w:val="single" w:sz="2" w:space="0" w:color="auto"/>
              <w:right w:val="single" w:sz="2" w:space="0" w:color="auto"/>
            </w:tcBorders>
            <w:shd w:val="clear" w:color="auto" w:fill="808080" w:themeFill="background1" w:themeFillShade="80"/>
            <w:hideMark/>
          </w:tcPr>
          <w:p w14:paraId="05BE08B2" w14:textId="77777777" w:rsidR="00FD3719" w:rsidRPr="00245107" w:rsidRDefault="00FD3719" w:rsidP="006D2D67">
            <w:pPr>
              <w:jc w:val="center"/>
              <w:rPr>
                <w:rFonts w:eastAsia="Times New Roman"/>
                <w:color w:val="FFFFFF" w:themeColor="background1"/>
                <w:sz w:val="20"/>
                <w:szCs w:val="20"/>
              </w:rPr>
            </w:pPr>
          </w:p>
        </w:tc>
        <w:tc>
          <w:tcPr>
            <w:tcW w:w="1888" w:type="dxa"/>
            <w:tcBorders>
              <w:left w:val="single" w:sz="2" w:space="0" w:color="auto"/>
              <w:right w:val="single" w:sz="2" w:space="0" w:color="auto"/>
            </w:tcBorders>
            <w:shd w:val="clear" w:color="auto" w:fill="808080" w:themeFill="background1" w:themeFillShade="80"/>
            <w:hideMark/>
          </w:tcPr>
          <w:p w14:paraId="6660358E" w14:textId="77777777" w:rsidR="00FD3719" w:rsidRPr="00245107" w:rsidRDefault="00FD3719" w:rsidP="006D2D67">
            <w:pPr>
              <w:jc w:val="center"/>
              <w:rPr>
                <w:rFonts w:eastAsia="Times New Roman"/>
                <w:color w:val="FFFFFF" w:themeColor="background1"/>
                <w:sz w:val="20"/>
                <w:szCs w:val="20"/>
              </w:rPr>
            </w:pPr>
          </w:p>
        </w:tc>
        <w:tc>
          <w:tcPr>
            <w:tcW w:w="1889" w:type="dxa"/>
            <w:tcBorders>
              <w:left w:val="single" w:sz="2" w:space="0" w:color="auto"/>
            </w:tcBorders>
            <w:shd w:val="clear" w:color="auto" w:fill="808080" w:themeFill="background1" w:themeFillShade="80"/>
            <w:hideMark/>
          </w:tcPr>
          <w:p w14:paraId="13F37ED3" w14:textId="77777777" w:rsidR="00FD3719" w:rsidRPr="00245107" w:rsidRDefault="00FD3719" w:rsidP="006D2D67">
            <w:pPr>
              <w:jc w:val="center"/>
              <w:rPr>
                <w:rFonts w:eastAsia="Times New Roman"/>
                <w:color w:val="FFFFFF" w:themeColor="background1"/>
                <w:sz w:val="20"/>
                <w:szCs w:val="20"/>
              </w:rPr>
            </w:pPr>
          </w:p>
        </w:tc>
      </w:tr>
      <w:tr w:rsidR="0018495B" w14:paraId="10B34B88" w14:textId="77777777" w:rsidTr="0018495B">
        <w:tc>
          <w:tcPr>
            <w:tcW w:w="0" w:type="auto"/>
            <w:hideMark/>
          </w:tcPr>
          <w:p w14:paraId="02291205" w14:textId="77777777" w:rsidR="00FD3719" w:rsidRDefault="00FD3719">
            <w:pPr>
              <w:pStyle w:val="NormalWeb"/>
              <w:rPr>
                <w:sz w:val="24"/>
                <w:szCs w:val="24"/>
              </w:rPr>
            </w:pPr>
            <w:r>
              <w:t>≥1 condition</w:t>
            </w:r>
          </w:p>
        </w:tc>
        <w:tc>
          <w:tcPr>
            <w:tcW w:w="1888" w:type="dxa"/>
            <w:tcBorders>
              <w:right w:val="single" w:sz="2" w:space="0" w:color="auto"/>
            </w:tcBorders>
            <w:hideMark/>
          </w:tcPr>
          <w:p w14:paraId="7CA50C93" w14:textId="77777777" w:rsidR="00FD3719" w:rsidRDefault="00FD3719" w:rsidP="006D2D67">
            <w:pPr>
              <w:pStyle w:val="NormalWeb"/>
              <w:jc w:val="center"/>
            </w:pPr>
            <w:r>
              <w:t>38</w:t>
            </w:r>
          </w:p>
        </w:tc>
        <w:tc>
          <w:tcPr>
            <w:tcW w:w="1889" w:type="dxa"/>
            <w:tcBorders>
              <w:left w:val="single" w:sz="2" w:space="0" w:color="auto"/>
              <w:right w:val="single" w:sz="2" w:space="0" w:color="auto"/>
            </w:tcBorders>
            <w:hideMark/>
          </w:tcPr>
          <w:p w14:paraId="62E05D89" w14:textId="77777777" w:rsidR="00FD3719" w:rsidRDefault="00FD3719" w:rsidP="006D2D67">
            <w:pPr>
              <w:pStyle w:val="NormalWeb"/>
              <w:jc w:val="center"/>
            </w:pPr>
            <w:r>
              <w:t>14%</w:t>
            </w:r>
          </w:p>
        </w:tc>
        <w:tc>
          <w:tcPr>
            <w:tcW w:w="1888" w:type="dxa"/>
            <w:tcBorders>
              <w:left w:val="single" w:sz="2" w:space="0" w:color="auto"/>
              <w:right w:val="single" w:sz="2" w:space="0" w:color="auto"/>
            </w:tcBorders>
            <w:hideMark/>
          </w:tcPr>
          <w:p w14:paraId="54714488" w14:textId="77777777" w:rsidR="00FD3719" w:rsidRDefault="00FD3719" w:rsidP="006D2D67">
            <w:pPr>
              <w:pStyle w:val="NormalWeb"/>
              <w:jc w:val="center"/>
            </w:pPr>
            <w:r>
              <w:t>—</w:t>
            </w:r>
            <w:r>
              <w:rPr>
                <w:vertAlign w:val="superscript"/>
              </w:rPr>
              <w:t>*</w:t>
            </w:r>
          </w:p>
        </w:tc>
        <w:tc>
          <w:tcPr>
            <w:tcW w:w="1889" w:type="dxa"/>
            <w:tcBorders>
              <w:left w:val="single" w:sz="2" w:space="0" w:color="auto"/>
            </w:tcBorders>
            <w:hideMark/>
          </w:tcPr>
          <w:p w14:paraId="185F079A" w14:textId="77777777" w:rsidR="00FD3719" w:rsidRDefault="00FD3719" w:rsidP="006D2D67">
            <w:pPr>
              <w:pStyle w:val="NormalWeb"/>
              <w:jc w:val="center"/>
            </w:pPr>
            <w:r>
              <w:t>—</w:t>
            </w:r>
          </w:p>
        </w:tc>
      </w:tr>
      <w:tr w:rsidR="00FD3719" w14:paraId="26F4C696" w14:textId="77777777" w:rsidTr="0018495B">
        <w:trPr>
          <w:cnfStyle w:val="000000010000" w:firstRow="0" w:lastRow="0" w:firstColumn="0" w:lastColumn="0" w:oddVBand="0" w:evenVBand="0" w:oddHBand="0" w:evenHBand="1" w:firstRowFirstColumn="0" w:firstRowLastColumn="0" w:lastRowFirstColumn="0" w:lastRowLastColumn="0"/>
        </w:trPr>
        <w:tc>
          <w:tcPr>
            <w:tcW w:w="0" w:type="auto"/>
            <w:hideMark/>
          </w:tcPr>
          <w:p w14:paraId="496556CE" w14:textId="77777777" w:rsidR="00FD3719" w:rsidRDefault="00FD3719">
            <w:pPr>
              <w:pStyle w:val="NormalWeb"/>
            </w:pPr>
            <w:r>
              <w:t>No condition</w:t>
            </w:r>
          </w:p>
        </w:tc>
        <w:tc>
          <w:tcPr>
            <w:tcW w:w="1888" w:type="dxa"/>
            <w:tcBorders>
              <w:right w:val="single" w:sz="2" w:space="0" w:color="auto"/>
            </w:tcBorders>
            <w:hideMark/>
          </w:tcPr>
          <w:p w14:paraId="4FBFF1BB" w14:textId="77777777" w:rsidR="00FD3719" w:rsidRDefault="00FD3719" w:rsidP="006D2D67">
            <w:pPr>
              <w:pStyle w:val="NormalWeb"/>
              <w:jc w:val="center"/>
            </w:pPr>
            <w:r>
              <w:t>230</w:t>
            </w:r>
          </w:p>
        </w:tc>
        <w:tc>
          <w:tcPr>
            <w:tcW w:w="1889" w:type="dxa"/>
            <w:tcBorders>
              <w:left w:val="single" w:sz="2" w:space="0" w:color="auto"/>
              <w:right w:val="single" w:sz="2" w:space="0" w:color="auto"/>
            </w:tcBorders>
            <w:hideMark/>
          </w:tcPr>
          <w:p w14:paraId="11A9650F" w14:textId="77777777" w:rsidR="00FD3719" w:rsidRDefault="00FD3719" w:rsidP="006D2D67">
            <w:pPr>
              <w:pStyle w:val="NormalWeb"/>
              <w:jc w:val="center"/>
            </w:pPr>
            <w:r>
              <w:t>86%</w:t>
            </w:r>
          </w:p>
        </w:tc>
        <w:tc>
          <w:tcPr>
            <w:tcW w:w="1888" w:type="dxa"/>
            <w:tcBorders>
              <w:left w:val="single" w:sz="2" w:space="0" w:color="auto"/>
              <w:right w:val="single" w:sz="2" w:space="0" w:color="auto"/>
            </w:tcBorders>
            <w:hideMark/>
          </w:tcPr>
          <w:p w14:paraId="2A96A6EC" w14:textId="77777777" w:rsidR="00FD3719" w:rsidRDefault="00FD3719" w:rsidP="006D2D67">
            <w:pPr>
              <w:pStyle w:val="NormalWeb"/>
              <w:jc w:val="center"/>
            </w:pPr>
            <w:r>
              <w:t>—</w:t>
            </w:r>
          </w:p>
        </w:tc>
        <w:tc>
          <w:tcPr>
            <w:tcW w:w="1889" w:type="dxa"/>
            <w:tcBorders>
              <w:left w:val="single" w:sz="2" w:space="0" w:color="auto"/>
            </w:tcBorders>
            <w:hideMark/>
          </w:tcPr>
          <w:p w14:paraId="708E8798" w14:textId="77777777" w:rsidR="00FD3719" w:rsidRDefault="00FD3719" w:rsidP="006D2D67">
            <w:pPr>
              <w:pStyle w:val="NormalWeb"/>
              <w:jc w:val="center"/>
            </w:pPr>
            <w:r>
              <w:t>—</w:t>
            </w:r>
          </w:p>
        </w:tc>
      </w:tr>
    </w:tbl>
    <w:p w14:paraId="17731F6B" w14:textId="77777777" w:rsidR="00FD3719" w:rsidRDefault="00FD3719" w:rsidP="00DA3686">
      <w:pPr>
        <w:pStyle w:val="CDIfootnotes"/>
      </w:pPr>
      <w:r>
        <w:rPr>
          <w:vertAlign w:val="superscript"/>
        </w:rPr>
        <w:t>*</w:t>
      </w:r>
      <w:r>
        <w:tab/>
        <w:t xml:space="preserve">Data not available </w:t>
      </w:r>
    </w:p>
    <w:p w14:paraId="368904D1" w14:textId="77777777" w:rsidR="00FD3719" w:rsidRPr="003C652A" w:rsidRDefault="00FD3719" w:rsidP="003C652A">
      <w:pPr>
        <w:pStyle w:val="Heading2"/>
      </w:pPr>
      <w:r w:rsidRPr="003C652A">
        <w:t>Influenza vaccine</w:t>
      </w:r>
    </w:p>
    <w:p w14:paraId="418AA190" w14:textId="77777777" w:rsidR="00FD3719" w:rsidRDefault="00FD3719" w:rsidP="003C652A">
      <w:r>
        <w:t xml:space="preserve">Among the 185 women included in the influenza vaccination analysis, complete information was obtained from the MNS for 123 women (66%) (73/102 [72%] vaccinated, and 50/83 [60%] unvaccinated, women), </w:t>
      </w:r>
      <w:r w:rsidRPr="00B97B51">
        <w:rPr>
          <w:rStyle w:val="Emphasis"/>
          <w:b w:val="0"/>
        </w:rPr>
        <w:t>P</w:t>
      </w:r>
      <w:r>
        <w:t xml:space="preserve"> =0.12 (Table 2). The remainder had missing or unknown vaccination status (Table 3). There was no difference in the proportion of MNS records with missing or unknown vaccination status between influenza-vaccinated and unvaccinated women (</w:t>
      </w:r>
      <w:r w:rsidRPr="00B97B51">
        <w:rPr>
          <w:rStyle w:val="Emphasis"/>
          <w:b w:val="0"/>
        </w:rPr>
        <w:t>P</w:t>
      </w:r>
      <w:r w:rsidR="00A848B3">
        <w:t> </w:t>
      </w:r>
      <w:r>
        <w:t>=0.12) (Table 2). However, vaccination information in the MNS was more frequently missing for women who received most of their antenatal care from a pr</w:t>
      </w:r>
      <w:r w:rsidR="00A848B3">
        <w:t>ivate obstetrician or midwife (</w:t>
      </w:r>
      <w:r w:rsidRPr="00B97B51">
        <w:rPr>
          <w:rStyle w:val="Emphasis"/>
          <w:b w:val="0"/>
        </w:rPr>
        <w:t>P</w:t>
      </w:r>
      <w:r w:rsidR="00A848B3">
        <w:t xml:space="preserve"> </w:t>
      </w:r>
      <w:r>
        <w:t>=.001). Forty of 61 (65.6%) influenza vaccination records with gestation at time of influenza vaccination had the correct gestation recorded in the MNS.</w:t>
      </w:r>
    </w:p>
    <w:p w14:paraId="7E64F0C5" w14:textId="77777777" w:rsidR="00E83FA2" w:rsidRDefault="00E83FA2">
      <w:pPr>
        <w:rPr>
          <w:b/>
        </w:rPr>
      </w:pPr>
      <w:r>
        <w:br w:type="page"/>
      </w:r>
    </w:p>
    <w:p w14:paraId="01759F25" w14:textId="77777777" w:rsidR="00FD3719" w:rsidRDefault="00FD3719" w:rsidP="003C652A">
      <w:pPr>
        <w:pStyle w:val="CDIFigures"/>
      </w:pPr>
      <w:r>
        <w:lastRenderedPageBreak/>
        <w:t xml:space="preserve">Table 2. Number and percent of women with complete vaccination information in Midwives Notification System, overall and by select characteristics– Western Australia, 2016.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2 shows the number and percent of pregnant women participating in the study who had complete vaccine information in their Midwives Notification System record. Information is provided by vaccine (influenza and pertussis).&#10;"/>
      </w:tblPr>
      <w:tblGrid>
        <w:gridCol w:w="2877"/>
        <w:gridCol w:w="1243"/>
        <w:gridCol w:w="1244"/>
        <w:gridCol w:w="1243"/>
        <w:gridCol w:w="1244"/>
        <w:gridCol w:w="1243"/>
        <w:gridCol w:w="1244"/>
      </w:tblGrid>
      <w:tr w:rsidR="00FD3719" w14:paraId="73F7727B" w14:textId="77777777" w:rsidTr="00C10A28">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1866FF5F" w14:textId="77777777" w:rsidR="00FD3719" w:rsidRPr="003C79A4" w:rsidRDefault="00FD3719">
            <w:pPr>
              <w:rPr>
                <w:color w:val="FFFFFF" w:themeColor="background1"/>
              </w:rPr>
            </w:pPr>
          </w:p>
        </w:tc>
        <w:tc>
          <w:tcPr>
            <w:tcW w:w="3730" w:type="dxa"/>
            <w:gridSpan w:val="3"/>
            <w:tcBorders>
              <w:left w:val="single" w:sz="2" w:space="0" w:color="FFFFFF" w:themeColor="background1"/>
              <w:right w:val="single" w:sz="2" w:space="0" w:color="FFFFFF" w:themeColor="background1"/>
            </w:tcBorders>
            <w:hideMark/>
          </w:tcPr>
          <w:p w14:paraId="425FAA71" w14:textId="77777777" w:rsidR="00FD3719" w:rsidRPr="003C79A4" w:rsidRDefault="00FD3719" w:rsidP="00366CA6">
            <w:pPr>
              <w:pStyle w:val="NormalWeb"/>
              <w:jc w:val="center"/>
              <w:rPr>
                <w:color w:val="FFFFFF" w:themeColor="background1"/>
                <w:sz w:val="24"/>
                <w:szCs w:val="24"/>
              </w:rPr>
            </w:pPr>
            <w:r w:rsidRPr="003C79A4">
              <w:rPr>
                <w:color w:val="FFFFFF" w:themeColor="background1"/>
              </w:rPr>
              <w:t>Influenza vaccination</w:t>
            </w:r>
          </w:p>
        </w:tc>
        <w:tc>
          <w:tcPr>
            <w:tcW w:w="3731" w:type="dxa"/>
            <w:gridSpan w:val="3"/>
            <w:tcBorders>
              <w:left w:val="single" w:sz="2" w:space="0" w:color="FFFFFF" w:themeColor="background1"/>
            </w:tcBorders>
            <w:hideMark/>
          </w:tcPr>
          <w:p w14:paraId="6B1A889A" w14:textId="77777777" w:rsidR="00FD3719" w:rsidRPr="003C79A4" w:rsidRDefault="00FD3719" w:rsidP="00366CA6">
            <w:pPr>
              <w:pStyle w:val="NormalWeb"/>
              <w:jc w:val="center"/>
              <w:rPr>
                <w:color w:val="FFFFFF" w:themeColor="background1"/>
              </w:rPr>
            </w:pPr>
            <w:r w:rsidRPr="003C79A4">
              <w:rPr>
                <w:color w:val="FFFFFF" w:themeColor="background1"/>
              </w:rPr>
              <w:t>Pertussis vaccination</w:t>
            </w:r>
          </w:p>
        </w:tc>
      </w:tr>
      <w:tr w:rsidR="00FD3719" w14:paraId="11180432" w14:textId="77777777" w:rsidTr="00C10A28">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76EFC04E" w14:textId="77777777" w:rsidR="00FD3719" w:rsidRPr="003C79A4" w:rsidRDefault="00FD3719">
            <w:pPr>
              <w:rPr>
                <w:color w:val="FFFFFF" w:themeColor="background1"/>
              </w:rPr>
            </w:pPr>
          </w:p>
        </w:tc>
        <w:tc>
          <w:tcPr>
            <w:tcW w:w="1243" w:type="dxa"/>
            <w:tcBorders>
              <w:left w:val="single" w:sz="2" w:space="0" w:color="FFFFFF" w:themeColor="background1"/>
              <w:right w:val="single" w:sz="2" w:space="0" w:color="FFFFFF" w:themeColor="background1"/>
            </w:tcBorders>
            <w:hideMark/>
          </w:tcPr>
          <w:p w14:paraId="66B178A1" w14:textId="77777777" w:rsidR="00FD3719" w:rsidRPr="003C79A4" w:rsidRDefault="00FD3719" w:rsidP="00366CA6">
            <w:pPr>
              <w:pStyle w:val="NormalWeb"/>
              <w:jc w:val="center"/>
              <w:rPr>
                <w:color w:val="FFFFFF" w:themeColor="background1"/>
                <w:sz w:val="24"/>
                <w:szCs w:val="24"/>
              </w:rPr>
            </w:pPr>
            <w:r w:rsidRPr="003C79A4">
              <w:rPr>
                <w:color w:val="FFFFFF" w:themeColor="background1"/>
              </w:rPr>
              <w:t>N</w:t>
            </w:r>
          </w:p>
        </w:tc>
        <w:tc>
          <w:tcPr>
            <w:tcW w:w="1244" w:type="dxa"/>
            <w:tcBorders>
              <w:left w:val="single" w:sz="2" w:space="0" w:color="FFFFFF" w:themeColor="background1"/>
              <w:right w:val="single" w:sz="2" w:space="0" w:color="FFFFFF" w:themeColor="background1"/>
            </w:tcBorders>
            <w:hideMark/>
          </w:tcPr>
          <w:p w14:paraId="416DA1EA" w14:textId="77777777" w:rsidR="00FD3719" w:rsidRPr="003C79A4" w:rsidRDefault="00FD3719" w:rsidP="00366CA6">
            <w:pPr>
              <w:pStyle w:val="NormalWeb"/>
              <w:jc w:val="center"/>
              <w:rPr>
                <w:color w:val="FFFFFF" w:themeColor="background1"/>
              </w:rPr>
            </w:pPr>
            <w:r w:rsidRPr="003C79A4">
              <w:rPr>
                <w:color w:val="FFFFFF" w:themeColor="background1"/>
              </w:rPr>
              <w:t>%</w:t>
            </w:r>
          </w:p>
        </w:tc>
        <w:tc>
          <w:tcPr>
            <w:tcW w:w="1243" w:type="dxa"/>
            <w:tcBorders>
              <w:left w:val="single" w:sz="2" w:space="0" w:color="FFFFFF" w:themeColor="background1"/>
              <w:right w:val="single" w:sz="2" w:space="0" w:color="FFFFFF" w:themeColor="background1"/>
            </w:tcBorders>
            <w:hideMark/>
          </w:tcPr>
          <w:p w14:paraId="25E9574A" w14:textId="77777777" w:rsidR="00FD3719" w:rsidRPr="003C79A4" w:rsidRDefault="00FD3719" w:rsidP="00366CA6">
            <w:pPr>
              <w:pStyle w:val="NormalWeb"/>
              <w:jc w:val="center"/>
              <w:rPr>
                <w:color w:val="FFFFFF" w:themeColor="background1"/>
              </w:rPr>
            </w:pPr>
            <w:r w:rsidRPr="003C79A4">
              <w:rPr>
                <w:color w:val="FFFFFF" w:themeColor="background1"/>
              </w:rPr>
              <w:t>CMH</w:t>
            </w:r>
          </w:p>
          <w:p w14:paraId="03C67E17" w14:textId="77777777" w:rsidR="00FD3719" w:rsidRPr="003C79A4" w:rsidRDefault="00FD3719" w:rsidP="00366CA6">
            <w:pPr>
              <w:pStyle w:val="NormalWeb"/>
              <w:jc w:val="center"/>
              <w:rPr>
                <w:color w:val="FFFFFF" w:themeColor="background1"/>
              </w:rPr>
            </w:pPr>
            <w:r w:rsidRPr="003C79A4">
              <w:rPr>
                <w:color w:val="FFFFFF" w:themeColor="background1"/>
              </w:rPr>
              <w:t>p-value</w:t>
            </w:r>
            <w:r w:rsidRPr="003C79A4">
              <w:rPr>
                <w:color w:val="FFFFFF" w:themeColor="background1"/>
                <w:vertAlign w:val="superscript"/>
              </w:rPr>
              <w:t>*</w:t>
            </w:r>
          </w:p>
        </w:tc>
        <w:tc>
          <w:tcPr>
            <w:tcW w:w="1244" w:type="dxa"/>
            <w:tcBorders>
              <w:left w:val="single" w:sz="2" w:space="0" w:color="FFFFFF" w:themeColor="background1"/>
              <w:right w:val="single" w:sz="2" w:space="0" w:color="FFFFFF" w:themeColor="background1"/>
            </w:tcBorders>
            <w:hideMark/>
          </w:tcPr>
          <w:p w14:paraId="70DFE16A" w14:textId="77777777" w:rsidR="00FD3719" w:rsidRPr="003C79A4" w:rsidRDefault="00FD3719" w:rsidP="00366CA6">
            <w:pPr>
              <w:pStyle w:val="NormalWeb"/>
              <w:jc w:val="center"/>
              <w:rPr>
                <w:color w:val="FFFFFF" w:themeColor="background1"/>
              </w:rPr>
            </w:pPr>
            <w:r w:rsidRPr="003C79A4">
              <w:rPr>
                <w:color w:val="FFFFFF" w:themeColor="background1"/>
              </w:rPr>
              <w:t>N</w:t>
            </w:r>
          </w:p>
        </w:tc>
        <w:tc>
          <w:tcPr>
            <w:tcW w:w="1243" w:type="dxa"/>
            <w:tcBorders>
              <w:left w:val="single" w:sz="2" w:space="0" w:color="FFFFFF" w:themeColor="background1"/>
              <w:right w:val="single" w:sz="2" w:space="0" w:color="FFFFFF" w:themeColor="background1"/>
            </w:tcBorders>
            <w:hideMark/>
          </w:tcPr>
          <w:p w14:paraId="57D78E07" w14:textId="77777777" w:rsidR="00FD3719" w:rsidRPr="003C79A4" w:rsidRDefault="00FD3719" w:rsidP="00366CA6">
            <w:pPr>
              <w:pStyle w:val="NormalWeb"/>
              <w:jc w:val="center"/>
              <w:rPr>
                <w:color w:val="FFFFFF" w:themeColor="background1"/>
              </w:rPr>
            </w:pPr>
            <w:r w:rsidRPr="003C79A4">
              <w:rPr>
                <w:color w:val="FFFFFF" w:themeColor="background1"/>
              </w:rPr>
              <w:t>%</w:t>
            </w:r>
          </w:p>
        </w:tc>
        <w:tc>
          <w:tcPr>
            <w:tcW w:w="1244" w:type="dxa"/>
            <w:tcBorders>
              <w:left w:val="single" w:sz="2" w:space="0" w:color="FFFFFF" w:themeColor="background1"/>
            </w:tcBorders>
            <w:hideMark/>
          </w:tcPr>
          <w:p w14:paraId="03707964" w14:textId="77777777" w:rsidR="00FD3719" w:rsidRPr="003C79A4" w:rsidRDefault="00FD3719" w:rsidP="00366CA6">
            <w:pPr>
              <w:pStyle w:val="NormalWeb"/>
              <w:jc w:val="center"/>
              <w:rPr>
                <w:color w:val="FFFFFF" w:themeColor="background1"/>
              </w:rPr>
            </w:pPr>
            <w:r w:rsidRPr="003C79A4">
              <w:rPr>
                <w:color w:val="FFFFFF" w:themeColor="background1"/>
              </w:rPr>
              <w:t>CMH</w:t>
            </w:r>
          </w:p>
          <w:p w14:paraId="0CED9273" w14:textId="77777777" w:rsidR="00FD3719" w:rsidRPr="003C79A4" w:rsidRDefault="00FD3719" w:rsidP="00366CA6">
            <w:pPr>
              <w:pStyle w:val="NormalWeb"/>
              <w:jc w:val="center"/>
              <w:rPr>
                <w:color w:val="FFFFFF" w:themeColor="background1"/>
              </w:rPr>
            </w:pPr>
            <w:r w:rsidRPr="003C79A4">
              <w:rPr>
                <w:color w:val="FFFFFF" w:themeColor="background1"/>
              </w:rPr>
              <w:t>p-value</w:t>
            </w:r>
            <w:r w:rsidRPr="003C79A4">
              <w:rPr>
                <w:color w:val="FFFFFF" w:themeColor="background1"/>
                <w:vertAlign w:val="superscript"/>
              </w:rPr>
              <w:t>*</w:t>
            </w:r>
          </w:p>
        </w:tc>
      </w:tr>
      <w:tr w:rsidR="00223998" w14:paraId="54017840" w14:textId="77777777" w:rsidTr="00C10A28">
        <w:tc>
          <w:tcPr>
            <w:tcW w:w="0" w:type="auto"/>
            <w:tcBorders>
              <w:right w:val="single" w:sz="2" w:space="0" w:color="000000" w:themeColor="text1"/>
            </w:tcBorders>
            <w:shd w:val="clear" w:color="auto" w:fill="FDE9D9" w:themeFill="accent6" w:themeFillTint="33"/>
            <w:hideMark/>
          </w:tcPr>
          <w:p w14:paraId="6165B167" w14:textId="77777777" w:rsidR="00FD3719" w:rsidRDefault="00FD3719">
            <w:pPr>
              <w:pStyle w:val="NormalWeb"/>
            </w:pPr>
            <w:r>
              <w:t>Overall</w:t>
            </w:r>
          </w:p>
        </w:tc>
        <w:tc>
          <w:tcPr>
            <w:tcW w:w="1243" w:type="dxa"/>
            <w:tcBorders>
              <w:left w:val="single" w:sz="2" w:space="0" w:color="000000" w:themeColor="text1"/>
              <w:right w:val="single" w:sz="2" w:space="0" w:color="000000" w:themeColor="text1"/>
            </w:tcBorders>
            <w:shd w:val="clear" w:color="auto" w:fill="FDE9D9" w:themeFill="accent6" w:themeFillTint="33"/>
            <w:hideMark/>
          </w:tcPr>
          <w:p w14:paraId="1553A1F3" w14:textId="77777777" w:rsidR="00FD3719" w:rsidRDefault="00FD3719" w:rsidP="00366CA6">
            <w:pPr>
              <w:pStyle w:val="NormalWeb"/>
              <w:jc w:val="center"/>
            </w:pPr>
            <w:r>
              <w:t>123</w:t>
            </w:r>
          </w:p>
        </w:tc>
        <w:tc>
          <w:tcPr>
            <w:tcW w:w="1244" w:type="dxa"/>
            <w:tcBorders>
              <w:left w:val="single" w:sz="2" w:space="0" w:color="000000" w:themeColor="text1"/>
              <w:right w:val="single" w:sz="2" w:space="0" w:color="000000" w:themeColor="text1"/>
            </w:tcBorders>
            <w:shd w:val="clear" w:color="auto" w:fill="FDE9D9" w:themeFill="accent6" w:themeFillTint="33"/>
            <w:hideMark/>
          </w:tcPr>
          <w:p w14:paraId="44789F79" w14:textId="77777777" w:rsidR="00FD3719" w:rsidRDefault="00FD3719" w:rsidP="00366CA6">
            <w:pPr>
              <w:pStyle w:val="NormalWeb"/>
              <w:jc w:val="center"/>
            </w:pPr>
            <w:r>
              <w:t>66%</w:t>
            </w:r>
          </w:p>
        </w:tc>
        <w:tc>
          <w:tcPr>
            <w:tcW w:w="1243" w:type="dxa"/>
            <w:tcBorders>
              <w:left w:val="single" w:sz="2" w:space="0" w:color="000000" w:themeColor="text1"/>
              <w:right w:val="single" w:sz="2" w:space="0" w:color="000000" w:themeColor="text1"/>
            </w:tcBorders>
            <w:shd w:val="clear" w:color="auto" w:fill="FDE9D9" w:themeFill="accent6" w:themeFillTint="33"/>
            <w:hideMark/>
          </w:tcPr>
          <w:p w14:paraId="628AC7A3" w14:textId="77777777" w:rsidR="00FD3719" w:rsidRDefault="00FD3719" w:rsidP="00366CA6">
            <w:pPr>
              <w:jc w:val="center"/>
            </w:pPr>
          </w:p>
        </w:tc>
        <w:tc>
          <w:tcPr>
            <w:tcW w:w="1244" w:type="dxa"/>
            <w:tcBorders>
              <w:left w:val="single" w:sz="2" w:space="0" w:color="000000" w:themeColor="text1"/>
              <w:right w:val="single" w:sz="2" w:space="0" w:color="000000" w:themeColor="text1"/>
            </w:tcBorders>
            <w:shd w:val="clear" w:color="auto" w:fill="FDE9D9" w:themeFill="accent6" w:themeFillTint="33"/>
            <w:hideMark/>
          </w:tcPr>
          <w:p w14:paraId="01199A86" w14:textId="77777777" w:rsidR="00FD3719" w:rsidRDefault="00FD3719" w:rsidP="00366CA6">
            <w:pPr>
              <w:pStyle w:val="NormalWeb"/>
              <w:jc w:val="center"/>
              <w:rPr>
                <w:sz w:val="24"/>
                <w:szCs w:val="24"/>
              </w:rPr>
            </w:pPr>
            <w:r>
              <w:t>100</w:t>
            </w:r>
          </w:p>
        </w:tc>
        <w:tc>
          <w:tcPr>
            <w:tcW w:w="1243" w:type="dxa"/>
            <w:tcBorders>
              <w:left w:val="single" w:sz="2" w:space="0" w:color="000000" w:themeColor="text1"/>
              <w:right w:val="single" w:sz="2" w:space="0" w:color="000000" w:themeColor="text1"/>
            </w:tcBorders>
            <w:shd w:val="clear" w:color="auto" w:fill="FDE9D9" w:themeFill="accent6" w:themeFillTint="33"/>
            <w:hideMark/>
          </w:tcPr>
          <w:p w14:paraId="4E49C625" w14:textId="77777777" w:rsidR="00FD3719" w:rsidRDefault="00FD3719" w:rsidP="00366CA6">
            <w:pPr>
              <w:pStyle w:val="NormalWeb"/>
              <w:jc w:val="center"/>
            </w:pPr>
            <w:r>
              <w:t>63%</w:t>
            </w:r>
          </w:p>
        </w:tc>
        <w:tc>
          <w:tcPr>
            <w:tcW w:w="1244" w:type="dxa"/>
            <w:tcBorders>
              <w:left w:val="single" w:sz="2" w:space="0" w:color="000000" w:themeColor="text1"/>
            </w:tcBorders>
            <w:shd w:val="clear" w:color="auto" w:fill="FDE9D9" w:themeFill="accent6" w:themeFillTint="33"/>
            <w:hideMark/>
          </w:tcPr>
          <w:p w14:paraId="7F434D82" w14:textId="77777777" w:rsidR="00FD3719" w:rsidRDefault="00FD3719" w:rsidP="00366CA6">
            <w:pPr>
              <w:jc w:val="center"/>
            </w:pPr>
          </w:p>
        </w:tc>
      </w:tr>
      <w:tr w:rsidR="00D424A0" w:rsidRPr="00D424A0" w14:paraId="3A10EF24" w14:textId="77777777" w:rsidTr="00C10A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shd w:val="clear" w:color="auto" w:fill="808080" w:themeFill="background1" w:themeFillShade="80"/>
            <w:hideMark/>
          </w:tcPr>
          <w:p w14:paraId="576F0B30" w14:textId="77777777" w:rsidR="00FD3719" w:rsidRPr="00D424A0" w:rsidRDefault="00FD3719">
            <w:pPr>
              <w:pStyle w:val="NormalWeb"/>
              <w:rPr>
                <w:color w:val="FFFFFF" w:themeColor="background1"/>
                <w:sz w:val="24"/>
                <w:szCs w:val="24"/>
              </w:rPr>
            </w:pPr>
            <w:r w:rsidRPr="00D424A0">
              <w:rPr>
                <w:color w:val="FFFFFF" w:themeColor="background1"/>
              </w:rPr>
              <w:t>Vaccination status</w:t>
            </w:r>
          </w:p>
        </w:tc>
        <w:tc>
          <w:tcPr>
            <w:tcW w:w="1243" w:type="dxa"/>
            <w:tcBorders>
              <w:left w:val="single" w:sz="2" w:space="0" w:color="000000" w:themeColor="text1"/>
              <w:right w:val="single" w:sz="2" w:space="0" w:color="000000" w:themeColor="text1"/>
            </w:tcBorders>
            <w:shd w:val="clear" w:color="auto" w:fill="808080" w:themeFill="background1" w:themeFillShade="80"/>
            <w:hideMark/>
          </w:tcPr>
          <w:p w14:paraId="5A0D0568" w14:textId="77777777" w:rsidR="00FD3719" w:rsidRPr="00D424A0" w:rsidRDefault="00FD3719" w:rsidP="00366CA6">
            <w:pPr>
              <w:jc w:val="center"/>
              <w:rPr>
                <w:color w:val="FFFFFF" w:themeColor="background1"/>
              </w:rPr>
            </w:pPr>
          </w:p>
        </w:tc>
        <w:tc>
          <w:tcPr>
            <w:tcW w:w="1244" w:type="dxa"/>
            <w:tcBorders>
              <w:left w:val="single" w:sz="2" w:space="0" w:color="000000" w:themeColor="text1"/>
              <w:right w:val="single" w:sz="2" w:space="0" w:color="000000" w:themeColor="text1"/>
            </w:tcBorders>
            <w:shd w:val="clear" w:color="auto" w:fill="808080" w:themeFill="background1" w:themeFillShade="80"/>
            <w:hideMark/>
          </w:tcPr>
          <w:p w14:paraId="40953FDF" w14:textId="77777777" w:rsidR="00FD3719" w:rsidRPr="00D424A0" w:rsidRDefault="00FD3719" w:rsidP="00366CA6">
            <w:pPr>
              <w:jc w:val="center"/>
              <w:rPr>
                <w:rFonts w:eastAsia="Times New Roman"/>
                <w:color w:val="FFFFFF" w:themeColor="background1"/>
                <w:sz w:val="20"/>
                <w:szCs w:val="20"/>
              </w:rPr>
            </w:pPr>
          </w:p>
        </w:tc>
        <w:tc>
          <w:tcPr>
            <w:tcW w:w="1243" w:type="dxa"/>
            <w:tcBorders>
              <w:left w:val="single" w:sz="2" w:space="0" w:color="000000" w:themeColor="text1"/>
              <w:right w:val="single" w:sz="2" w:space="0" w:color="000000" w:themeColor="text1"/>
            </w:tcBorders>
            <w:shd w:val="clear" w:color="auto" w:fill="808080" w:themeFill="background1" w:themeFillShade="80"/>
            <w:hideMark/>
          </w:tcPr>
          <w:p w14:paraId="38C026BA" w14:textId="77777777" w:rsidR="00FD3719" w:rsidRPr="00D424A0" w:rsidRDefault="00FD3719" w:rsidP="00366CA6">
            <w:pPr>
              <w:pStyle w:val="NormalWeb"/>
              <w:jc w:val="center"/>
              <w:rPr>
                <w:color w:val="FFFFFF" w:themeColor="background1"/>
                <w:sz w:val="24"/>
                <w:szCs w:val="24"/>
              </w:rPr>
            </w:pPr>
            <w:r w:rsidRPr="00D424A0">
              <w:rPr>
                <w:color w:val="FFFFFF" w:themeColor="background1"/>
              </w:rPr>
              <w:t>.12</w:t>
            </w:r>
          </w:p>
        </w:tc>
        <w:tc>
          <w:tcPr>
            <w:tcW w:w="1244" w:type="dxa"/>
            <w:tcBorders>
              <w:left w:val="single" w:sz="2" w:space="0" w:color="000000" w:themeColor="text1"/>
              <w:right w:val="single" w:sz="2" w:space="0" w:color="000000" w:themeColor="text1"/>
            </w:tcBorders>
            <w:shd w:val="clear" w:color="auto" w:fill="808080" w:themeFill="background1" w:themeFillShade="80"/>
            <w:hideMark/>
          </w:tcPr>
          <w:p w14:paraId="3E9A89CF" w14:textId="77777777" w:rsidR="00FD3719" w:rsidRPr="00D424A0" w:rsidRDefault="00FD3719" w:rsidP="00366CA6">
            <w:pPr>
              <w:jc w:val="center"/>
              <w:rPr>
                <w:color w:val="FFFFFF" w:themeColor="background1"/>
              </w:rPr>
            </w:pPr>
          </w:p>
        </w:tc>
        <w:tc>
          <w:tcPr>
            <w:tcW w:w="1243" w:type="dxa"/>
            <w:tcBorders>
              <w:left w:val="single" w:sz="2" w:space="0" w:color="000000" w:themeColor="text1"/>
              <w:right w:val="single" w:sz="2" w:space="0" w:color="000000" w:themeColor="text1"/>
            </w:tcBorders>
            <w:shd w:val="clear" w:color="auto" w:fill="808080" w:themeFill="background1" w:themeFillShade="80"/>
            <w:hideMark/>
          </w:tcPr>
          <w:p w14:paraId="49A594AD" w14:textId="77777777" w:rsidR="00FD3719" w:rsidRPr="00D424A0" w:rsidRDefault="00FD3719" w:rsidP="00366CA6">
            <w:pPr>
              <w:jc w:val="center"/>
              <w:rPr>
                <w:rFonts w:eastAsia="Times New Roman"/>
                <w:color w:val="FFFFFF" w:themeColor="background1"/>
                <w:sz w:val="20"/>
                <w:szCs w:val="20"/>
              </w:rPr>
            </w:pPr>
          </w:p>
        </w:tc>
        <w:tc>
          <w:tcPr>
            <w:tcW w:w="1244" w:type="dxa"/>
            <w:tcBorders>
              <w:left w:val="single" w:sz="2" w:space="0" w:color="000000" w:themeColor="text1"/>
            </w:tcBorders>
            <w:shd w:val="clear" w:color="auto" w:fill="808080" w:themeFill="background1" w:themeFillShade="80"/>
            <w:hideMark/>
          </w:tcPr>
          <w:p w14:paraId="70459FD0" w14:textId="77777777" w:rsidR="00FD3719" w:rsidRPr="00D424A0" w:rsidRDefault="00FD3719" w:rsidP="00366CA6">
            <w:pPr>
              <w:pStyle w:val="NormalWeb"/>
              <w:jc w:val="center"/>
              <w:rPr>
                <w:color w:val="FFFFFF" w:themeColor="background1"/>
                <w:sz w:val="24"/>
                <w:szCs w:val="24"/>
              </w:rPr>
            </w:pPr>
            <w:r w:rsidRPr="00D424A0">
              <w:rPr>
                <w:color w:val="FFFFFF" w:themeColor="background1"/>
              </w:rPr>
              <w:t>.20</w:t>
            </w:r>
          </w:p>
        </w:tc>
      </w:tr>
      <w:tr w:rsidR="00C10A28" w14:paraId="741ACAAD" w14:textId="77777777" w:rsidTr="00C10A28">
        <w:tc>
          <w:tcPr>
            <w:tcW w:w="0" w:type="auto"/>
            <w:tcBorders>
              <w:right w:val="single" w:sz="2" w:space="0" w:color="000000" w:themeColor="text1"/>
            </w:tcBorders>
            <w:hideMark/>
          </w:tcPr>
          <w:p w14:paraId="36B3063B" w14:textId="77777777" w:rsidR="00FD3719" w:rsidRDefault="00FD3719">
            <w:pPr>
              <w:pStyle w:val="NormalWeb"/>
            </w:pPr>
            <w:r>
              <w:t>Vaccinated</w:t>
            </w:r>
          </w:p>
        </w:tc>
        <w:tc>
          <w:tcPr>
            <w:tcW w:w="1243" w:type="dxa"/>
            <w:tcBorders>
              <w:left w:val="single" w:sz="2" w:space="0" w:color="000000" w:themeColor="text1"/>
              <w:right w:val="single" w:sz="2" w:space="0" w:color="000000" w:themeColor="text1"/>
            </w:tcBorders>
            <w:hideMark/>
          </w:tcPr>
          <w:p w14:paraId="0D02CA39" w14:textId="77777777" w:rsidR="00FD3719" w:rsidRDefault="00FD3719" w:rsidP="00366CA6">
            <w:pPr>
              <w:pStyle w:val="NormalWeb"/>
              <w:jc w:val="center"/>
            </w:pPr>
            <w:r>
              <w:t>73</w:t>
            </w:r>
          </w:p>
        </w:tc>
        <w:tc>
          <w:tcPr>
            <w:tcW w:w="1244" w:type="dxa"/>
            <w:tcBorders>
              <w:left w:val="single" w:sz="2" w:space="0" w:color="000000" w:themeColor="text1"/>
              <w:right w:val="single" w:sz="2" w:space="0" w:color="000000" w:themeColor="text1"/>
            </w:tcBorders>
            <w:hideMark/>
          </w:tcPr>
          <w:p w14:paraId="3F149671" w14:textId="77777777" w:rsidR="00FD3719" w:rsidRDefault="00FD3719" w:rsidP="00366CA6">
            <w:pPr>
              <w:pStyle w:val="NormalWeb"/>
              <w:jc w:val="center"/>
            </w:pPr>
            <w:r>
              <w:t>72%</w:t>
            </w:r>
          </w:p>
        </w:tc>
        <w:tc>
          <w:tcPr>
            <w:tcW w:w="1243" w:type="dxa"/>
            <w:tcBorders>
              <w:left w:val="single" w:sz="2" w:space="0" w:color="000000" w:themeColor="text1"/>
              <w:right w:val="single" w:sz="2" w:space="0" w:color="000000" w:themeColor="text1"/>
            </w:tcBorders>
            <w:hideMark/>
          </w:tcPr>
          <w:p w14:paraId="13DC4D90" w14:textId="77777777" w:rsidR="00FD3719" w:rsidRDefault="00FD3719" w:rsidP="00366CA6">
            <w:pPr>
              <w:jc w:val="center"/>
            </w:pPr>
          </w:p>
        </w:tc>
        <w:tc>
          <w:tcPr>
            <w:tcW w:w="1244" w:type="dxa"/>
            <w:tcBorders>
              <w:left w:val="single" w:sz="2" w:space="0" w:color="000000" w:themeColor="text1"/>
              <w:right w:val="single" w:sz="2" w:space="0" w:color="000000" w:themeColor="text1"/>
            </w:tcBorders>
            <w:hideMark/>
          </w:tcPr>
          <w:p w14:paraId="05983EFE" w14:textId="77777777" w:rsidR="00FD3719" w:rsidRDefault="00FD3719" w:rsidP="00366CA6">
            <w:pPr>
              <w:pStyle w:val="NormalWeb"/>
              <w:jc w:val="center"/>
              <w:rPr>
                <w:sz w:val="24"/>
                <w:szCs w:val="24"/>
              </w:rPr>
            </w:pPr>
            <w:r>
              <w:t>74</w:t>
            </w:r>
          </w:p>
        </w:tc>
        <w:tc>
          <w:tcPr>
            <w:tcW w:w="1243" w:type="dxa"/>
            <w:tcBorders>
              <w:left w:val="single" w:sz="2" w:space="0" w:color="000000" w:themeColor="text1"/>
              <w:right w:val="single" w:sz="2" w:space="0" w:color="000000" w:themeColor="text1"/>
            </w:tcBorders>
            <w:hideMark/>
          </w:tcPr>
          <w:p w14:paraId="3CB55A29" w14:textId="77777777" w:rsidR="00FD3719" w:rsidRDefault="00FD3719" w:rsidP="00366CA6">
            <w:pPr>
              <w:pStyle w:val="NormalWeb"/>
              <w:jc w:val="center"/>
            </w:pPr>
            <w:r>
              <w:t>66%</w:t>
            </w:r>
          </w:p>
        </w:tc>
        <w:tc>
          <w:tcPr>
            <w:tcW w:w="1244" w:type="dxa"/>
            <w:tcBorders>
              <w:left w:val="single" w:sz="2" w:space="0" w:color="000000" w:themeColor="text1"/>
            </w:tcBorders>
            <w:hideMark/>
          </w:tcPr>
          <w:p w14:paraId="1450A01A" w14:textId="77777777" w:rsidR="00FD3719" w:rsidRDefault="00FD3719" w:rsidP="00366CA6">
            <w:pPr>
              <w:jc w:val="center"/>
            </w:pPr>
          </w:p>
        </w:tc>
      </w:tr>
      <w:tr w:rsidR="00FD3719" w14:paraId="6601AF16" w14:textId="77777777" w:rsidTr="00C10A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2DE48C2" w14:textId="77777777" w:rsidR="00FD3719" w:rsidRDefault="00FD3719">
            <w:pPr>
              <w:pStyle w:val="NormalWeb"/>
              <w:rPr>
                <w:sz w:val="24"/>
                <w:szCs w:val="24"/>
              </w:rPr>
            </w:pPr>
            <w:r>
              <w:t>Unvaccinated</w:t>
            </w:r>
          </w:p>
        </w:tc>
        <w:tc>
          <w:tcPr>
            <w:tcW w:w="1243" w:type="dxa"/>
            <w:tcBorders>
              <w:left w:val="single" w:sz="2" w:space="0" w:color="000000" w:themeColor="text1"/>
              <w:right w:val="single" w:sz="2" w:space="0" w:color="000000" w:themeColor="text1"/>
            </w:tcBorders>
            <w:hideMark/>
          </w:tcPr>
          <w:p w14:paraId="649A0255" w14:textId="77777777" w:rsidR="00FD3719" w:rsidRDefault="00FD3719" w:rsidP="00366CA6">
            <w:pPr>
              <w:pStyle w:val="NormalWeb"/>
              <w:jc w:val="center"/>
            </w:pPr>
            <w:r>
              <w:t>50</w:t>
            </w:r>
          </w:p>
        </w:tc>
        <w:tc>
          <w:tcPr>
            <w:tcW w:w="1244" w:type="dxa"/>
            <w:tcBorders>
              <w:left w:val="single" w:sz="2" w:space="0" w:color="000000" w:themeColor="text1"/>
              <w:right w:val="single" w:sz="2" w:space="0" w:color="000000" w:themeColor="text1"/>
            </w:tcBorders>
            <w:hideMark/>
          </w:tcPr>
          <w:p w14:paraId="03585824" w14:textId="77777777" w:rsidR="00FD3719" w:rsidRDefault="00FD3719" w:rsidP="00366CA6">
            <w:pPr>
              <w:pStyle w:val="NormalWeb"/>
              <w:jc w:val="center"/>
            </w:pPr>
            <w:r>
              <w:t>60%</w:t>
            </w:r>
          </w:p>
        </w:tc>
        <w:tc>
          <w:tcPr>
            <w:tcW w:w="1243" w:type="dxa"/>
            <w:tcBorders>
              <w:left w:val="single" w:sz="2" w:space="0" w:color="000000" w:themeColor="text1"/>
              <w:right w:val="single" w:sz="2" w:space="0" w:color="000000" w:themeColor="text1"/>
            </w:tcBorders>
            <w:hideMark/>
          </w:tcPr>
          <w:p w14:paraId="6F3A07B6" w14:textId="77777777" w:rsidR="00FD3719" w:rsidRDefault="00FD3719" w:rsidP="00366CA6">
            <w:pPr>
              <w:jc w:val="center"/>
            </w:pPr>
          </w:p>
        </w:tc>
        <w:tc>
          <w:tcPr>
            <w:tcW w:w="1244" w:type="dxa"/>
            <w:tcBorders>
              <w:left w:val="single" w:sz="2" w:space="0" w:color="000000" w:themeColor="text1"/>
              <w:right w:val="single" w:sz="2" w:space="0" w:color="000000" w:themeColor="text1"/>
            </w:tcBorders>
            <w:hideMark/>
          </w:tcPr>
          <w:p w14:paraId="2046B885" w14:textId="77777777" w:rsidR="00FD3719" w:rsidRDefault="00FD3719" w:rsidP="00366CA6">
            <w:pPr>
              <w:pStyle w:val="NormalWeb"/>
              <w:jc w:val="center"/>
              <w:rPr>
                <w:sz w:val="24"/>
                <w:szCs w:val="24"/>
              </w:rPr>
            </w:pPr>
            <w:r>
              <w:t>26</w:t>
            </w:r>
          </w:p>
        </w:tc>
        <w:tc>
          <w:tcPr>
            <w:tcW w:w="1243" w:type="dxa"/>
            <w:tcBorders>
              <w:left w:val="single" w:sz="2" w:space="0" w:color="000000" w:themeColor="text1"/>
              <w:right w:val="single" w:sz="2" w:space="0" w:color="000000" w:themeColor="text1"/>
            </w:tcBorders>
            <w:hideMark/>
          </w:tcPr>
          <w:p w14:paraId="54219344" w14:textId="77777777" w:rsidR="00FD3719" w:rsidRDefault="00FD3719" w:rsidP="00366CA6">
            <w:pPr>
              <w:pStyle w:val="NormalWeb"/>
              <w:jc w:val="center"/>
            </w:pPr>
            <w:r>
              <w:t>55%</w:t>
            </w:r>
          </w:p>
        </w:tc>
        <w:tc>
          <w:tcPr>
            <w:tcW w:w="1244" w:type="dxa"/>
            <w:tcBorders>
              <w:left w:val="single" w:sz="2" w:space="0" w:color="000000" w:themeColor="text1"/>
            </w:tcBorders>
            <w:hideMark/>
          </w:tcPr>
          <w:p w14:paraId="271B8673" w14:textId="77777777" w:rsidR="00FD3719" w:rsidRDefault="00FD3719" w:rsidP="00366CA6">
            <w:pPr>
              <w:jc w:val="center"/>
            </w:pPr>
          </w:p>
        </w:tc>
      </w:tr>
      <w:tr w:rsidR="00D424A0" w:rsidRPr="00D424A0" w14:paraId="22B42630" w14:textId="77777777" w:rsidTr="00C10A28">
        <w:tc>
          <w:tcPr>
            <w:tcW w:w="0" w:type="auto"/>
            <w:tcBorders>
              <w:right w:val="single" w:sz="2" w:space="0" w:color="000000" w:themeColor="text1"/>
            </w:tcBorders>
            <w:shd w:val="clear" w:color="auto" w:fill="808080" w:themeFill="background1" w:themeFillShade="80"/>
            <w:hideMark/>
          </w:tcPr>
          <w:p w14:paraId="69A6B981" w14:textId="77777777" w:rsidR="00FD3719" w:rsidRPr="00D424A0" w:rsidRDefault="00FD3719">
            <w:pPr>
              <w:pStyle w:val="NormalWeb"/>
              <w:rPr>
                <w:color w:val="FFFFFF" w:themeColor="background1"/>
                <w:sz w:val="24"/>
                <w:szCs w:val="24"/>
              </w:rPr>
            </w:pPr>
            <w:r w:rsidRPr="00D424A0">
              <w:rPr>
                <w:color w:val="FFFFFF" w:themeColor="background1"/>
              </w:rPr>
              <w:t>Residence</w:t>
            </w:r>
          </w:p>
        </w:tc>
        <w:tc>
          <w:tcPr>
            <w:tcW w:w="1243" w:type="dxa"/>
            <w:tcBorders>
              <w:left w:val="single" w:sz="2" w:space="0" w:color="000000" w:themeColor="text1"/>
              <w:right w:val="single" w:sz="2" w:space="0" w:color="000000" w:themeColor="text1"/>
            </w:tcBorders>
            <w:shd w:val="clear" w:color="auto" w:fill="808080" w:themeFill="background1" w:themeFillShade="80"/>
            <w:hideMark/>
          </w:tcPr>
          <w:p w14:paraId="3C2773E3" w14:textId="77777777" w:rsidR="00FD3719" w:rsidRPr="00D424A0" w:rsidRDefault="00FD3719" w:rsidP="00366CA6">
            <w:pPr>
              <w:jc w:val="center"/>
              <w:rPr>
                <w:color w:val="FFFFFF" w:themeColor="background1"/>
              </w:rPr>
            </w:pPr>
          </w:p>
        </w:tc>
        <w:tc>
          <w:tcPr>
            <w:tcW w:w="1244" w:type="dxa"/>
            <w:tcBorders>
              <w:left w:val="single" w:sz="2" w:space="0" w:color="000000" w:themeColor="text1"/>
              <w:right w:val="single" w:sz="2" w:space="0" w:color="000000" w:themeColor="text1"/>
            </w:tcBorders>
            <w:shd w:val="clear" w:color="auto" w:fill="808080" w:themeFill="background1" w:themeFillShade="80"/>
            <w:hideMark/>
          </w:tcPr>
          <w:p w14:paraId="5095A621" w14:textId="77777777" w:rsidR="00FD3719" w:rsidRPr="00D424A0" w:rsidRDefault="00FD3719" w:rsidP="00366CA6">
            <w:pPr>
              <w:jc w:val="center"/>
              <w:rPr>
                <w:rFonts w:eastAsia="Times New Roman"/>
                <w:color w:val="FFFFFF" w:themeColor="background1"/>
                <w:sz w:val="20"/>
                <w:szCs w:val="20"/>
              </w:rPr>
            </w:pPr>
          </w:p>
        </w:tc>
        <w:tc>
          <w:tcPr>
            <w:tcW w:w="1243" w:type="dxa"/>
            <w:tcBorders>
              <w:left w:val="single" w:sz="2" w:space="0" w:color="000000" w:themeColor="text1"/>
              <w:right w:val="single" w:sz="2" w:space="0" w:color="000000" w:themeColor="text1"/>
            </w:tcBorders>
            <w:shd w:val="clear" w:color="auto" w:fill="808080" w:themeFill="background1" w:themeFillShade="80"/>
            <w:hideMark/>
          </w:tcPr>
          <w:p w14:paraId="18131197" w14:textId="77777777" w:rsidR="00FD3719" w:rsidRPr="00D424A0" w:rsidRDefault="00FD3719" w:rsidP="00366CA6">
            <w:pPr>
              <w:pStyle w:val="NormalWeb"/>
              <w:jc w:val="center"/>
              <w:rPr>
                <w:color w:val="FFFFFF" w:themeColor="background1"/>
                <w:sz w:val="24"/>
                <w:szCs w:val="24"/>
              </w:rPr>
            </w:pPr>
            <w:r w:rsidRPr="00D424A0">
              <w:rPr>
                <w:color w:val="FFFFFF" w:themeColor="background1"/>
              </w:rPr>
              <w:t>.25</w:t>
            </w:r>
          </w:p>
        </w:tc>
        <w:tc>
          <w:tcPr>
            <w:tcW w:w="1244" w:type="dxa"/>
            <w:tcBorders>
              <w:left w:val="single" w:sz="2" w:space="0" w:color="000000" w:themeColor="text1"/>
              <w:right w:val="single" w:sz="2" w:space="0" w:color="000000" w:themeColor="text1"/>
            </w:tcBorders>
            <w:shd w:val="clear" w:color="auto" w:fill="808080" w:themeFill="background1" w:themeFillShade="80"/>
            <w:hideMark/>
          </w:tcPr>
          <w:p w14:paraId="2E9679EA" w14:textId="77777777" w:rsidR="00FD3719" w:rsidRPr="00D424A0" w:rsidRDefault="00FD3719" w:rsidP="00366CA6">
            <w:pPr>
              <w:jc w:val="center"/>
              <w:rPr>
                <w:color w:val="FFFFFF" w:themeColor="background1"/>
              </w:rPr>
            </w:pPr>
          </w:p>
        </w:tc>
        <w:tc>
          <w:tcPr>
            <w:tcW w:w="1243" w:type="dxa"/>
            <w:tcBorders>
              <w:left w:val="single" w:sz="2" w:space="0" w:color="000000" w:themeColor="text1"/>
              <w:right w:val="single" w:sz="2" w:space="0" w:color="000000" w:themeColor="text1"/>
            </w:tcBorders>
            <w:shd w:val="clear" w:color="auto" w:fill="808080" w:themeFill="background1" w:themeFillShade="80"/>
            <w:hideMark/>
          </w:tcPr>
          <w:p w14:paraId="5DCFD85A" w14:textId="77777777" w:rsidR="00FD3719" w:rsidRPr="00D424A0" w:rsidRDefault="00FD3719" w:rsidP="00366CA6">
            <w:pPr>
              <w:jc w:val="center"/>
              <w:rPr>
                <w:rFonts w:eastAsia="Times New Roman"/>
                <w:color w:val="FFFFFF" w:themeColor="background1"/>
                <w:sz w:val="20"/>
                <w:szCs w:val="20"/>
              </w:rPr>
            </w:pPr>
          </w:p>
        </w:tc>
        <w:tc>
          <w:tcPr>
            <w:tcW w:w="1244" w:type="dxa"/>
            <w:tcBorders>
              <w:left w:val="single" w:sz="2" w:space="0" w:color="000000" w:themeColor="text1"/>
            </w:tcBorders>
            <w:shd w:val="clear" w:color="auto" w:fill="808080" w:themeFill="background1" w:themeFillShade="80"/>
            <w:hideMark/>
          </w:tcPr>
          <w:p w14:paraId="09ABE671" w14:textId="77777777" w:rsidR="00FD3719" w:rsidRPr="00D424A0" w:rsidRDefault="00FD3719" w:rsidP="00366CA6">
            <w:pPr>
              <w:pStyle w:val="NormalWeb"/>
              <w:jc w:val="center"/>
              <w:rPr>
                <w:color w:val="FFFFFF" w:themeColor="background1"/>
                <w:sz w:val="24"/>
                <w:szCs w:val="24"/>
              </w:rPr>
            </w:pPr>
            <w:r w:rsidRPr="00D424A0">
              <w:rPr>
                <w:color w:val="FFFFFF" w:themeColor="background1"/>
              </w:rPr>
              <w:t>.50</w:t>
            </w:r>
          </w:p>
        </w:tc>
      </w:tr>
      <w:tr w:rsidR="00FD3719" w14:paraId="1D17A254" w14:textId="77777777" w:rsidTr="00C10A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7429CE8F" w14:textId="77777777" w:rsidR="00FD3719" w:rsidRDefault="00FD3719">
            <w:pPr>
              <w:pStyle w:val="NormalWeb"/>
            </w:pPr>
            <w:r>
              <w:t>Rural/remote</w:t>
            </w:r>
          </w:p>
        </w:tc>
        <w:tc>
          <w:tcPr>
            <w:tcW w:w="1243" w:type="dxa"/>
            <w:tcBorders>
              <w:left w:val="single" w:sz="2" w:space="0" w:color="000000" w:themeColor="text1"/>
              <w:right w:val="single" w:sz="2" w:space="0" w:color="000000" w:themeColor="text1"/>
            </w:tcBorders>
            <w:hideMark/>
          </w:tcPr>
          <w:p w14:paraId="02E63CF6" w14:textId="77777777" w:rsidR="00FD3719" w:rsidRDefault="00FD3719" w:rsidP="00366CA6">
            <w:pPr>
              <w:pStyle w:val="NormalWeb"/>
              <w:jc w:val="center"/>
            </w:pPr>
            <w:r>
              <w:t>26</w:t>
            </w:r>
          </w:p>
        </w:tc>
        <w:tc>
          <w:tcPr>
            <w:tcW w:w="1244" w:type="dxa"/>
            <w:tcBorders>
              <w:left w:val="single" w:sz="2" w:space="0" w:color="000000" w:themeColor="text1"/>
              <w:right w:val="single" w:sz="2" w:space="0" w:color="000000" w:themeColor="text1"/>
            </w:tcBorders>
            <w:hideMark/>
          </w:tcPr>
          <w:p w14:paraId="55BD6A54" w14:textId="77777777" w:rsidR="00FD3719" w:rsidRDefault="00FD3719" w:rsidP="00366CA6">
            <w:pPr>
              <w:pStyle w:val="NormalWeb"/>
              <w:jc w:val="center"/>
            </w:pPr>
            <w:r>
              <w:t>59%</w:t>
            </w:r>
          </w:p>
        </w:tc>
        <w:tc>
          <w:tcPr>
            <w:tcW w:w="1243" w:type="dxa"/>
            <w:tcBorders>
              <w:left w:val="single" w:sz="2" w:space="0" w:color="000000" w:themeColor="text1"/>
              <w:right w:val="single" w:sz="2" w:space="0" w:color="000000" w:themeColor="text1"/>
            </w:tcBorders>
            <w:hideMark/>
          </w:tcPr>
          <w:p w14:paraId="5EA504DD" w14:textId="77777777" w:rsidR="00FD3719" w:rsidRDefault="00FD3719" w:rsidP="00366CA6">
            <w:pPr>
              <w:jc w:val="center"/>
            </w:pPr>
          </w:p>
        </w:tc>
        <w:tc>
          <w:tcPr>
            <w:tcW w:w="1244" w:type="dxa"/>
            <w:tcBorders>
              <w:left w:val="single" w:sz="2" w:space="0" w:color="000000" w:themeColor="text1"/>
              <w:right w:val="single" w:sz="2" w:space="0" w:color="000000" w:themeColor="text1"/>
            </w:tcBorders>
            <w:hideMark/>
          </w:tcPr>
          <w:p w14:paraId="7BB875C9" w14:textId="77777777" w:rsidR="00FD3719" w:rsidRDefault="00FD3719" w:rsidP="00366CA6">
            <w:pPr>
              <w:pStyle w:val="NormalWeb"/>
              <w:jc w:val="center"/>
              <w:rPr>
                <w:sz w:val="24"/>
                <w:szCs w:val="24"/>
              </w:rPr>
            </w:pPr>
            <w:r>
              <w:t>24</w:t>
            </w:r>
          </w:p>
        </w:tc>
        <w:tc>
          <w:tcPr>
            <w:tcW w:w="1243" w:type="dxa"/>
            <w:tcBorders>
              <w:left w:val="single" w:sz="2" w:space="0" w:color="000000" w:themeColor="text1"/>
              <w:right w:val="single" w:sz="2" w:space="0" w:color="000000" w:themeColor="text1"/>
            </w:tcBorders>
            <w:hideMark/>
          </w:tcPr>
          <w:p w14:paraId="6E8BA89C" w14:textId="77777777" w:rsidR="00FD3719" w:rsidRDefault="00FD3719" w:rsidP="00366CA6">
            <w:pPr>
              <w:pStyle w:val="NormalWeb"/>
              <w:jc w:val="center"/>
            </w:pPr>
            <w:r>
              <w:t>59%</w:t>
            </w:r>
          </w:p>
        </w:tc>
        <w:tc>
          <w:tcPr>
            <w:tcW w:w="1244" w:type="dxa"/>
            <w:tcBorders>
              <w:left w:val="single" w:sz="2" w:space="0" w:color="000000" w:themeColor="text1"/>
            </w:tcBorders>
            <w:hideMark/>
          </w:tcPr>
          <w:p w14:paraId="7ED06DF7" w14:textId="77777777" w:rsidR="00FD3719" w:rsidRDefault="00FD3719" w:rsidP="00366CA6">
            <w:pPr>
              <w:jc w:val="center"/>
            </w:pPr>
          </w:p>
        </w:tc>
      </w:tr>
      <w:tr w:rsidR="00C10A28" w14:paraId="4B956D19" w14:textId="77777777" w:rsidTr="00C10A28">
        <w:tc>
          <w:tcPr>
            <w:tcW w:w="0" w:type="auto"/>
            <w:tcBorders>
              <w:right w:val="single" w:sz="2" w:space="0" w:color="000000" w:themeColor="text1"/>
            </w:tcBorders>
            <w:hideMark/>
          </w:tcPr>
          <w:p w14:paraId="2EBB4543" w14:textId="77777777" w:rsidR="00FD3719" w:rsidRDefault="00FD3719">
            <w:pPr>
              <w:pStyle w:val="NormalWeb"/>
              <w:rPr>
                <w:sz w:val="24"/>
                <w:szCs w:val="24"/>
              </w:rPr>
            </w:pPr>
            <w:r>
              <w:t>Metropolitan</w:t>
            </w:r>
          </w:p>
        </w:tc>
        <w:tc>
          <w:tcPr>
            <w:tcW w:w="1243" w:type="dxa"/>
            <w:tcBorders>
              <w:left w:val="single" w:sz="2" w:space="0" w:color="000000" w:themeColor="text1"/>
              <w:right w:val="single" w:sz="2" w:space="0" w:color="000000" w:themeColor="text1"/>
            </w:tcBorders>
            <w:hideMark/>
          </w:tcPr>
          <w:p w14:paraId="615CDF86" w14:textId="77777777" w:rsidR="00FD3719" w:rsidRDefault="00FD3719" w:rsidP="00366CA6">
            <w:pPr>
              <w:pStyle w:val="NormalWeb"/>
              <w:jc w:val="center"/>
            </w:pPr>
            <w:r>
              <w:t>97</w:t>
            </w:r>
          </w:p>
        </w:tc>
        <w:tc>
          <w:tcPr>
            <w:tcW w:w="1244" w:type="dxa"/>
            <w:tcBorders>
              <w:left w:val="single" w:sz="2" w:space="0" w:color="000000" w:themeColor="text1"/>
              <w:right w:val="single" w:sz="2" w:space="0" w:color="000000" w:themeColor="text1"/>
            </w:tcBorders>
            <w:hideMark/>
          </w:tcPr>
          <w:p w14:paraId="42F7FCC2" w14:textId="77777777" w:rsidR="00FD3719" w:rsidRDefault="00FD3719" w:rsidP="00366CA6">
            <w:pPr>
              <w:pStyle w:val="NormalWeb"/>
              <w:jc w:val="center"/>
            </w:pPr>
            <w:r>
              <w:t>69%</w:t>
            </w:r>
          </w:p>
        </w:tc>
        <w:tc>
          <w:tcPr>
            <w:tcW w:w="1243" w:type="dxa"/>
            <w:tcBorders>
              <w:left w:val="single" w:sz="2" w:space="0" w:color="000000" w:themeColor="text1"/>
              <w:right w:val="single" w:sz="2" w:space="0" w:color="000000" w:themeColor="text1"/>
            </w:tcBorders>
            <w:hideMark/>
          </w:tcPr>
          <w:p w14:paraId="3EA87997" w14:textId="77777777" w:rsidR="00FD3719" w:rsidRDefault="00FD3719" w:rsidP="00366CA6">
            <w:pPr>
              <w:jc w:val="center"/>
            </w:pPr>
          </w:p>
        </w:tc>
        <w:tc>
          <w:tcPr>
            <w:tcW w:w="1244" w:type="dxa"/>
            <w:tcBorders>
              <w:left w:val="single" w:sz="2" w:space="0" w:color="000000" w:themeColor="text1"/>
              <w:right w:val="single" w:sz="2" w:space="0" w:color="000000" w:themeColor="text1"/>
            </w:tcBorders>
            <w:hideMark/>
          </w:tcPr>
          <w:p w14:paraId="604D6AE6" w14:textId="77777777" w:rsidR="00FD3719" w:rsidRDefault="00FD3719" w:rsidP="00366CA6">
            <w:pPr>
              <w:pStyle w:val="NormalWeb"/>
              <w:jc w:val="center"/>
              <w:rPr>
                <w:sz w:val="24"/>
                <w:szCs w:val="24"/>
              </w:rPr>
            </w:pPr>
            <w:r>
              <w:t>76</w:t>
            </w:r>
          </w:p>
        </w:tc>
        <w:tc>
          <w:tcPr>
            <w:tcW w:w="1243" w:type="dxa"/>
            <w:tcBorders>
              <w:left w:val="single" w:sz="2" w:space="0" w:color="000000" w:themeColor="text1"/>
              <w:right w:val="single" w:sz="2" w:space="0" w:color="000000" w:themeColor="text1"/>
            </w:tcBorders>
            <w:hideMark/>
          </w:tcPr>
          <w:p w14:paraId="150AD99E" w14:textId="77777777" w:rsidR="00FD3719" w:rsidRDefault="00FD3719" w:rsidP="00366CA6">
            <w:pPr>
              <w:pStyle w:val="NormalWeb"/>
              <w:jc w:val="center"/>
            </w:pPr>
            <w:r>
              <w:t>64%</w:t>
            </w:r>
          </w:p>
        </w:tc>
        <w:tc>
          <w:tcPr>
            <w:tcW w:w="1244" w:type="dxa"/>
            <w:tcBorders>
              <w:left w:val="single" w:sz="2" w:space="0" w:color="000000" w:themeColor="text1"/>
            </w:tcBorders>
            <w:hideMark/>
          </w:tcPr>
          <w:p w14:paraId="5C4B30A1" w14:textId="77777777" w:rsidR="00FD3719" w:rsidRDefault="00FD3719" w:rsidP="00366CA6">
            <w:pPr>
              <w:jc w:val="center"/>
            </w:pPr>
          </w:p>
        </w:tc>
      </w:tr>
      <w:tr w:rsidR="00D424A0" w:rsidRPr="00D424A0" w14:paraId="315AB9D9" w14:textId="77777777" w:rsidTr="00C10A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shd w:val="clear" w:color="auto" w:fill="808080" w:themeFill="background1" w:themeFillShade="80"/>
            <w:hideMark/>
          </w:tcPr>
          <w:p w14:paraId="3E874567" w14:textId="77777777" w:rsidR="00FD3719" w:rsidRPr="00D424A0" w:rsidRDefault="00FD3719">
            <w:pPr>
              <w:pStyle w:val="NormalWeb"/>
              <w:rPr>
                <w:color w:val="FFFFFF" w:themeColor="background1"/>
                <w:sz w:val="24"/>
                <w:szCs w:val="24"/>
              </w:rPr>
            </w:pPr>
            <w:r w:rsidRPr="00D424A0">
              <w:rPr>
                <w:color w:val="FFFFFF" w:themeColor="background1"/>
              </w:rPr>
              <w:t>Antenatal care provider</w:t>
            </w:r>
            <w:r w:rsidRPr="00D424A0">
              <w:rPr>
                <w:color w:val="FFFFFF" w:themeColor="background1"/>
                <w:vertAlign w:val="superscript"/>
              </w:rPr>
              <w:t>†</w:t>
            </w:r>
          </w:p>
        </w:tc>
        <w:tc>
          <w:tcPr>
            <w:tcW w:w="1243" w:type="dxa"/>
            <w:tcBorders>
              <w:left w:val="single" w:sz="2" w:space="0" w:color="000000" w:themeColor="text1"/>
              <w:right w:val="single" w:sz="2" w:space="0" w:color="000000" w:themeColor="text1"/>
            </w:tcBorders>
            <w:shd w:val="clear" w:color="auto" w:fill="808080" w:themeFill="background1" w:themeFillShade="80"/>
            <w:hideMark/>
          </w:tcPr>
          <w:p w14:paraId="667E5AC8" w14:textId="77777777" w:rsidR="00FD3719" w:rsidRPr="00D424A0" w:rsidRDefault="00FD3719" w:rsidP="00366CA6">
            <w:pPr>
              <w:jc w:val="center"/>
              <w:rPr>
                <w:color w:val="FFFFFF" w:themeColor="background1"/>
              </w:rPr>
            </w:pPr>
          </w:p>
        </w:tc>
        <w:tc>
          <w:tcPr>
            <w:tcW w:w="1244" w:type="dxa"/>
            <w:tcBorders>
              <w:left w:val="single" w:sz="2" w:space="0" w:color="000000" w:themeColor="text1"/>
              <w:right w:val="single" w:sz="2" w:space="0" w:color="000000" w:themeColor="text1"/>
            </w:tcBorders>
            <w:shd w:val="clear" w:color="auto" w:fill="808080" w:themeFill="background1" w:themeFillShade="80"/>
            <w:hideMark/>
          </w:tcPr>
          <w:p w14:paraId="186D86BF" w14:textId="77777777" w:rsidR="00FD3719" w:rsidRPr="00D424A0" w:rsidRDefault="00FD3719" w:rsidP="00366CA6">
            <w:pPr>
              <w:jc w:val="center"/>
              <w:rPr>
                <w:rFonts w:eastAsia="Times New Roman"/>
                <w:color w:val="FFFFFF" w:themeColor="background1"/>
                <w:sz w:val="20"/>
                <w:szCs w:val="20"/>
              </w:rPr>
            </w:pPr>
          </w:p>
        </w:tc>
        <w:tc>
          <w:tcPr>
            <w:tcW w:w="1243" w:type="dxa"/>
            <w:tcBorders>
              <w:left w:val="single" w:sz="2" w:space="0" w:color="000000" w:themeColor="text1"/>
              <w:right w:val="single" w:sz="2" w:space="0" w:color="000000" w:themeColor="text1"/>
            </w:tcBorders>
            <w:shd w:val="clear" w:color="auto" w:fill="808080" w:themeFill="background1" w:themeFillShade="80"/>
            <w:hideMark/>
          </w:tcPr>
          <w:p w14:paraId="3CD709EE" w14:textId="77777777" w:rsidR="00FD3719" w:rsidRPr="00D424A0" w:rsidRDefault="00FD3719" w:rsidP="00366CA6">
            <w:pPr>
              <w:pStyle w:val="NormalWeb"/>
              <w:jc w:val="center"/>
              <w:rPr>
                <w:color w:val="FFFFFF" w:themeColor="background1"/>
                <w:sz w:val="24"/>
                <w:szCs w:val="24"/>
              </w:rPr>
            </w:pPr>
            <w:r w:rsidRPr="00D424A0">
              <w:rPr>
                <w:color w:val="FFFFFF" w:themeColor="background1"/>
              </w:rPr>
              <w:t>.001</w:t>
            </w:r>
          </w:p>
        </w:tc>
        <w:tc>
          <w:tcPr>
            <w:tcW w:w="1244" w:type="dxa"/>
            <w:tcBorders>
              <w:left w:val="single" w:sz="2" w:space="0" w:color="000000" w:themeColor="text1"/>
              <w:right w:val="single" w:sz="2" w:space="0" w:color="000000" w:themeColor="text1"/>
            </w:tcBorders>
            <w:shd w:val="clear" w:color="auto" w:fill="808080" w:themeFill="background1" w:themeFillShade="80"/>
            <w:hideMark/>
          </w:tcPr>
          <w:p w14:paraId="20A4C050" w14:textId="77777777" w:rsidR="00FD3719" w:rsidRPr="00D424A0" w:rsidRDefault="00FD3719" w:rsidP="00366CA6">
            <w:pPr>
              <w:jc w:val="center"/>
              <w:rPr>
                <w:color w:val="FFFFFF" w:themeColor="background1"/>
              </w:rPr>
            </w:pPr>
          </w:p>
        </w:tc>
        <w:tc>
          <w:tcPr>
            <w:tcW w:w="1243" w:type="dxa"/>
            <w:tcBorders>
              <w:left w:val="single" w:sz="2" w:space="0" w:color="000000" w:themeColor="text1"/>
              <w:right w:val="single" w:sz="2" w:space="0" w:color="000000" w:themeColor="text1"/>
            </w:tcBorders>
            <w:shd w:val="clear" w:color="auto" w:fill="808080" w:themeFill="background1" w:themeFillShade="80"/>
            <w:hideMark/>
          </w:tcPr>
          <w:p w14:paraId="6B727029" w14:textId="77777777" w:rsidR="00FD3719" w:rsidRPr="00D424A0" w:rsidRDefault="00FD3719" w:rsidP="00366CA6">
            <w:pPr>
              <w:jc w:val="center"/>
              <w:rPr>
                <w:rFonts w:eastAsia="Times New Roman"/>
                <w:color w:val="FFFFFF" w:themeColor="background1"/>
                <w:sz w:val="20"/>
                <w:szCs w:val="20"/>
              </w:rPr>
            </w:pPr>
          </w:p>
        </w:tc>
        <w:tc>
          <w:tcPr>
            <w:tcW w:w="1244" w:type="dxa"/>
            <w:tcBorders>
              <w:left w:val="single" w:sz="2" w:space="0" w:color="000000" w:themeColor="text1"/>
            </w:tcBorders>
            <w:shd w:val="clear" w:color="auto" w:fill="808080" w:themeFill="background1" w:themeFillShade="80"/>
            <w:hideMark/>
          </w:tcPr>
          <w:p w14:paraId="2045D074" w14:textId="77777777" w:rsidR="00FD3719" w:rsidRPr="00D424A0" w:rsidRDefault="00FD3719" w:rsidP="00366CA6">
            <w:pPr>
              <w:pStyle w:val="NormalWeb"/>
              <w:jc w:val="center"/>
              <w:rPr>
                <w:color w:val="FFFFFF" w:themeColor="background1"/>
                <w:sz w:val="24"/>
                <w:szCs w:val="24"/>
              </w:rPr>
            </w:pPr>
            <w:r w:rsidRPr="00D424A0">
              <w:rPr>
                <w:color w:val="FFFFFF" w:themeColor="background1"/>
              </w:rPr>
              <w:t>&lt;.001</w:t>
            </w:r>
          </w:p>
        </w:tc>
      </w:tr>
      <w:tr w:rsidR="00C10A28" w14:paraId="16E52578" w14:textId="77777777" w:rsidTr="00C10A28">
        <w:tc>
          <w:tcPr>
            <w:tcW w:w="0" w:type="auto"/>
            <w:tcBorders>
              <w:right w:val="single" w:sz="2" w:space="0" w:color="000000" w:themeColor="text1"/>
            </w:tcBorders>
            <w:hideMark/>
          </w:tcPr>
          <w:p w14:paraId="00988D28" w14:textId="77777777" w:rsidR="00FD3719" w:rsidRDefault="00FD3719">
            <w:pPr>
              <w:pStyle w:val="NormalWeb"/>
            </w:pPr>
            <w:r>
              <w:t>Public hospital</w:t>
            </w:r>
          </w:p>
        </w:tc>
        <w:tc>
          <w:tcPr>
            <w:tcW w:w="1243" w:type="dxa"/>
            <w:tcBorders>
              <w:left w:val="single" w:sz="2" w:space="0" w:color="000000" w:themeColor="text1"/>
              <w:right w:val="single" w:sz="2" w:space="0" w:color="000000" w:themeColor="text1"/>
            </w:tcBorders>
            <w:hideMark/>
          </w:tcPr>
          <w:p w14:paraId="776BEA68" w14:textId="77777777" w:rsidR="00FD3719" w:rsidRDefault="00FD3719" w:rsidP="00366CA6">
            <w:pPr>
              <w:pStyle w:val="NormalWeb"/>
              <w:jc w:val="center"/>
            </w:pPr>
            <w:r>
              <w:t>91</w:t>
            </w:r>
          </w:p>
        </w:tc>
        <w:tc>
          <w:tcPr>
            <w:tcW w:w="1244" w:type="dxa"/>
            <w:tcBorders>
              <w:left w:val="single" w:sz="2" w:space="0" w:color="000000" w:themeColor="text1"/>
              <w:right w:val="single" w:sz="2" w:space="0" w:color="000000" w:themeColor="text1"/>
            </w:tcBorders>
            <w:hideMark/>
          </w:tcPr>
          <w:p w14:paraId="020C7E70" w14:textId="77777777" w:rsidR="00FD3719" w:rsidRDefault="00FD3719" w:rsidP="00366CA6">
            <w:pPr>
              <w:pStyle w:val="NormalWeb"/>
              <w:jc w:val="center"/>
            </w:pPr>
            <w:r>
              <w:t>74%</w:t>
            </w:r>
          </w:p>
        </w:tc>
        <w:tc>
          <w:tcPr>
            <w:tcW w:w="1243" w:type="dxa"/>
            <w:tcBorders>
              <w:left w:val="single" w:sz="2" w:space="0" w:color="000000" w:themeColor="text1"/>
              <w:right w:val="single" w:sz="2" w:space="0" w:color="000000" w:themeColor="text1"/>
            </w:tcBorders>
            <w:hideMark/>
          </w:tcPr>
          <w:p w14:paraId="345B47DC" w14:textId="77777777" w:rsidR="00FD3719" w:rsidRDefault="00FD3719" w:rsidP="00366CA6">
            <w:pPr>
              <w:jc w:val="center"/>
            </w:pPr>
          </w:p>
        </w:tc>
        <w:tc>
          <w:tcPr>
            <w:tcW w:w="1244" w:type="dxa"/>
            <w:tcBorders>
              <w:left w:val="single" w:sz="2" w:space="0" w:color="000000" w:themeColor="text1"/>
              <w:right w:val="single" w:sz="2" w:space="0" w:color="000000" w:themeColor="text1"/>
            </w:tcBorders>
            <w:hideMark/>
          </w:tcPr>
          <w:p w14:paraId="2CE08D1B" w14:textId="77777777" w:rsidR="00FD3719" w:rsidRDefault="00FD3719" w:rsidP="00366CA6">
            <w:pPr>
              <w:pStyle w:val="NormalWeb"/>
              <w:jc w:val="center"/>
              <w:rPr>
                <w:sz w:val="24"/>
                <w:szCs w:val="24"/>
              </w:rPr>
            </w:pPr>
            <w:r>
              <w:t>79</w:t>
            </w:r>
          </w:p>
        </w:tc>
        <w:tc>
          <w:tcPr>
            <w:tcW w:w="1243" w:type="dxa"/>
            <w:tcBorders>
              <w:left w:val="single" w:sz="2" w:space="0" w:color="000000" w:themeColor="text1"/>
              <w:right w:val="single" w:sz="2" w:space="0" w:color="000000" w:themeColor="text1"/>
            </w:tcBorders>
            <w:hideMark/>
          </w:tcPr>
          <w:p w14:paraId="3D92088B" w14:textId="77777777" w:rsidR="00FD3719" w:rsidRDefault="00FD3719" w:rsidP="00366CA6">
            <w:pPr>
              <w:pStyle w:val="NormalWeb"/>
              <w:jc w:val="center"/>
            </w:pPr>
            <w:r>
              <w:t>71%</w:t>
            </w:r>
          </w:p>
        </w:tc>
        <w:tc>
          <w:tcPr>
            <w:tcW w:w="1244" w:type="dxa"/>
            <w:tcBorders>
              <w:left w:val="single" w:sz="2" w:space="0" w:color="000000" w:themeColor="text1"/>
            </w:tcBorders>
            <w:hideMark/>
          </w:tcPr>
          <w:p w14:paraId="265E9E21" w14:textId="77777777" w:rsidR="00FD3719" w:rsidRDefault="00FD3719" w:rsidP="00366CA6">
            <w:pPr>
              <w:jc w:val="center"/>
            </w:pPr>
          </w:p>
        </w:tc>
      </w:tr>
      <w:tr w:rsidR="00FD3719" w14:paraId="010DDE1D" w14:textId="77777777" w:rsidTr="00C10A2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6FDB1906" w14:textId="77777777" w:rsidR="00FD3719" w:rsidRDefault="00FD3719">
            <w:pPr>
              <w:pStyle w:val="NormalWeb"/>
              <w:rPr>
                <w:sz w:val="24"/>
                <w:szCs w:val="24"/>
              </w:rPr>
            </w:pPr>
            <w:r>
              <w:t>Private obstetrician or midwife</w:t>
            </w:r>
          </w:p>
        </w:tc>
        <w:tc>
          <w:tcPr>
            <w:tcW w:w="1243" w:type="dxa"/>
            <w:tcBorders>
              <w:left w:val="single" w:sz="2" w:space="0" w:color="000000" w:themeColor="text1"/>
              <w:right w:val="single" w:sz="2" w:space="0" w:color="000000" w:themeColor="text1"/>
            </w:tcBorders>
            <w:hideMark/>
          </w:tcPr>
          <w:p w14:paraId="435BF05E" w14:textId="77777777" w:rsidR="00FD3719" w:rsidRDefault="00FD3719" w:rsidP="00366CA6">
            <w:pPr>
              <w:pStyle w:val="NormalWeb"/>
              <w:jc w:val="center"/>
            </w:pPr>
            <w:r>
              <w:t>27</w:t>
            </w:r>
          </w:p>
        </w:tc>
        <w:tc>
          <w:tcPr>
            <w:tcW w:w="1244" w:type="dxa"/>
            <w:tcBorders>
              <w:left w:val="single" w:sz="2" w:space="0" w:color="000000" w:themeColor="text1"/>
              <w:right w:val="single" w:sz="2" w:space="0" w:color="000000" w:themeColor="text1"/>
            </w:tcBorders>
            <w:hideMark/>
          </w:tcPr>
          <w:p w14:paraId="39212349" w14:textId="77777777" w:rsidR="00FD3719" w:rsidRDefault="00FD3719" w:rsidP="00366CA6">
            <w:pPr>
              <w:pStyle w:val="NormalWeb"/>
              <w:jc w:val="center"/>
            </w:pPr>
            <w:r>
              <w:t>48%</w:t>
            </w:r>
          </w:p>
        </w:tc>
        <w:tc>
          <w:tcPr>
            <w:tcW w:w="1243" w:type="dxa"/>
            <w:tcBorders>
              <w:left w:val="single" w:sz="2" w:space="0" w:color="000000" w:themeColor="text1"/>
              <w:right w:val="single" w:sz="2" w:space="0" w:color="000000" w:themeColor="text1"/>
            </w:tcBorders>
            <w:hideMark/>
          </w:tcPr>
          <w:p w14:paraId="475378E4" w14:textId="77777777" w:rsidR="00FD3719" w:rsidRDefault="00FD3719" w:rsidP="00366CA6">
            <w:pPr>
              <w:jc w:val="center"/>
            </w:pPr>
          </w:p>
        </w:tc>
        <w:tc>
          <w:tcPr>
            <w:tcW w:w="1244" w:type="dxa"/>
            <w:tcBorders>
              <w:left w:val="single" w:sz="2" w:space="0" w:color="000000" w:themeColor="text1"/>
              <w:right w:val="single" w:sz="2" w:space="0" w:color="000000" w:themeColor="text1"/>
            </w:tcBorders>
            <w:hideMark/>
          </w:tcPr>
          <w:p w14:paraId="6851A6B5" w14:textId="77777777" w:rsidR="00FD3719" w:rsidRDefault="00FD3719" w:rsidP="00366CA6">
            <w:pPr>
              <w:pStyle w:val="NormalWeb"/>
              <w:jc w:val="center"/>
              <w:rPr>
                <w:sz w:val="24"/>
                <w:szCs w:val="24"/>
              </w:rPr>
            </w:pPr>
            <w:r>
              <w:t>18</w:t>
            </w:r>
          </w:p>
        </w:tc>
        <w:tc>
          <w:tcPr>
            <w:tcW w:w="1243" w:type="dxa"/>
            <w:tcBorders>
              <w:left w:val="single" w:sz="2" w:space="0" w:color="000000" w:themeColor="text1"/>
              <w:right w:val="single" w:sz="2" w:space="0" w:color="000000" w:themeColor="text1"/>
            </w:tcBorders>
            <w:hideMark/>
          </w:tcPr>
          <w:p w14:paraId="1F754C77" w14:textId="77777777" w:rsidR="00FD3719" w:rsidRDefault="00FD3719" w:rsidP="00366CA6">
            <w:pPr>
              <w:pStyle w:val="NormalWeb"/>
              <w:jc w:val="center"/>
            </w:pPr>
            <w:r>
              <w:t>41%</w:t>
            </w:r>
          </w:p>
        </w:tc>
        <w:tc>
          <w:tcPr>
            <w:tcW w:w="1244" w:type="dxa"/>
            <w:tcBorders>
              <w:left w:val="single" w:sz="2" w:space="0" w:color="000000" w:themeColor="text1"/>
            </w:tcBorders>
            <w:hideMark/>
          </w:tcPr>
          <w:p w14:paraId="72033B7B" w14:textId="77777777" w:rsidR="00FD3719" w:rsidRDefault="00FD3719" w:rsidP="00366CA6">
            <w:pPr>
              <w:jc w:val="center"/>
            </w:pPr>
          </w:p>
        </w:tc>
      </w:tr>
      <w:tr w:rsidR="00C10A28" w14:paraId="346E7193" w14:textId="77777777" w:rsidTr="00C10A28">
        <w:tc>
          <w:tcPr>
            <w:tcW w:w="0" w:type="auto"/>
            <w:tcBorders>
              <w:right w:val="single" w:sz="2" w:space="0" w:color="000000" w:themeColor="text1"/>
            </w:tcBorders>
            <w:hideMark/>
          </w:tcPr>
          <w:p w14:paraId="0C0EBEE7" w14:textId="77777777" w:rsidR="00FD3719" w:rsidRDefault="00FD3719">
            <w:pPr>
              <w:pStyle w:val="NormalWeb"/>
              <w:rPr>
                <w:sz w:val="24"/>
                <w:szCs w:val="24"/>
              </w:rPr>
            </w:pPr>
            <w:r>
              <w:t>General practitioner</w:t>
            </w:r>
          </w:p>
        </w:tc>
        <w:tc>
          <w:tcPr>
            <w:tcW w:w="1243" w:type="dxa"/>
            <w:tcBorders>
              <w:left w:val="single" w:sz="2" w:space="0" w:color="000000" w:themeColor="text1"/>
              <w:right w:val="single" w:sz="2" w:space="0" w:color="000000" w:themeColor="text1"/>
            </w:tcBorders>
            <w:hideMark/>
          </w:tcPr>
          <w:p w14:paraId="2CBE5885" w14:textId="77777777" w:rsidR="00FD3719" w:rsidRDefault="00FD3719" w:rsidP="00366CA6">
            <w:pPr>
              <w:pStyle w:val="NormalWeb"/>
              <w:jc w:val="center"/>
            </w:pPr>
            <w:r>
              <w:t>5</w:t>
            </w:r>
          </w:p>
        </w:tc>
        <w:tc>
          <w:tcPr>
            <w:tcW w:w="1244" w:type="dxa"/>
            <w:tcBorders>
              <w:left w:val="single" w:sz="2" w:space="0" w:color="000000" w:themeColor="text1"/>
              <w:right w:val="single" w:sz="2" w:space="0" w:color="000000" w:themeColor="text1"/>
            </w:tcBorders>
            <w:hideMark/>
          </w:tcPr>
          <w:p w14:paraId="1D56B8ED" w14:textId="77777777" w:rsidR="00FD3719" w:rsidRDefault="00FD3719" w:rsidP="00366CA6">
            <w:pPr>
              <w:pStyle w:val="NormalWeb"/>
              <w:jc w:val="center"/>
            </w:pPr>
            <w:r>
              <w:t>83%</w:t>
            </w:r>
          </w:p>
        </w:tc>
        <w:tc>
          <w:tcPr>
            <w:tcW w:w="1243" w:type="dxa"/>
            <w:tcBorders>
              <w:left w:val="single" w:sz="2" w:space="0" w:color="000000" w:themeColor="text1"/>
              <w:right w:val="single" w:sz="2" w:space="0" w:color="000000" w:themeColor="text1"/>
            </w:tcBorders>
            <w:hideMark/>
          </w:tcPr>
          <w:p w14:paraId="23012CAF" w14:textId="77777777" w:rsidR="00FD3719" w:rsidRDefault="00FD3719" w:rsidP="00366CA6">
            <w:pPr>
              <w:jc w:val="center"/>
            </w:pPr>
          </w:p>
        </w:tc>
        <w:tc>
          <w:tcPr>
            <w:tcW w:w="1244" w:type="dxa"/>
            <w:tcBorders>
              <w:left w:val="single" w:sz="2" w:space="0" w:color="000000" w:themeColor="text1"/>
              <w:right w:val="single" w:sz="2" w:space="0" w:color="000000" w:themeColor="text1"/>
            </w:tcBorders>
            <w:hideMark/>
          </w:tcPr>
          <w:p w14:paraId="7F1C09D4" w14:textId="77777777" w:rsidR="00FD3719" w:rsidRDefault="00FD3719" w:rsidP="00366CA6">
            <w:pPr>
              <w:pStyle w:val="NormalWeb"/>
              <w:jc w:val="center"/>
              <w:rPr>
                <w:sz w:val="24"/>
                <w:szCs w:val="24"/>
              </w:rPr>
            </w:pPr>
            <w:r>
              <w:t>3</w:t>
            </w:r>
          </w:p>
        </w:tc>
        <w:tc>
          <w:tcPr>
            <w:tcW w:w="1243" w:type="dxa"/>
            <w:tcBorders>
              <w:left w:val="single" w:sz="2" w:space="0" w:color="000000" w:themeColor="text1"/>
              <w:right w:val="single" w:sz="2" w:space="0" w:color="000000" w:themeColor="text1"/>
            </w:tcBorders>
            <w:hideMark/>
          </w:tcPr>
          <w:p w14:paraId="71B200D0" w14:textId="77777777" w:rsidR="00FD3719" w:rsidRDefault="00FD3719" w:rsidP="00366CA6">
            <w:pPr>
              <w:pStyle w:val="NormalWeb"/>
              <w:jc w:val="center"/>
            </w:pPr>
            <w:r>
              <w:t>75%</w:t>
            </w:r>
          </w:p>
        </w:tc>
        <w:tc>
          <w:tcPr>
            <w:tcW w:w="1244" w:type="dxa"/>
            <w:tcBorders>
              <w:left w:val="single" w:sz="2" w:space="0" w:color="000000" w:themeColor="text1"/>
            </w:tcBorders>
            <w:hideMark/>
          </w:tcPr>
          <w:p w14:paraId="54D61848" w14:textId="77777777" w:rsidR="00FD3719" w:rsidRDefault="00FD3719" w:rsidP="00366CA6">
            <w:pPr>
              <w:jc w:val="center"/>
            </w:pPr>
          </w:p>
        </w:tc>
      </w:tr>
    </w:tbl>
    <w:p w14:paraId="0C07F211" w14:textId="77777777" w:rsidR="00FD3719" w:rsidRPr="002E61B1" w:rsidRDefault="00FD3719" w:rsidP="002E61B1">
      <w:pPr>
        <w:pStyle w:val="CDIfootnotes"/>
      </w:pPr>
      <w:r w:rsidRPr="002E61B1">
        <w:t>*</w:t>
      </w:r>
      <w:r w:rsidRPr="002E61B1">
        <w:tab/>
        <w:t>CMH, Cochrane-Mantel-Hansel chi-square test for independence comparing the characteristics of women with complete information.</w:t>
      </w:r>
    </w:p>
    <w:p w14:paraId="27DE2B9A" w14:textId="77777777" w:rsidR="00FD3719" w:rsidRPr="002E61B1" w:rsidRDefault="00FD3719" w:rsidP="002E61B1">
      <w:pPr>
        <w:pStyle w:val="CDIfootnotes"/>
      </w:pPr>
      <w:r w:rsidRPr="002E61B1">
        <w:t>†</w:t>
      </w:r>
      <w:r w:rsidRPr="002E61B1">
        <w:tab/>
        <w:t>The healthcare provider whom the woman reported receiving the majority of her antenatal care from.</w:t>
      </w:r>
    </w:p>
    <w:p w14:paraId="113B79FB" w14:textId="77777777" w:rsidR="00FD3719" w:rsidRDefault="00FD3719" w:rsidP="007573A0">
      <w:r>
        <w:t xml:space="preserve">The sensitivity of the MNS was 65.7% (95% CI 56.0-74.2%) and the specificity was 53.0% (95% CI 42.4-63.4%) (Table 4). Sensitivity was lower for women who received the majority of their care from a private obstetrician (43.2% [95% CI 28.7-59.1%]) compared to women who received most of their care from a public antenatal clinic (79.0% [95% CI 67.4-87.3%]). When restricted to records with complete influenza vaccination information, sensitivity was 91.8% (95% CI 83.0-96.9%) and specificity was 88.0% (95% CI 76.7-95.5) (Table 5). </w:t>
      </w:r>
    </w:p>
    <w:p w14:paraId="31C34D27" w14:textId="77777777" w:rsidR="00FD3719" w:rsidRPr="007573A0" w:rsidRDefault="00FD3719" w:rsidP="007573A0">
      <w:pPr>
        <w:pStyle w:val="Heading2"/>
      </w:pPr>
      <w:r w:rsidRPr="007573A0">
        <w:t>Pertussis vaccine</w:t>
      </w:r>
    </w:p>
    <w:p w14:paraId="2C73A923" w14:textId="77777777" w:rsidR="00FD3719" w:rsidRDefault="00FD3719" w:rsidP="007573A0">
      <w:r>
        <w:t xml:space="preserve">Among the 159 women included in the pertussis vaccination analysis, complete information was obtained from the MNS for 100 women (63%) (74/112 [66%] vaccinated, and 26/47 [55%] unvaccinated, women) (Table 2). The remainder had missing or unknown vaccination status (Table 3). There was no difference in the proportion of MNS records with missing or unknown vaccination status between pertussis vaccinated and unvaccinated women </w:t>
      </w:r>
      <w:r w:rsidR="00D52734">
        <w:t>(P </w:t>
      </w:r>
      <w:r>
        <w:t>=0.20) (Table 2). Similar to influenza vaccination, pertussis vaccination information was more frequently missing or incomplete for women who received most of their care from a private obstetrician or</w:t>
      </w:r>
      <w:r w:rsidR="00D52734">
        <w:t xml:space="preserve"> midwife (</w:t>
      </w:r>
      <w:r w:rsidRPr="00B97B51">
        <w:rPr>
          <w:rStyle w:val="Emphasis"/>
          <w:b w:val="0"/>
        </w:rPr>
        <w:t>P</w:t>
      </w:r>
      <w:r>
        <w:t xml:space="preserve"> &lt;.001). Forty eight of 63 (76.2%) pertussis vaccination records with gestation at time of pertussis vaccination available had the correct gestation recorded in the MNS.</w:t>
      </w:r>
    </w:p>
    <w:p w14:paraId="6C2C60A1" w14:textId="77777777" w:rsidR="003E3370" w:rsidRDefault="003E3370">
      <w:pPr>
        <w:rPr>
          <w:b/>
        </w:rPr>
      </w:pPr>
      <w:r>
        <w:br w:type="page"/>
      </w:r>
    </w:p>
    <w:p w14:paraId="7D83F42D" w14:textId="77777777" w:rsidR="00FD3719" w:rsidRDefault="00FD3719" w:rsidP="007573A0">
      <w:pPr>
        <w:pStyle w:val="CDIFigures"/>
      </w:pPr>
      <w:r>
        <w:lastRenderedPageBreak/>
        <w:t>Table 3. Agreement between immunisation medical record/self-report</w:t>
      </w:r>
      <w:r>
        <w:rPr>
          <w:vertAlign w:val="superscript"/>
        </w:rPr>
        <w:t>*</w:t>
      </w:r>
      <w:r>
        <w:t xml:space="preserve"> and immunisation information obtained from the Midwives Notification System – Western Australia, 2016. </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3 provides a comparison of the information obtained from the telephone survey to information obtained from the participants Midwives Notification System record. Information is provided by vaccine (influenza and pertussis)."/>
      </w:tblPr>
      <w:tblGrid>
        <w:gridCol w:w="2990"/>
        <w:gridCol w:w="1770"/>
        <w:gridCol w:w="2108"/>
        <w:gridCol w:w="1642"/>
        <w:gridCol w:w="1956"/>
      </w:tblGrid>
      <w:tr w:rsidR="00DF7B1A" w:rsidRPr="00DF7B1A" w14:paraId="575A0178" w14:textId="77777777" w:rsidTr="007D75E6">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A3B4D92" w14:textId="77777777" w:rsidR="00FD3719" w:rsidRPr="00DF7B1A" w:rsidRDefault="00FD3719">
            <w:pPr>
              <w:rPr>
                <w:color w:val="FFFFFF" w:themeColor="background1"/>
              </w:rPr>
            </w:pPr>
          </w:p>
        </w:tc>
        <w:tc>
          <w:tcPr>
            <w:tcW w:w="0" w:type="auto"/>
            <w:gridSpan w:val="2"/>
            <w:tcBorders>
              <w:right w:val="single" w:sz="2" w:space="0" w:color="FFFFFF" w:themeColor="background1"/>
            </w:tcBorders>
            <w:hideMark/>
          </w:tcPr>
          <w:p w14:paraId="601BB12E" w14:textId="77777777" w:rsidR="00FD3719" w:rsidRPr="00DF7B1A" w:rsidRDefault="00FD3719" w:rsidP="006160B5">
            <w:pPr>
              <w:pStyle w:val="NormalWeb"/>
              <w:jc w:val="center"/>
              <w:rPr>
                <w:color w:val="FFFFFF" w:themeColor="background1"/>
                <w:sz w:val="24"/>
                <w:szCs w:val="24"/>
              </w:rPr>
            </w:pPr>
            <w:r w:rsidRPr="00DF7B1A">
              <w:rPr>
                <w:color w:val="FFFFFF" w:themeColor="background1"/>
              </w:rPr>
              <w:t>Influenza vaccination status according to medical record</w:t>
            </w:r>
          </w:p>
        </w:tc>
        <w:tc>
          <w:tcPr>
            <w:tcW w:w="0" w:type="auto"/>
            <w:gridSpan w:val="2"/>
            <w:tcBorders>
              <w:left w:val="single" w:sz="2" w:space="0" w:color="FFFFFF" w:themeColor="background1"/>
            </w:tcBorders>
            <w:hideMark/>
          </w:tcPr>
          <w:p w14:paraId="21691511" w14:textId="77777777" w:rsidR="00FD3719" w:rsidRPr="00DF7B1A" w:rsidRDefault="00FD3719" w:rsidP="006160B5">
            <w:pPr>
              <w:pStyle w:val="NormalWeb"/>
              <w:jc w:val="center"/>
              <w:rPr>
                <w:color w:val="FFFFFF" w:themeColor="background1"/>
              </w:rPr>
            </w:pPr>
            <w:r w:rsidRPr="00DF7B1A">
              <w:rPr>
                <w:color w:val="FFFFFF" w:themeColor="background1"/>
              </w:rPr>
              <w:t>Pertussis vaccination according to medical record</w:t>
            </w:r>
          </w:p>
        </w:tc>
      </w:tr>
      <w:tr w:rsidR="00DF7B1A" w:rsidRPr="00DF7B1A" w14:paraId="1A656C36" w14:textId="77777777" w:rsidTr="007D75E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32F73FB2" w14:textId="77777777" w:rsidR="00FD3719" w:rsidRPr="00DF7B1A" w:rsidRDefault="00FD3719">
            <w:pPr>
              <w:pStyle w:val="NormalWeb"/>
              <w:rPr>
                <w:color w:val="FFFFFF" w:themeColor="background1"/>
              </w:rPr>
            </w:pPr>
            <w:r w:rsidRPr="00DF7B1A">
              <w:rPr>
                <w:color w:val="FFFFFF" w:themeColor="background1"/>
              </w:rPr>
              <w:t>Vaccination record in Midwives Notification System</w:t>
            </w:r>
          </w:p>
        </w:tc>
        <w:tc>
          <w:tcPr>
            <w:tcW w:w="0" w:type="auto"/>
            <w:tcBorders>
              <w:right w:val="single" w:sz="2" w:space="0" w:color="FFFFFF" w:themeColor="background1"/>
            </w:tcBorders>
            <w:hideMark/>
          </w:tcPr>
          <w:p w14:paraId="5253671B" w14:textId="77777777" w:rsidR="00FD3719" w:rsidRPr="00DF7B1A" w:rsidRDefault="00FD3719" w:rsidP="006160B5">
            <w:pPr>
              <w:pStyle w:val="NormalWeb"/>
              <w:jc w:val="center"/>
              <w:rPr>
                <w:color w:val="FFFFFF" w:themeColor="background1"/>
              </w:rPr>
            </w:pPr>
            <w:r w:rsidRPr="00DF7B1A">
              <w:rPr>
                <w:color w:val="FFFFFF" w:themeColor="background1"/>
              </w:rPr>
              <w:t>Vaccinated</w:t>
            </w:r>
          </w:p>
        </w:tc>
        <w:tc>
          <w:tcPr>
            <w:tcW w:w="0" w:type="auto"/>
            <w:tcBorders>
              <w:left w:val="single" w:sz="2" w:space="0" w:color="FFFFFF" w:themeColor="background1"/>
              <w:right w:val="single" w:sz="2" w:space="0" w:color="FFFFFF" w:themeColor="background1"/>
            </w:tcBorders>
            <w:hideMark/>
          </w:tcPr>
          <w:p w14:paraId="64A74FAC" w14:textId="77777777" w:rsidR="00FD3719" w:rsidRPr="00DF7B1A" w:rsidRDefault="00FD3719" w:rsidP="006160B5">
            <w:pPr>
              <w:pStyle w:val="NormalWeb"/>
              <w:jc w:val="center"/>
              <w:rPr>
                <w:color w:val="FFFFFF" w:themeColor="background1"/>
              </w:rPr>
            </w:pPr>
            <w:r w:rsidRPr="00DF7B1A">
              <w:rPr>
                <w:color w:val="FFFFFF" w:themeColor="background1"/>
              </w:rPr>
              <w:t>Unvaccinated</w:t>
            </w:r>
          </w:p>
        </w:tc>
        <w:tc>
          <w:tcPr>
            <w:tcW w:w="0" w:type="auto"/>
            <w:tcBorders>
              <w:left w:val="single" w:sz="2" w:space="0" w:color="FFFFFF" w:themeColor="background1"/>
              <w:right w:val="single" w:sz="2" w:space="0" w:color="FFFFFF" w:themeColor="background1"/>
            </w:tcBorders>
            <w:hideMark/>
          </w:tcPr>
          <w:p w14:paraId="01A863A9" w14:textId="77777777" w:rsidR="00FD3719" w:rsidRPr="00DF7B1A" w:rsidRDefault="00FD3719" w:rsidP="006160B5">
            <w:pPr>
              <w:pStyle w:val="NormalWeb"/>
              <w:jc w:val="center"/>
              <w:rPr>
                <w:color w:val="FFFFFF" w:themeColor="background1"/>
              </w:rPr>
            </w:pPr>
            <w:r w:rsidRPr="00DF7B1A">
              <w:rPr>
                <w:color w:val="FFFFFF" w:themeColor="background1"/>
              </w:rPr>
              <w:t>Vaccinated</w:t>
            </w:r>
          </w:p>
        </w:tc>
        <w:tc>
          <w:tcPr>
            <w:tcW w:w="0" w:type="auto"/>
            <w:tcBorders>
              <w:left w:val="single" w:sz="2" w:space="0" w:color="FFFFFF" w:themeColor="background1"/>
            </w:tcBorders>
            <w:hideMark/>
          </w:tcPr>
          <w:p w14:paraId="34040CA2" w14:textId="77777777" w:rsidR="00FD3719" w:rsidRPr="00DF7B1A" w:rsidRDefault="00FD3719" w:rsidP="006160B5">
            <w:pPr>
              <w:pStyle w:val="NormalWeb"/>
              <w:jc w:val="center"/>
              <w:rPr>
                <w:color w:val="FFFFFF" w:themeColor="background1"/>
              </w:rPr>
            </w:pPr>
            <w:r w:rsidRPr="00DF7B1A">
              <w:rPr>
                <w:color w:val="FFFFFF" w:themeColor="background1"/>
              </w:rPr>
              <w:t>Unvaccinated</w:t>
            </w:r>
          </w:p>
        </w:tc>
      </w:tr>
      <w:tr w:rsidR="00DF7B1A" w:rsidRPr="00DF7B1A" w14:paraId="6E2609A9" w14:textId="77777777" w:rsidTr="007D75E6">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3FF50BED" w14:textId="77777777" w:rsidR="00FD3719" w:rsidRPr="00DF7B1A" w:rsidRDefault="00FD3719">
            <w:pPr>
              <w:rPr>
                <w:color w:val="FFFFFF" w:themeColor="background1"/>
                <w:sz w:val="24"/>
                <w:szCs w:val="24"/>
              </w:rPr>
            </w:pPr>
          </w:p>
        </w:tc>
        <w:tc>
          <w:tcPr>
            <w:tcW w:w="0" w:type="auto"/>
            <w:tcBorders>
              <w:right w:val="single" w:sz="2" w:space="0" w:color="FFFFFF" w:themeColor="background1"/>
            </w:tcBorders>
            <w:hideMark/>
          </w:tcPr>
          <w:p w14:paraId="36D75D0D" w14:textId="77777777" w:rsidR="00FD3719" w:rsidRPr="00DF7B1A" w:rsidRDefault="00FD3719" w:rsidP="006160B5">
            <w:pPr>
              <w:pStyle w:val="NormalWeb"/>
              <w:jc w:val="center"/>
              <w:rPr>
                <w:color w:val="FFFFFF" w:themeColor="background1"/>
              </w:rPr>
            </w:pPr>
            <w:r w:rsidRPr="00DF7B1A">
              <w:rPr>
                <w:color w:val="FFFFFF" w:themeColor="background1"/>
              </w:rPr>
              <w:t>n (%)</w:t>
            </w:r>
          </w:p>
        </w:tc>
        <w:tc>
          <w:tcPr>
            <w:tcW w:w="0" w:type="auto"/>
            <w:tcBorders>
              <w:left w:val="single" w:sz="2" w:space="0" w:color="FFFFFF" w:themeColor="background1"/>
              <w:right w:val="single" w:sz="2" w:space="0" w:color="FFFFFF" w:themeColor="background1"/>
            </w:tcBorders>
            <w:hideMark/>
          </w:tcPr>
          <w:p w14:paraId="7F1984B3" w14:textId="77777777" w:rsidR="00FD3719" w:rsidRPr="00DF7B1A" w:rsidRDefault="00FD3719" w:rsidP="006160B5">
            <w:pPr>
              <w:pStyle w:val="NormalWeb"/>
              <w:jc w:val="center"/>
              <w:rPr>
                <w:color w:val="FFFFFF" w:themeColor="background1"/>
              </w:rPr>
            </w:pPr>
            <w:r w:rsidRPr="00DF7B1A">
              <w:rPr>
                <w:color w:val="FFFFFF" w:themeColor="background1"/>
              </w:rPr>
              <w:t>n (%)</w:t>
            </w:r>
          </w:p>
        </w:tc>
        <w:tc>
          <w:tcPr>
            <w:tcW w:w="0" w:type="auto"/>
            <w:tcBorders>
              <w:left w:val="single" w:sz="2" w:space="0" w:color="FFFFFF" w:themeColor="background1"/>
              <w:right w:val="single" w:sz="2" w:space="0" w:color="FFFFFF" w:themeColor="background1"/>
            </w:tcBorders>
            <w:hideMark/>
          </w:tcPr>
          <w:p w14:paraId="1104C416" w14:textId="77777777" w:rsidR="00FD3719" w:rsidRPr="00DF7B1A" w:rsidRDefault="00FD3719" w:rsidP="006160B5">
            <w:pPr>
              <w:pStyle w:val="NormalWeb"/>
              <w:jc w:val="center"/>
              <w:rPr>
                <w:color w:val="FFFFFF" w:themeColor="background1"/>
              </w:rPr>
            </w:pPr>
            <w:r w:rsidRPr="00DF7B1A">
              <w:rPr>
                <w:color w:val="FFFFFF" w:themeColor="background1"/>
              </w:rPr>
              <w:t>n (%)</w:t>
            </w:r>
          </w:p>
        </w:tc>
        <w:tc>
          <w:tcPr>
            <w:tcW w:w="0" w:type="auto"/>
            <w:tcBorders>
              <w:left w:val="single" w:sz="2" w:space="0" w:color="FFFFFF" w:themeColor="background1"/>
            </w:tcBorders>
            <w:hideMark/>
          </w:tcPr>
          <w:p w14:paraId="7EE3399C" w14:textId="77777777" w:rsidR="00FD3719" w:rsidRPr="00DF7B1A" w:rsidRDefault="00FD3719" w:rsidP="006160B5">
            <w:pPr>
              <w:pStyle w:val="NormalWeb"/>
              <w:jc w:val="center"/>
              <w:rPr>
                <w:color w:val="FFFFFF" w:themeColor="background1"/>
              </w:rPr>
            </w:pPr>
            <w:r w:rsidRPr="00DF7B1A">
              <w:rPr>
                <w:color w:val="FFFFFF" w:themeColor="background1"/>
              </w:rPr>
              <w:t>n (%)</w:t>
            </w:r>
          </w:p>
        </w:tc>
      </w:tr>
      <w:tr w:rsidR="00FD3719" w14:paraId="41A87D18" w14:textId="77777777" w:rsidTr="004D7C7D">
        <w:tc>
          <w:tcPr>
            <w:tcW w:w="0" w:type="auto"/>
            <w:hideMark/>
          </w:tcPr>
          <w:p w14:paraId="444D7921" w14:textId="77777777" w:rsidR="00FD3719" w:rsidRDefault="00FD3719">
            <w:pPr>
              <w:pStyle w:val="NormalWeb"/>
            </w:pPr>
            <w:r>
              <w:t>Vaccinated</w:t>
            </w:r>
          </w:p>
        </w:tc>
        <w:tc>
          <w:tcPr>
            <w:tcW w:w="0" w:type="auto"/>
            <w:tcBorders>
              <w:right w:val="single" w:sz="2" w:space="0" w:color="auto"/>
            </w:tcBorders>
            <w:hideMark/>
          </w:tcPr>
          <w:p w14:paraId="6B2CADA5" w14:textId="77777777" w:rsidR="00FD3719" w:rsidRDefault="00FD3719" w:rsidP="006160B5">
            <w:pPr>
              <w:pStyle w:val="NormalWeb"/>
              <w:jc w:val="center"/>
            </w:pPr>
            <w:r>
              <w:t>67 (66%)</w:t>
            </w:r>
          </w:p>
        </w:tc>
        <w:tc>
          <w:tcPr>
            <w:tcW w:w="0" w:type="auto"/>
            <w:tcBorders>
              <w:left w:val="single" w:sz="2" w:space="0" w:color="auto"/>
              <w:right w:val="single" w:sz="2" w:space="0" w:color="auto"/>
            </w:tcBorders>
            <w:hideMark/>
          </w:tcPr>
          <w:p w14:paraId="2C0E77CC" w14:textId="77777777" w:rsidR="00FD3719" w:rsidRDefault="00FD3719" w:rsidP="006160B5">
            <w:pPr>
              <w:pStyle w:val="NormalWeb"/>
              <w:jc w:val="center"/>
            </w:pPr>
            <w:r>
              <w:t>6 (7%)</w:t>
            </w:r>
          </w:p>
        </w:tc>
        <w:tc>
          <w:tcPr>
            <w:tcW w:w="0" w:type="auto"/>
            <w:tcBorders>
              <w:left w:val="single" w:sz="2" w:space="0" w:color="auto"/>
              <w:right w:val="single" w:sz="2" w:space="0" w:color="auto"/>
            </w:tcBorders>
            <w:hideMark/>
          </w:tcPr>
          <w:p w14:paraId="42169378" w14:textId="77777777" w:rsidR="00FD3719" w:rsidRDefault="00FD3719" w:rsidP="006160B5">
            <w:pPr>
              <w:pStyle w:val="NormalWeb"/>
              <w:jc w:val="center"/>
            </w:pPr>
            <w:r>
              <w:t>70 (63%)</w:t>
            </w:r>
          </w:p>
        </w:tc>
        <w:tc>
          <w:tcPr>
            <w:tcW w:w="0" w:type="auto"/>
            <w:tcBorders>
              <w:left w:val="single" w:sz="2" w:space="0" w:color="auto"/>
            </w:tcBorders>
            <w:hideMark/>
          </w:tcPr>
          <w:p w14:paraId="77242B92" w14:textId="77777777" w:rsidR="00FD3719" w:rsidRDefault="00FD3719" w:rsidP="006160B5">
            <w:pPr>
              <w:pStyle w:val="NormalWeb"/>
              <w:jc w:val="center"/>
            </w:pPr>
            <w:r>
              <w:t>7 (15%)</w:t>
            </w:r>
          </w:p>
        </w:tc>
      </w:tr>
      <w:tr w:rsidR="00FD3719" w14:paraId="1CAEAAB9" w14:textId="77777777" w:rsidTr="004D7C7D">
        <w:trPr>
          <w:cnfStyle w:val="000000010000" w:firstRow="0" w:lastRow="0" w:firstColumn="0" w:lastColumn="0" w:oddVBand="0" w:evenVBand="0" w:oddHBand="0" w:evenHBand="1" w:firstRowFirstColumn="0" w:firstRowLastColumn="0" w:lastRowFirstColumn="0" w:lastRowLastColumn="0"/>
        </w:trPr>
        <w:tc>
          <w:tcPr>
            <w:tcW w:w="0" w:type="auto"/>
            <w:hideMark/>
          </w:tcPr>
          <w:p w14:paraId="77D3E1B3" w14:textId="77777777" w:rsidR="00FD3719" w:rsidRDefault="00FD3719">
            <w:pPr>
              <w:pStyle w:val="NormalWeb"/>
            </w:pPr>
            <w:r>
              <w:t>Unvaccinated</w:t>
            </w:r>
          </w:p>
        </w:tc>
        <w:tc>
          <w:tcPr>
            <w:tcW w:w="0" w:type="auto"/>
            <w:tcBorders>
              <w:right w:val="single" w:sz="2" w:space="0" w:color="auto"/>
            </w:tcBorders>
            <w:hideMark/>
          </w:tcPr>
          <w:p w14:paraId="16868405" w14:textId="77777777" w:rsidR="00FD3719" w:rsidRDefault="00FD3719" w:rsidP="006160B5">
            <w:pPr>
              <w:pStyle w:val="NormalWeb"/>
              <w:jc w:val="center"/>
            </w:pPr>
            <w:r>
              <w:t>6 (6%)</w:t>
            </w:r>
          </w:p>
        </w:tc>
        <w:tc>
          <w:tcPr>
            <w:tcW w:w="0" w:type="auto"/>
            <w:tcBorders>
              <w:left w:val="single" w:sz="2" w:space="0" w:color="auto"/>
              <w:right w:val="single" w:sz="2" w:space="0" w:color="auto"/>
            </w:tcBorders>
            <w:hideMark/>
          </w:tcPr>
          <w:p w14:paraId="41836E30" w14:textId="77777777" w:rsidR="00FD3719" w:rsidRDefault="00FD3719" w:rsidP="006160B5">
            <w:pPr>
              <w:pStyle w:val="NormalWeb"/>
              <w:jc w:val="center"/>
            </w:pPr>
            <w:r>
              <w:t>44 (53%)</w:t>
            </w:r>
          </w:p>
        </w:tc>
        <w:tc>
          <w:tcPr>
            <w:tcW w:w="0" w:type="auto"/>
            <w:tcBorders>
              <w:left w:val="single" w:sz="2" w:space="0" w:color="auto"/>
              <w:right w:val="single" w:sz="2" w:space="0" w:color="auto"/>
            </w:tcBorders>
            <w:hideMark/>
          </w:tcPr>
          <w:p w14:paraId="6A26EE05" w14:textId="77777777" w:rsidR="00FD3719" w:rsidRDefault="00FD3719" w:rsidP="006160B5">
            <w:pPr>
              <w:pStyle w:val="NormalWeb"/>
              <w:jc w:val="center"/>
            </w:pPr>
            <w:r>
              <w:t>4 (3%)</w:t>
            </w:r>
          </w:p>
        </w:tc>
        <w:tc>
          <w:tcPr>
            <w:tcW w:w="0" w:type="auto"/>
            <w:tcBorders>
              <w:left w:val="single" w:sz="2" w:space="0" w:color="auto"/>
            </w:tcBorders>
            <w:hideMark/>
          </w:tcPr>
          <w:p w14:paraId="728613B3" w14:textId="77777777" w:rsidR="00FD3719" w:rsidRDefault="00FD3719" w:rsidP="006160B5">
            <w:pPr>
              <w:pStyle w:val="NormalWeb"/>
              <w:jc w:val="center"/>
            </w:pPr>
            <w:r>
              <w:t>19 (40%)</w:t>
            </w:r>
          </w:p>
        </w:tc>
      </w:tr>
      <w:tr w:rsidR="00FD3719" w14:paraId="35B1282F" w14:textId="77777777" w:rsidTr="004D7C7D">
        <w:tc>
          <w:tcPr>
            <w:tcW w:w="0" w:type="auto"/>
            <w:hideMark/>
          </w:tcPr>
          <w:p w14:paraId="73D835E0" w14:textId="77777777" w:rsidR="00FD3719" w:rsidRDefault="00FD3719">
            <w:pPr>
              <w:pStyle w:val="NormalWeb"/>
            </w:pPr>
            <w:r>
              <w:t>Missing</w:t>
            </w:r>
          </w:p>
        </w:tc>
        <w:tc>
          <w:tcPr>
            <w:tcW w:w="0" w:type="auto"/>
            <w:tcBorders>
              <w:right w:val="single" w:sz="2" w:space="0" w:color="auto"/>
            </w:tcBorders>
            <w:hideMark/>
          </w:tcPr>
          <w:p w14:paraId="4897B4D5" w14:textId="77777777" w:rsidR="00FD3719" w:rsidRDefault="00FD3719" w:rsidP="006160B5">
            <w:pPr>
              <w:pStyle w:val="NormalWeb"/>
              <w:jc w:val="center"/>
            </w:pPr>
            <w:r>
              <w:t>16 (16%)</w:t>
            </w:r>
          </w:p>
        </w:tc>
        <w:tc>
          <w:tcPr>
            <w:tcW w:w="0" w:type="auto"/>
            <w:tcBorders>
              <w:left w:val="single" w:sz="2" w:space="0" w:color="auto"/>
              <w:right w:val="single" w:sz="2" w:space="0" w:color="auto"/>
            </w:tcBorders>
            <w:hideMark/>
          </w:tcPr>
          <w:p w14:paraId="7F011CED" w14:textId="77777777" w:rsidR="00FD3719" w:rsidRDefault="00FD3719" w:rsidP="006160B5">
            <w:pPr>
              <w:pStyle w:val="NormalWeb"/>
              <w:jc w:val="center"/>
            </w:pPr>
            <w:r>
              <w:t>12 (14%)</w:t>
            </w:r>
          </w:p>
        </w:tc>
        <w:tc>
          <w:tcPr>
            <w:tcW w:w="0" w:type="auto"/>
            <w:tcBorders>
              <w:left w:val="single" w:sz="2" w:space="0" w:color="auto"/>
              <w:right w:val="single" w:sz="2" w:space="0" w:color="auto"/>
            </w:tcBorders>
            <w:hideMark/>
          </w:tcPr>
          <w:p w14:paraId="68BFB039" w14:textId="77777777" w:rsidR="00FD3719" w:rsidRDefault="00FD3719" w:rsidP="006160B5">
            <w:pPr>
              <w:pStyle w:val="NormalWeb"/>
              <w:jc w:val="center"/>
            </w:pPr>
            <w:r>
              <w:t>16 (14%)</w:t>
            </w:r>
          </w:p>
        </w:tc>
        <w:tc>
          <w:tcPr>
            <w:tcW w:w="0" w:type="auto"/>
            <w:tcBorders>
              <w:left w:val="single" w:sz="2" w:space="0" w:color="auto"/>
            </w:tcBorders>
            <w:hideMark/>
          </w:tcPr>
          <w:p w14:paraId="1CD86BED" w14:textId="77777777" w:rsidR="00FD3719" w:rsidRDefault="00FD3719" w:rsidP="006160B5">
            <w:pPr>
              <w:pStyle w:val="NormalWeb"/>
              <w:jc w:val="center"/>
            </w:pPr>
            <w:r>
              <w:t>4 (9%)</w:t>
            </w:r>
          </w:p>
        </w:tc>
      </w:tr>
      <w:tr w:rsidR="00FD3719" w14:paraId="26E110E6" w14:textId="77777777" w:rsidTr="004D7C7D">
        <w:trPr>
          <w:cnfStyle w:val="000000010000" w:firstRow="0" w:lastRow="0" w:firstColumn="0" w:lastColumn="0" w:oddVBand="0" w:evenVBand="0" w:oddHBand="0" w:evenHBand="1" w:firstRowFirstColumn="0" w:firstRowLastColumn="0" w:lastRowFirstColumn="0" w:lastRowLastColumn="0"/>
        </w:trPr>
        <w:tc>
          <w:tcPr>
            <w:tcW w:w="0" w:type="auto"/>
            <w:hideMark/>
          </w:tcPr>
          <w:p w14:paraId="685F58AE" w14:textId="77777777" w:rsidR="00FD3719" w:rsidRDefault="00FD3719">
            <w:pPr>
              <w:pStyle w:val="NormalWeb"/>
            </w:pPr>
            <w:r>
              <w:t>Unknown</w:t>
            </w:r>
          </w:p>
        </w:tc>
        <w:tc>
          <w:tcPr>
            <w:tcW w:w="0" w:type="auto"/>
            <w:tcBorders>
              <w:right w:val="single" w:sz="2" w:space="0" w:color="auto"/>
            </w:tcBorders>
            <w:hideMark/>
          </w:tcPr>
          <w:p w14:paraId="2CDA0199" w14:textId="77777777" w:rsidR="00FD3719" w:rsidRDefault="00FD3719" w:rsidP="006160B5">
            <w:pPr>
              <w:pStyle w:val="NormalWeb"/>
              <w:jc w:val="center"/>
            </w:pPr>
            <w:r>
              <w:t>13 (13%)</w:t>
            </w:r>
          </w:p>
        </w:tc>
        <w:tc>
          <w:tcPr>
            <w:tcW w:w="0" w:type="auto"/>
            <w:tcBorders>
              <w:left w:val="single" w:sz="2" w:space="0" w:color="auto"/>
              <w:right w:val="single" w:sz="2" w:space="0" w:color="auto"/>
            </w:tcBorders>
            <w:hideMark/>
          </w:tcPr>
          <w:p w14:paraId="427C241F" w14:textId="77777777" w:rsidR="00FD3719" w:rsidRDefault="00FD3719" w:rsidP="006160B5">
            <w:pPr>
              <w:pStyle w:val="NormalWeb"/>
              <w:jc w:val="center"/>
            </w:pPr>
            <w:r>
              <w:t>21 (25%)</w:t>
            </w:r>
          </w:p>
        </w:tc>
        <w:tc>
          <w:tcPr>
            <w:tcW w:w="0" w:type="auto"/>
            <w:tcBorders>
              <w:left w:val="single" w:sz="2" w:space="0" w:color="auto"/>
              <w:right w:val="single" w:sz="2" w:space="0" w:color="auto"/>
            </w:tcBorders>
            <w:hideMark/>
          </w:tcPr>
          <w:p w14:paraId="2F82956D" w14:textId="77777777" w:rsidR="00FD3719" w:rsidRDefault="00FD3719" w:rsidP="006160B5">
            <w:pPr>
              <w:pStyle w:val="NormalWeb"/>
              <w:jc w:val="center"/>
            </w:pPr>
            <w:r>
              <w:t>22 (20%)</w:t>
            </w:r>
          </w:p>
        </w:tc>
        <w:tc>
          <w:tcPr>
            <w:tcW w:w="0" w:type="auto"/>
            <w:tcBorders>
              <w:left w:val="single" w:sz="2" w:space="0" w:color="auto"/>
            </w:tcBorders>
            <w:hideMark/>
          </w:tcPr>
          <w:p w14:paraId="3FAB3A1C" w14:textId="77777777" w:rsidR="00FD3719" w:rsidRDefault="00FD3719" w:rsidP="006160B5">
            <w:pPr>
              <w:pStyle w:val="NormalWeb"/>
              <w:jc w:val="center"/>
            </w:pPr>
            <w:r>
              <w:t>17 (36%)</w:t>
            </w:r>
          </w:p>
        </w:tc>
      </w:tr>
    </w:tbl>
    <w:p w14:paraId="23522165" w14:textId="77777777" w:rsidR="00FD3719" w:rsidRDefault="00FD3719" w:rsidP="007573A0">
      <w:pPr>
        <w:pStyle w:val="CDIfootnotes"/>
      </w:pPr>
      <w:r>
        <w:rPr>
          <w:vertAlign w:val="superscript"/>
        </w:rPr>
        <w:t>*</w:t>
      </w:r>
      <w:r>
        <w:tab/>
        <w:t>Vaccination status of participating women who reported vaccination were verified with their immunisation provider’s medical records. Vaccination status of participating women who reported they had not been vaccinated was not verified against medical records as this would have been impractical because women can access vaccination at multiple health services including her antenatal care provider, a hospital antenatal clinic, any general practitioner, workplace vaccination providers and pharmacies.</w:t>
      </w:r>
    </w:p>
    <w:p w14:paraId="20D7F15E" w14:textId="77777777" w:rsidR="00FD3719" w:rsidRDefault="00FD3719">
      <w:pPr>
        <w:pStyle w:val="NormalWeb"/>
      </w:pPr>
      <w:r>
        <w:t>The sensitivity of the MNS for measuring pertussis vaccination was 62.5% (95% CI 53.3-70.9%) and the specificity was 40.4% (95% CI 27.6-54.7%) (Table 4). Similar to influenza vaccination, sensitivity was lower for women who received most of their antenatal care from a private obstetrician (37.8% [95% CI 24.1-53.9%]) compared to women who received care from public antenatal clinics (75.3% [95% CI 64.4-83.8%]). When restricted to completed pertussis vaccination records in the MNS, the sensitivity was 94.6% (95% CI 86.7-98.5%) and the specificity was 73.1% (95% CI 52.2-88.4%) (Table 5).</w:t>
      </w:r>
    </w:p>
    <w:p w14:paraId="1753562D" w14:textId="77777777" w:rsidR="004257BC" w:rsidRDefault="004257BC">
      <w:pPr>
        <w:rPr>
          <w:b/>
        </w:rPr>
        <w:sectPr w:rsidR="004257BC" w:rsidSect="00656427">
          <w:pgSz w:w="11906" w:h="16838"/>
          <w:pgMar w:top="720" w:right="720" w:bottom="1134" w:left="720" w:header="709" w:footer="284" w:gutter="0"/>
          <w:pgNumType w:start="1"/>
          <w:cols w:space="708"/>
          <w:titlePg/>
          <w:docGrid w:linePitch="360"/>
        </w:sectPr>
      </w:pPr>
    </w:p>
    <w:p w14:paraId="731DCA92" w14:textId="77777777" w:rsidR="00FD3719" w:rsidRDefault="00FD3719" w:rsidP="004257BC">
      <w:pPr>
        <w:pStyle w:val="CDIFigures"/>
      </w:pPr>
      <w:r>
        <w:lastRenderedPageBreak/>
        <w:t>Table 4. Sensitivity and specificity of vaccination information collected in the Midwives Notification System – Western Australia, 2016.</w:t>
      </w:r>
    </w:p>
    <w:tbl>
      <w:tblPr>
        <w:tblStyle w:val="CDI-StandardTable"/>
        <w:tblW w:w="15120" w:type="dxa"/>
        <w:tblCellMar>
          <w:top w:w="57" w:type="dxa"/>
          <w:left w:w="57" w:type="dxa"/>
          <w:bottom w:w="57" w:type="dxa"/>
          <w:right w:w="57" w:type="dxa"/>
        </w:tblCellMar>
        <w:tblLook w:val="04A0" w:firstRow="1" w:lastRow="0" w:firstColumn="1" w:lastColumn="0" w:noHBand="0" w:noVBand="1"/>
        <w:tblDescription w:val="Table 4 presents the sensitivity, specificity, positive predictive value, and negative predictive value of the Midwives Notification System for measuring influenza and pertussis vaccination among pregnant women. Estimates are given overall, by antenatal care provider, and by trimester of vaccination (for influenza vaccine)."/>
      </w:tblPr>
      <w:tblGrid>
        <w:gridCol w:w="4111"/>
        <w:gridCol w:w="1134"/>
        <w:gridCol w:w="1134"/>
        <w:gridCol w:w="1134"/>
        <w:gridCol w:w="1134"/>
        <w:gridCol w:w="1418"/>
        <w:gridCol w:w="1701"/>
        <w:gridCol w:w="1417"/>
        <w:gridCol w:w="1937"/>
      </w:tblGrid>
      <w:tr w:rsidR="000F7154" w14:paraId="2FC4725D" w14:textId="77777777" w:rsidTr="000F7154">
        <w:trPr>
          <w:cnfStyle w:val="100000000000" w:firstRow="1" w:lastRow="0" w:firstColumn="0" w:lastColumn="0" w:oddVBand="0" w:evenVBand="0" w:oddHBand="0" w:evenHBand="0" w:firstRowFirstColumn="0" w:firstRowLastColumn="0" w:lastRowFirstColumn="0" w:lastRowLastColumn="0"/>
          <w:tblHeader/>
        </w:trPr>
        <w:tc>
          <w:tcPr>
            <w:tcW w:w="4111" w:type="dxa"/>
            <w:tcBorders>
              <w:right w:val="single" w:sz="2" w:space="0" w:color="FFFFFF" w:themeColor="background1"/>
            </w:tcBorders>
            <w:hideMark/>
          </w:tcPr>
          <w:p w14:paraId="58F13527" w14:textId="77777777" w:rsidR="00FD3719" w:rsidRPr="007573A0" w:rsidRDefault="00FD3719">
            <w:pPr>
              <w:rPr>
                <w:color w:val="FFFFFF" w:themeColor="background1"/>
              </w:rPr>
            </w:pPr>
          </w:p>
        </w:tc>
        <w:tc>
          <w:tcPr>
            <w:tcW w:w="2268" w:type="dxa"/>
            <w:gridSpan w:val="2"/>
            <w:tcBorders>
              <w:left w:val="single" w:sz="2" w:space="0" w:color="FFFFFF" w:themeColor="background1"/>
              <w:right w:val="single" w:sz="2" w:space="0" w:color="FFFFFF" w:themeColor="background1"/>
            </w:tcBorders>
            <w:hideMark/>
          </w:tcPr>
          <w:p w14:paraId="38910B96" w14:textId="77777777" w:rsidR="00FD3719" w:rsidRPr="007573A0" w:rsidRDefault="00FD3719" w:rsidP="00D96BEE">
            <w:pPr>
              <w:pStyle w:val="NormalWeb"/>
              <w:jc w:val="center"/>
              <w:rPr>
                <w:color w:val="FFFFFF" w:themeColor="background1"/>
                <w:sz w:val="24"/>
                <w:szCs w:val="24"/>
              </w:rPr>
            </w:pPr>
            <w:r w:rsidRPr="007573A0">
              <w:rPr>
                <w:color w:val="FFFFFF" w:themeColor="background1"/>
              </w:rPr>
              <w:t>Sensitivity</w:t>
            </w:r>
          </w:p>
        </w:tc>
        <w:tc>
          <w:tcPr>
            <w:tcW w:w="2268" w:type="dxa"/>
            <w:gridSpan w:val="2"/>
            <w:tcBorders>
              <w:left w:val="single" w:sz="2" w:space="0" w:color="FFFFFF" w:themeColor="background1"/>
              <w:right w:val="single" w:sz="2" w:space="0" w:color="FFFFFF" w:themeColor="background1"/>
            </w:tcBorders>
            <w:hideMark/>
          </w:tcPr>
          <w:p w14:paraId="2F763AFB" w14:textId="77777777" w:rsidR="00FD3719" w:rsidRPr="007573A0" w:rsidRDefault="00FD3719" w:rsidP="00D96BEE">
            <w:pPr>
              <w:pStyle w:val="NormalWeb"/>
              <w:jc w:val="center"/>
              <w:rPr>
                <w:color w:val="FFFFFF" w:themeColor="background1"/>
              </w:rPr>
            </w:pPr>
            <w:r w:rsidRPr="007573A0">
              <w:rPr>
                <w:color w:val="FFFFFF" w:themeColor="background1"/>
              </w:rPr>
              <w:t>Specificity</w:t>
            </w:r>
          </w:p>
        </w:tc>
        <w:tc>
          <w:tcPr>
            <w:tcW w:w="3119" w:type="dxa"/>
            <w:gridSpan w:val="2"/>
            <w:tcBorders>
              <w:left w:val="single" w:sz="2" w:space="0" w:color="FFFFFF" w:themeColor="background1"/>
              <w:right w:val="single" w:sz="2" w:space="0" w:color="FFFFFF" w:themeColor="background1"/>
            </w:tcBorders>
            <w:hideMark/>
          </w:tcPr>
          <w:p w14:paraId="65C17F94" w14:textId="77777777" w:rsidR="00FD3719" w:rsidRPr="007573A0" w:rsidRDefault="00FD3719" w:rsidP="00D96BEE">
            <w:pPr>
              <w:pStyle w:val="NormalWeb"/>
              <w:jc w:val="center"/>
              <w:rPr>
                <w:color w:val="FFFFFF" w:themeColor="background1"/>
              </w:rPr>
            </w:pPr>
            <w:r w:rsidRPr="007573A0">
              <w:rPr>
                <w:color w:val="FFFFFF" w:themeColor="background1"/>
              </w:rPr>
              <w:t>Positive predictive value</w:t>
            </w:r>
          </w:p>
        </w:tc>
        <w:tc>
          <w:tcPr>
            <w:tcW w:w="3354" w:type="dxa"/>
            <w:gridSpan w:val="2"/>
            <w:tcBorders>
              <w:left w:val="single" w:sz="2" w:space="0" w:color="FFFFFF" w:themeColor="background1"/>
            </w:tcBorders>
            <w:hideMark/>
          </w:tcPr>
          <w:p w14:paraId="4B484D25" w14:textId="77777777" w:rsidR="00FD3719" w:rsidRPr="007573A0" w:rsidRDefault="00FD3719" w:rsidP="00D96BEE">
            <w:pPr>
              <w:pStyle w:val="NormalWeb"/>
              <w:jc w:val="center"/>
              <w:rPr>
                <w:color w:val="FFFFFF" w:themeColor="background1"/>
              </w:rPr>
            </w:pPr>
            <w:r w:rsidRPr="007573A0">
              <w:rPr>
                <w:color w:val="FFFFFF" w:themeColor="background1"/>
              </w:rPr>
              <w:t>Negative predictive value</w:t>
            </w:r>
          </w:p>
        </w:tc>
      </w:tr>
      <w:tr w:rsidR="00D96BEE" w14:paraId="28CFB84B" w14:textId="77777777" w:rsidTr="000F7154">
        <w:trPr>
          <w:cnfStyle w:val="100000000000" w:firstRow="1" w:lastRow="0" w:firstColumn="0" w:lastColumn="0" w:oddVBand="0" w:evenVBand="0" w:oddHBand="0" w:evenHBand="0" w:firstRowFirstColumn="0" w:firstRowLastColumn="0" w:lastRowFirstColumn="0" w:lastRowLastColumn="0"/>
          <w:tblHeader/>
        </w:trPr>
        <w:tc>
          <w:tcPr>
            <w:tcW w:w="4111" w:type="dxa"/>
            <w:tcBorders>
              <w:right w:val="single" w:sz="2" w:space="0" w:color="FFFFFF" w:themeColor="background1"/>
            </w:tcBorders>
            <w:hideMark/>
          </w:tcPr>
          <w:p w14:paraId="1E641F2C" w14:textId="77777777" w:rsidR="00FD3719" w:rsidRPr="007573A0" w:rsidRDefault="00FD3719">
            <w:pPr>
              <w:rPr>
                <w:color w:val="FFFFFF" w:themeColor="background1"/>
              </w:rPr>
            </w:pPr>
          </w:p>
        </w:tc>
        <w:tc>
          <w:tcPr>
            <w:tcW w:w="1134" w:type="dxa"/>
            <w:tcBorders>
              <w:left w:val="single" w:sz="2" w:space="0" w:color="FFFFFF" w:themeColor="background1"/>
              <w:right w:val="single" w:sz="2" w:space="0" w:color="FFFFFF" w:themeColor="background1"/>
            </w:tcBorders>
            <w:hideMark/>
          </w:tcPr>
          <w:p w14:paraId="020C961B" w14:textId="77777777" w:rsidR="00FD3719" w:rsidRPr="007573A0" w:rsidRDefault="00FD3719" w:rsidP="00D96BEE">
            <w:pPr>
              <w:pStyle w:val="NormalWeb"/>
              <w:jc w:val="center"/>
              <w:rPr>
                <w:color w:val="FFFFFF" w:themeColor="background1"/>
                <w:sz w:val="24"/>
                <w:szCs w:val="24"/>
              </w:rPr>
            </w:pPr>
            <w:r w:rsidRPr="007573A0">
              <w:rPr>
                <w:color w:val="FFFFFF" w:themeColor="background1"/>
              </w:rPr>
              <w:t>%</w:t>
            </w:r>
          </w:p>
        </w:tc>
        <w:tc>
          <w:tcPr>
            <w:tcW w:w="1134" w:type="dxa"/>
            <w:tcBorders>
              <w:left w:val="single" w:sz="2" w:space="0" w:color="FFFFFF" w:themeColor="background1"/>
              <w:right w:val="single" w:sz="2" w:space="0" w:color="FFFFFF" w:themeColor="background1"/>
            </w:tcBorders>
            <w:hideMark/>
          </w:tcPr>
          <w:p w14:paraId="37E74959" w14:textId="77777777" w:rsidR="00FD3719" w:rsidRPr="007573A0" w:rsidRDefault="00FD3719" w:rsidP="00D96BEE">
            <w:pPr>
              <w:pStyle w:val="NormalWeb"/>
              <w:jc w:val="center"/>
              <w:rPr>
                <w:color w:val="FFFFFF" w:themeColor="background1"/>
              </w:rPr>
            </w:pPr>
            <w:r w:rsidRPr="007573A0">
              <w:rPr>
                <w:color w:val="FFFFFF" w:themeColor="background1"/>
              </w:rPr>
              <w:t>(95% CI)</w:t>
            </w:r>
            <w:r w:rsidRPr="007573A0">
              <w:rPr>
                <w:color w:val="FFFFFF" w:themeColor="background1"/>
                <w:vertAlign w:val="superscript"/>
              </w:rPr>
              <w:t>*</w:t>
            </w:r>
          </w:p>
        </w:tc>
        <w:tc>
          <w:tcPr>
            <w:tcW w:w="1134" w:type="dxa"/>
            <w:tcBorders>
              <w:left w:val="single" w:sz="2" w:space="0" w:color="FFFFFF" w:themeColor="background1"/>
              <w:right w:val="single" w:sz="2" w:space="0" w:color="FFFFFF" w:themeColor="background1"/>
            </w:tcBorders>
            <w:hideMark/>
          </w:tcPr>
          <w:p w14:paraId="3EF5B65F" w14:textId="77777777" w:rsidR="00FD3719" w:rsidRPr="007573A0" w:rsidRDefault="00FD3719" w:rsidP="00D96BEE">
            <w:pPr>
              <w:pStyle w:val="NormalWeb"/>
              <w:jc w:val="center"/>
              <w:rPr>
                <w:color w:val="FFFFFF" w:themeColor="background1"/>
              </w:rPr>
            </w:pPr>
            <w:r w:rsidRPr="007573A0">
              <w:rPr>
                <w:color w:val="FFFFFF" w:themeColor="background1"/>
              </w:rPr>
              <w:t>%</w:t>
            </w:r>
          </w:p>
        </w:tc>
        <w:tc>
          <w:tcPr>
            <w:tcW w:w="1134" w:type="dxa"/>
            <w:tcBorders>
              <w:left w:val="single" w:sz="2" w:space="0" w:color="FFFFFF" w:themeColor="background1"/>
              <w:right w:val="single" w:sz="2" w:space="0" w:color="FFFFFF" w:themeColor="background1"/>
            </w:tcBorders>
            <w:hideMark/>
          </w:tcPr>
          <w:p w14:paraId="73623F96" w14:textId="77777777" w:rsidR="00FD3719" w:rsidRPr="007573A0" w:rsidRDefault="00FD3719" w:rsidP="00D96BEE">
            <w:pPr>
              <w:pStyle w:val="NormalWeb"/>
              <w:jc w:val="center"/>
              <w:rPr>
                <w:color w:val="FFFFFF" w:themeColor="background1"/>
              </w:rPr>
            </w:pPr>
            <w:r w:rsidRPr="007573A0">
              <w:rPr>
                <w:color w:val="FFFFFF" w:themeColor="background1"/>
              </w:rPr>
              <w:t>(95% CI)</w:t>
            </w:r>
            <w:r w:rsidRPr="007573A0">
              <w:rPr>
                <w:color w:val="FFFFFF" w:themeColor="background1"/>
                <w:vertAlign w:val="superscript"/>
              </w:rPr>
              <w:t>*</w:t>
            </w:r>
          </w:p>
        </w:tc>
        <w:tc>
          <w:tcPr>
            <w:tcW w:w="1418" w:type="dxa"/>
            <w:tcBorders>
              <w:left w:val="single" w:sz="2" w:space="0" w:color="FFFFFF" w:themeColor="background1"/>
              <w:right w:val="single" w:sz="2" w:space="0" w:color="FFFFFF" w:themeColor="background1"/>
            </w:tcBorders>
            <w:hideMark/>
          </w:tcPr>
          <w:p w14:paraId="1B2E5EF9" w14:textId="77777777" w:rsidR="00FD3719" w:rsidRPr="007573A0" w:rsidRDefault="00FD3719" w:rsidP="00D96BEE">
            <w:pPr>
              <w:pStyle w:val="NormalWeb"/>
              <w:jc w:val="center"/>
              <w:rPr>
                <w:color w:val="FFFFFF" w:themeColor="background1"/>
              </w:rPr>
            </w:pPr>
            <w:r w:rsidRPr="007573A0">
              <w:rPr>
                <w:color w:val="FFFFFF" w:themeColor="background1"/>
              </w:rPr>
              <w:t>%</w:t>
            </w:r>
          </w:p>
        </w:tc>
        <w:tc>
          <w:tcPr>
            <w:tcW w:w="1701" w:type="dxa"/>
            <w:tcBorders>
              <w:left w:val="single" w:sz="2" w:space="0" w:color="FFFFFF" w:themeColor="background1"/>
              <w:right w:val="single" w:sz="2" w:space="0" w:color="FFFFFF" w:themeColor="background1"/>
            </w:tcBorders>
            <w:hideMark/>
          </w:tcPr>
          <w:p w14:paraId="5CFE2523" w14:textId="77777777" w:rsidR="00FD3719" w:rsidRPr="007573A0" w:rsidRDefault="00FD3719" w:rsidP="00D96BEE">
            <w:pPr>
              <w:pStyle w:val="NormalWeb"/>
              <w:jc w:val="center"/>
              <w:rPr>
                <w:color w:val="FFFFFF" w:themeColor="background1"/>
              </w:rPr>
            </w:pPr>
            <w:r w:rsidRPr="007573A0">
              <w:rPr>
                <w:color w:val="FFFFFF" w:themeColor="background1"/>
              </w:rPr>
              <w:t>(95% CI)</w:t>
            </w:r>
            <w:r w:rsidRPr="007573A0">
              <w:rPr>
                <w:color w:val="FFFFFF" w:themeColor="background1"/>
                <w:vertAlign w:val="superscript"/>
              </w:rPr>
              <w:t>*</w:t>
            </w:r>
          </w:p>
        </w:tc>
        <w:tc>
          <w:tcPr>
            <w:tcW w:w="1417" w:type="dxa"/>
            <w:tcBorders>
              <w:left w:val="single" w:sz="2" w:space="0" w:color="FFFFFF" w:themeColor="background1"/>
              <w:right w:val="single" w:sz="2" w:space="0" w:color="FFFFFF" w:themeColor="background1"/>
            </w:tcBorders>
            <w:hideMark/>
          </w:tcPr>
          <w:p w14:paraId="1CE38FC6" w14:textId="77777777" w:rsidR="00FD3719" w:rsidRPr="007573A0" w:rsidRDefault="00FD3719" w:rsidP="00D96BEE">
            <w:pPr>
              <w:pStyle w:val="NormalWeb"/>
              <w:jc w:val="center"/>
              <w:rPr>
                <w:color w:val="FFFFFF" w:themeColor="background1"/>
              </w:rPr>
            </w:pPr>
            <w:r w:rsidRPr="007573A0">
              <w:rPr>
                <w:color w:val="FFFFFF" w:themeColor="background1"/>
              </w:rPr>
              <w:t>%</w:t>
            </w:r>
          </w:p>
        </w:tc>
        <w:tc>
          <w:tcPr>
            <w:tcW w:w="1937" w:type="dxa"/>
            <w:tcBorders>
              <w:left w:val="single" w:sz="2" w:space="0" w:color="FFFFFF" w:themeColor="background1"/>
            </w:tcBorders>
            <w:hideMark/>
          </w:tcPr>
          <w:p w14:paraId="610F7386" w14:textId="77777777" w:rsidR="00FD3719" w:rsidRPr="007573A0" w:rsidRDefault="00FD3719" w:rsidP="00D96BEE">
            <w:pPr>
              <w:pStyle w:val="NormalWeb"/>
              <w:jc w:val="center"/>
              <w:rPr>
                <w:color w:val="FFFFFF" w:themeColor="background1"/>
              </w:rPr>
            </w:pPr>
            <w:r w:rsidRPr="007573A0">
              <w:rPr>
                <w:color w:val="FFFFFF" w:themeColor="background1"/>
              </w:rPr>
              <w:t>(95% CI)</w:t>
            </w:r>
            <w:r w:rsidRPr="007573A0">
              <w:rPr>
                <w:color w:val="FFFFFF" w:themeColor="background1"/>
                <w:vertAlign w:val="superscript"/>
              </w:rPr>
              <w:t>*</w:t>
            </w:r>
          </w:p>
        </w:tc>
      </w:tr>
      <w:tr w:rsidR="000852D0" w:rsidRPr="000852D0" w14:paraId="35CC4482" w14:textId="77777777" w:rsidTr="000852D0">
        <w:tc>
          <w:tcPr>
            <w:tcW w:w="4111" w:type="dxa"/>
            <w:tcBorders>
              <w:right w:val="single" w:sz="2" w:space="0" w:color="000000" w:themeColor="text1"/>
            </w:tcBorders>
            <w:shd w:val="clear" w:color="auto" w:fill="808080" w:themeFill="background1" w:themeFillShade="80"/>
            <w:hideMark/>
          </w:tcPr>
          <w:p w14:paraId="43DDDC34" w14:textId="77777777" w:rsidR="00FD3719" w:rsidRPr="000852D0" w:rsidRDefault="00FD3719">
            <w:pPr>
              <w:pStyle w:val="NormalWeb"/>
              <w:rPr>
                <w:color w:val="FFFFFF" w:themeColor="background1"/>
              </w:rPr>
            </w:pPr>
            <w:r w:rsidRPr="000852D0">
              <w:rPr>
                <w:color w:val="FFFFFF" w:themeColor="background1"/>
              </w:rPr>
              <w:t>Influenza vaccination</w:t>
            </w:r>
          </w:p>
        </w:tc>
        <w:tc>
          <w:tcPr>
            <w:tcW w:w="1134" w:type="dxa"/>
            <w:tcBorders>
              <w:left w:val="single" w:sz="2" w:space="0" w:color="000000" w:themeColor="text1"/>
              <w:right w:val="single" w:sz="2" w:space="0" w:color="000000" w:themeColor="text1"/>
            </w:tcBorders>
            <w:shd w:val="clear" w:color="auto" w:fill="808080" w:themeFill="background1" w:themeFillShade="80"/>
            <w:hideMark/>
          </w:tcPr>
          <w:p w14:paraId="31559141" w14:textId="77777777" w:rsidR="00FD3719" w:rsidRPr="000852D0" w:rsidRDefault="00FD3719" w:rsidP="00D96BEE">
            <w:pPr>
              <w:jc w:val="center"/>
              <w:rPr>
                <w:color w:val="FFFFFF" w:themeColor="background1"/>
              </w:rPr>
            </w:pPr>
          </w:p>
        </w:tc>
        <w:tc>
          <w:tcPr>
            <w:tcW w:w="1134" w:type="dxa"/>
            <w:tcBorders>
              <w:left w:val="single" w:sz="2" w:space="0" w:color="000000" w:themeColor="text1"/>
              <w:right w:val="single" w:sz="2" w:space="0" w:color="000000" w:themeColor="text1"/>
            </w:tcBorders>
            <w:shd w:val="clear" w:color="auto" w:fill="808080" w:themeFill="background1" w:themeFillShade="80"/>
            <w:hideMark/>
          </w:tcPr>
          <w:p w14:paraId="3AB246B3" w14:textId="77777777" w:rsidR="00FD3719" w:rsidRPr="000852D0" w:rsidRDefault="00FD3719" w:rsidP="00D96BEE">
            <w:pPr>
              <w:jc w:val="center"/>
              <w:rPr>
                <w:rFonts w:eastAsia="Times New Roman"/>
                <w:color w:val="FFFFFF" w:themeColor="background1"/>
                <w:sz w:val="20"/>
                <w:szCs w:val="20"/>
              </w:rPr>
            </w:pPr>
          </w:p>
        </w:tc>
        <w:tc>
          <w:tcPr>
            <w:tcW w:w="1134" w:type="dxa"/>
            <w:tcBorders>
              <w:left w:val="single" w:sz="2" w:space="0" w:color="000000" w:themeColor="text1"/>
              <w:right w:val="single" w:sz="2" w:space="0" w:color="000000" w:themeColor="text1"/>
            </w:tcBorders>
            <w:shd w:val="clear" w:color="auto" w:fill="808080" w:themeFill="background1" w:themeFillShade="80"/>
            <w:hideMark/>
          </w:tcPr>
          <w:p w14:paraId="644F23EE" w14:textId="77777777" w:rsidR="00FD3719" w:rsidRPr="000852D0" w:rsidRDefault="00FD3719" w:rsidP="00D96BEE">
            <w:pPr>
              <w:jc w:val="center"/>
              <w:rPr>
                <w:rFonts w:eastAsia="Times New Roman"/>
                <w:color w:val="FFFFFF" w:themeColor="background1"/>
                <w:sz w:val="20"/>
                <w:szCs w:val="20"/>
              </w:rPr>
            </w:pPr>
          </w:p>
        </w:tc>
        <w:tc>
          <w:tcPr>
            <w:tcW w:w="1134" w:type="dxa"/>
            <w:tcBorders>
              <w:left w:val="single" w:sz="2" w:space="0" w:color="000000" w:themeColor="text1"/>
              <w:right w:val="single" w:sz="2" w:space="0" w:color="000000" w:themeColor="text1"/>
            </w:tcBorders>
            <w:shd w:val="clear" w:color="auto" w:fill="808080" w:themeFill="background1" w:themeFillShade="80"/>
            <w:hideMark/>
          </w:tcPr>
          <w:p w14:paraId="4B2258AC" w14:textId="77777777" w:rsidR="00FD3719" w:rsidRPr="000852D0" w:rsidRDefault="00FD3719" w:rsidP="00D96BEE">
            <w:pPr>
              <w:jc w:val="center"/>
              <w:rPr>
                <w:rFonts w:eastAsia="Times New Roman"/>
                <w:color w:val="FFFFFF" w:themeColor="background1"/>
                <w:sz w:val="20"/>
                <w:szCs w:val="20"/>
              </w:rPr>
            </w:pPr>
          </w:p>
        </w:tc>
        <w:tc>
          <w:tcPr>
            <w:tcW w:w="1418" w:type="dxa"/>
            <w:tcBorders>
              <w:left w:val="single" w:sz="2" w:space="0" w:color="000000" w:themeColor="text1"/>
              <w:right w:val="single" w:sz="2" w:space="0" w:color="000000" w:themeColor="text1"/>
            </w:tcBorders>
            <w:shd w:val="clear" w:color="auto" w:fill="808080" w:themeFill="background1" w:themeFillShade="80"/>
            <w:hideMark/>
          </w:tcPr>
          <w:p w14:paraId="7FB097F2" w14:textId="77777777" w:rsidR="00FD3719" w:rsidRPr="000852D0" w:rsidRDefault="00FD3719" w:rsidP="00D96BEE">
            <w:pPr>
              <w:jc w:val="center"/>
              <w:rPr>
                <w:rFonts w:eastAsia="Times New Roman"/>
                <w:color w:val="FFFFFF" w:themeColor="background1"/>
                <w:sz w:val="20"/>
                <w:szCs w:val="20"/>
              </w:rPr>
            </w:pPr>
          </w:p>
        </w:tc>
        <w:tc>
          <w:tcPr>
            <w:tcW w:w="1701" w:type="dxa"/>
            <w:tcBorders>
              <w:left w:val="single" w:sz="2" w:space="0" w:color="000000" w:themeColor="text1"/>
              <w:right w:val="single" w:sz="2" w:space="0" w:color="000000" w:themeColor="text1"/>
            </w:tcBorders>
            <w:shd w:val="clear" w:color="auto" w:fill="808080" w:themeFill="background1" w:themeFillShade="80"/>
            <w:hideMark/>
          </w:tcPr>
          <w:p w14:paraId="34C21A79" w14:textId="77777777" w:rsidR="00FD3719" w:rsidRPr="000852D0" w:rsidRDefault="00FD3719" w:rsidP="00D96BEE">
            <w:pPr>
              <w:jc w:val="center"/>
              <w:rPr>
                <w:rFonts w:eastAsia="Times New Roman"/>
                <w:color w:val="FFFFFF" w:themeColor="background1"/>
                <w:sz w:val="20"/>
                <w:szCs w:val="20"/>
              </w:rPr>
            </w:pPr>
          </w:p>
        </w:tc>
        <w:tc>
          <w:tcPr>
            <w:tcW w:w="1417" w:type="dxa"/>
            <w:tcBorders>
              <w:left w:val="single" w:sz="2" w:space="0" w:color="000000" w:themeColor="text1"/>
              <w:right w:val="single" w:sz="2" w:space="0" w:color="000000" w:themeColor="text1"/>
            </w:tcBorders>
            <w:shd w:val="clear" w:color="auto" w:fill="808080" w:themeFill="background1" w:themeFillShade="80"/>
            <w:hideMark/>
          </w:tcPr>
          <w:p w14:paraId="157E5BAB" w14:textId="77777777" w:rsidR="00FD3719" w:rsidRPr="000852D0" w:rsidRDefault="00FD3719" w:rsidP="00D96BEE">
            <w:pPr>
              <w:jc w:val="center"/>
              <w:rPr>
                <w:rFonts w:eastAsia="Times New Roman"/>
                <w:color w:val="FFFFFF" w:themeColor="background1"/>
                <w:sz w:val="20"/>
                <w:szCs w:val="20"/>
              </w:rPr>
            </w:pPr>
          </w:p>
        </w:tc>
        <w:tc>
          <w:tcPr>
            <w:tcW w:w="1937" w:type="dxa"/>
            <w:tcBorders>
              <w:left w:val="single" w:sz="2" w:space="0" w:color="000000" w:themeColor="text1"/>
            </w:tcBorders>
            <w:shd w:val="clear" w:color="auto" w:fill="808080" w:themeFill="background1" w:themeFillShade="80"/>
            <w:hideMark/>
          </w:tcPr>
          <w:p w14:paraId="2B8F5C14" w14:textId="77777777" w:rsidR="00FD3719" w:rsidRPr="000852D0" w:rsidRDefault="00FD3719" w:rsidP="00D96BEE">
            <w:pPr>
              <w:jc w:val="center"/>
              <w:rPr>
                <w:rFonts w:eastAsia="Times New Roman"/>
                <w:color w:val="FFFFFF" w:themeColor="background1"/>
                <w:sz w:val="20"/>
                <w:szCs w:val="20"/>
              </w:rPr>
            </w:pPr>
          </w:p>
        </w:tc>
      </w:tr>
      <w:tr w:rsidR="000852D0" w14:paraId="27C792AD" w14:textId="77777777" w:rsidTr="000852D0">
        <w:trPr>
          <w:cnfStyle w:val="000000010000" w:firstRow="0" w:lastRow="0" w:firstColumn="0" w:lastColumn="0" w:oddVBand="0" w:evenVBand="0" w:oddHBand="0" w:evenHBand="1" w:firstRowFirstColumn="0" w:firstRowLastColumn="0" w:lastRowFirstColumn="0" w:lastRowLastColumn="0"/>
        </w:trPr>
        <w:tc>
          <w:tcPr>
            <w:tcW w:w="4111" w:type="dxa"/>
            <w:tcBorders>
              <w:right w:val="single" w:sz="2" w:space="0" w:color="000000" w:themeColor="text1"/>
            </w:tcBorders>
            <w:shd w:val="clear" w:color="auto" w:fill="FDE9D9" w:themeFill="accent6" w:themeFillTint="33"/>
            <w:hideMark/>
          </w:tcPr>
          <w:p w14:paraId="786CEF83" w14:textId="77777777" w:rsidR="00FD3719" w:rsidRDefault="00FD3719">
            <w:pPr>
              <w:pStyle w:val="NormalWeb"/>
              <w:rPr>
                <w:sz w:val="24"/>
                <w:szCs w:val="24"/>
              </w:rPr>
            </w:pPr>
            <w:r>
              <w:t>Overall</w:t>
            </w:r>
          </w:p>
        </w:tc>
        <w:tc>
          <w:tcPr>
            <w:tcW w:w="1134" w:type="dxa"/>
            <w:tcBorders>
              <w:left w:val="single" w:sz="2" w:space="0" w:color="000000" w:themeColor="text1"/>
              <w:right w:val="single" w:sz="2" w:space="0" w:color="000000" w:themeColor="text1"/>
            </w:tcBorders>
            <w:shd w:val="clear" w:color="auto" w:fill="FDE9D9" w:themeFill="accent6" w:themeFillTint="33"/>
            <w:hideMark/>
          </w:tcPr>
          <w:p w14:paraId="062D6EF4" w14:textId="77777777" w:rsidR="00FD3719" w:rsidRDefault="00FD3719" w:rsidP="00D96BEE">
            <w:pPr>
              <w:pStyle w:val="NormalWeb"/>
              <w:jc w:val="center"/>
            </w:pPr>
            <w:r>
              <w:t>65.7</w:t>
            </w:r>
          </w:p>
        </w:tc>
        <w:tc>
          <w:tcPr>
            <w:tcW w:w="1134" w:type="dxa"/>
            <w:tcBorders>
              <w:left w:val="single" w:sz="2" w:space="0" w:color="000000" w:themeColor="text1"/>
              <w:right w:val="single" w:sz="2" w:space="0" w:color="000000" w:themeColor="text1"/>
            </w:tcBorders>
            <w:shd w:val="clear" w:color="auto" w:fill="FDE9D9" w:themeFill="accent6" w:themeFillTint="33"/>
            <w:hideMark/>
          </w:tcPr>
          <w:p w14:paraId="18062B95" w14:textId="77777777" w:rsidR="00FD3719" w:rsidRDefault="00FD3719" w:rsidP="00D96BEE">
            <w:pPr>
              <w:pStyle w:val="NormalWeb"/>
              <w:jc w:val="center"/>
            </w:pPr>
            <w:r>
              <w:t>56.0-74.2</w:t>
            </w:r>
          </w:p>
        </w:tc>
        <w:tc>
          <w:tcPr>
            <w:tcW w:w="1134" w:type="dxa"/>
            <w:tcBorders>
              <w:left w:val="single" w:sz="2" w:space="0" w:color="000000" w:themeColor="text1"/>
              <w:right w:val="single" w:sz="2" w:space="0" w:color="000000" w:themeColor="text1"/>
            </w:tcBorders>
            <w:shd w:val="clear" w:color="auto" w:fill="FDE9D9" w:themeFill="accent6" w:themeFillTint="33"/>
            <w:hideMark/>
          </w:tcPr>
          <w:p w14:paraId="3FC2BBA9" w14:textId="77777777" w:rsidR="00FD3719" w:rsidRDefault="00FD3719" w:rsidP="00D96BEE">
            <w:pPr>
              <w:pStyle w:val="NormalWeb"/>
              <w:jc w:val="center"/>
            </w:pPr>
            <w:r>
              <w:t>53.0</w:t>
            </w:r>
          </w:p>
        </w:tc>
        <w:tc>
          <w:tcPr>
            <w:tcW w:w="1134" w:type="dxa"/>
            <w:tcBorders>
              <w:left w:val="single" w:sz="2" w:space="0" w:color="000000" w:themeColor="text1"/>
              <w:right w:val="single" w:sz="2" w:space="0" w:color="000000" w:themeColor="text1"/>
            </w:tcBorders>
            <w:shd w:val="clear" w:color="auto" w:fill="FDE9D9" w:themeFill="accent6" w:themeFillTint="33"/>
            <w:hideMark/>
          </w:tcPr>
          <w:p w14:paraId="2CA615A4" w14:textId="77777777" w:rsidR="00FD3719" w:rsidRDefault="00FD3719" w:rsidP="00D96BEE">
            <w:pPr>
              <w:pStyle w:val="NormalWeb"/>
              <w:jc w:val="center"/>
            </w:pPr>
            <w:r>
              <w:t>42.4-63.4</w:t>
            </w:r>
          </w:p>
        </w:tc>
        <w:tc>
          <w:tcPr>
            <w:tcW w:w="1418" w:type="dxa"/>
            <w:tcBorders>
              <w:left w:val="single" w:sz="2" w:space="0" w:color="000000" w:themeColor="text1"/>
              <w:right w:val="single" w:sz="2" w:space="0" w:color="000000" w:themeColor="text1"/>
            </w:tcBorders>
            <w:shd w:val="clear" w:color="auto" w:fill="FDE9D9" w:themeFill="accent6" w:themeFillTint="33"/>
            <w:hideMark/>
          </w:tcPr>
          <w:p w14:paraId="7A9906D9" w14:textId="77777777" w:rsidR="00FD3719" w:rsidRDefault="00FD3719" w:rsidP="00D96BEE">
            <w:pPr>
              <w:pStyle w:val="NormalWeb"/>
              <w:jc w:val="center"/>
            </w:pPr>
            <w:r>
              <w:t>91.8</w:t>
            </w:r>
          </w:p>
        </w:tc>
        <w:tc>
          <w:tcPr>
            <w:tcW w:w="1701" w:type="dxa"/>
            <w:tcBorders>
              <w:left w:val="single" w:sz="2" w:space="0" w:color="000000" w:themeColor="text1"/>
              <w:right w:val="single" w:sz="2" w:space="0" w:color="000000" w:themeColor="text1"/>
            </w:tcBorders>
            <w:shd w:val="clear" w:color="auto" w:fill="FDE9D9" w:themeFill="accent6" w:themeFillTint="33"/>
            <w:hideMark/>
          </w:tcPr>
          <w:p w14:paraId="5BA89D9A" w14:textId="77777777" w:rsidR="00FD3719" w:rsidRDefault="00FD3719" w:rsidP="00D96BEE">
            <w:pPr>
              <w:pStyle w:val="NormalWeb"/>
              <w:jc w:val="center"/>
            </w:pPr>
            <w:r>
              <w:t>83.2-96.2</w:t>
            </w:r>
          </w:p>
        </w:tc>
        <w:tc>
          <w:tcPr>
            <w:tcW w:w="1417" w:type="dxa"/>
            <w:tcBorders>
              <w:left w:val="single" w:sz="2" w:space="0" w:color="000000" w:themeColor="text1"/>
              <w:right w:val="single" w:sz="2" w:space="0" w:color="000000" w:themeColor="text1"/>
            </w:tcBorders>
            <w:shd w:val="clear" w:color="auto" w:fill="FDE9D9" w:themeFill="accent6" w:themeFillTint="33"/>
            <w:hideMark/>
          </w:tcPr>
          <w:p w14:paraId="6EB31700" w14:textId="77777777" w:rsidR="00FD3719" w:rsidRDefault="00FD3719" w:rsidP="00D96BEE">
            <w:pPr>
              <w:pStyle w:val="NormalWeb"/>
              <w:jc w:val="center"/>
            </w:pPr>
            <w:r>
              <w:t>88.0</w:t>
            </w:r>
          </w:p>
        </w:tc>
        <w:tc>
          <w:tcPr>
            <w:tcW w:w="1937" w:type="dxa"/>
            <w:tcBorders>
              <w:left w:val="single" w:sz="2" w:space="0" w:color="000000" w:themeColor="text1"/>
            </w:tcBorders>
            <w:shd w:val="clear" w:color="auto" w:fill="FDE9D9" w:themeFill="accent6" w:themeFillTint="33"/>
            <w:hideMark/>
          </w:tcPr>
          <w:p w14:paraId="67865714" w14:textId="77777777" w:rsidR="00FD3719" w:rsidRDefault="00FD3719" w:rsidP="00D96BEE">
            <w:pPr>
              <w:pStyle w:val="NormalWeb"/>
              <w:jc w:val="center"/>
            </w:pPr>
            <w:r>
              <w:t>76.2-94.4</w:t>
            </w:r>
          </w:p>
        </w:tc>
      </w:tr>
      <w:tr w:rsidR="000F7154" w14:paraId="2C0993AB" w14:textId="77777777" w:rsidTr="000F7154">
        <w:tc>
          <w:tcPr>
            <w:tcW w:w="4111" w:type="dxa"/>
            <w:tcBorders>
              <w:right w:val="single" w:sz="2" w:space="0" w:color="000000" w:themeColor="text1"/>
            </w:tcBorders>
            <w:hideMark/>
          </w:tcPr>
          <w:p w14:paraId="2E52CCB8" w14:textId="77777777" w:rsidR="00FD3719" w:rsidRDefault="00FD3719">
            <w:pPr>
              <w:pStyle w:val="NormalWeb"/>
            </w:pPr>
            <w:r>
              <w:t>By antenatal care provider</w:t>
            </w:r>
            <w:r>
              <w:rPr>
                <w:vertAlign w:val="superscript"/>
              </w:rPr>
              <w:t>†</w:t>
            </w:r>
          </w:p>
        </w:tc>
        <w:tc>
          <w:tcPr>
            <w:tcW w:w="1134" w:type="dxa"/>
            <w:tcBorders>
              <w:left w:val="single" w:sz="2" w:space="0" w:color="000000" w:themeColor="text1"/>
              <w:right w:val="single" w:sz="2" w:space="0" w:color="000000" w:themeColor="text1"/>
            </w:tcBorders>
            <w:hideMark/>
          </w:tcPr>
          <w:p w14:paraId="39846877" w14:textId="77777777" w:rsidR="00FD3719" w:rsidRDefault="00FD3719" w:rsidP="00D96BEE">
            <w:pPr>
              <w:jc w:val="center"/>
            </w:pPr>
          </w:p>
        </w:tc>
        <w:tc>
          <w:tcPr>
            <w:tcW w:w="1134" w:type="dxa"/>
            <w:tcBorders>
              <w:left w:val="single" w:sz="2" w:space="0" w:color="000000" w:themeColor="text1"/>
              <w:right w:val="single" w:sz="2" w:space="0" w:color="000000" w:themeColor="text1"/>
            </w:tcBorders>
            <w:hideMark/>
          </w:tcPr>
          <w:p w14:paraId="27A86ADC" w14:textId="77777777" w:rsidR="00FD3719" w:rsidRDefault="00FD3719" w:rsidP="00D96BEE">
            <w:pPr>
              <w:jc w:val="center"/>
              <w:rPr>
                <w:rFonts w:eastAsia="Times New Roman"/>
                <w:sz w:val="20"/>
                <w:szCs w:val="20"/>
              </w:rPr>
            </w:pPr>
          </w:p>
        </w:tc>
        <w:tc>
          <w:tcPr>
            <w:tcW w:w="1134" w:type="dxa"/>
            <w:tcBorders>
              <w:left w:val="single" w:sz="2" w:space="0" w:color="000000" w:themeColor="text1"/>
              <w:right w:val="single" w:sz="2" w:space="0" w:color="000000" w:themeColor="text1"/>
            </w:tcBorders>
            <w:hideMark/>
          </w:tcPr>
          <w:p w14:paraId="0318344C" w14:textId="77777777" w:rsidR="00FD3719" w:rsidRDefault="00FD3719" w:rsidP="00D96BEE">
            <w:pPr>
              <w:jc w:val="center"/>
              <w:rPr>
                <w:rFonts w:eastAsia="Times New Roman"/>
                <w:sz w:val="20"/>
                <w:szCs w:val="20"/>
              </w:rPr>
            </w:pPr>
          </w:p>
        </w:tc>
        <w:tc>
          <w:tcPr>
            <w:tcW w:w="1134" w:type="dxa"/>
            <w:tcBorders>
              <w:left w:val="single" w:sz="2" w:space="0" w:color="000000" w:themeColor="text1"/>
              <w:right w:val="single" w:sz="2" w:space="0" w:color="000000" w:themeColor="text1"/>
            </w:tcBorders>
            <w:hideMark/>
          </w:tcPr>
          <w:p w14:paraId="529AE7D4" w14:textId="77777777" w:rsidR="00FD3719" w:rsidRDefault="00FD3719" w:rsidP="00D96BEE">
            <w:pPr>
              <w:jc w:val="center"/>
              <w:rPr>
                <w:rFonts w:eastAsia="Times New Roman"/>
                <w:sz w:val="20"/>
                <w:szCs w:val="20"/>
              </w:rPr>
            </w:pPr>
          </w:p>
        </w:tc>
        <w:tc>
          <w:tcPr>
            <w:tcW w:w="1418" w:type="dxa"/>
            <w:tcBorders>
              <w:left w:val="single" w:sz="2" w:space="0" w:color="000000" w:themeColor="text1"/>
              <w:right w:val="single" w:sz="2" w:space="0" w:color="000000" w:themeColor="text1"/>
            </w:tcBorders>
            <w:hideMark/>
          </w:tcPr>
          <w:p w14:paraId="1BBC8DE8" w14:textId="77777777" w:rsidR="00FD3719" w:rsidRDefault="00FD3719" w:rsidP="00D96BEE">
            <w:pPr>
              <w:jc w:val="center"/>
              <w:rPr>
                <w:rFonts w:eastAsia="Times New Roman"/>
                <w:sz w:val="20"/>
                <w:szCs w:val="20"/>
              </w:rPr>
            </w:pPr>
          </w:p>
        </w:tc>
        <w:tc>
          <w:tcPr>
            <w:tcW w:w="1701" w:type="dxa"/>
            <w:tcBorders>
              <w:left w:val="single" w:sz="2" w:space="0" w:color="000000" w:themeColor="text1"/>
              <w:right w:val="single" w:sz="2" w:space="0" w:color="000000" w:themeColor="text1"/>
            </w:tcBorders>
            <w:hideMark/>
          </w:tcPr>
          <w:p w14:paraId="2B9CB840" w14:textId="77777777" w:rsidR="00FD3719" w:rsidRDefault="00FD3719" w:rsidP="00D96BEE">
            <w:pPr>
              <w:jc w:val="center"/>
              <w:rPr>
                <w:rFonts w:eastAsia="Times New Roman"/>
                <w:sz w:val="20"/>
                <w:szCs w:val="20"/>
              </w:rPr>
            </w:pPr>
          </w:p>
        </w:tc>
        <w:tc>
          <w:tcPr>
            <w:tcW w:w="1417" w:type="dxa"/>
            <w:tcBorders>
              <w:left w:val="single" w:sz="2" w:space="0" w:color="000000" w:themeColor="text1"/>
              <w:right w:val="single" w:sz="2" w:space="0" w:color="000000" w:themeColor="text1"/>
            </w:tcBorders>
            <w:hideMark/>
          </w:tcPr>
          <w:p w14:paraId="36554737" w14:textId="77777777" w:rsidR="00FD3719" w:rsidRDefault="00FD3719" w:rsidP="00D96BEE">
            <w:pPr>
              <w:jc w:val="center"/>
              <w:rPr>
                <w:rFonts w:eastAsia="Times New Roman"/>
                <w:sz w:val="20"/>
                <w:szCs w:val="20"/>
              </w:rPr>
            </w:pPr>
          </w:p>
        </w:tc>
        <w:tc>
          <w:tcPr>
            <w:tcW w:w="1937" w:type="dxa"/>
            <w:tcBorders>
              <w:left w:val="single" w:sz="2" w:space="0" w:color="000000" w:themeColor="text1"/>
            </w:tcBorders>
            <w:hideMark/>
          </w:tcPr>
          <w:p w14:paraId="0099EC44" w14:textId="77777777" w:rsidR="00FD3719" w:rsidRDefault="00FD3719" w:rsidP="00D96BEE">
            <w:pPr>
              <w:jc w:val="center"/>
              <w:rPr>
                <w:rFonts w:eastAsia="Times New Roman"/>
                <w:sz w:val="20"/>
                <w:szCs w:val="20"/>
              </w:rPr>
            </w:pPr>
          </w:p>
        </w:tc>
      </w:tr>
      <w:tr w:rsidR="00D96BEE" w14:paraId="4EC58207" w14:textId="77777777" w:rsidTr="000F7154">
        <w:trPr>
          <w:cnfStyle w:val="000000010000" w:firstRow="0" w:lastRow="0" w:firstColumn="0" w:lastColumn="0" w:oddVBand="0" w:evenVBand="0" w:oddHBand="0" w:evenHBand="1" w:firstRowFirstColumn="0" w:firstRowLastColumn="0" w:lastRowFirstColumn="0" w:lastRowLastColumn="0"/>
        </w:trPr>
        <w:tc>
          <w:tcPr>
            <w:tcW w:w="4111" w:type="dxa"/>
            <w:tcBorders>
              <w:right w:val="single" w:sz="2" w:space="0" w:color="000000" w:themeColor="text1"/>
            </w:tcBorders>
            <w:hideMark/>
          </w:tcPr>
          <w:p w14:paraId="0672CBFC" w14:textId="77777777" w:rsidR="00FD3719" w:rsidRDefault="00FD3719">
            <w:pPr>
              <w:pStyle w:val="NormalWeb"/>
              <w:rPr>
                <w:sz w:val="24"/>
                <w:szCs w:val="24"/>
              </w:rPr>
            </w:pPr>
            <w:r>
              <w:t>Public hospital clinic</w:t>
            </w:r>
          </w:p>
        </w:tc>
        <w:tc>
          <w:tcPr>
            <w:tcW w:w="1134" w:type="dxa"/>
            <w:tcBorders>
              <w:left w:val="single" w:sz="2" w:space="0" w:color="000000" w:themeColor="text1"/>
              <w:right w:val="single" w:sz="2" w:space="0" w:color="000000" w:themeColor="text1"/>
            </w:tcBorders>
            <w:hideMark/>
          </w:tcPr>
          <w:p w14:paraId="7D083EC0" w14:textId="77777777" w:rsidR="00FD3719" w:rsidRDefault="00FD3719" w:rsidP="00D96BEE">
            <w:pPr>
              <w:pStyle w:val="NormalWeb"/>
              <w:jc w:val="center"/>
            </w:pPr>
            <w:r>
              <w:t>79.0</w:t>
            </w:r>
          </w:p>
        </w:tc>
        <w:tc>
          <w:tcPr>
            <w:tcW w:w="1134" w:type="dxa"/>
            <w:tcBorders>
              <w:left w:val="single" w:sz="2" w:space="0" w:color="000000" w:themeColor="text1"/>
              <w:right w:val="single" w:sz="2" w:space="0" w:color="000000" w:themeColor="text1"/>
            </w:tcBorders>
            <w:hideMark/>
          </w:tcPr>
          <w:p w14:paraId="405C36C9" w14:textId="77777777" w:rsidR="00FD3719" w:rsidRDefault="00FD3719" w:rsidP="00D96BEE">
            <w:pPr>
              <w:pStyle w:val="NormalWeb"/>
              <w:jc w:val="center"/>
            </w:pPr>
            <w:r>
              <w:t>67.4-87.3</w:t>
            </w:r>
          </w:p>
        </w:tc>
        <w:tc>
          <w:tcPr>
            <w:tcW w:w="1134" w:type="dxa"/>
            <w:tcBorders>
              <w:left w:val="single" w:sz="2" w:space="0" w:color="000000" w:themeColor="text1"/>
              <w:right w:val="single" w:sz="2" w:space="0" w:color="000000" w:themeColor="text1"/>
            </w:tcBorders>
            <w:hideMark/>
          </w:tcPr>
          <w:p w14:paraId="2CAE95F6" w14:textId="77777777" w:rsidR="00FD3719" w:rsidRDefault="00FD3719" w:rsidP="00D96BEE">
            <w:pPr>
              <w:pStyle w:val="NormalWeb"/>
              <w:jc w:val="center"/>
            </w:pPr>
            <w:r>
              <w:t>53.3</w:t>
            </w:r>
          </w:p>
        </w:tc>
        <w:tc>
          <w:tcPr>
            <w:tcW w:w="1134" w:type="dxa"/>
            <w:tcBorders>
              <w:left w:val="single" w:sz="2" w:space="0" w:color="000000" w:themeColor="text1"/>
              <w:right w:val="single" w:sz="2" w:space="0" w:color="000000" w:themeColor="text1"/>
            </w:tcBorders>
            <w:hideMark/>
          </w:tcPr>
          <w:p w14:paraId="40BBC925" w14:textId="77777777" w:rsidR="00FD3719" w:rsidRDefault="00FD3719" w:rsidP="00D96BEE">
            <w:pPr>
              <w:pStyle w:val="NormalWeb"/>
              <w:jc w:val="center"/>
            </w:pPr>
            <w:r>
              <w:t>40.9-65.4</w:t>
            </w:r>
          </w:p>
        </w:tc>
        <w:tc>
          <w:tcPr>
            <w:tcW w:w="1418" w:type="dxa"/>
            <w:tcBorders>
              <w:left w:val="single" w:sz="2" w:space="0" w:color="000000" w:themeColor="text1"/>
              <w:right w:val="single" w:sz="2" w:space="0" w:color="000000" w:themeColor="text1"/>
            </w:tcBorders>
            <w:hideMark/>
          </w:tcPr>
          <w:p w14:paraId="7F2074EB" w14:textId="77777777" w:rsidR="00FD3719" w:rsidRDefault="00FD3719" w:rsidP="00D96BEE">
            <w:pPr>
              <w:pStyle w:val="NormalWeb"/>
              <w:jc w:val="center"/>
            </w:pPr>
            <w:r>
              <w:t>90.7</w:t>
            </w:r>
          </w:p>
        </w:tc>
        <w:tc>
          <w:tcPr>
            <w:tcW w:w="1701" w:type="dxa"/>
            <w:tcBorders>
              <w:left w:val="single" w:sz="2" w:space="0" w:color="000000" w:themeColor="text1"/>
              <w:right w:val="single" w:sz="2" w:space="0" w:color="000000" w:themeColor="text1"/>
            </w:tcBorders>
            <w:hideMark/>
          </w:tcPr>
          <w:p w14:paraId="1B324B77" w14:textId="77777777" w:rsidR="00FD3719" w:rsidRDefault="00FD3719" w:rsidP="00D96BEE">
            <w:pPr>
              <w:pStyle w:val="NormalWeb"/>
              <w:jc w:val="center"/>
            </w:pPr>
            <w:r>
              <w:t>80.1-96.0</w:t>
            </w:r>
          </w:p>
        </w:tc>
        <w:tc>
          <w:tcPr>
            <w:tcW w:w="1417" w:type="dxa"/>
            <w:tcBorders>
              <w:left w:val="single" w:sz="2" w:space="0" w:color="000000" w:themeColor="text1"/>
              <w:right w:val="single" w:sz="2" w:space="0" w:color="000000" w:themeColor="text1"/>
            </w:tcBorders>
            <w:hideMark/>
          </w:tcPr>
          <w:p w14:paraId="7385E3E0" w14:textId="77777777" w:rsidR="00FD3719" w:rsidRDefault="00FD3719" w:rsidP="00D96BEE">
            <w:pPr>
              <w:pStyle w:val="NormalWeb"/>
              <w:jc w:val="center"/>
            </w:pPr>
            <w:r>
              <w:t>88.9</w:t>
            </w:r>
          </w:p>
        </w:tc>
        <w:tc>
          <w:tcPr>
            <w:tcW w:w="1937" w:type="dxa"/>
            <w:tcBorders>
              <w:left w:val="single" w:sz="2" w:space="0" w:color="000000" w:themeColor="text1"/>
            </w:tcBorders>
            <w:hideMark/>
          </w:tcPr>
          <w:p w14:paraId="72840BCC" w14:textId="77777777" w:rsidR="00FD3719" w:rsidRDefault="00FD3719" w:rsidP="00D96BEE">
            <w:pPr>
              <w:pStyle w:val="NormalWeb"/>
              <w:jc w:val="center"/>
            </w:pPr>
            <w:r>
              <w:t>74.7-95.6</w:t>
            </w:r>
          </w:p>
        </w:tc>
      </w:tr>
      <w:tr w:rsidR="000F7154" w14:paraId="19AC8B3E" w14:textId="77777777" w:rsidTr="000F7154">
        <w:tc>
          <w:tcPr>
            <w:tcW w:w="4111" w:type="dxa"/>
            <w:tcBorders>
              <w:right w:val="single" w:sz="2" w:space="0" w:color="000000" w:themeColor="text1"/>
            </w:tcBorders>
            <w:hideMark/>
          </w:tcPr>
          <w:p w14:paraId="0A1A1632" w14:textId="77777777" w:rsidR="00FD3719" w:rsidRDefault="00FD3719">
            <w:pPr>
              <w:pStyle w:val="NormalWeb"/>
            </w:pPr>
            <w:r>
              <w:t>Private obstetrician</w:t>
            </w:r>
          </w:p>
        </w:tc>
        <w:tc>
          <w:tcPr>
            <w:tcW w:w="1134" w:type="dxa"/>
            <w:tcBorders>
              <w:left w:val="single" w:sz="2" w:space="0" w:color="000000" w:themeColor="text1"/>
              <w:right w:val="single" w:sz="2" w:space="0" w:color="000000" w:themeColor="text1"/>
            </w:tcBorders>
            <w:hideMark/>
          </w:tcPr>
          <w:p w14:paraId="25D232DD" w14:textId="77777777" w:rsidR="00FD3719" w:rsidRDefault="00FD3719" w:rsidP="00D96BEE">
            <w:pPr>
              <w:pStyle w:val="NormalWeb"/>
              <w:jc w:val="center"/>
            </w:pPr>
            <w:r>
              <w:t>43.2</w:t>
            </w:r>
          </w:p>
        </w:tc>
        <w:tc>
          <w:tcPr>
            <w:tcW w:w="1134" w:type="dxa"/>
            <w:tcBorders>
              <w:left w:val="single" w:sz="2" w:space="0" w:color="000000" w:themeColor="text1"/>
              <w:right w:val="single" w:sz="2" w:space="0" w:color="000000" w:themeColor="text1"/>
            </w:tcBorders>
            <w:hideMark/>
          </w:tcPr>
          <w:p w14:paraId="0BF612B1" w14:textId="77777777" w:rsidR="00FD3719" w:rsidRDefault="00FD3719" w:rsidP="00D96BEE">
            <w:pPr>
              <w:pStyle w:val="NormalWeb"/>
              <w:jc w:val="center"/>
            </w:pPr>
            <w:r>
              <w:t>28.7-59.1</w:t>
            </w:r>
          </w:p>
        </w:tc>
        <w:tc>
          <w:tcPr>
            <w:tcW w:w="1134" w:type="dxa"/>
            <w:tcBorders>
              <w:left w:val="single" w:sz="2" w:space="0" w:color="000000" w:themeColor="text1"/>
              <w:right w:val="single" w:sz="2" w:space="0" w:color="000000" w:themeColor="text1"/>
            </w:tcBorders>
            <w:hideMark/>
          </w:tcPr>
          <w:p w14:paraId="7A37D1EF" w14:textId="77777777" w:rsidR="00FD3719" w:rsidRDefault="00FD3719" w:rsidP="00D96BEE">
            <w:pPr>
              <w:pStyle w:val="NormalWeb"/>
              <w:jc w:val="center"/>
            </w:pPr>
            <w:r>
              <w:t>44.4</w:t>
            </w:r>
          </w:p>
        </w:tc>
        <w:tc>
          <w:tcPr>
            <w:tcW w:w="1134" w:type="dxa"/>
            <w:tcBorders>
              <w:left w:val="single" w:sz="2" w:space="0" w:color="000000" w:themeColor="text1"/>
              <w:right w:val="single" w:sz="2" w:space="0" w:color="000000" w:themeColor="text1"/>
            </w:tcBorders>
            <w:hideMark/>
          </w:tcPr>
          <w:p w14:paraId="4A7DC286" w14:textId="77777777" w:rsidR="00FD3719" w:rsidRDefault="00FD3719" w:rsidP="00D96BEE">
            <w:pPr>
              <w:pStyle w:val="NormalWeb"/>
              <w:jc w:val="center"/>
            </w:pPr>
            <w:r>
              <w:t>24.6-66.3</w:t>
            </w:r>
          </w:p>
        </w:tc>
        <w:tc>
          <w:tcPr>
            <w:tcW w:w="1418" w:type="dxa"/>
            <w:tcBorders>
              <w:left w:val="single" w:sz="2" w:space="0" w:color="000000" w:themeColor="text1"/>
              <w:right w:val="single" w:sz="2" w:space="0" w:color="000000" w:themeColor="text1"/>
            </w:tcBorders>
            <w:hideMark/>
          </w:tcPr>
          <w:p w14:paraId="559C5C87" w14:textId="77777777" w:rsidR="00FD3719" w:rsidRDefault="00FD3719" w:rsidP="00D96BEE">
            <w:pPr>
              <w:pStyle w:val="NormalWeb"/>
              <w:jc w:val="center"/>
            </w:pPr>
            <w:r>
              <w:t>94.1</w:t>
            </w:r>
          </w:p>
        </w:tc>
        <w:tc>
          <w:tcPr>
            <w:tcW w:w="1701" w:type="dxa"/>
            <w:tcBorders>
              <w:left w:val="single" w:sz="2" w:space="0" w:color="000000" w:themeColor="text1"/>
              <w:right w:val="single" w:sz="2" w:space="0" w:color="000000" w:themeColor="text1"/>
            </w:tcBorders>
            <w:hideMark/>
          </w:tcPr>
          <w:p w14:paraId="6A969CAE" w14:textId="77777777" w:rsidR="00FD3719" w:rsidRDefault="00FD3719" w:rsidP="00D96BEE">
            <w:pPr>
              <w:pStyle w:val="NormalWeb"/>
              <w:jc w:val="center"/>
            </w:pPr>
            <w:r>
              <w:t>73.0-99.0</w:t>
            </w:r>
          </w:p>
        </w:tc>
        <w:tc>
          <w:tcPr>
            <w:tcW w:w="1417" w:type="dxa"/>
            <w:tcBorders>
              <w:left w:val="single" w:sz="2" w:space="0" w:color="000000" w:themeColor="text1"/>
              <w:right w:val="single" w:sz="2" w:space="0" w:color="000000" w:themeColor="text1"/>
            </w:tcBorders>
            <w:hideMark/>
          </w:tcPr>
          <w:p w14:paraId="2F059FCB" w14:textId="77777777" w:rsidR="00FD3719" w:rsidRDefault="00FD3719" w:rsidP="00D96BEE">
            <w:pPr>
              <w:pStyle w:val="NormalWeb"/>
              <w:jc w:val="center"/>
            </w:pPr>
            <w:r>
              <w:t>88.9</w:t>
            </w:r>
          </w:p>
        </w:tc>
        <w:tc>
          <w:tcPr>
            <w:tcW w:w="1937" w:type="dxa"/>
            <w:tcBorders>
              <w:left w:val="single" w:sz="2" w:space="0" w:color="000000" w:themeColor="text1"/>
            </w:tcBorders>
            <w:hideMark/>
          </w:tcPr>
          <w:p w14:paraId="05D00DC2" w14:textId="77777777" w:rsidR="00FD3719" w:rsidRDefault="00FD3719" w:rsidP="00D96BEE">
            <w:pPr>
              <w:pStyle w:val="NormalWeb"/>
              <w:jc w:val="center"/>
            </w:pPr>
            <w:r>
              <w:t>56.5-98.0</w:t>
            </w:r>
          </w:p>
        </w:tc>
      </w:tr>
      <w:tr w:rsidR="00D96BEE" w14:paraId="1B37FCDD" w14:textId="77777777" w:rsidTr="000F7154">
        <w:trPr>
          <w:cnfStyle w:val="000000010000" w:firstRow="0" w:lastRow="0" w:firstColumn="0" w:lastColumn="0" w:oddVBand="0" w:evenVBand="0" w:oddHBand="0" w:evenHBand="1" w:firstRowFirstColumn="0" w:firstRowLastColumn="0" w:lastRowFirstColumn="0" w:lastRowLastColumn="0"/>
        </w:trPr>
        <w:tc>
          <w:tcPr>
            <w:tcW w:w="4111" w:type="dxa"/>
            <w:tcBorders>
              <w:right w:val="single" w:sz="2" w:space="0" w:color="000000" w:themeColor="text1"/>
            </w:tcBorders>
            <w:hideMark/>
          </w:tcPr>
          <w:p w14:paraId="0B66931B" w14:textId="77777777" w:rsidR="00FD3719" w:rsidRDefault="00FD3719">
            <w:pPr>
              <w:pStyle w:val="NormalWeb"/>
            </w:pPr>
            <w:r>
              <w:t>By trimester of vaccination</w:t>
            </w:r>
          </w:p>
        </w:tc>
        <w:tc>
          <w:tcPr>
            <w:tcW w:w="1134" w:type="dxa"/>
            <w:tcBorders>
              <w:left w:val="single" w:sz="2" w:space="0" w:color="000000" w:themeColor="text1"/>
              <w:right w:val="single" w:sz="2" w:space="0" w:color="000000" w:themeColor="text1"/>
            </w:tcBorders>
            <w:hideMark/>
          </w:tcPr>
          <w:p w14:paraId="79263484" w14:textId="77777777" w:rsidR="00FD3719" w:rsidRDefault="00FD3719" w:rsidP="00D96BEE">
            <w:pPr>
              <w:jc w:val="center"/>
            </w:pPr>
          </w:p>
        </w:tc>
        <w:tc>
          <w:tcPr>
            <w:tcW w:w="1134" w:type="dxa"/>
            <w:tcBorders>
              <w:left w:val="single" w:sz="2" w:space="0" w:color="000000" w:themeColor="text1"/>
              <w:right w:val="single" w:sz="2" w:space="0" w:color="000000" w:themeColor="text1"/>
            </w:tcBorders>
            <w:hideMark/>
          </w:tcPr>
          <w:p w14:paraId="49B9B79F" w14:textId="77777777" w:rsidR="00FD3719" w:rsidRDefault="00FD3719" w:rsidP="00D96BEE">
            <w:pPr>
              <w:jc w:val="center"/>
              <w:rPr>
                <w:rFonts w:eastAsia="Times New Roman"/>
                <w:sz w:val="20"/>
                <w:szCs w:val="20"/>
              </w:rPr>
            </w:pPr>
          </w:p>
        </w:tc>
        <w:tc>
          <w:tcPr>
            <w:tcW w:w="1134" w:type="dxa"/>
            <w:tcBorders>
              <w:left w:val="single" w:sz="2" w:space="0" w:color="000000" w:themeColor="text1"/>
              <w:right w:val="single" w:sz="2" w:space="0" w:color="000000" w:themeColor="text1"/>
            </w:tcBorders>
            <w:hideMark/>
          </w:tcPr>
          <w:p w14:paraId="74C6186A" w14:textId="77777777" w:rsidR="00FD3719" w:rsidRDefault="00FD3719" w:rsidP="00D96BEE">
            <w:pPr>
              <w:jc w:val="center"/>
              <w:rPr>
                <w:rFonts w:eastAsia="Times New Roman"/>
                <w:sz w:val="20"/>
                <w:szCs w:val="20"/>
              </w:rPr>
            </w:pPr>
          </w:p>
        </w:tc>
        <w:tc>
          <w:tcPr>
            <w:tcW w:w="1134" w:type="dxa"/>
            <w:tcBorders>
              <w:left w:val="single" w:sz="2" w:space="0" w:color="000000" w:themeColor="text1"/>
              <w:right w:val="single" w:sz="2" w:space="0" w:color="000000" w:themeColor="text1"/>
            </w:tcBorders>
            <w:hideMark/>
          </w:tcPr>
          <w:p w14:paraId="6EA3898D" w14:textId="77777777" w:rsidR="00FD3719" w:rsidRDefault="00FD3719" w:rsidP="00D96BEE">
            <w:pPr>
              <w:jc w:val="center"/>
              <w:rPr>
                <w:rFonts w:eastAsia="Times New Roman"/>
                <w:sz w:val="20"/>
                <w:szCs w:val="20"/>
              </w:rPr>
            </w:pPr>
          </w:p>
        </w:tc>
        <w:tc>
          <w:tcPr>
            <w:tcW w:w="1418" w:type="dxa"/>
            <w:tcBorders>
              <w:left w:val="single" w:sz="2" w:space="0" w:color="000000" w:themeColor="text1"/>
              <w:right w:val="single" w:sz="2" w:space="0" w:color="000000" w:themeColor="text1"/>
            </w:tcBorders>
            <w:hideMark/>
          </w:tcPr>
          <w:p w14:paraId="12E0C78F" w14:textId="77777777" w:rsidR="00FD3719" w:rsidRDefault="00FD3719" w:rsidP="00D96BEE">
            <w:pPr>
              <w:jc w:val="center"/>
              <w:rPr>
                <w:rFonts w:eastAsia="Times New Roman"/>
                <w:sz w:val="20"/>
                <w:szCs w:val="20"/>
              </w:rPr>
            </w:pPr>
          </w:p>
        </w:tc>
        <w:tc>
          <w:tcPr>
            <w:tcW w:w="1701" w:type="dxa"/>
            <w:tcBorders>
              <w:left w:val="single" w:sz="2" w:space="0" w:color="000000" w:themeColor="text1"/>
              <w:right w:val="single" w:sz="2" w:space="0" w:color="000000" w:themeColor="text1"/>
            </w:tcBorders>
            <w:hideMark/>
          </w:tcPr>
          <w:p w14:paraId="54546AA0" w14:textId="77777777" w:rsidR="00FD3719" w:rsidRDefault="00FD3719" w:rsidP="00D96BEE">
            <w:pPr>
              <w:jc w:val="center"/>
              <w:rPr>
                <w:rFonts w:eastAsia="Times New Roman"/>
                <w:sz w:val="20"/>
                <w:szCs w:val="20"/>
              </w:rPr>
            </w:pPr>
          </w:p>
        </w:tc>
        <w:tc>
          <w:tcPr>
            <w:tcW w:w="1417" w:type="dxa"/>
            <w:tcBorders>
              <w:left w:val="single" w:sz="2" w:space="0" w:color="000000" w:themeColor="text1"/>
              <w:right w:val="single" w:sz="2" w:space="0" w:color="000000" w:themeColor="text1"/>
            </w:tcBorders>
            <w:hideMark/>
          </w:tcPr>
          <w:p w14:paraId="458B6660" w14:textId="77777777" w:rsidR="00FD3719" w:rsidRDefault="00FD3719" w:rsidP="00D96BEE">
            <w:pPr>
              <w:jc w:val="center"/>
              <w:rPr>
                <w:rFonts w:eastAsia="Times New Roman"/>
                <w:sz w:val="20"/>
                <w:szCs w:val="20"/>
              </w:rPr>
            </w:pPr>
          </w:p>
        </w:tc>
        <w:tc>
          <w:tcPr>
            <w:tcW w:w="1937" w:type="dxa"/>
            <w:tcBorders>
              <w:left w:val="single" w:sz="2" w:space="0" w:color="000000" w:themeColor="text1"/>
            </w:tcBorders>
            <w:hideMark/>
          </w:tcPr>
          <w:p w14:paraId="0FE33A15" w14:textId="77777777" w:rsidR="00FD3719" w:rsidRDefault="00FD3719" w:rsidP="00D96BEE">
            <w:pPr>
              <w:jc w:val="center"/>
              <w:rPr>
                <w:rFonts w:eastAsia="Times New Roman"/>
                <w:sz w:val="20"/>
                <w:szCs w:val="20"/>
              </w:rPr>
            </w:pPr>
          </w:p>
        </w:tc>
      </w:tr>
      <w:tr w:rsidR="000F7154" w14:paraId="50EF97BC" w14:textId="77777777" w:rsidTr="000F7154">
        <w:tc>
          <w:tcPr>
            <w:tcW w:w="4111" w:type="dxa"/>
            <w:tcBorders>
              <w:right w:val="single" w:sz="2" w:space="0" w:color="000000" w:themeColor="text1"/>
            </w:tcBorders>
            <w:hideMark/>
          </w:tcPr>
          <w:p w14:paraId="4DEC7DD4" w14:textId="77777777" w:rsidR="00FD3719" w:rsidRDefault="00FD3719">
            <w:pPr>
              <w:pStyle w:val="NormalWeb"/>
              <w:rPr>
                <w:sz w:val="24"/>
                <w:szCs w:val="24"/>
              </w:rPr>
            </w:pPr>
            <w:r>
              <w:t>First or second</w:t>
            </w:r>
          </w:p>
        </w:tc>
        <w:tc>
          <w:tcPr>
            <w:tcW w:w="1134" w:type="dxa"/>
            <w:tcBorders>
              <w:left w:val="single" w:sz="2" w:space="0" w:color="000000" w:themeColor="text1"/>
              <w:right w:val="single" w:sz="2" w:space="0" w:color="000000" w:themeColor="text1"/>
            </w:tcBorders>
            <w:hideMark/>
          </w:tcPr>
          <w:p w14:paraId="04A41C2A" w14:textId="77777777" w:rsidR="00FD3719" w:rsidRDefault="00FD3719" w:rsidP="00D96BEE">
            <w:pPr>
              <w:pStyle w:val="NormalWeb"/>
              <w:jc w:val="center"/>
            </w:pPr>
            <w:r>
              <w:t>60.8</w:t>
            </w:r>
          </w:p>
        </w:tc>
        <w:tc>
          <w:tcPr>
            <w:tcW w:w="1134" w:type="dxa"/>
            <w:tcBorders>
              <w:left w:val="single" w:sz="2" w:space="0" w:color="000000" w:themeColor="text1"/>
              <w:right w:val="single" w:sz="2" w:space="0" w:color="000000" w:themeColor="text1"/>
            </w:tcBorders>
            <w:hideMark/>
          </w:tcPr>
          <w:p w14:paraId="26D92B2F" w14:textId="77777777" w:rsidR="00FD3719" w:rsidRDefault="00FD3719" w:rsidP="00D96BEE">
            <w:pPr>
              <w:pStyle w:val="NormalWeb"/>
              <w:jc w:val="center"/>
            </w:pPr>
            <w:r>
              <w:t>49.4-71.1</w:t>
            </w:r>
          </w:p>
        </w:tc>
        <w:tc>
          <w:tcPr>
            <w:tcW w:w="1134" w:type="dxa"/>
            <w:tcBorders>
              <w:left w:val="single" w:sz="2" w:space="0" w:color="000000" w:themeColor="text1"/>
              <w:right w:val="single" w:sz="2" w:space="0" w:color="000000" w:themeColor="text1"/>
            </w:tcBorders>
            <w:hideMark/>
          </w:tcPr>
          <w:p w14:paraId="745A7F31" w14:textId="77777777" w:rsidR="00FD3719" w:rsidRDefault="00FD3719" w:rsidP="00D96BEE">
            <w:pPr>
              <w:pStyle w:val="NormalWeb"/>
              <w:jc w:val="center"/>
            </w:pPr>
            <w:r>
              <w:t>53.0</w:t>
            </w:r>
          </w:p>
        </w:tc>
        <w:tc>
          <w:tcPr>
            <w:tcW w:w="1134" w:type="dxa"/>
            <w:tcBorders>
              <w:left w:val="single" w:sz="2" w:space="0" w:color="000000" w:themeColor="text1"/>
              <w:right w:val="single" w:sz="2" w:space="0" w:color="000000" w:themeColor="text1"/>
            </w:tcBorders>
            <w:hideMark/>
          </w:tcPr>
          <w:p w14:paraId="4ECE61D4" w14:textId="77777777" w:rsidR="00FD3719" w:rsidRDefault="00FD3719" w:rsidP="00D96BEE">
            <w:pPr>
              <w:pStyle w:val="NormalWeb"/>
              <w:jc w:val="center"/>
            </w:pPr>
            <w:r>
              <w:t>42.4-63.4</w:t>
            </w:r>
          </w:p>
        </w:tc>
        <w:tc>
          <w:tcPr>
            <w:tcW w:w="1418" w:type="dxa"/>
            <w:tcBorders>
              <w:left w:val="single" w:sz="2" w:space="0" w:color="000000" w:themeColor="text1"/>
              <w:right w:val="single" w:sz="2" w:space="0" w:color="000000" w:themeColor="text1"/>
            </w:tcBorders>
            <w:hideMark/>
          </w:tcPr>
          <w:p w14:paraId="5E8BD290" w14:textId="77777777" w:rsidR="00FD3719" w:rsidRDefault="00FD3719" w:rsidP="00D96BEE">
            <w:pPr>
              <w:pStyle w:val="NormalWeb"/>
              <w:jc w:val="center"/>
            </w:pPr>
            <w:r>
              <w:t>88.2</w:t>
            </w:r>
          </w:p>
        </w:tc>
        <w:tc>
          <w:tcPr>
            <w:tcW w:w="1701" w:type="dxa"/>
            <w:tcBorders>
              <w:left w:val="single" w:sz="2" w:space="0" w:color="000000" w:themeColor="text1"/>
              <w:right w:val="single" w:sz="2" w:space="0" w:color="000000" w:themeColor="text1"/>
            </w:tcBorders>
            <w:hideMark/>
          </w:tcPr>
          <w:p w14:paraId="3519C245" w14:textId="77777777" w:rsidR="00FD3719" w:rsidRDefault="00FD3719" w:rsidP="00D96BEE">
            <w:pPr>
              <w:pStyle w:val="NormalWeb"/>
              <w:jc w:val="center"/>
            </w:pPr>
            <w:r>
              <w:t>76.6-94.5</w:t>
            </w:r>
          </w:p>
        </w:tc>
        <w:tc>
          <w:tcPr>
            <w:tcW w:w="1417" w:type="dxa"/>
            <w:tcBorders>
              <w:left w:val="single" w:sz="2" w:space="0" w:color="000000" w:themeColor="text1"/>
              <w:right w:val="single" w:sz="2" w:space="0" w:color="000000" w:themeColor="text1"/>
            </w:tcBorders>
            <w:hideMark/>
          </w:tcPr>
          <w:p w14:paraId="383E9062" w14:textId="77777777" w:rsidR="00FD3719" w:rsidRDefault="00FD3719" w:rsidP="00D96BEE">
            <w:pPr>
              <w:pStyle w:val="NormalWeb"/>
              <w:jc w:val="center"/>
            </w:pPr>
            <w:r>
              <w:t>89.8</w:t>
            </w:r>
          </w:p>
        </w:tc>
        <w:tc>
          <w:tcPr>
            <w:tcW w:w="1937" w:type="dxa"/>
            <w:tcBorders>
              <w:left w:val="single" w:sz="2" w:space="0" w:color="000000" w:themeColor="text1"/>
            </w:tcBorders>
            <w:hideMark/>
          </w:tcPr>
          <w:p w14:paraId="5335C5BC" w14:textId="77777777" w:rsidR="00FD3719" w:rsidRDefault="00FD3719" w:rsidP="00D96BEE">
            <w:pPr>
              <w:pStyle w:val="NormalWeb"/>
              <w:jc w:val="center"/>
            </w:pPr>
            <w:r>
              <w:t>78.2-95.6</w:t>
            </w:r>
          </w:p>
        </w:tc>
      </w:tr>
      <w:tr w:rsidR="00D96BEE" w14:paraId="76C4291C" w14:textId="77777777" w:rsidTr="000F7154">
        <w:trPr>
          <w:cnfStyle w:val="000000010000" w:firstRow="0" w:lastRow="0" w:firstColumn="0" w:lastColumn="0" w:oddVBand="0" w:evenVBand="0" w:oddHBand="0" w:evenHBand="1" w:firstRowFirstColumn="0" w:firstRowLastColumn="0" w:lastRowFirstColumn="0" w:lastRowLastColumn="0"/>
        </w:trPr>
        <w:tc>
          <w:tcPr>
            <w:tcW w:w="4111" w:type="dxa"/>
            <w:tcBorders>
              <w:right w:val="single" w:sz="2" w:space="0" w:color="000000" w:themeColor="text1"/>
            </w:tcBorders>
            <w:hideMark/>
          </w:tcPr>
          <w:p w14:paraId="129CEA5B" w14:textId="77777777" w:rsidR="00FD3719" w:rsidRDefault="00FD3719">
            <w:pPr>
              <w:pStyle w:val="NormalWeb"/>
            </w:pPr>
            <w:r>
              <w:t>Third</w:t>
            </w:r>
          </w:p>
        </w:tc>
        <w:tc>
          <w:tcPr>
            <w:tcW w:w="1134" w:type="dxa"/>
            <w:tcBorders>
              <w:left w:val="single" w:sz="2" w:space="0" w:color="000000" w:themeColor="text1"/>
              <w:right w:val="single" w:sz="2" w:space="0" w:color="000000" w:themeColor="text1"/>
            </w:tcBorders>
            <w:hideMark/>
          </w:tcPr>
          <w:p w14:paraId="28D75D7B" w14:textId="77777777" w:rsidR="00FD3719" w:rsidRDefault="00FD3719" w:rsidP="00D96BEE">
            <w:pPr>
              <w:pStyle w:val="NormalWeb"/>
              <w:jc w:val="center"/>
            </w:pPr>
            <w:r>
              <w:t>77.8</w:t>
            </w:r>
          </w:p>
        </w:tc>
        <w:tc>
          <w:tcPr>
            <w:tcW w:w="1134" w:type="dxa"/>
            <w:tcBorders>
              <w:left w:val="single" w:sz="2" w:space="0" w:color="000000" w:themeColor="text1"/>
              <w:right w:val="single" w:sz="2" w:space="0" w:color="000000" w:themeColor="text1"/>
            </w:tcBorders>
            <w:hideMark/>
          </w:tcPr>
          <w:p w14:paraId="692A08E7" w14:textId="77777777" w:rsidR="00FD3719" w:rsidRDefault="00FD3719" w:rsidP="00D96BEE">
            <w:pPr>
              <w:pStyle w:val="NormalWeb"/>
              <w:jc w:val="center"/>
            </w:pPr>
            <w:r>
              <w:t>59.2-89.4</w:t>
            </w:r>
          </w:p>
        </w:tc>
        <w:tc>
          <w:tcPr>
            <w:tcW w:w="1134" w:type="dxa"/>
            <w:tcBorders>
              <w:left w:val="single" w:sz="2" w:space="0" w:color="000000" w:themeColor="text1"/>
              <w:right w:val="single" w:sz="2" w:space="0" w:color="000000" w:themeColor="text1"/>
            </w:tcBorders>
            <w:hideMark/>
          </w:tcPr>
          <w:p w14:paraId="0CA4823A" w14:textId="77777777" w:rsidR="00FD3719" w:rsidRDefault="00FD3719" w:rsidP="00D96BEE">
            <w:pPr>
              <w:pStyle w:val="NormalWeb"/>
              <w:jc w:val="center"/>
            </w:pPr>
            <w:r>
              <w:t>53.0</w:t>
            </w:r>
          </w:p>
        </w:tc>
        <w:tc>
          <w:tcPr>
            <w:tcW w:w="1134" w:type="dxa"/>
            <w:tcBorders>
              <w:left w:val="single" w:sz="2" w:space="0" w:color="000000" w:themeColor="text1"/>
              <w:right w:val="single" w:sz="2" w:space="0" w:color="000000" w:themeColor="text1"/>
            </w:tcBorders>
            <w:hideMark/>
          </w:tcPr>
          <w:p w14:paraId="1E24ABA9" w14:textId="77777777" w:rsidR="00FD3719" w:rsidRDefault="00FD3719" w:rsidP="00D96BEE">
            <w:pPr>
              <w:pStyle w:val="NormalWeb"/>
              <w:jc w:val="center"/>
            </w:pPr>
            <w:r>
              <w:t>42.4-63.4</w:t>
            </w:r>
          </w:p>
        </w:tc>
        <w:tc>
          <w:tcPr>
            <w:tcW w:w="1418" w:type="dxa"/>
            <w:tcBorders>
              <w:left w:val="single" w:sz="2" w:space="0" w:color="000000" w:themeColor="text1"/>
              <w:right w:val="single" w:sz="2" w:space="0" w:color="000000" w:themeColor="text1"/>
            </w:tcBorders>
            <w:hideMark/>
          </w:tcPr>
          <w:p w14:paraId="7FDA3BE5" w14:textId="77777777" w:rsidR="00FD3719" w:rsidRDefault="00FD3719" w:rsidP="00D96BEE">
            <w:pPr>
              <w:pStyle w:val="NormalWeb"/>
              <w:jc w:val="center"/>
            </w:pPr>
            <w:r>
              <w:t>77.8</w:t>
            </w:r>
          </w:p>
        </w:tc>
        <w:tc>
          <w:tcPr>
            <w:tcW w:w="1701" w:type="dxa"/>
            <w:tcBorders>
              <w:left w:val="single" w:sz="2" w:space="0" w:color="000000" w:themeColor="text1"/>
              <w:right w:val="single" w:sz="2" w:space="0" w:color="000000" w:themeColor="text1"/>
            </w:tcBorders>
            <w:hideMark/>
          </w:tcPr>
          <w:p w14:paraId="7238C7A9" w14:textId="77777777" w:rsidR="00FD3719" w:rsidRDefault="00FD3719" w:rsidP="00D96BEE">
            <w:pPr>
              <w:pStyle w:val="NormalWeb"/>
              <w:jc w:val="center"/>
            </w:pPr>
            <w:r>
              <w:t>59.2-89.4</w:t>
            </w:r>
          </w:p>
        </w:tc>
        <w:tc>
          <w:tcPr>
            <w:tcW w:w="1417" w:type="dxa"/>
            <w:tcBorders>
              <w:left w:val="single" w:sz="2" w:space="0" w:color="000000" w:themeColor="text1"/>
              <w:right w:val="single" w:sz="2" w:space="0" w:color="000000" w:themeColor="text1"/>
            </w:tcBorders>
            <w:hideMark/>
          </w:tcPr>
          <w:p w14:paraId="075087D3" w14:textId="77777777" w:rsidR="00FD3719" w:rsidRDefault="00FD3719" w:rsidP="00D96BEE">
            <w:pPr>
              <w:pStyle w:val="NormalWeb"/>
              <w:jc w:val="center"/>
            </w:pPr>
            <w:r>
              <w:t>97.8</w:t>
            </w:r>
          </w:p>
        </w:tc>
        <w:tc>
          <w:tcPr>
            <w:tcW w:w="1937" w:type="dxa"/>
            <w:tcBorders>
              <w:left w:val="single" w:sz="2" w:space="0" w:color="000000" w:themeColor="text1"/>
            </w:tcBorders>
            <w:hideMark/>
          </w:tcPr>
          <w:p w14:paraId="37774CA5" w14:textId="77777777" w:rsidR="00FD3719" w:rsidRDefault="00FD3719" w:rsidP="00D96BEE">
            <w:pPr>
              <w:pStyle w:val="NormalWeb"/>
              <w:jc w:val="center"/>
            </w:pPr>
            <w:r>
              <w:t>88.4-99.6</w:t>
            </w:r>
          </w:p>
        </w:tc>
      </w:tr>
      <w:tr w:rsidR="000852D0" w:rsidRPr="000852D0" w14:paraId="1E050066" w14:textId="77777777" w:rsidTr="000852D0">
        <w:tc>
          <w:tcPr>
            <w:tcW w:w="4111" w:type="dxa"/>
            <w:tcBorders>
              <w:right w:val="single" w:sz="2" w:space="0" w:color="000000" w:themeColor="text1"/>
            </w:tcBorders>
            <w:shd w:val="clear" w:color="auto" w:fill="808080" w:themeFill="background1" w:themeFillShade="80"/>
            <w:hideMark/>
          </w:tcPr>
          <w:p w14:paraId="5E6A08D6" w14:textId="77777777" w:rsidR="00FD3719" w:rsidRPr="000852D0" w:rsidRDefault="00FD3719">
            <w:pPr>
              <w:pStyle w:val="NormalWeb"/>
              <w:rPr>
                <w:color w:val="FFFFFF" w:themeColor="background1"/>
              </w:rPr>
            </w:pPr>
            <w:r w:rsidRPr="000852D0">
              <w:rPr>
                <w:color w:val="FFFFFF" w:themeColor="background1"/>
              </w:rPr>
              <w:t>Pertussis vaccination</w:t>
            </w:r>
          </w:p>
        </w:tc>
        <w:tc>
          <w:tcPr>
            <w:tcW w:w="1134" w:type="dxa"/>
            <w:tcBorders>
              <w:left w:val="single" w:sz="2" w:space="0" w:color="000000" w:themeColor="text1"/>
              <w:right w:val="single" w:sz="2" w:space="0" w:color="000000" w:themeColor="text1"/>
            </w:tcBorders>
            <w:shd w:val="clear" w:color="auto" w:fill="808080" w:themeFill="background1" w:themeFillShade="80"/>
            <w:hideMark/>
          </w:tcPr>
          <w:p w14:paraId="24E1E8B7" w14:textId="77777777" w:rsidR="00FD3719" w:rsidRPr="000852D0" w:rsidRDefault="00FD3719" w:rsidP="00D96BEE">
            <w:pPr>
              <w:jc w:val="center"/>
              <w:rPr>
                <w:color w:val="FFFFFF" w:themeColor="background1"/>
              </w:rPr>
            </w:pPr>
          </w:p>
        </w:tc>
        <w:tc>
          <w:tcPr>
            <w:tcW w:w="1134" w:type="dxa"/>
            <w:tcBorders>
              <w:left w:val="single" w:sz="2" w:space="0" w:color="000000" w:themeColor="text1"/>
              <w:right w:val="single" w:sz="2" w:space="0" w:color="000000" w:themeColor="text1"/>
            </w:tcBorders>
            <w:shd w:val="clear" w:color="auto" w:fill="808080" w:themeFill="background1" w:themeFillShade="80"/>
            <w:hideMark/>
          </w:tcPr>
          <w:p w14:paraId="09A96856" w14:textId="77777777" w:rsidR="00FD3719" w:rsidRPr="000852D0" w:rsidRDefault="00FD3719" w:rsidP="00D96BEE">
            <w:pPr>
              <w:jc w:val="center"/>
              <w:rPr>
                <w:rFonts w:eastAsia="Times New Roman"/>
                <w:color w:val="FFFFFF" w:themeColor="background1"/>
                <w:sz w:val="20"/>
                <w:szCs w:val="20"/>
              </w:rPr>
            </w:pPr>
          </w:p>
        </w:tc>
        <w:tc>
          <w:tcPr>
            <w:tcW w:w="1134" w:type="dxa"/>
            <w:tcBorders>
              <w:left w:val="single" w:sz="2" w:space="0" w:color="000000" w:themeColor="text1"/>
              <w:right w:val="single" w:sz="2" w:space="0" w:color="000000" w:themeColor="text1"/>
            </w:tcBorders>
            <w:shd w:val="clear" w:color="auto" w:fill="808080" w:themeFill="background1" w:themeFillShade="80"/>
            <w:hideMark/>
          </w:tcPr>
          <w:p w14:paraId="43145307" w14:textId="77777777" w:rsidR="00FD3719" w:rsidRPr="000852D0" w:rsidRDefault="00FD3719" w:rsidP="00D96BEE">
            <w:pPr>
              <w:jc w:val="center"/>
              <w:rPr>
                <w:rFonts w:eastAsia="Times New Roman"/>
                <w:color w:val="FFFFFF" w:themeColor="background1"/>
                <w:sz w:val="20"/>
                <w:szCs w:val="20"/>
              </w:rPr>
            </w:pPr>
          </w:p>
        </w:tc>
        <w:tc>
          <w:tcPr>
            <w:tcW w:w="1134" w:type="dxa"/>
            <w:tcBorders>
              <w:left w:val="single" w:sz="2" w:space="0" w:color="000000" w:themeColor="text1"/>
              <w:right w:val="single" w:sz="2" w:space="0" w:color="000000" w:themeColor="text1"/>
            </w:tcBorders>
            <w:shd w:val="clear" w:color="auto" w:fill="808080" w:themeFill="background1" w:themeFillShade="80"/>
            <w:hideMark/>
          </w:tcPr>
          <w:p w14:paraId="7DC21EB0" w14:textId="77777777" w:rsidR="00FD3719" w:rsidRPr="000852D0" w:rsidRDefault="00FD3719" w:rsidP="00D96BEE">
            <w:pPr>
              <w:jc w:val="center"/>
              <w:rPr>
                <w:rFonts w:eastAsia="Times New Roman"/>
                <w:color w:val="FFFFFF" w:themeColor="background1"/>
                <w:sz w:val="20"/>
                <w:szCs w:val="20"/>
              </w:rPr>
            </w:pPr>
          </w:p>
        </w:tc>
        <w:tc>
          <w:tcPr>
            <w:tcW w:w="1418" w:type="dxa"/>
            <w:tcBorders>
              <w:left w:val="single" w:sz="2" w:space="0" w:color="000000" w:themeColor="text1"/>
              <w:right w:val="single" w:sz="2" w:space="0" w:color="000000" w:themeColor="text1"/>
            </w:tcBorders>
            <w:shd w:val="clear" w:color="auto" w:fill="808080" w:themeFill="background1" w:themeFillShade="80"/>
            <w:hideMark/>
          </w:tcPr>
          <w:p w14:paraId="1B203C67" w14:textId="77777777" w:rsidR="00FD3719" w:rsidRPr="000852D0" w:rsidRDefault="00FD3719" w:rsidP="00D96BEE">
            <w:pPr>
              <w:jc w:val="center"/>
              <w:rPr>
                <w:rFonts w:eastAsia="Times New Roman"/>
                <w:color w:val="FFFFFF" w:themeColor="background1"/>
                <w:sz w:val="20"/>
                <w:szCs w:val="20"/>
              </w:rPr>
            </w:pPr>
          </w:p>
        </w:tc>
        <w:tc>
          <w:tcPr>
            <w:tcW w:w="1701" w:type="dxa"/>
            <w:tcBorders>
              <w:left w:val="single" w:sz="2" w:space="0" w:color="000000" w:themeColor="text1"/>
              <w:right w:val="single" w:sz="2" w:space="0" w:color="000000" w:themeColor="text1"/>
            </w:tcBorders>
            <w:shd w:val="clear" w:color="auto" w:fill="808080" w:themeFill="background1" w:themeFillShade="80"/>
            <w:hideMark/>
          </w:tcPr>
          <w:p w14:paraId="3EB9F5A3" w14:textId="77777777" w:rsidR="00FD3719" w:rsidRPr="000852D0" w:rsidRDefault="00FD3719" w:rsidP="00D96BEE">
            <w:pPr>
              <w:jc w:val="center"/>
              <w:rPr>
                <w:rFonts w:eastAsia="Times New Roman"/>
                <w:color w:val="FFFFFF" w:themeColor="background1"/>
                <w:sz w:val="20"/>
                <w:szCs w:val="20"/>
              </w:rPr>
            </w:pPr>
          </w:p>
        </w:tc>
        <w:tc>
          <w:tcPr>
            <w:tcW w:w="1417" w:type="dxa"/>
            <w:tcBorders>
              <w:left w:val="single" w:sz="2" w:space="0" w:color="000000" w:themeColor="text1"/>
              <w:right w:val="single" w:sz="2" w:space="0" w:color="000000" w:themeColor="text1"/>
            </w:tcBorders>
            <w:shd w:val="clear" w:color="auto" w:fill="808080" w:themeFill="background1" w:themeFillShade="80"/>
            <w:hideMark/>
          </w:tcPr>
          <w:p w14:paraId="7F114D38" w14:textId="77777777" w:rsidR="00FD3719" w:rsidRPr="000852D0" w:rsidRDefault="00FD3719" w:rsidP="00D96BEE">
            <w:pPr>
              <w:jc w:val="center"/>
              <w:rPr>
                <w:rFonts w:eastAsia="Times New Roman"/>
                <w:color w:val="FFFFFF" w:themeColor="background1"/>
                <w:sz w:val="20"/>
                <w:szCs w:val="20"/>
              </w:rPr>
            </w:pPr>
          </w:p>
        </w:tc>
        <w:tc>
          <w:tcPr>
            <w:tcW w:w="1937" w:type="dxa"/>
            <w:tcBorders>
              <w:left w:val="single" w:sz="2" w:space="0" w:color="000000" w:themeColor="text1"/>
            </w:tcBorders>
            <w:shd w:val="clear" w:color="auto" w:fill="808080" w:themeFill="background1" w:themeFillShade="80"/>
            <w:hideMark/>
          </w:tcPr>
          <w:p w14:paraId="55CC69D5" w14:textId="77777777" w:rsidR="00FD3719" w:rsidRPr="000852D0" w:rsidRDefault="00FD3719" w:rsidP="00D96BEE">
            <w:pPr>
              <w:jc w:val="center"/>
              <w:rPr>
                <w:rFonts w:eastAsia="Times New Roman"/>
                <w:color w:val="FFFFFF" w:themeColor="background1"/>
                <w:sz w:val="20"/>
                <w:szCs w:val="20"/>
              </w:rPr>
            </w:pPr>
          </w:p>
        </w:tc>
      </w:tr>
      <w:tr w:rsidR="000852D0" w14:paraId="43996DA0" w14:textId="77777777" w:rsidTr="000852D0">
        <w:trPr>
          <w:cnfStyle w:val="000000010000" w:firstRow="0" w:lastRow="0" w:firstColumn="0" w:lastColumn="0" w:oddVBand="0" w:evenVBand="0" w:oddHBand="0" w:evenHBand="1" w:firstRowFirstColumn="0" w:firstRowLastColumn="0" w:lastRowFirstColumn="0" w:lastRowLastColumn="0"/>
        </w:trPr>
        <w:tc>
          <w:tcPr>
            <w:tcW w:w="4111" w:type="dxa"/>
            <w:tcBorders>
              <w:right w:val="single" w:sz="2" w:space="0" w:color="000000" w:themeColor="text1"/>
            </w:tcBorders>
            <w:shd w:val="clear" w:color="auto" w:fill="FDE9D9" w:themeFill="accent6" w:themeFillTint="33"/>
            <w:hideMark/>
          </w:tcPr>
          <w:p w14:paraId="40ED11BC" w14:textId="77777777" w:rsidR="00FD3719" w:rsidRDefault="00FD3719">
            <w:pPr>
              <w:pStyle w:val="NormalWeb"/>
              <w:rPr>
                <w:sz w:val="24"/>
                <w:szCs w:val="24"/>
              </w:rPr>
            </w:pPr>
            <w:r>
              <w:t>Overall</w:t>
            </w:r>
          </w:p>
        </w:tc>
        <w:tc>
          <w:tcPr>
            <w:tcW w:w="1134" w:type="dxa"/>
            <w:tcBorders>
              <w:left w:val="single" w:sz="2" w:space="0" w:color="000000" w:themeColor="text1"/>
              <w:right w:val="single" w:sz="2" w:space="0" w:color="000000" w:themeColor="text1"/>
            </w:tcBorders>
            <w:shd w:val="clear" w:color="auto" w:fill="FDE9D9" w:themeFill="accent6" w:themeFillTint="33"/>
            <w:hideMark/>
          </w:tcPr>
          <w:p w14:paraId="61CE3A7A" w14:textId="77777777" w:rsidR="00FD3719" w:rsidRDefault="00FD3719" w:rsidP="00D96BEE">
            <w:pPr>
              <w:pStyle w:val="NormalWeb"/>
              <w:jc w:val="center"/>
            </w:pPr>
            <w:r>
              <w:t>62.5</w:t>
            </w:r>
          </w:p>
        </w:tc>
        <w:tc>
          <w:tcPr>
            <w:tcW w:w="1134" w:type="dxa"/>
            <w:tcBorders>
              <w:left w:val="single" w:sz="2" w:space="0" w:color="000000" w:themeColor="text1"/>
              <w:right w:val="single" w:sz="2" w:space="0" w:color="000000" w:themeColor="text1"/>
            </w:tcBorders>
            <w:shd w:val="clear" w:color="auto" w:fill="FDE9D9" w:themeFill="accent6" w:themeFillTint="33"/>
            <w:hideMark/>
          </w:tcPr>
          <w:p w14:paraId="3FA64AB7" w14:textId="77777777" w:rsidR="00FD3719" w:rsidRDefault="00FD3719" w:rsidP="00D96BEE">
            <w:pPr>
              <w:pStyle w:val="NormalWeb"/>
              <w:jc w:val="center"/>
            </w:pPr>
            <w:r>
              <w:t>53.3-70.9</w:t>
            </w:r>
          </w:p>
        </w:tc>
        <w:tc>
          <w:tcPr>
            <w:tcW w:w="1134" w:type="dxa"/>
            <w:tcBorders>
              <w:left w:val="single" w:sz="2" w:space="0" w:color="000000" w:themeColor="text1"/>
              <w:right w:val="single" w:sz="2" w:space="0" w:color="000000" w:themeColor="text1"/>
            </w:tcBorders>
            <w:shd w:val="clear" w:color="auto" w:fill="FDE9D9" w:themeFill="accent6" w:themeFillTint="33"/>
            <w:hideMark/>
          </w:tcPr>
          <w:p w14:paraId="698D13A3" w14:textId="77777777" w:rsidR="00FD3719" w:rsidRDefault="00FD3719" w:rsidP="00D96BEE">
            <w:pPr>
              <w:pStyle w:val="NormalWeb"/>
              <w:jc w:val="center"/>
            </w:pPr>
            <w:r>
              <w:t>40.4</w:t>
            </w:r>
          </w:p>
        </w:tc>
        <w:tc>
          <w:tcPr>
            <w:tcW w:w="1134" w:type="dxa"/>
            <w:tcBorders>
              <w:left w:val="single" w:sz="2" w:space="0" w:color="000000" w:themeColor="text1"/>
              <w:right w:val="single" w:sz="2" w:space="0" w:color="000000" w:themeColor="text1"/>
            </w:tcBorders>
            <w:shd w:val="clear" w:color="auto" w:fill="FDE9D9" w:themeFill="accent6" w:themeFillTint="33"/>
            <w:hideMark/>
          </w:tcPr>
          <w:p w14:paraId="64374727" w14:textId="77777777" w:rsidR="00FD3719" w:rsidRDefault="00FD3719" w:rsidP="00D96BEE">
            <w:pPr>
              <w:pStyle w:val="NormalWeb"/>
              <w:jc w:val="center"/>
            </w:pPr>
            <w:r>
              <w:t>27.6-54.7</w:t>
            </w:r>
          </w:p>
        </w:tc>
        <w:tc>
          <w:tcPr>
            <w:tcW w:w="1418" w:type="dxa"/>
            <w:tcBorders>
              <w:left w:val="single" w:sz="2" w:space="0" w:color="000000" w:themeColor="text1"/>
              <w:right w:val="single" w:sz="2" w:space="0" w:color="000000" w:themeColor="text1"/>
            </w:tcBorders>
            <w:shd w:val="clear" w:color="auto" w:fill="FDE9D9" w:themeFill="accent6" w:themeFillTint="33"/>
            <w:hideMark/>
          </w:tcPr>
          <w:p w14:paraId="37B1956F" w14:textId="77777777" w:rsidR="00FD3719" w:rsidRDefault="00FD3719" w:rsidP="00D96BEE">
            <w:pPr>
              <w:pStyle w:val="NormalWeb"/>
              <w:jc w:val="center"/>
            </w:pPr>
            <w:r>
              <w:t>90.9</w:t>
            </w:r>
          </w:p>
        </w:tc>
        <w:tc>
          <w:tcPr>
            <w:tcW w:w="1701" w:type="dxa"/>
            <w:tcBorders>
              <w:left w:val="single" w:sz="2" w:space="0" w:color="000000" w:themeColor="text1"/>
              <w:right w:val="single" w:sz="2" w:space="0" w:color="000000" w:themeColor="text1"/>
            </w:tcBorders>
            <w:shd w:val="clear" w:color="auto" w:fill="FDE9D9" w:themeFill="accent6" w:themeFillTint="33"/>
            <w:hideMark/>
          </w:tcPr>
          <w:p w14:paraId="32BE9D3D" w14:textId="77777777" w:rsidR="00FD3719" w:rsidRDefault="00FD3719" w:rsidP="00D96BEE">
            <w:pPr>
              <w:pStyle w:val="NormalWeb"/>
              <w:jc w:val="center"/>
            </w:pPr>
            <w:r>
              <w:t>82.4-95.5</w:t>
            </w:r>
          </w:p>
        </w:tc>
        <w:tc>
          <w:tcPr>
            <w:tcW w:w="1417" w:type="dxa"/>
            <w:tcBorders>
              <w:left w:val="single" w:sz="2" w:space="0" w:color="000000" w:themeColor="text1"/>
              <w:right w:val="single" w:sz="2" w:space="0" w:color="000000" w:themeColor="text1"/>
            </w:tcBorders>
            <w:shd w:val="clear" w:color="auto" w:fill="FDE9D9" w:themeFill="accent6" w:themeFillTint="33"/>
            <w:hideMark/>
          </w:tcPr>
          <w:p w14:paraId="55A305CD" w14:textId="77777777" w:rsidR="00FD3719" w:rsidRDefault="00FD3719" w:rsidP="00D96BEE">
            <w:pPr>
              <w:pStyle w:val="NormalWeb"/>
              <w:jc w:val="center"/>
            </w:pPr>
            <w:r>
              <w:t>82.6</w:t>
            </w:r>
          </w:p>
        </w:tc>
        <w:tc>
          <w:tcPr>
            <w:tcW w:w="1937" w:type="dxa"/>
            <w:tcBorders>
              <w:left w:val="single" w:sz="2" w:space="0" w:color="000000" w:themeColor="text1"/>
            </w:tcBorders>
            <w:shd w:val="clear" w:color="auto" w:fill="FDE9D9" w:themeFill="accent6" w:themeFillTint="33"/>
            <w:hideMark/>
          </w:tcPr>
          <w:p w14:paraId="6A225EBD" w14:textId="77777777" w:rsidR="00FD3719" w:rsidRDefault="00FD3719" w:rsidP="00D96BEE">
            <w:pPr>
              <w:pStyle w:val="NormalWeb"/>
              <w:jc w:val="center"/>
            </w:pPr>
            <w:r>
              <w:t>62.9-93.0</w:t>
            </w:r>
          </w:p>
        </w:tc>
      </w:tr>
      <w:tr w:rsidR="000F7154" w14:paraId="5F6E520E" w14:textId="77777777" w:rsidTr="000F7154">
        <w:tc>
          <w:tcPr>
            <w:tcW w:w="4111" w:type="dxa"/>
            <w:tcBorders>
              <w:right w:val="single" w:sz="2" w:space="0" w:color="000000" w:themeColor="text1"/>
            </w:tcBorders>
            <w:hideMark/>
          </w:tcPr>
          <w:p w14:paraId="700F5B5A" w14:textId="77777777" w:rsidR="00FD3719" w:rsidRDefault="00FD3719">
            <w:pPr>
              <w:pStyle w:val="NormalWeb"/>
            </w:pPr>
            <w:r>
              <w:t>By antenatal provider</w:t>
            </w:r>
            <w:r>
              <w:rPr>
                <w:vertAlign w:val="superscript"/>
              </w:rPr>
              <w:t>†</w:t>
            </w:r>
          </w:p>
        </w:tc>
        <w:tc>
          <w:tcPr>
            <w:tcW w:w="1134" w:type="dxa"/>
            <w:tcBorders>
              <w:left w:val="single" w:sz="2" w:space="0" w:color="000000" w:themeColor="text1"/>
              <w:right w:val="single" w:sz="2" w:space="0" w:color="000000" w:themeColor="text1"/>
            </w:tcBorders>
            <w:hideMark/>
          </w:tcPr>
          <w:p w14:paraId="18308FCC" w14:textId="77777777" w:rsidR="00FD3719" w:rsidRDefault="00FD3719" w:rsidP="00D96BEE">
            <w:pPr>
              <w:jc w:val="center"/>
            </w:pPr>
          </w:p>
        </w:tc>
        <w:tc>
          <w:tcPr>
            <w:tcW w:w="1134" w:type="dxa"/>
            <w:tcBorders>
              <w:left w:val="single" w:sz="2" w:space="0" w:color="000000" w:themeColor="text1"/>
              <w:right w:val="single" w:sz="2" w:space="0" w:color="000000" w:themeColor="text1"/>
            </w:tcBorders>
            <w:hideMark/>
          </w:tcPr>
          <w:p w14:paraId="1A094194" w14:textId="77777777" w:rsidR="00FD3719" w:rsidRDefault="00FD3719" w:rsidP="00D96BEE">
            <w:pPr>
              <w:jc w:val="center"/>
              <w:rPr>
                <w:rFonts w:eastAsia="Times New Roman"/>
                <w:sz w:val="20"/>
                <w:szCs w:val="20"/>
              </w:rPr>
            </w:pPr>
          </w:p>
        </w:tc>
        <w:tc>
          <w:tcPr>
            <w:tcW w:w="1134" w:type="dxa"/>
            <w:tcBorders>
              <w:left w:val="single" w:sz="2" w:space="0" w:color="000000" w:themeColor="text1"/>
              <w:right w:val="single" w:sz="2" w:space="0" w:color="000000" w:themeColor="text1"/>
            </w:tcBorders>
            <w:hideMark/>
          </w:tcPr>
          <w:p w14:paraId="702594A4" w14:textId="77777777" w:rsidR="00FD3719" w:rsidRDefault="00FD3719" w:rsidP="00D96BEE">
            <w:pPr>
              <w:jc w:val="center"/>
              <w:rPr>
                <w:rFonts w:eastAsia="Times New Roman"/>
                <w:sz w:val="20"/>
                <w:szCs w:val="20"/>
              </w:rPr>
            </w:pPr>
          </w:p>
        </w:tc>
        <w:tc>
          <w:tcPr>
            <w:tcW w:w="1134" w:type="dxa"/>
            <w:tcBorders>
              <w:left w:val="single" w:sz="2" w:space="0" w:color="000000" w:themeColor="text1"/>
              <w:right w:val="single" w:sz="2" w:space="0" w:color="000000" w:themeColor="text1"/>
            </w:tcBorders>
            <w:hideMark/>
          </w:tcPr>
          <w:p w14:paraId="6CC45B86" w14:textId="77777777" w:rsidR="00FD3719" w:rsidRDefault="00FD3719" w:rsidP="00D96BEE">
            <w:pPr>
              <w:jc w:val="center"/>
              <w:rPr>
                <w:rFonts w:eastAsia="Times New Roman"/>
                <w:sz w:val="20"/>
                <w:szCs w:val="20"/>
              </w:rPr>
            </w:pPr>
          </w:p>
        </w:tc>
        <w:tc>
          <w:tcPr>
            <w:tcW w:w="1418" w:type="dxa"/>
            <w:tcBorders>
              <w:left w:val="single" w:sz="2" w:space="0" w:color="000000" w:themeColor="text1"/>
              <w:right w:val="single" w:sz="2" w:space="0" w:color="000000" w:themeColor="text1"/>
            </w:tcBorders>
            <w:hideMark/>
          </w:tcPr>
          <w:p w14:paraId="43F81EF0" w14:textId="77777777" w:rsidR="00FD3719" w:rsidRDefault="00FD3719" w:rsidP="00D96BEE">
            <w:pPr>
              <w:jc w:val="center"/>
              <w:rPr>
                <w:rFonts w:eastAsia="Times New Roman"/>
                <w:sz w:val="20"/>
                <w:szCs w:val="20"/>
              </w:rPr>
            </w:pPr>
          </w:p>
        </w:tc>
        <w:tc>
          <w:tcPr>
            <w:tcW w:w="1701" w:type="dxa"/>
            <w:tcBorders>
              <w:left w:val="single" w:sz="2" w:space="0" w:color="000000" w:themeColor="text1"/>
              <w:right w:val="single" w:sz="2" w:space="0" w:color="000000" w:themeColor="text1"/>
            </w:tcBorders>
            <w:hideMark/>
          </w:tcPr>
          <w:p w14:paraId="20C7AF63" w14:textId="77777777" w:rsidR="00FD3719" w:rsidRDefault="00FD3719" w:rsidP="00D96BEE">
            <w:pPr>
              <w:jc w:val="center"/>
              <w:rPr>
                <w:rFonts w:eastAsia="Times New Roman"/>
                <w:sz w:val="20"/>
                <w:szCs w:val="20"/>
              </w:rPr>
            </w:pPr>
          </w:p>
        </w:tc>
        <w:tc>
          <w:tcPr>
            <w:tcW w:w="1417" w:type="dxa"/>
            <w:tcBorders>
              <w:left w:val="single" w:sz="2" w:space="0" w:color="000000" w:themeColor="text1"/>
              <w:right w:val="single" w:sz="2" w:space="0" w:color="000000" w:themeColor="text1"/>
            </w:tcBorders>
            <w:hideMark/>
          </w:tcPr>
          <w:p w14:paraId="27A02668" w14:textId="77777777" w:rsidR="00FD3719" w:rsidRDefault="00FD3719" w:rsidP="00D96BEE">
            <w:pPr>
              <w:jc w:val="center"/>
              <w:rPr>
                <w:rFonts w:eastAsia="Times New Roman"/>
                <w:sz w:val="20"/>
                <w:szCs w:val="20"/>
              </w:rPr>
            </w:pPr>
          </w:p>
        </w:tc>
        <w:tc>
          <w:tcPr>
            <w:tcW w:w="1937" w:type="dxa"/>
            <w:tcBorders>
              <w:left w:val="single" w:sz="2" w:space="0" w:color="000000" w:themeColor="text1"/>
            </w:tcBorders>
            <w:hideMark/>
          </w:tcPr>
          <w:p w14:paraId="45EE3B86" w14:textId="77777777" w:rsidR="00FD3719" w:rsidRDefault="00FD3719" w:rsidP="00D96BEE">
            <w:pPr>
              <w:jc w:val="center"/>
              <w:rPr>
                <w:rFonts w:eastAsia="Times New Roman"/>
                <w:sz w:val="20"/>
                <w:szCs w:val="20"/>
              </w:rPr>
            </w:pPr>
          </w:p>
        </w:tc>
      </w:tr>
      <w:tr w:rsidR="00D96BEE" w14:paraId="6FFA7330" w14:textId="77777777" w:rsidTr="000F7154">
        <w:trPr>
          <w:cnfStyle w:val="000000010000" w:firstRow="0" w:lastRow="0" w:firstColumn="0" w:lastColumn="0" w:oddVBand="0" w:evenVBand="0" w:oddHBand="0" w:evenHBand="1" w:firstRowFirstColumn="0" w:firstRowLastColumn="0" w:lastRowFirstColumn="0" w:lastRowLastColumn="0"/>
        </w:trPr>
        <w:tc>
          <w:tcPr>
            <w:tcW w:w="4111" w:type="dxa"/>
            <w:tcBorders>
              <w:right w:val="single" w:sz="2" w:space="0" w:color="000000" w:themeColor="text1"/>
            </w:tcBorders>
            <w:hideMark/>
          </w:tcPr>
          <w:p w14:paraId="264EBCC7" w14:textId="77777777" w:rsidR="00FD3719" w:rsidRDefault="00FD3719">
            <w:pPr>
              <w:pStyle w:val="NormalWeb"/>
              <w:rPr>
                <w:sz w:val="24"/>
                <w:szCs w:val="24"/>
              </w:rPr>
            </w:pPr>
            <w:r>
              <w:t>Public hospital clinic</w:t>
            </w:r>
          </w:p>
        </w:tc>
        <w:tc>
          <w:tcPr>
            <w:tcW w:w="1134" w:type="dxa"/>
            <w:tcBorders>
              <w:left w:val="single" w:sz="2" w:space="0" w:color="000000" w:themeColor="text1"/>
              <w:right w:val="single" w:sz="2" w:space="0" w:color="000000" w:themeColor="text1"/>
            </w:tcBorders>
            <w:hideMark/>
          </w:tcPr>
          <w:p w14:paraId="35ACE207" w14:textId="77777777" w:rsidR="00FD3719" w:rsidRDefault="00FD3719" w:rsidP="00D96BEE">
            <w:pPr>
              <w:pStyle w:val="NormalWeb"/>
              <w:jc w:val="center"/>
            </w:pPr>
            <w:r>
              <w:t>75.3</w:t>
            </w:r>
          </w:p>
        </w:tc>
        <w:tc>
          <w:tcPr>
            <w:tcW w:w="1134" w:type="dxa"/>
            <w:tcBorders>
              <w:left w:val="single" w:sz="2" w:space="0" w:color="000000" w:themeColor="text1"/>
              <w:right w:val="single" w:sz="2" w:space="0" w:color="000000" w:themeColor="text1"/>
            </w:tcBorders>
            <w:hideMark/>
          </w:tcPr>
          <w:p w14:paraId="4468082D" w14:textId="77777777" w:rsidR="00FD3719" w:rsidRDefault="00FD3719" w:rsidP="00D96BEE">
            <w:pPr>
              <w:pStyle w:val="NormalWeb"/>
              <w:jc w:val="center"/>
            </w:pPr>
            <w:r>
              <w:t>64.4-83.8</w:t>
            </w:r>
          </w:p>
        </w:tc>
        <w:tc>
          <w:tcPr>
            <w:tcW w:w="1134" w:type="dxa"/>
            <w:tcBorders>
              <w:left w:val="single" w:sz="2" w:space="0" w:color="000000" w:themeColor="text1"/>
              <w:right w:val="single" w:sz="2" w:space="0" w:color="000000" w:themeColor="text1"/>
            </w:tcBorders>
            <w:hideMark/>
          </w:tcPr>
          <w:p w14:paraId="660E73D2" w14:textId="77777777" w:rsidR="00FD3719" w:rsidRDefault="00FD3719" w:rsidP="00D96BEE">
            <w:pPr>
              <w:pStyle w:val="NormalWeb"/>
              <w:jc w:val="center"/>
            </w:pPr>
            <w:r>
              <w:t>42.1</w:t>
            </w:r>
          </w:p>
        </w:tc>
        <w:tc>
          <w:tcPr>
            <w:tcW w:w="1134" w:type="dxa"/>
            <w:tcBorders>
              <w:left w:val="single" w:sz="2" w:space="0" w:color="000000" w:themeColor="text1"/>
              <w:right w:val="single" w:sz="2" w:space="0" w:color="000000" w:themeColor="text1"/>
            </w:tcBorders>
            <w:hideMark/>
          </w:tcPr>
          <w:p w14:paraId="537E3872" w14:textId="77777777" w:rsidR="00FD3719" w:rsidRDefault="00FD3719" w:rsidP="00D96BEE">
            <w:pPr>
              <w:pStyle w:val="NormalWeb"/>
              <w:jc w:val="center"/>
            </w:pPr>
            <w:r>
              <w:t>27.9-57.8</w:t>
            </w:r>
          </w:p>
        </w:tc>
        <w:tc>
          <w:tcPr>
            <w:tcW w:w="1418" w:type="dxa"/>
            <w:tcBorders>
              <w:left w:val="single" w:sz="2" w:space="0" w:color="000000" w:themeColor="text1"/>
              <w:right w:val="single" w:sz="2" w:space="0" w:color="000000" w:themeColor="text1"/>
            </w:tcBorders>
            <w:hideMark/>
          </w:tcPr>
          <w:p w14:paraId="2C48629A" w14:textId="77777777" w:rsidR="00FD3719" w:rsidRDefault="00FD3719" w:rsidP="00D96BEE">
            <w:pPr>
              <w:pStyle w:val="NormalWeb"/>
              <w:jc w:val="center"/>
            </w:pPr>
            <w:r>
              <w:t>90.2</w:t>
            </w:r>
          </w:p>
        </w:tc>
        <w:tc>
          <w:tcPr>
            <w:tcW w:w="1701" w:type="dxa"/>
            <w:tcBorders>
              <w:left w:val="single" w:sz="2" w:space="0" w:color="000000" w:themeColor="text1"/>
              <w:right w:val="single" w:sz="2" w:space="0" w:color="000000" w:themeColor="text1"/>
            </w:tcBorders>
            <w:hideMark/>
          </w:tcPr>
          <w:p w14:paraId="6FFB8B14" w14:textId="77777777" w:rsidR="00FD3719" w:rsidRDefault="00FD3719" w:rsidP="00D96BEE">
            <w:pPr>
              <w:pStyle w:val="NormalWeb"/>
              <w:jc w:val="center"/>
            </w:pPr>
            <w:r>
              <w:t>80.2-95.4</w:t>
            </w:r>
          </w:p>
        </w:tc>
        <w:tc>
          <w:tcPr>
            <w:tcW w:w="1417" w:type="dxa"/>
            <w:tcBorders>
              <w:left w:val="single" w:sz="2" w:space="0" w:color="000000" w:themeColor="text1"/>
              <w:right w:val="single" w:sz="2" w:space="0" w:color="000000" w:themeColor="text1"/>
            </w:tcBorders>
            <w:hideMark/>
          </w:tcPr>
          <w:p w14:paraId="20137601" w14:textId="77777777" w:rsidR="00FD3719" w:rsidRDefault="00FD3719" w:rsidP="00D96BEE">
            <w:pPr>
              <w:pStyle w:val="NormalWeb"/>
              <w:jc w:val="center"/>
            </w:pPr>
            <w:r>
              <w:t>88.9</w:t>
            </w:r>
          </w:p>
        </w:tc>
        <w:tc>
          <w:tcPr>
            <w:tcW w:w="1937" w:type="dxa"/>
            <w:tcBorders>
              <w:left w:val="single" w:sz="2" w:space="0" w:color="000000" w:themeColor="text1"/>
            </w:tcBorders>
            <w:hideMark/>
          </w:tcPr>
          <w:p w14:paraId="25A2C208" w14:textId="77777777" w:rsidR="00FD3719" w:rsidRDefault="00FD3719" w:rsidP="00D96BEE">
            <w:pPr>
              <w:pStyle w:val="NormalWeb"/>
              <w:jc w:val="center"/>
            </w:pPr>
            <w:r>
              <w:t>67.2-96.9</w:t>
            </w:r>
          </w:p>
        </w:tc>
      </w:tr>
      <w:tr w:rsidR="000F7154" w14:paraId="7D0D1A2E" w14:textId="77777777" w:rsidTr="000F7154">
        <w:tc>
          <w:tcPr>
            <w:tcW w:w="4111" w:type="dxa"/>
            <w:tcBorders>
              <w:right w:val="single" w:sz="2" w:space="0" w:color="000000" w:themeColor="text1"/>
            </w:tcBorders>
            <w:hideMark/>
          </w:tcPr>
          <w:p w14:paraId="7621E0CF" w14:textId="77777777" w:rsidR="00FD3719" w:rsidRDefault="00FD3719">
            <w:pPr>
              <w:pStyle w:val="NormalWeb"/>
            </w:pPr>
            <w:r>
              <w:t>Private obstetrician</w:t>
            </w:r>
          </w:p>
        </w:tc>
        <w:tc>
          <w:tcPr>
            <w:tcW w:w="1134" w:type="dxa"/>
            <w:tcBorders>
              <w:left w:val="single" w:sz="2" w:space="0" w:color="000000" w:themeColor="text1"/>
              <w:right w:val="single" w:sz="2" w:space="0" w:color="000000" w:themeColor="text1"/>
            </w:tcBorders>
            <w:hideMark/>
          </w:tcPr>
          <w:p w14:paraId="0CBA6674" w14:textId="77777777" w:rsidR="00FD3719" w:rsidRDefault="00FD3719" w:rsidP="00D96BEE">
            <w:pPr>
              <w:pStyle w:val="NormalWeb"/>
              <w:jc w:val="center"/>
            </w:pPr>
            <w:r>
              <w:t>37.8</w:t>
            </w:r>
          </w:p>
        </w:tc>
        <w:tc>
          <w:tcPr>
            <w:tcW w:w="1134" w:type="dxa"/>
            <w:tcBorders>
              <w:left w:val="single" w:sz="2" w:space="0" w:color="000000" w:themeColor="text1"/>
              <w:right w:val="single" w:sz="2" w:space="0" w:color="000000" w:themeColor="text1"/>
            </w:tcBorders>
            <w:hideMark/>
          </w:tcPr>
          <w:p w14:paraId="65F9305A" w14:textId="77777777" w:rsidR="00FD3719" w:rsidRDefault="00FD3719" w:rsidP="00D96BEE">
            <w:pPr>
              <w:pStyle w:val="NormalWeb"/>
              <w:jc w:val="center"/>
            </w:pPr>
            <w:r>
              <w:t>24.1-53.9</w:t>
            </w:r>
          </w:p>
        </w:tc>
        <w:tc>
          <w:tcPr>
            <w:tcW w:w="1134" w:type="dxa"/>
            <w:tcBorders>
              <w:left w:val="single" w:sz="2" w:space="0" w:color="000000" w:themeColor="text1"/>
              <w:right w:val="single" w:sz="2" w:space="0" w:color="000000" w:themeColor="text1"/>
            </w:tcBorders>
            <w:hideMark/>
          </w:tcPr>
          <w:p w14:paraId="23C0E016" w14:textId="77777777" w:rsidR="00FD3719" w:rsidRDefault="00FD3719" w:rsidP="00D96BEE">
            <w:pPr>
              <w:pStyle w:val="NormalWeb"/>
              <w:jc w:val="center"/>
            </w:pPr>
            <w:r>
              <w:t>28.6</w:t>
            </w:r>
          </w:p>
        </w:tc>
        <w:tc>
          <w:tcPr>
            <w:tcW w:w="1134" w:type="dxa"/>
            <w:tcBorders>
              <w:left w:val="single" w:sz="2" w:space="0" w:color="000000" w:themeColor="text1"/>
              <w:right w:val="single" w:sz="2" w:space="0" w:color="000000" w:themeColor="text1"/>
            </w:tcBorders>
            <w:hideMark/>
          </w:tcPr>
          <w:p w14:paraId="39617B58" w14:textId="77777777" w:rsidR="00FD3719" w:rsidRDefault="00FD3719" w:rsidP="00D96BEE">
            <w:pPr>
              <w:pStyle w:val="NormalWeb"/>
              <w:jc w:val="center"/>
            </w:pPr>
            <w:r>
              <w:t>8.2-64.1</w:t>
            </w:r>
          </w:p>
        </w:tc>
        <w:tc>
          <w:tcPr>
            <w:tcW w:w="1418" w:type="dxa"/>
            <w:tcBorders>
              <w:left w:val="single" w:sz="2" w:space="0" w:color="000000" w:themeColor="text1"/>
              <w:right w:val="single" w:sz="2" w:space="0" w:color="000000" w:themeColor="text1"/>
            </w:tcBorders>
            <w:hideMark/>
          </w:tcPr>
          <w:p w14:paraId="6BC5A027" w14:textId="77777777" w:rsidR="00FD3719" w:rsidRDefault="00FD3719" w:rsidP="00D96BEE">
            <w:pPr>
              <w:pStyle w:val="NormalWeb"/>
              <w:jc w:val="center"/>
            </w:pPr>
            <w:r>
              <w:t>93.3</w:t>
            </w:r>
          </w:p>
        </w:tc>
        <w:tc>
          <w:tcPr>
            <w:tcW w:w="1701" w:type="dxa"/>
            <w:tcBorders>
              <w:left w:val="single" w:sz="2" w:space="0" w:color="000000" w:themeColor="text1"/>
              <w:right w:val="single" w:sz="2" w:space="0" w:color="000000" w:themeColor="text1"/>
            </w:tcBorders>
            <w:hideMark/>
          </w:tcPr>
          <w:p w14:paraId="179DF96C" w14:textId="77777777" w:rsidR="00FD3719" w:rsidRDefault="00FD3719" w:rsidP="00D96BEE">
            <w:pPr>
              <w:pStyle w:val="NormalWeb"/>
              <w:jc w:val="center"/>
            </w:pPr>
            <w:r>
              <w:t>70.2-98.8</w:t>
            </w:r>
          </w:p>
        </w:tc>
        <w:tc>
          <w:tcPr>
            <w:tcW w:w="1417" w:type="dxa"/>
            <w:tcBorders>
              <w:left w:val="single" w:sz="2" w:space="0" w:color="000000" w:themeColor="text1"/>
              <w:right w:val="single" w:sz="2" w:space="0" w:color="000000" w:themeColor="text1"/>
            </w:tcBorders>
            <w:hideMark/>
          </w:tcPr>
          <w:p w14:paraId="22766473" w14:textId="77777777" w:rsidR="00FD3719" w:rsidRDefault="00FD3719" w:rsidP="00D96BEE">
            <w:pPr>
              <w:pStyle w:val="NormalWeb"/>
              <w:jc w:val="center"/>
            </w:pPr>
            <w:r>
              <w:t>66.7</w:t>
            </w:r>
          </w:p>
        </w:tc>
        <w:tc>
          <w:tcPr>
            <w:tcW w:w="1937" w:type="dxa"/>
            <w:tcBorders>
              <w:left w:val="single" w:sz="2" w:space="0" w:color="000000" w:themeColor="text1"/>
            </w:tcBorders>
            <w:hideMark/>
          </w:tcPr>
          <w:p w14:paraId="32F85CCE" w14:textId="77777777" w:rsidR="00FD3719" w:rsidRDefault="00FD3719" w:rsidP="00D96BEE">
            <w:pPr>
              <w:pStyle w:val="NormalWeb"/>
              <w:jc w:val="center"/>
            </w:pPr>
            <w:r>
              <w:t>20.8-93.9</w:t>
            </w:r>
          </w:p>
        </w:tc>
      </w:tr>
    </w:tbl>
    <w:p w14:paraId="7AB2649F" w14:textId="77777777" w:rsidR="00FD3719" w:rsidRPr="000F7154" w:rsidRDefault="00FD3719" w:rsidP="000F7154">
      <w:pPr>
        <w:pStyle w:val="CDIfootnotes"/>
      </w:pPr>
      <w:r w:rsidRPr="000F7154">
        <w:t>*</w:t>
      </w:r>
      <w:r w:rsidRPr="000F7154">
        <w:tab/>
        <w:t>95% confidence interval</w:t>
      </w:r>
    </w:p>
    <w:p w14:paraId="28CB292A" w14:textId="77777777" w:rsidR="00FD3719" w:rsidRPr="000F7154" w:rsidRDefault="00FD3719" w:rsidP="000F7154">
      <w:pPr>
        <w:pStyle w:val="CDIfootnotes"/>
      </w:pPr>
      <w:r w:rsidRPr="000F7154">
        <w:t>†</w:t>
      </w:r>
      <w:r w:rsidRPr="000F7154">
        <w:tab/>
        <w:t>The healthcare provider from whom the woman reported receiving the majority of her antenatal care from.</w:t>
      </w:r>
    </w:p>
    <w:p w14:paraId="14F6FE69" w14:textId="77777777" w:rsidR="00DD3A71" w:rsidRDefault="00DD3A71">
      <w:pPr>
        <w:rPr>
          <w:b/>
        </w:rPr>
        <w:sectPr w:rsidR="00DD3A71" w:rsidSect="00C6581B">
          <w:pgSz w:w="16838" w:h="11906" w:orient="landscape"/>
          <w:pgMar w:top="720" w:right="720" w:bottom="720" w:left="1134" w:header="709" w:footer="284" w:gutter="0"/>
          <w:cols w:space="708"/>
          <w:titlePg/>
          <w:docGrid w:linePitch="360"/>
        </w:sectPr>
      </w:pPr>
    </w:p>
    <w:p w14:paraId="628AC6ED" w14:textId="77777777" w:rsidR="00FD3719" w:rsidRDefault="00FD3719" w:rsidP="00DD3A71">
      <w:pPr>
        <w:pStyle w:val="CDIFigures"/>
      </w:pPr>
      <w:r>
        <w:lastRenderedPageBreak/>
        <w:t xml:space="preserve">Table 5. Sensitivity and specificity of vaccination information excluding records with incomplete or blank vaccination information in the Midwives Notification System – Western Australia, 2016. </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5 gives the sensitivity and specificity of the Midwives Notification System for measuring influenza and pertussis vaccination among pregnant women, after removing records with missing or unknown vaccination information. Estimates are given overall, by antenatal care provider, and by trimester of vaccination (for influenza vaccine).&#10;"/>
      </w:tblPr>
      <w:tblGrid>
        <w:gridCol w:w="7938"/>
        <w:gridCol w:w="1560"/>
        <w:gridCol w:w="1842"/>
        <w:gridCol w:w="1701"/>
        <w:gridCol w:w="1899"/>
      </w:tblGrid>
      <w:tr w:rsidR="007573A0" w:rsidRPr="007573A0" w14:paraId="4927F035" w14:textId="77777777" w:rsidTr="00B860AF">
        <w:trPr>
          <w:cnfStyle w:val="100000000000" w:firstRow="1" w:lastRow="0" w:firstColumn="0" w:lastColumn="0" w:oddVBand="0" w:evenVBand="0" w:oddHBand="0" w:evenHBand="0" w:firstRowFirstColumn="0" w:firstRowLastColumn="0" w:lastRowFirstColumn="0" w:lastRowLastColumn="0"/>
          <w:tblHeader/>
        </w:trPr>
        <w:tc>
          <w:tcPr>
            <w:tcW w:w="7938" w:type="dxa"/>
            <w:tcBorders>
              <w:right w:val="single" w:sz="2" w:space="0" w:color="FFFFFF" w:themeColor="background1"/>
            </w:tcBorders>
            <w:hideMark/>
          </w:tcPr>
          <w:p w14:paraId="00FE6890" w14:textId="77777777" w:rsidR="00FD3719" w:rsidRPr="007573A0" w:rsidRDefault="00FD3719">
            <w:pPr>
              <w:rPr>
                <w:color w:val="FFFFFF" w:themeColor="background1"/>
              </w:rPr>
            </w:pPr>
          </w:p>
        </w:tc>
        <w:tc>
          <w:tcPr>
            <w:tcW w:w="3402" w:type="dxa"/>
            <w:gridSpan w:val="2"/>
            <w:tcBorders>
              <w:left w:val="single" w:sz="2" w:space="0" w:color="FFFFFF" w:themeColor="background1"/>
              <w:right w:val="single" w:sz="2" w:space="0" w:color="FFFFFF" w:themeColor="background1"/>
            </w:tcBorders>
            <w:hideMark/>
          </w:tcPr>
          <w:p w14:paraId="3AFE1675" w14:textId="77777777" w:rsidR="00FD3719" w:rsidRPr="007573A0" w:rsidRDefault="00FD3719" w:rsidP="00443418">
            <w:pPr>
              <w:pStyle w:val="NormalWeb"/>
              <w:jc w:val="center"/>
              <w:rPr>
                <w:color w:val="FFFFFF" w:themeColor="background1"/>
                <w:sz w:val="24"/>
                <w:szCs w:val="24"/>
              </w:rPr>
            </w:pPr>
            <w:r w:rsidRPr="007573A0">
              <w:rPr>
                <w:color w:val="FFFFFF" w:themeColor="background1"/>
              </w:rPr>
              <w:t>Sensitivity</w:t>
            </w:r>
          </w:p>
        </w:tc>
        <w:tc>
          <w:tcPr>
            <w:tcW w:w="3600" w:type="dxa"/>
            <w:gridSpan w:val="2"/>
            <w:tcBorders>
              <w:left w:val="single" w:sz="2" w:space="0" w:color="FFFFFF" w:themeColor="background1"/>
            </w:tcBorders>
            <w:hideMark/>
          </w:tcPr>
          <w:p w14:paraId="40B05E8C" w14:textId="77777777" w:rsidR="00FD3719" w:rsidRPr="007573A0" w:rsidRDefault="00FD3719" w:rsidP="00443418">
            <w:pPr>
              <w:pStyle w:val="NormalWeb"/>
              <w:jc w:val="center"/>
              <w:rPr>
                <w:color w:val="FFFFFF" w:themeColor="background1"/>
              </w:rPr>
            </w:pPr>
            <w:r w:rsidRPr="007573A0">
              <w:rPr>
                <w:color w:val="FFFFFF" w:themeColor="background1"/>
              </w:rPr>
              <w:t>Specificity</w:t>
            </w:r>
          </w:p>
        </w:tc>
      </w:tr>
      <w:tr w:rsidR="007573A0" w:rsidRPr="007573A0" w14:paraId="6011DE1A" w14:textId="77777777" w:rsidTr="00B860AF">
        <w:trPr>
          <w:cnfStyle w:val="100000000000" w:firstRow="1" w:lastRow="0" w:firstColumn="0" w:lastColumn="0" w:oddVBand="0" w:evenVBand="0" w:oddHBand="0" w:evenHBand="0" w:firstRowFirstColumn="0" w:firstRowLastColumn="0" w:lastRowFirstColumn="0" w:lastRowLastColumn="0"/>
          <w:tblHeader/>
        </w:trPr>
        <w:tc>
          <w:tcPr>
            <w:tcW w:w="7938" w:type="dxa"/>
            <w:tcBorders>
              <w:right w:val="single" w:sz="2" w:space="0" w:color="FFFFFF" w:themeColor="background1"/>
            </w:tcBorders>
            <w:hideMark/>
          </w:tcPr>
          <w:p w14:paraId="1C3708CF" w14:textId="77777777" w:rsidR="00FD3719" w:rsidRPr="007573A0" w:rsidRDefault="00FD3719">
            <w:pPr>
              <w:rPr>
                <w:color w:val="FFFFFF" w:themeColor="background1"/>
              </w:rPr>
            </w:pPr>
          </w:p>
        </w:tc>
        <w:tc>
          <w:tcPr>
            <w:tcW w:w="1560" w:type="dxa"/>
            <w:tcBorders>
              <w:left w:val="single" w:sz="2" w:space="0" w:color="FFFFFF" w:themeColor="background1"/>
              <w:right w:val="single" w:sz="2" w:space="0" w:color="FFFFFF" w:themeColor="background1"/>
            </w:tcBorders>
            <w:hideMark/>
          </w:tcPr>
          <w:p w14:paraId="0659A1BA" w14:textId="77777777" w:rsidR="00FD3719" w:rsidRPr="007573A0" w:rsidRDefault="00FD3719" w:rsidP="00443418">
            <w:pPr>
              <w:pStyle w:val="NormalWeb"/>
              <w:jc w:val="center"/>
              <w:rPr>
                <w:color w:val="FFFFFF" w:themeColor="background1"/>
                <w:sz w:val="24"/>
                <w:szCs w:val="24"/>
              </w:rPr>
            </w:pPr>
            <w:r w:rsidRPr="007573A0">
              <w:rPr>
                <w:color w:val="FFFFFF" w:themeColor="background1"/>
              </w:rPr>
              <w:t>%</w:t>
            </w:r>
          </w:p>
        </w:tc>
        <w:tc>
          <w:tcPr>
            <w:tcW w:w="1842" w:type="dxa"/>
            <w:tcBorders>
              <w:left w:val="single" w:sz="2" w:space="0" w:color="FFFFFF" w:themeColor="background1"/>
              <w:right w:val="single" w:sz="2" w:space="0" w:color="FFFFFF" w:themeColor="background1"/>
            </w:tcBorders>
            <w:hideMark/>
          </w:tcPr>
          <w:p w14:paraId="379E1CB6" w14:textId="77777777" w:rsidR="00FD3719" w:rsidRPr="007573A0" w:rsidRDefault="00FD3719" w:rsidP="00443418">
            <w:pPr>
              <w:pStyle w:val="NormalWeb"/>
              <w:jc w:val="center"/>
              <w:rPr>
                <w:color w:val="FFFFFF" w:themeColor="background1"/>
              </w:rPr>
            </w:pPr>
            <w:r w:rsidRPr="007573A0">
              <w:rPr>
                <w:color w:val="FFFFFF" w:themeColor="background1"/>
              </w:rPr>
              <w:t>(95% CI)</w:t>
            </w:r>
            <w:r w:rsidRPr="007573A0">
              <w:rPr>
                <w:color w:val="FFFFFF" w:themeColor="background1"/>
                <w:vertAlign w:val="superscript"/>
              </w:rPr>
              <w:t>*</w:t>
            </w:r>
          </w:p>
        </w:tc>
        <w:tc>
          <w:tcPr>
            <w:tcW w:w="1701" w:type="dxa"/>
            <w:tcBorders>
              <w:left w:val="single" w:sz="2" w:space="0" w:color="FFFFFF" w:themeColor="background1"/>
              <w:right w:val="single" w:sz="2" w:space="0" w:color="FFFFFF" w:themeColor="background1"/>
            </w:tcBorders>
            <w:hideMark/>
          </w:tcPr>
          <w:p w14:paraId="47C0382D" w14:textId="77777777" w:rsidR="00FD3719" w:rsidRPr="007573A0" w:rsidRDefault="00FD3719" w:rsidP="00443418">
            <w:pPr>
              <w:pStyle w:val="NormalWeb"/>
              <w:jc w:val="center"/>
              <w:rPr>
                <w:color w:val="FFFFFF" w:themeColor="background1"/>
              </w:rPr>
            </w:pPr>
            <w:r w:rsidRPr="007573A0">
              <w:rPr>
                <w:color w:val="FFFFFF" w:themeColor="background1"/>
              </w:rPr>
              <w:t>%</w:t>
            </w:r>
          </w:p>
        </w:tc>
        <w:tc>
          <w:tcPr>
            <w:tcW w:w="1899" w:type="dxa"/>
            <w:tcBorders>
              <w:left w:val="single" w:sz="2" w:space="0" w:color="FFFFFF" w:themeColor="background1"/>
            </w:tcBorders>
            <w:hideMark/>
          </w:tcPr>
          <w:p w14:paraId="3437E9D2" w14:textId="77777777" w:rsidR="00FD3719" w:rsidRPr="007573A0" w:rsidRDefault="00FD3719" w:rsidP="00443418">
            <w:pPr>
              <w:pStyle w:val="NormalWeb"/>
              <w:jc w:val="center"/>
              <w:rPr>
                <w:color w:val="FFFFFF" w:themeColor="background1"/>
              </w:rPr>
            </w:pPr>
            <w:r w:rsidRPr="007573A0">
              <w:rPr>
                <w:color w:val="FFFFFF" w:themeColor="background1"/>
              </w:rPr>
              <w:t>(95% CI)</w:t>
            </w:r>
            <w:r w:rsidRPr="007573A0">
              <w:rPr>
                <w:color w:val="FFFFFF" w:themeColor="background1"/>
                <w:vertAlign w:val="superscript"/>
              </w:rPr>
              <w:t>*</w:t>
            </w:r>
          </w:p>
        </w:tc>
      </w:tr>
      <w:tr w:rsidR="00CD6668" w:rsidRPr="00CD6668" w14:paraId="417146E1" w14:textId="77777777" w:rsidTr="00CD6668">
        <w:tc>
          <w:tcPr>
            <w:tcW w:w="7938" w:type="dxa"/>
            <w:tcBorders>
              <w:right w:val="single" w:sz="2" w:space="0" w:color="000000" w:themeColor="text1"/>
            </w:tcBorders>
            <w:shd w:val="clear" w:color="auto" w:fill="808080" w:themeFill="background1" w:themeFillShade="80"/>
            <w:hideMark/>
          </w:tcPr>
          <w:p w14:paraId="288269DB" w14:textId="77777777" w:rsidR="00FD3719" w:rsidRPr="00CD6668" w:rsidRDefault="00FD3719">
            <w:pPr>
              <w:pStyle w:val="NormalWeb"/>
              <w:rPr>
                <w:color w:val="FFFFFF" w:themeColor="background1"/>
              </w:rPr>
            </w:pPr>
            <w:r w:rsidRPr="00CD6668">
              <w:rPr>
                <w:color w:val="FFFFFF" w:themeColor="background1"/>
              </w:rPr>
              <w:t>Influenza vaccination</w:t>
            </w:r>
          </w:p>
        </w:tc>
        <w:tc>
          <w:tcPr>
            <w:tcW w:w="1560" w:type="dxa"/>
            <w:tcBorders>
              <w:left w:val="single" w:sz="2" w:space="0" w:color="000000" w:themeColor="text1"/>
              <w:right w:val="single" w:sz="2" w:space="0" w:color="000000" w:themeColor="text1"/>
            </w:tcBorders>
            <w:shd w:val="clear" w:color="auto" w:fill="808080" w:themeFill="background1" w:themeFillShade="80"/>
            <w:hideMark/>
          </w:tcPr>
          <w:p w14:paraId="2E23CB4E" w14:textId="77777777" w:rsidR="00FD3719" w:rsidRPr="00CD6668" w:rsidRDefault="00FD3719" w:rsidP="00443418">
            <w:pPr>
              <w:jc w:val="center"/>
              <w:rPr>
                <w:color w:val="FFFFFF" w:themeColor="background1"/>
              </w:rPr>
            </w:pPr>
          </w:p>
        </w:tc>
        <w:tc>
          <w:tcPr>
            <w:tcW w:w="1842" w:type="dxa"/>
            <w:tcBorders>
              <w:left w:val="single" w:sz="2" w:space="0" w:color="000000" w:themeColor="text1"/>
              <w:right w:val="single" w:sz="2" w:space="0" w:color="000000" w:themeColor="text1"/>
            </w:tcBorders>
            <w:shd w:val="clear" w:color="auto" w:fill="808080" w:themeFill="background1" w:themeFillShade="80"/>
            <w:hideMark/>
          </w:tcPr>
          <w:p w14:paraId="2E3B3386" w14:textId="77777777" w:rsidR="00FD3719" w:rsidRPr="00CD6668" w:rsidRDefault="00FD3719" w:rsidP="00443418">
            <w:pPr>
              <w:jc w:val="center"/>
              <w:rPr>
                <w:rFonts w:eastAsia="Times New Roman"/>
                <w:color w:val="FFFFFF" w:themeColor="background1"/>
                <w:sz w:val="20"/>
                <w:szCs w:val="20"/>
              </w:rPr>
            </w:pPr>
          </w:p>
        </w:tc>
        <w:tc>
          <w:tcPr>
            <w:tcW w:w="1701" w:type="dxa"/>
            <w:tcBorders>
              <w:left w:val="single" w:sz="2" w:space="0" w:color="000000" w:themeColor="text1"/>
              <w:right w:val="single" w:sz="2" w:space="0" w:color="000000" w:themeColor="text1"/>
            </w:tcBorders>
            <w:shd w:val="clear" w:color="auto" w:fill="808080" w:themeFill="background1" w:themeFillShade="80"/>
            <w:hideMark/>
          </w:tcPr>
          <w:p w14:paraId="30345A65" w14:textId="77777777" w:rsidR="00FD3719" w:rsidRPr="00CD6668" w:rsidRDefault="00FD3719" w:rsidP="00443418">
            <w:pPr>
              <w:jc w:val="center"/>
              <w:rPr>
                <w:rFonts w:eastAsia="Times New Roman"/>
                <w:color w:val="FFFFFF" w:themeColor="background1"/>
                <w:sz w:val="20"/>
                <w:szCs w:val="20"/>
              </w:rPr>
            </w:pPr>
          </w:p>
        </w:tc>
        <w:tc>
          <w:tcPr>
            <w:tcW w:w="1899" w:type="dxa"/>
            <w:tcBorders>
              <w:left w:val="single" w:sz="2" w:space="0" w:color="000000" w:themeColor="text1"/>
            </w:tcBorders>
            <w:shd w:val="clear" w:color="auto" w:fill="808080" w:themeFill="background1" w:themeFillShade="80"/>
            <w:hideMark/>
          </w:tcPr>
          <w:p w14:paraId="637CAFCD" w14:textId="77777777" w:rsidR="00FD3719" w:rsidRPr="00CD6668" w:rsidRDefault="00FD3719" w:rsidP="00443418">
            <w:pPr>
              <w:jc w:val="center"/>
              <w:rPr>
                <w:rFonts w:eastAsia="Times New Roman"/>
                <w:color w:val="FFFFFF" w:themeColor="background1"/>
                <w:sz w:val="20"/>
                <w:szCs w:val="20"/>
              </w:rPr>
            </w:pPr>
          </w:p>
        </w:tc>
      </w:tr>
      <w:tr w:rsidR="00CD6668" w14:paraId="0510F269" w14:textId="77777777" w:rsidTr="00CD6668">
        <w:trPr>
          <w:cnfStyle w:val="000000010000" w:firstRow="0" w:lastRow="0" w:firstColumn="0" w:lastColumn="0" w:oddVBand="0" w:evenVBand="0" w:oddHBand="0" w:evenHBand="1" w:firstRowFirstColumn="0" w:firstRowLastColumn="0" w:lastRowFirstColumn="0" w:lastRowLastColumn="0"/>
        </w:trPr>
        <w:tc>
          <w:tcPr>
            <w:tcW w:w="7938" w:type="dxa"/>
            <w:tcBorders>
              <w:right w:val="single" w:sz="2" w:space="0" w:color="000000" w:themeColor="text1"/>
            </w:tcBorders>
            <w:shd w:val="clear" w:color="auto" w:fill="FDE9D9" w:themeFill="accent6" w:themeFillTint="33"/>
            <w:hideMark/>
          </w:tcPr>
          <w:p w14:paraId="31B905CC" w14:textId="77777777" w:rsidR="00FD3719" w:rsidRDefault="00FD3719">
            <w:pPr>
              <w:pStyle w:val="NormalWeb"/>
              <w:rPr>
                <w:sz w:val="24"/>
                <w:szCs w:val="24"/>
              </w:rPr>
            </w:pPr>
            <w:r>
              <w:t>Overall</w:t>
            </w:r>
          </w:p>
        </w:tc>
        <w:tc>
          <w:tcPr>
            <w:tcW w:w="1560" w:type="dxa"/>
            <w:tcBorders>
              <w:left w:val="single" w:sz="2" w:space="0" w:color="000000" w:themeColor="text1"/>
              <w:right w:val="single" w:sz="2" w:space="0" w:color="000000" w:themeColor="text1"/>
            </w:tcBorders>
            <w:shd w:val="clear" w:color="auto" w:fill="FDE9D9" w:themeFill="accent6" w:themeFillTint="33"/>
            <w:hideMark/>
          </w:tcPr>
          <w:p w14:paraId="222037B5" w14:textId="77777777" w:rsidR="00FD3719" w:rsidRDefault="00FD3719" w:rsidP="00443418">
            <w:pPr>
              <w:pStyle w:val="NormalWeb"/>
              <w:jc w:val="center"/>
            </w:pPr>
            <w:r>
              <w:t>91.8</w:t>
            </w:r>
          </w:p>
        </w:tc>
        <w:tc>
          <w:tcPr>
            <w:tcW w:w="1842" w:type="dxa"/>
            <w:tcBorders>
              <w:left w:val="single" w:sz="2" w:space="0" w:color="000000" w:themeColor="text1"/>
              <w:right w:val="single" w:sz="2" w:space="0" w:color="000000" w:themeColor="text1"/>
            </w:tcBorders>
            <w:shd w:val="clear" w:color="auto" w:fill="FDE9D9" w:themeFill="accent6" w:themeFillTint="33"/>
            <w:hideMark/>
          </w:tcPr>
          <w:p w14:paraId="4905D100" w14:textId="77777777" w:rsidR="00FD3719" w:rsidRDefault="00FD3719" w:rsidP="00443418">
            <w:pPr>
              <w:pStyle w:val="NormalWeb"/>
              <w:jc w:val="center"/>
            </w:pPr>
            <w:r>
              <w:t>(83.0-96.9)</w:t>
            </w:r>
          </w:p>
        </w:tc>
        <w:tc>
          <w:tcPr>
            <w:tcW w:w="1701" w:type="dxa"/>
            <w:tcBorders>
              <w:left w:val="single" w:sz="2" w:space="0" w:color="000000" w:themeColor="text1"/>
              <w:right w:val="single" w:sz="2" w:space="0" w:color="000000" w:themeColor="text1"/>
            </w:tcBorders>
            <w:shd w:val="clear" w:color="auto" w:fill="FDE9D9" w:themeFill="accent6" w:themeFillTint="33"/>
            <w:hideMark/>
          </w:tcPr>
          <w:p w14:paraId="7F2FDA51" w14:textId="77777777" w:rsidR="00FD3719" w:rsidRDefault="00FD3719" w:rsidP="00443418">
            <w:pPr>
              <w:pStyle w:val="NormalWeb"/>
              <w:jc w:val="center"/>
            </w:pPr>
            <w:r>
              <w:t>88.0</w:t>
            </w:r>
          </w:p>
        </w:tc>
        <w:tc>
          <w:tcPr>
            <w:tcW w:w="1899" w:type="dxa"/>
            <w:tcBorders>
              <w:left w:val="single" w:sz="2" w:space="0" w:color="000000" w:themeColor="text1"/>
            </w:tcBorders>
            <w:shd w:val="clear" w:color="auto" w:fill="FDE9D9" w:themeFill="accent6" w:themeFillTint="33"/>
            <w:hideMark/>
          </w:tcPr>
          <w:p w14:paraId="69D75626" w14:textId="77777777" w:rsidR="00FD3719" w:rsidRDefault="00FD3719" w:rsidP="00443418">
            <w:pPr>
              <w:pStyle w:val="NormalWeb"/>
              <w:jc w:val="center"/>
            </w:pPr>
            <w:r>
              <w:t>(76.7-95.5)</w:t>
            </w:r>
          </w:p>
        </w:tc>
      </w:tr>
      <w:tr w:rsidR="005A781C" w14:paraId="1C6A6D97" w14:textId="77777777" w:rsidTr="00B860AF">
        <w:tc>
          <w:tcPr>
            <w:tcW w:w="7938" w:type="dxa"/>
            <w:tcBorders>
              <w:right w:val="single" w:sz="2" w:space="0" w:color="000000" w:themeColor="text1"/>
            </w:tcBorders>
            <w:hideMark/>
          </w:tcPr>
          <w:p w14:paraId="76304A42" w14:textId="77777777" w:rsidR="00FD3719" w:rsidRDefault="00FD3719">
            <w:pPr>
              <w:pStyle w:val="NormalWeb"/>
            </w:pPr>
            <w:r>
              <w:t>By antenatal care provider</w:t>
            </w:r>
            <w:r>
              <w:rPr>
                <w:vertAlign w:val="superscript"/>
              </w:rPr>
              <w:t>†</w:t>
            </w:r>
          </w:p>
        </w:tc>
        <w:tc>
          <w:tcPr>
            <w:tcW w:w="1560" w:type="dxa"/>
            <w:tcBorders>
              <w:left w:val="single" w:sz="2" w:space="0" w:color="000000" w:themeColor="text1"/>
              <w:right w:val="single" w:sz="2" w:space="0" w:color="000000" w:themeColor="text1"/>
            </w:tcBorders>
            <w:hideMark/>
          </w:tcPr>
          <w:p w14:paraId="359DB4F2" w14:textId="77777777" w:rsidR="00FD3719" w:rsidRDefault="00FD3719" w:rsidP="00443418">
            <w:pPr>
              <w:jc w:val="center"/>
            </w:pPr>
          </w:p>
        </w:tc>
        <w:tc>
          <w:tcPr>
            <w:tcW w:w="1842" w:type="dxa"/>
            <w:tcBorders>
              <w:left w:val="single" w:sz="2" w:space="0" w:color="000000" w:themeColor="text1"/>
              <w:right w:val="single" w:sz="2" w:space="0" w:color="000000" w:themeColor="text1"/>
            </w:tcBorders>
            <w:hideMark/>
          </w:tcPr>
          <w:p w14:paraId="7E338233" w14:textId="77777777" w:rsidR="00FD3719" w:rsidRDefault="00FD3719" w:rsidP="00443418">
            <w:pPr>
              <w:jc w:val="center"/>
              <w:rPr>
                <w:rFonts w:eastAsia="Times New Roman"/>
                <w:sz w:val="20"/>
                <w:szCs w:val="20"/>
              </w:rPr>
            </w:pPr>
          </w:p>
        </w:tc>
        <w:tc>
          <w:tcPr>
            <w:tcW w:w="1701" w:type="dxa"/>
            <w:tcBorders>
              <w:left w:val="single" w:sz="2" w:space="0" w:color="000000" w:themeColor="text1"/>
              <w:right w:val="single" w:sz="2" w:space="0" w:color="000000" w:themeColor="text1"/>
            </w:tcBorders>
            <w:hideMark/>
          </w:tcPr>
          <w:p w14:paraId="1916DA03" w14:textId="77777777" w:rsidR="00FD3719" w:rsidRDefault="00FD3719" w:rsidP="00443418">
            <w:pPr>
              <w:jc w:val="center"/>
              <w:rPr>
                <w:rFonts w:eastAsia="Times New Roman"/>
                <w:sz w:val="20"/>
                <w:szCs w:val="20"/>
              </w:rPr>
            </w:pPr>
          </w:p>
        </w:tc>
        <w:tc>
          <w:tcPr>
            <w:tcW w:w="1899" w:type="dxa"/>
            <w:tcBorders>
              <w:left w:val="single" w:sz="2" w:space="0" w:color="000000" w:themeColor="text1"/>
            </w:tcBorders>
            <w:hideMark/>
          </w:tcPr>
          <w:p w14:paraId="1CB665C1" w14:textId="77777777" w:rsidR="00FD3719" w:rsidRDefault="00FD3719" w:rsidP="00443418">
            <w:pPr>
              <w:jc w:val="center"/>
              <w:rPr>
                <w:rFonts w:eastAsia="Times New Roman"/>
                <w:sz w:val="20"/>
                <w:szCs w:val="20"/>
              </w:rPr>
            </w:pPr>
          </w:p>
        </w:tc>
      </w:tr>
      <w:tr w:rsidR="00FD3719" w14:paraId="04CA5C88" w14:textId="77777777" w:rsidTr="00B860AF">
        <w:trPr>
          <w:cnfStyle w:val="000000010000" w:firstRow="0" w:lastRow="0" w:firstColumn="0" w:lastColumn="0" w:oddVBand="0" w:evenVBand="0" w:oddHBand="0" w:evenHBand="1" w:firstRowFirstColumn="0" w:firstRowLastColumn="0" w:lastRowFirstColumn="0" w:lastRowLastColumn="0"/>
        </w:trPr>
        <w:tc>
          <w:tcPr>
            <w:tcW w:w="7938" w:type="dxa"/>
            <w:tcBorders>
              <w:right w:val="single" w:sz="2" w:space="0" w:color="000000" w:themeColor="text1"/>
            </w:tcBorders>
            <w:hideMark/>
          </w:tcPr>
          <w:p w14:paraId="39FAF07B" w14:textId="77777777" w:rsidR="00FD3719" w:rsidRDefault="00FD3719">
            <w:pPr>
              <w:pStyle w:val="NormalWeb"/>
              <w:rPr>
                <w:sz w:val="24"/>
                <w:szCs w:val="24"/>
              </w:rPr>
            </w:pPr>
            <w:r>
              <w:t>Hospital clinic</w:t>
            </w:r>
          </w:p>
        </w:tc>
        <w:tc>
          <w:tcPr>
            <w:tcW w:w="1560" w:type="dxa"/>
            <w:tcBorders>
              <w:left w:val="single" w:sz="2" w:space="0" w:color="000000" w:themeColor="text1"/>
              <w:right w:val="single" w:sz="2" w:space="0" w:color="000000" w:themeColor="text1"/>
            </w:tcBorders>
            <w:hideMark/>
          </w:tcPr>
          <w:p w14:paraId="6AE8621E" w14:textId="77777777" w:rsidR="00FD3719" w:rsidRDefault="00FD3719" w:rsidP="00443418">
            <w:pPr>
              <w:pStyle w:val="NormalWeb"/>
              <w:jc w:val="center"/>
            </w:pPr>
            <w:r>
              <w:t>92.6</w:t>
            </w:r>
          </w:p>
        </w:tc>
        <w:tc>
          <w:tcPr>
            <w:tcW w:w="1842" w:type="dxa"/>
            <w:tcBorders>
              <w:left w:val="single" w:sz="2" w:space="0" w:color="000000" w:themeColor="text1"/>
              <w:right w:val="single" w:sz="2" w:space="0" w:color="000000" w:themeColor="text1"/>
            </w:tcBorders>
            <w:hideMark/>
          </w:tcPr>
          <w:p w14:paraId="70090504" w14:textId="77777777" w:rsidR="00FD3719" w:rsidRDefault="00FD3719" w:rsidP="00443418">
            <w:pPr>
              <w:pStyle w:val="NormalWeb"/>
              <w:jc w:val="center"/>
            </w:pPr>
            <w:r>
              <w:t>(82.1-97.9)</w:t>
            </w:r>
          </w:p>
        </w:tc>
        <w:tc>
          <w:tcPr>
            <w:tcW w:w="1701" w:type="dxa"/>
            <w:tcBorders>
              <w:left w:val="single" w:sz="2" w:space="0" w:color="000000" w:themeColor="text1"/>
              <w:right w:val="single" w:sz="2" w:space="0" w:color="000000" w:themeColor="text1"/>
            </w:tcBorders>
            <w:hideMark/>
          </w:tcPr>
          <w:p w14:paraId="25126EDA" w14:textId="77777777" w:rsidR="00FD3719" w:rsidRDefault="00FD3719" w:rsidP="00443418">
            <w:pPr>
              <w:pStyle w:val="NormalWeb"/>
              <w:jc w:val="center"/>
            </w:pPr>
            <w:r>
              <w:t>86.5</w:t>
            </w:r>
          </w:p>
        </w:tc>
        <w:tc>
          <w:tcPr>
            <w:tcW w:w="1899" w:type="dxa"/>
            <w:tcBorders>
              <w:left w:val="single" w:sz="2" w:space="0" w:color="000000" w:themeColor="text1"/>
            </w:tcBorders>
            <w:hideMark/>
          </w:tcPr>
          <w:p w14:paraId="4F337989" w14:textId="77777777" w:rsidR="00FD3719" w:rsidRDefault="00FD3719" w:rsidP="00443418">
            <w:pPr>
              <w:pStyle w:val="NormalWeb"/>
              <w:jc w:val="center"/>
            </w:pPr>
            <w:r>
              <w:t>(71.2-95.5)</w:t>
            </w:r>
          </w:p>
        </w:tc>
      </w:tr>
      <w:tr w:rsidR="005A781C" w14:paraId="546789AE" w14:textId="77777777" w:rsidTr="00B860AF">
        <w:tc>
          <w:tcPr>
            <w:tcW w:w="7938" w:type="dxa"/>
            <w:tcBorders>
              <w:right w:val="single" w:sz="2" w:space="0" w:color="000000" w:themeColor="text1"/>
            </w:tcBorders>
            <w:hideMark/>
          </w:tcPr>
          <w:p w14:paraId="624C8620" w14:textId="77777777" w:rsidR="00FD3719" w:rsidRDefault="00FD3719">
            <w:pPr>
              <w:pStyle w:val="NormalWeb"/>
            </w:pPr>
            <w:r>
              <w:t>General practitioner</w:t>
            </w:r>
          </w:p>
        </w:tc>
        <w:tc>
          <w:tcPr>
            <w:tcW w:w="1560" w:type="dxa"/>
            <w:tcBorders>
              <w:left w:val="single" w:sz="2" w:space="0" w:color="000000" w:themeColor="text1"/>
              <w:right w:val="single" w:sz="2" w:space="0" w:color="000000" w:themeColor="text1"/>
            </w:tcBorders>
            <w:hideMark/>
          </w:tcPr>
          <w:p w14:paraId="2CC266B9" w14:textId="77777777" w:rsidR="00FD3719" w:rsidRDefault="00FD3719" w:rsidP="00443418">
            <w:pPr>
              <w:pStyle w:val="NormalWeb"/>
              <w:jc w:val="center"/>
            </w:pPr>
            <w:r>
              <w:t>94.1</w:t>
            </w:r>
          </w:p>
        </w:tc>
        <w:tc>
          <w:tcPr>
            <w:tcW w:w="1842" w:type="dxa"/>
            <w:tcBorders>
              <w:left w:val="single" w:sz="2" w:space="0" w:color="000000" w:themeColor="text1"/>
              <w:right w:val="single" w:sz="2" w:space="0" w:color="000000" w:themeColor="text1"/>
            </w:tcBorders>
            <w:hideMark/>
          </w:tcPr>
          <w:p w14:paraId="38EB8CAB" w14:textId="77777777" w:rsidR="00FD3719" w:rsidRDefault="00FD3719" w:rsidP="00443418">
            <w:pPr>
              <w:pStyle w:val="NormalWeb"/>
              <w:jc w:val="center"/>
            </w:pPr>
            <w:r>
              <w:t>(71.3-99.8)</w:t>
            </w:r>
          </w:p>
        </w:tc>
        <w:tc>
          <w:tcPr>
            <w:tcW w:w="1701" w:type="dxa"/>
            <w:tcBorders>
              <w:left w:val="single" w:sz="2" w:space="0" w:color="000000" w:themeColor="text1"/>
              <w:right w:val="single" w:sz="2" w:space="0" w:color="000000" w:themeColor="text1"/>
            </w:tcBorders>
            <w:hideMark/>
          </w:tcPr>
          <w:p w14:paraId="3F803E35" w14:textId="77777777" w:rsidR="00FD3719" w:rsidRDefault="00FD3719" w:rsidP="00443418">
            <w:pPr>
              <w:pStyle w:val="NormalWeb"/>
              <w:jc w:val="center"/>
            </w:pPr>
            <w:r>
              <w:t>88.9</w:t>
            </w:r>
          </w:p>
        </w:tc>
        <w:tc>
          <w:tcPr>
            <w:tcW w:w="1899" w:type="dxa"/>
            <w:tcBorders>
              <w:left w:val="single" w:sz="2" w:space="0" w:color="000000" w:themeColor="text1"/>
            </w:tcBorders>
            <w:hideMark/>
          </w:tcPr>
          <w:p w14:paraId="35DF5909" w14:textId="77777777" w:rsidR="00FD3719" w:rsidRDefault="00FD3719" w:rsidP="00443418">
            <w:pPr>
              <w:pStyle w:val="NormalWeb"/>
              <w:jc w:val="center"/>
            </w:pPr>
            <w:r>
              <w:t>(51.7-99.7)</w:t>
            </w:r>
          </w:p>
        </w:tc>
      </w:tr>
      <w:tr w:rsidR="00FD3719" w14:paraId="27C5D64D" w14:textId="77777777" w:rsidTr="00B860AF">
        <w:trPr>
          <w:cnfStyle w:val="000000010000" w:firstRow="0" w:lastRow="0" w:firstColumn="0" w:lastColumn="0" w:oddVBand="0" w:evenVBand="0" w:oddHBand="0" w:evenHBand="1" w:firstRowFirstColumn="0" w:firstRowLastColumn="0" w:lastRowFirstColumn="0" w:lastRowLastColumn="0"/>
        </w:trPr>
        <w:tc>
          <w:tcPr>
            <w:tcW w:w="7938" w:type="dxa"/>
            <w:tcBorders>
              <w:right w:val="single" w:sz="2" w:space="0" w:color="000000" w:themeColor="text1"/>
            </w:tcBorders>
            <w:hideMark/>
          </w:tcPr>
          <w:p w14:paraId="2319C921" w14:textId="77777777" w:rsidR="00FD3719" w:rsidRDefault="00FD3719">
            <w:pPr>
              <w:pStyle w:val="NormalWeb"/>
            </w:pPr>
            <w:r>
              <w:t>By trimester of vaccination</w:t>
            </w:r>
          </w:p>
        </w:tc>
        <w:tc>
          <w:tcPr>
            <w:tcW w:w="1560" w:type="dxa"/>
            <w:tcBorders>
              <w:left w:val="single" w:sz="2" w:space="0" w:color="000000" w:themeColor="text1"/>
              <w:right w:val="single" w:sz="2" w:space="0" w:color="000000" w:themeColor="text1"/>
            </w:tcBorders>
            <w:hideMark/>
          </w:tcPr>
          <w:p w14:paraId="2F45C690" w14:textId="77777777" w:rsidR="00FD3719" w:rsidRDefault="00FD3719" w:rsidP="00443418">
            <w:pPr>
              <w:jc w:val="center"/>
            </w:pPr>
          </w:p>
        </w:tc>
        <w:tc>
          <w:tcPr>
            <w:tcW w:w="1842" w:type="dxa"/>
            <w:tcBorders>
              <w:left w:val="single" w:sz="2" w:space="0" w:color="000000" w:themeColor="text1"/>
              <w:right w:val="single" w:sz="2" w:space="0" w:color="000000" w:themeColor="text1"/>
            </w:tcBorders>
            <w:hideMark/>
          </w:tcPr>
          <w:p w14:paraId="22DF5868" w14:textId="77777777" w:rsidR="00FD3719" w:rsidRDefault="00FD3719" w:rsidP="00443418">
            <w:pPr>
              <w:jc w:val="center"/>
              <w:rPr>
                <w:rFonts w:eastAsia="Times New Roman"/>
                <w:sz w:val="20"/>
                <w:szCs w:val="20"/>
              </w:rPr>
            </w:pPr>
          </w:p>
        </w:tc>
        <w:tc>
          <w:tcPr>
            <w:tcW w:w="1701" w:type="dxa"/>
            <w:tcBorders>
              <w:left w:val="single" w:sz="2" w:space="0" w:color="000000" w:themeColor="text1"/>
              <w:right w:val="single" w:sz="2" w:space="0" w:color="000000" w:themeColor="text1"/>
            </w:tcBorders>
            <w:hideMark/>
          </w:tcPr>
          <w:p w14:paraId="6D4F5C4E" w14:textId="77777777" w:rsidR="00FD3719" w:rsidRDefault="00FD3719" w:rsidP="00443418">
            <w:pPr>
              <w:jc w:val="center"/>
              <w:rPr>
                <w:rFonts w:eastAsia="Times New Roman"/>
                <w:sz w:val="20"/>
                <w:szCs w:val="20"/>
              </w:rPr>
            </w:pPr>
          </w:p>
        </w:tc>
        <w:tc>
          <w:tcPr>
            <w:tcW w:w="1899" w:type="dxa"/>
            <w:tcBorders>
              <w:left w:val="single" w:sz="2" w:space="0" w:color="000000" w:themeColor="text1"/>
            </w:tcBorders>
            <w:hideMark/>
          </w:tcPr>
          <w:p w14:paraId="189503F7" w14:textId="77777777" w:rsidR="00FD3719" w:rsidRDefault="00FD3719" w:rsidP="00443418">
            <w:pPr>
              <w:jc w:val="center"/>
              <w:rPr>
                <w:rFonts w:eastAsia="Times New Roman"/>
                <w:sz w:val="20"/>
                <w:szCs w:val="20"/>
              </w:rPr>
            </w:pPr>
          </w:p>
        </w:tc>
      </w:tr>
      <w:tr w:rsidR="005A781C" w14:paraId="15004864" w14:textId="77777777" w:rsidTr="00B860AF">
        <w:tc>
          <w:tcPr>
            <w:tcW w:w="7938" w:type="dxa"/>
            <w:tcBorders>
              <w:right w:val="single" w:sz="2" w:space="0" w:color="000000" w:themeColor="text1"/>
            </w:tcBorders>
            <w:hideMark/>
          </w:tcPr>
          <w:p w14:paraId="6BBB0AF5" w14:textId="77777777" w:rsidR="00FD3719" w:rsidRDefault="00FD3719">
            <w:pPr>
              <w:pStyle w:val="NormalWeb"/>
              <w:rPr>
                <w:sz w:val="24"/>
                <w:szCs w:val="24"/>
              </w:rPr>
            </w:pPr>
            <w:r>
              <w:t>First or second</w:t>
            </w:r>
          </w:p>
        </w:tc>
        <w:tc>
          <w:tcPr>
            <w:tcW w:w="1560" w:type="dxa"/>
            <w:tcBorders>
              <w:left w:val="single" w:sz="2" w:space="0" w:color="000000" w:themeColor="text1"/>
              <w:right w:val="single" w:sz="2" w:space="0" w:color="000000" w:themeColor="text1"/>
            </w:tcBorders>
            <w:hideMark/>
          </w:tcPr>
          <w:p w14:paraId="01A041AF" w14:textId="77777777" w:rsidR="00FD3719" w:rsidRDefault="00FD3719" w:rsidP="00443418">
            <w:pPr>
              <w:pStyle w:val="NormalWeb"/>
              <w:jc w:val="center"/>
            </w:pPr>
            <w:r>
              <w:t>90.2</w:t>
            </w:r>
          </w:p>
        </w:tc>
        <w:tc>
          <w:tcPr>
            <w:tcW w:w="1842" w:type="dxa"/>
            <w:tcBorders>
              <w:left w:val="single" w:sz="2" w:space="0" w:color="000000" w:themeColor="text1"/>
              <w:right w:val="single" w:sz="2" w:space="0" w:color="000000" w:themeColor="text1"/>
            </w:tcBorders>
            <w:hideMark/>
          </w:tcPr>
          <w:p w14:paraId="7C04809B" w14:textId="77777777" w:rsidR="00FD3719" w:rsidRDefault="00FD3719" w:rsidP="00443418">
            <w:pPr>
              <w:pStyle w:val="NormalWeb"/>
              <w:jc w:val="center"/>
            </w:pPr>
            <w:r>
              <w:t>(78.6-96.7)</w:t>
            </w:r>
          </w:p>
        </w:tc>
        <w:tc>
          <w:tcPr>
            <w:tcW w:w="1701" w:type="dxa"/>
            <w:tcBorders>
              <w:left w:val="single" w:sz="2" w:space="0" w:color="000000" w:themeColor="text1"/>
              <w:right w:val="single" w:sz="2" w:space="0" w:color="000000" w:themeColor="text1"/>
            </w:tcBorders>
            <w:hideMark/>
          </w:tcPr>
          <w:p w14:paraId="53C6B6B1" w14:textId="77777777" w:rsidR="00FD3719" w:rsidRDefault="00FD3719" w:rsidP="00443418">
            <w:pPr>
              <w:pStyle w:val="NormalWeb"/>
              <w:jc w:val="center"/>
            </w:pPr>
            <w:r>
              <w:t>88.0</w:t>
            </w:r>
          </w:p>
        </w:tc>
        <w:tc>
          <w:tcPr>
            <w:tcW w:w="1899" w:type="dxa"/>
            <w:tcBorders>
              <w:left w:val="single" w:sz="2" w:space="0" w:color="000000" w:themeColor="text1"/>
            </w:tcBorders>
            <w:hideMark/>
          </w:tcPr>
          <w:p w14:paraId="095B7766" w14:textId="77777777" w:rsidR="00FD3719" w:rsidRDefault="00FD3719" w:rsidP="00443418">
            <w:pPr>
              <w:pStyle w:val="NormalWeb"/>
              <w:jc w:val="center"/>
            </w:pPr>
            <w:r>
              <w:t>(76.7-95.5)</w:t>
            </w:r>
          </w:p>
        </w:tc>
      </w:tr>
      <w:tr w:rsidR="00FD3719" w14:paraId="3B25210B" w14:textId="77777777" w:rsidTr="00B860AF">
        <w:trPr>
          <w:cnfStyle w:val="000000010000" w:firstRow="0" w:lastRow="0" w:firstColumn="0" w:lastColumn="0" w:oddVBand="0" w:evenVBand="0" w:oddHBand="0" w:evenHBand="1" w:firstRowFirstColumn="0" w:firstRowLastColumn="0" w:lastRowFirstColumn="0" w:lastRowLastColumn="0"/>
        </w:trPr>
        <w:tc>
          <w:tcPr>
            <w:tcW w:w="7938" w:type="dxa"/>
            <w:tcBorders>
              <w:right w:val="single" w:sz="2" w:space="0" w:color="000000" w:themeColor="text1"/>
            </w:tcBorders>
            <w:hideMark/>
          </w:tcPr>
          <w:p w14:paraId="46E5F0FB" w14:textId="77777777" w:rsidR="00FD3719" w:rsidRDefault="00FD3719">
            <w:pPr>
              <w:pStyle w:val="NormalWeb"/>
            </w:pPr>
            <w:r>
              <w:t>Third</w:t>
            </w:r>
          </w:p>
        </w:tc>
        <w:tc>
          <w:tcPr>
            <w:tcW w:w="1560" w:type="dxa"/>
            <w:tcBorders>
              <w:left w:val="single" w:sz="2" w:space="0" w:color="000000" w:themeColor="text1"/>
              <w:right w:val="single" w:sz="2" w:space="0" w:color="000000" w:themeColor="text1"/>
            </w:tcBorders>
            <w:hideMark/>
          </w:tcPr>
          <w:p w14:paraId="7E5AA00D" w14:textId="77777777" w:rsidR="00FD3719" w:rsidRDefault="00FD3719" w:rsidP="00443418">
            <w:pPr>
              <w:pStyle w:val="NormalWeb"/>
              <w:jc w:val="center"/>
            </w:pPr>
            <w:r>
              <w:t>95.5</w:t>
            </w:r>
          </w:p>
        </w:tc>
        <w:tc>
          <w:tcPr>
            <w:tcW w:w="1842" w:type="dxa"/>
            <w:tcBorders>
              <w:left w:val="single" w:sz="2" w:space="0" w:color="000000" w:themeColor="text1"/>
              <w:right w:val="single" w:sz="2" w:space="0" w:color="000000" w:themeColor="text1"/>
            </w:tcBorders>
            <w:hideMark/>
          </w:tcPr>
          <w:p w14:paraId="75BB0EE0" w14:textId="77777777" w:rsidR="00FD3719" w:rsidRDefault="00FD3719" w:rsidP="00443418">
            <w:pPr>
              <w:pStyle w:val="NormalWeb"/>
              <w:jc w:val="center"/>
            </w:pPr>
            <w:r>
              <w:t>(77.2-99.9)</w:t>
            </w:r>
          </w:p>
        </w:tc>
        <w:tc>
          <w:tcPr>
            <w:tcW w:w="1701" w:type="dxa"/>
            <w:tcBorders>
              <w:left w:val="single" w:sz="2" w:space="0" w:color="000000" w:themeColor="text1"/>
              <w:right w:val="single" w:sz="2" w:space="0" w:color="000000" w:themeColor="text1"/>
            </w:tcBorders>
            <w:hideMark/>
          </w:tcPr>
          <w:p w14:paraId="2436A6D4" w14:textId="77777777" w:rsidR="00FD3719" w:rsidRDefault="00FD3719" w:rsidP="00443418">
            <w:pPr>
              <w:pStyle w:val="NormalWeb"/>
              <w:jc w:val="center"/>
            </w:pPr>
            <w:r>
              <w:t>88.0</w:t>
            </w:r>
          </w:p>
        </w:tc>
        <w:tc>
          <w:tcPr>
            <w:tcW w:w="1899" w:type="dxa"/>
            <w:tcBorders>
              <w:left w:val="single" w:sz="2" w:space="0" w:color="000000" w:themeColor="text1"/>
            </w:tcBorders>
            <w:hideMark/>
          </w:tcPr>
          <w:p w14:paraId="5FAAEBCE" w14:textId="77777777" w:rsidR="00FD3719" w:rsidRDefault="00FD3719" w:rsidP="00443418">
            <w:pPr>
              <w:pStyle w:val="NormalWeb"/>
              <w:jc w:val="center"/>
            </w:pPr>
            <w:r>
              <w:t>(76.7-95.5)</w:t>
            </w:r>
          </w:p>
        </w:tc>
      </w:tr>
      <w:tr w:rsidR="00CD6668" w:rsidRPr="00CD6668" w14:paraId="57B1BB72" w14:textId="77777777" w:rsidTr="00CD6668">
        <w:tc>
          <w:tcPr>
            <w:tcW w:w="7938" w:type="dxa"/>
            <w:tcBorders>
              <w:right w:val="single" w:sz="2" w:space="0" w:color="000000" w:themeColor="text1"/>
            </w:tcBorders>
            <w:shd w:val="clear" w:color="auto" w:fill="808080" w:themeFill="background1" w:themeFillShade="80"/>
            <w:hideMark/>
          </w:tcPr>
          <w:p w14:paraId="1A71695B" w14:textId="77777777" w:rsidR="00FD3719" w:rsidRPr="00CD6668" w:rsidRDefault="00FD3719">
            <w:pPr>
              <w:pStyle w:val="NormalWeb"/>
              <w:rPr>
                <w:color w:val="FFFFFF" w:themeColor="background1"/>
              </w:rPr>
            </w:pPr>
            <w:r w:rsidRPr="00CD6668">
              <w:rPr>
                <w:color w:val="FFFFFF" w:themeColor="background1"/>
              </w:rPr>
              <w:t>Pertussis vaccination</w:t>
            </w:r>
          </w:p>
        </w:tc>
        <w:tc>
          <w:tcPr>
            <w:tcW w:w="1560" w:type="dxa"/>
            <w:tcBorders>
              <w:left w:val="single" w:sz="2" w:space="0" w:color="000000" w:themeColor="text1"/>
              <w:right w:val="single" w:sz="2" w:space="0" w:color="000000" w:themeColor="text1"/>
            </w:tcBorders>
            <w:shd w:val="clear" w:color="auto" w:fill="808080" w:themeFill="background1" w:themeFillShade="80"/>
            <w:hideMark/>
          </w:tcPr>
          <w:p w14:paraId="0BE3910B" w14:textId="77777777" w:rsidR="00FD3719" w:rsidRPr="00CD6668" w:rsidRDefault="00FD3719" w:rsidP="00443418">
            <w:pPr>
              <w:jc w:val="center"/>
              <w:rPr>
                <w:color w:val="FFFFFF" w:themeColor="background1"/>
              </w:rPr>
            </w:pPr>
          </w:p>
        </w:tc>
        <w:tc>
          <w:tcPr>
            <w:tcW w:w="1842" w:type="dxa"/>
            <w:tcBorders>
              <w:left w:val="single" w:sz="2" w:space="0" w:color="000000" w:themeColor="text1"/>
              <w:right w:val="single" w:sz="2" w:space="0" w:color="000000" w:themeColor="text1"/>
            </w:tcBorders>
            <w:shd w:val="clear" w:color="auto" w:fill="808080" w:themeFill="background1" w:themeFillShade="80"/>
            <w:hideMark/>
          </w:tcPr>
          <w:p w14:paraId="34400353" w14:textId="77777777" w:rsidR="00FD3719" w:rsidRPr="00CD6668" w:rsidRDefault="00FD3719" w:rsidP="00443418">
            <w:pPr>
              <w:jc w:val="center"/>
              <w:rPr>
                <w:rFonts w:eastAsia="Times New Roman"/>
                <w:color w:val="FFFFFF" w:themeColor="background1"/>
                <w:sz w:val="20"/>
                <w:szCs w:val="20"/>
              </w:rPr>
            </w:pPr>
          </w:p>
        </w:tc>
        <w:tc>
          <w:tcPr>
            <w:tcW w:w="1701" w:type="dxa"/>
            <w:tcBorders>
              <w:left w:val="single" w:sz="2" w:space="0" w:color="000000" w:themeColor="text1"/>
              <w:right w:val="single" w:sz="2" w:space="0" w:color="000000" w:themeColor="text1"/>
            </w:tcBorders>
            <w:shd w:val="clear" w:color="auto" w:fill="808080" w:themeFill="background1" w:themeFillShade="80"/>
            <w:hideMark/>
          </w:tcPr>
          <w:p w14:paraId="16CC6710" w14:textId="77777777" w:rsidR="00FD3719" w:rsidRPr="00CD6668" w:rsidRDefault="00FD3719" w:rsidP="00443418">
            <w:pPr>
              <w:jc w:val="center"/>
              <w:rPr>
                <w:rFonts w:eastAsia="Times New Roman"/>
                <w:color w:val="FFFFFF" w:themeColor="background1"/>
                <w:sz w:val="20"/>
                <w:szCs w:val="20"/>
              </w:rPr>
            </w:pPr>
          </w:p>
        </w:tc>
        <w:tc>
          <w:tcPr>
            <w:tcW w:w="1899" w:type="dxa"/>
            <w:tcBorders>
              <w:left w:val="single" w:sz="2" w:space="0" w:color="000000" w:themeColor="text1"/>
            </w:tcBorders>
            <w:shd w:val="clear" w:color="auto" w:fill="808080" w:themeFill="background1" w:themeFillShade="80"/>
            <w:hideMark/>
          </w:tcPr>
          <w:p w14:paraId="3A9A9778" w14:textId="77777777" w:rsidR="00FD3719" w:rsidRPr="00CD6668" w:rsidRDefault="00FD3719" w:rsidP="00443418">
            <w:pPr>
              <w:jc w:val="center"/>
              <w:rPr>
                <w:rFonts w:eastAsia="Times New Roman"/>
                <w:color w:val="FFFFFF" w:themeColor="background1"/>
                <w:sz w:val="20"/>
                <w:szCs w:val="20"/>
              </w:rPr>
            </w:pPr>
          </w:p>
        </w:tc>
      </w:tr>
      <w:tr w:rsidR="00CD6668" w14:paraId="546333AE" w14:textId="77777777" w:rsidTr="00CD6668">
        <w:trPr>
          <w:cnfStyle w:val="000000010000" w:firstRow="0" w:lastRow="0" w:firstColumn="0" w:lastColumn="0" w:oddVBand="0" w:evenVBand="0" w:oddHBand="0" w:evenHBand="1" w:firstRowFirstColumn="0" w:firstRowLastColumn="0" w:lastRowFirstColumn="0" w:lastRowLastColumn="0"/>
        </w:trPr>
        <w:tc>
          <w:tcPr>
            <w:tcW w:w="7938" w:type="dxa"/>
            <w:tcBorders>
              <w:right w:val="single" w:sz="2" w:space="0" w:color="000000" w:themeColor="text1"/>
            </w:tcBorders>
            <w:shd w:val="clear" w:color="auto" w:fill="FDE9D9" w:themeFill="accent6" w:themeFillTint="33"/>
            <w:hideMark/>
          </w:tcPr>
          <w:p w14:paraId="5870F0FC" w14:textId="77777777" w:rsidR="00FD3719" w:rsidRDefault="00FD3719">
            <w:pPr>
              <w:pStyle w:val="NormalWeb"/>
              <w:rPr>
                <w:sz w:val="24"/>
                <w:szCs w:val="24"/>
              </w:rPr>
            </w:pPr>
            <w:r>
              <w:t>Overall</w:t>
            </w:r>
          </w:p>
        </w:tc>
        <w:tc>
          <w:tcPr>
            <w:tcW w:w="1560" w:type="dxa"/>
            <w:tcBorders>
              <w:left w:val="single" w:sz="2" w:space="0" w:color="000000" w:themeColor="text1"/>
              <w:right w:val="single" w:sz="2" w:space="0" w:color="000000" w:themeColor="text1"/>
            </w:tcBorders>
            <w:shd w:val="clear" w:color="auto" w:fill="FDE9D9" w:themeFill="accent6" w:themeFillTint="33"/>
            <w:hideMark/>
          </w:tcPr>
          <w:p w14:paraId="7FD9D4F3" w14:textId="77777777" w:rsidR="00FD3719" w:rsidRDefault="00FD3719" w:rsidP="00443418">
            <w:pPr>
              <w:pStyle w:val="NormalWeb"/>
              <w:jc w:val="center"/>
            </w:pPr>
            <w:r>
              <w:t>94.6</w:t>
            </w:r>
          </w:p>
        </w:tc>
        <w:tc>
          <w:tcPr>
            <w:tcW w:w="1842" w:type="dxa"/>
            <w:tcBorders>
              <w:left w:val="single" w:sz="2" w:space="0" w:color="000000" w:themeColor="text1"/>
              <w:right w:val="single" w:sz="2" w:space="0" w:color="000000" w:themeColor="text1"/>
            </w:tcBorders>
            <w:shd w:val="clear" w:color="auto" w:fill="FDE9D9" w:themeFill="accent6" w:themeFillTint="33"/>
            <w:hideMark/>
          </w:tcPr>
          <w:p w14:paraId="62CB7393" w14:textId="77777777" w:rsidR="00FD3719" w:rsidRDefault="00FD3719" w:rsidP="00443418">
            <w:pPr>
              <w:pStyle w:val="NormalWeb"/>
              <w:jc w:val="center"/>
            </w:pPr>
            <w:r>
              <w:t>(86.7-98.5)</w:t>
            </w:r>
          </w:p>
        </w:tc>
        <w:tc>
          <w:tcPr>
            <w:tcW w:w="1701" w:type="dxa"/>
            <w:tcBorders>
              <w:left w:val="single" w:sz="2" w:space="0" w:color="000000" w:themeColor="text1"/>
              <w:right w:val="single" w:sz="2" w:space="0" w:color="000000" w:themeColor="text1"/>
            </w:tcBorders>
            <w:shd w:val="clear" w:color="auto" w:fill="FDE9D9" w:themeFill="accent6" w:themeFillTint="33"/>
            <w:hideMark/>
          </w:tcPr>
          <w:p w14:paraId="321DADA3" w14:textId="77777777" w:rsidR="00FD3719" w:rsidRDefault="00FD3719" w:rsidP="00443418">
            <w:pPr>
              <w:pStyle w:val="NormalWeb"/>
              <w:jc w:val="center"/>
            </w:pPr>
            <w:r>
              <w:t>73.1</w:t>
            </w:r>
          </w:p>
        </w:tc>
        <w:tc>
          <w:tcPr>
            <w:tcW w:w="1899" w:type="dxa"/>
            <w:tcBorders>
              <w:left w:val="single" w:sz="2" w:space="0" w:color="000000" w:themeColor="text1"/>
            </w:tcBorders>
            <w:shd w:val="clear" w:color="auto" w:fill="FDE9D9" w:themeFill="accent6" w:themeFillTint="33"/>
            <w:hideMark/>
          </w:tcPr>
          <w:p w14:paraId="379B1AE2" w14:textId="77777777" w:rsidR="00FD3719" w:rsidRDefault="00FD3719" w:rsidP="00443418">
            <w:pPr>
              <w:pStyle w:val="NormalWeb"/>
              <w:jc w:val="center"/>
            </w:pPr>
            <w:r>
              <w:t>(52.2-88.4)</w:t>
            </w:r>
          </w:p>
        </w:tc>
      </w:tr>
      <w:tr w:rsidR="005A781C" w14:paraId="55A694CE" w14:textId="77777777" w:rsidTr="00B860AF">
        <w:tc>
          <w:tcPr>
            <w:tcW w:w="7938" w:type="dxa"/>
            <w:tcBorders>
              <w:right w:val="single" w:sz="2" w:space="0" w:color="000000" w:themeColor="text1"/>
            </w:tcBorders>
            <w:hideMark/>
          </w:tcPr>
          <w:p w14:paraId="7CC28368" w14:textId="77777777" w:rsidR="00FD3719" w:rsidRDefault="00FD3719">
            <w:pPr>
              <w:pStyle w:val="NormalWeb"/>
            </w:pPr>
            <w:r>
              <w:t>By antenatal provider</w:t>
            </w:r>
            <w:r>
              <w:rPr>
                <w:vertAlign w:val="superscript"/>
              </w:rPr>
              <w:t>†</w:t>
            </w:r>
          </w:p>
        </w:tc>
        <w:tc>
          <w:tcPr>
            <w:tcW w:w="1560" w:type="dxa"/>
            <w:tcBorders>
              <w:left w:val="single" w:sz="2" w:space="0" w:color="000000" w:themeColor="text1"/>
              <w:right w:val="single" w:sz="2" w:space="0" w:color="000000" w:themeColor="text1"/>
            </w:tcBorders>
            <w:hideMark/>
          </w:tcPr>
          <w:p w14:paraId="4D382DE2" w14:textId="77777777" w:rsidR="00FD3719" w:rsidRDefault="00FD3719" w:rsidP="00443418">
            <w:pPr>
              <w:jc w:val="center"/>
            </w:pPr>
          </w:p>
        </w:tc>
        <w:tc>
          <w:tcPr>
            <w:tcW w:w="1842" w:type="dxa"/>
            <w:tcBorders>
              <w:left w:val="single" w:sz="2" w:space="0" w:color="000000" w:themeColor="text1"/>
              <w:right w:val="single" w:sz="2" w:space="0" w:color="000000" w:themeColor="text1"/>
            </w:tcBorders>
            <w:hideMark/>
          </w:tcPr>
          <w:p w14:paraId="7F450FBD" w14:textId="77777777" w:rsidR="00FD3719" w:rsidRDefault="00FD3719" w:rsidP="00443418">
            <w:pPr>
              <w:jc w:val="center"/>
              <w:rPr>
                <w:rFonts w:eastAsia="Times New Roman"/>
                <w:sz w:val="20"/>
                <w:szCs w:val="20"/>
              </w:rPr>
            </w:pPr>
          </w:p>
        </w:tc>
        <w:tc>
          <w:tcPr>
            <w:tcW w:w="1701" w:type="dxa"/>
            <w:tcBorders>
              <w:left w:val="single" w:sz="2" w:space="0" w:color="000000" w:themeColor="text1"/>
              <w:right w:val="single" w:sz="2" w:space="0" w:color="000000" w:themeColor="text1"/>
            </w:tcBorders>
            <w:hideMark/>
          </w:tcPr>
          <w:p w14:paraId="1779C14B" w14:textId="77777777" w:rsidR="00FD3719" w:rsidRDefault="00FD3719" w:rsidP="00443418">
            <w:pPr>
              <w:jc w:val="center"/>
              <w:rPr>
                <w:rFonts w:eastAsia="Times New Roman"/>
                <w:sz w:val="20"/>
                <w:szCs w:val="20"/>
              </w:rPr>
            </w:pPr>
          </w:p>
        </w:tc>
        <w:tc>
          <w:tcPr>
            <w:tcW w:w="1899" w:type="dxa"/>
            <w:tcBorders>
              <w:left w:val="single" w:sz="2" w:space="0" w:color="000000" w:themeColor="text1"/>
            </w:tcBorders>
            <w:hideMark/>
          </w:tcPr>
          <w:p w14:paraId="34F928FF" w14:textId="77777777" w:rsidR="00FD3719" w:rsidRDefault="00FD3719" w:rsidP="00443418">
            <w:pPr>
              <w:jc w:val="center"/>
              <w:rPr>
                <w:rFonts w:eastAsia="Times New Roman"/>
                <w:sz w:val="20"/>
                <w:szCs w:val="20"/>
              </w:rPr>
            </w:pPr>
          </w:p>
        </w:tc>
      </w:tr>
      <w:tr w:rsidR="00FD3719" w14:paraId="456A0455" w14:textId="77777777" w:rsidTr="00B860AF">
        <w:trPr>
          <w:cnfStyle w:val="000000010000" w:firstRow="0" w:lastRow="0" w:firstColumn="0" w:lastColumn="0" w:oddVBand="0" w:evenVBand="0" w:oddHBand="0" w:evenHBand="1" w:firstRowFirstColumn="0" w:firstRowLastColumn="0" w:lastRowFirstColumn="0" w:lastRowLastColumn="0"/>
        </w:trPr>
        <w:tc>
          <w:tcPr>
            <w:tcW w:w="7938" w:type="dxa"/>
            <w:tcBorders>
              <w:right w:val="single" w:sz="2" w:space="0" w:color="000000" w:themeColor="text1"/>
            </w:tcBorders>
            <w:hideMark/>
          </w:tcPr>
          <w:p w14:paraId="72A77854" w14:textId="77777777" w:rsidR="00FD3719" w:rsidRDefault="00FD3719">
            <w:pPr>
              <w:pStyle w:val="NormalWeb"/>
              <w:rPr>
                <w:sz w:val="24"/>
                <w:szCs w:val="24"/>
              </w:rPr>
            </w:pPr>
            <w:r>
              <w:t>Hospital clinic</w:t>
            </w:r>
          </w:p>
        </w:tc>
        <w:tc>
          <w:tcPr>
            <w:tcW w:w="1560" w:type="dxa"/>
            <w:tcBorders>
              <w:left w:val="single" w:sz="2" w:space="0" w:color="000000" w:themeColor="text1"/>
              <w:right w:val="single" w:sz="2" w:space="0" w:color="000000" w:themeColor="text1"/>
            </w:tcBorders>
            <w:hideMark/>
          </w:tcPr>
          <w:p w14:paraId="1DC01206" w14:textId="77777777" w:rsidR="00FD3719" w:rsidRDefault="00FD3719" w:rsidP="00443418">
            <w:pPr>
              <w:pStyle w:val="NormalWeb"/>
              <w:jc w:val="center"/>
            </w:pPr>
            <w:r>
              <w:t>96.5</w:t>
            </w:r>
          </w:p>
        </w:tc>
        <w:tc>
          <w:tcPr>
            <w:tcW w:w="1842" w:type="dxa"/>
            <w:tcBorders>
              <w:left w:val="single" w:sz="2" w:space="0" w:color="000000" w:themeColor="text1"/>
              <w:right w:val="single" w:sz="2" w:space="0" w:color="000000" w:themeColor="text1"/>
            </w:tcBorders>
            <w:hideMark/>
          </w:tcPr>
          <w:p w14:paraId="6C802C0C" w14:textId="77777777" w:rsidR="00FD3719" w:rsidRDefault="00FD3719" w:rsidP="00443418">
            <w:pPr>
              <w:pStyle w:val="NormalWeb"/>
              <w:jc w:val="center"/>
            </w:pPr>
            <w:r>
              <w:t>(87.9-99.6)</w:t>
            </w:r>
          </w:p>
        </w:tc>
        <w:tc>
          <w:tcPr>
            <w:tcW w:w="1701" w:type="dxa"/>
            <w:tcBorders>
              <w:left w:val="single" w:sz="2" w:space="0" w:color="000000" w:themeColor="text1"/>
              <w:right w:val="single" w:sz="2" w:space="0" w:color="000000" w:themeColor="text1"/>
            </w:tcBorders>
            <w:hideMark/>
          </w:tcPr>
          <w:p w14:paraId="0C26A739" w14:textId="77777777" w:rsidR="00FD3719" w:rsidRDefault="00FD3719" w:rsidP="00443418">
            <w:pPr>
              <w:pStyle w:val="NormalWeb"/>
              <w:jc w:val="center"/>
            </w:pPr>
            <w:r>
              <w:t>72.7</w:t>
            </w:r>
          </w:p>
        </w:tc>
        <w:tc>
          <w:tcPr>
            <w:tcW w:w="1899" w:type="dxa"/>
            <w:tcBorders>
              <w:left w:val="single" w:sz="2" w:space="0" w:color="000000" w:themeColor="text1"/>
            </w:tcBorders>
            <w:hideMark/>
          </w:tcPr>
          <w:p w14:paraId="41E9E7AF" w14:textId="77777777" w:rsidR="00FD3719" w:rsidRDefault="00FD3719" w:rsidP="00443418">
            <w:pPr>
              <w:pStyle w:val="NormalWeb"/>
              <w:jc w:val="center"/>
            </w:pPr>
            <w:r>
              <w:t>(49.8-89.3)</w:t>
            </w:r>
          </w:p>
        </w:tc>
      </w:tr>
      <w:tr w:rsidR="005A781C" w14:paraId="35CEC519" w14:textId="77777777" w:rsidTr="00B860AF">
        <w:tc>
          <w:tcPr>
            <w:tcW w:w="7938" w:type="dxa"/>
            <w:tcBorders>
              <w:right w:val="single" w:sz="2" w:space="0" w:color="000000" w:themeColor="text1"/>
            </w:tcBorders>
            <w:hideMark/>
          </w:tcPr>
          <w:p w14:paraId="0F350FF7" w14:textId="77777777" w:rsidR="00FD3719" w:rsidRDefault="00FD3719">
            <w:pPr>
              <w:pStyle w:val="NormalWeb"/>
            </w:pPr>
            <w:r>
              <w:t>Private obstetrician</w:t>
            </w:r>
          </w:p>
        </w:tc>
        <w:tc>
          <w:tcPr>
            <w:tcW w:w="1560" w:type="dxa"/>
            <w:tcBorders>
              <w:left w:val="single" w:sz="2" w:space="0" w:color="000000" w:themeColor="text1"/>
              <w:right w:val="single" w:sz="2" w:space="0" w:color="000000" w:themeColor="text1"/>
            </w:tcBorders>
            <w:hideMark/>
          </w:tcPr>
          <w:p w14:paraId="01B23D78" w14:textId="77777777" w:rsidR="00FD3719" w:rsidRDefault="00FD3719" w:rsidP="00443418">
            <w:pPr>
              <w:pStyle w:val="NormalWeb"/>
              <w:jc w:val="center"/>
            </w:pPr>
            <w:r>
              <w:t>93.3</w:t>
            </w:r>
          </w:p>
        </w:tc>
        <w:tc>
          <w:tcPr>
            <w:tcW w:w="1842" w:type="dxa"/>
            <w:tcBorders>
              <w:left w:val="single" w:sz="2" w:space="0" w:color="000000" w:themeColor="text1"/>
              <w:right w:val="single" w:sz="2" w:space="0" w:color="000000" w:themeColor="text1"/>
            </w:tcBorders>
            <w:hideMark/>
          </w:tcPr>
          <w:p w14:paraId="2DECC3B1" w14:textId="77777777" w:rsidR="00FD3719" w:rsidRDefault="00FD3719" w:rsidP="00443418">
            <w:pPr>
              <w:pStyle w:val="NormalWeb"/>
              <w:jc w:val="center"/>
            </w:pPr>
            <w:r>
              <w:t>(68.1-99.8)</w:t>
            </w:r>
          </w:p>
        </w:tc>
        <w:tc>
          <w:tcPr>
            <w:tcW w:w="1701" w:type="dxa"/>
            <w:tcBorders>
              <w:left w:val="single" w:sz="2" w:space="0" w:color="000000" w:themeColor="text1"/>
              <w:right w:val="single" w:sz="2" w:space="0" w:color="000000" w:themeColor="text1"/>
            </w:tcBorders>
            <w:hideMark/>
          </w:tcPr>
          <w:p w14:paraId="6F1C1F63" w14:textId="77777777" w:rsidR="00FD3719" w:rsidRDefault="00FD3719" w:rsidP="00443418">
            <w:pPr>
              <w:pStyle w:val="NormalWeb"/>
              <w:jc w:val="center"/>
            </w:pPr>
            <w:r>
              <w:t>66.7</w:t>
            </w:r>
          </w:p>
        </w:tc>
        <w:tc>
          <w:tcPr>
            <w:tcW w:w="1899" w:type="dxa"/>
            <w:tcBorders>
              <w:left w:val="single" w:sz="2" w:space="0" w:color="000000" w:themeColor="text1"/>
            </w:tcBorders>
            <w:hideMark/>
          </w:tcPr>
          <w:p w14:paraId="24ED11C0" w14:textId="77777777" w:rsidR="00FD3719" w:rsidRDefault="00FD3719" w:rsidP="00443418">
            <w:pPr>
              <w:pStyle w:val="NormalWeb"/>
              <w:jc w:val="center"/>
            </w:pPr>
            <w:r>
              <w:t>(9.4-99.2)</w:t>
            </w:r>
          </w:p>
        </w:tc>
      </w:tr>
    </w:tbl>
    <w:p w14:paraId="586C1B75" w14:textId="77777777" w:rsidR="00FD3719" w:rsidRDefault="00FD3719" w:rsidP="007573A0">
      <w:pPr>
        <w:pStyle w:val="CDIfootnotes"/>
      </w:pPr>
      <w:r>
        <w:rPr>
          <w:vertAlign w:val="superscript"/>
        </w:rPr>
        <w:t>*</w:t>
      </w:r>
      <w:r>
        <w:tab/>
        <w:t>95% confidence interval</w:t>
      </w:r>
    </w:p>
    <w:p w14:paraId="46664D5E" w14:textId="77777777" w:rsidR="00FD3719" w:rsidRDefault="00FD3719" w:rsidP="007573A0">
      <w:pPr>
        <w:pStyle w:val="CDIfootnotes"/>
      </w:pPr>
      <w:r>
        <w:rPr>
          <w:vertAlign w:val="superscript"/>
        </w:rPr>
        <w:t>†</w:t>
      </w:r>
      <w:r>
        <w:tab/>
        <w:t>The healthcare provider whom the woman reported receiving the majority of her antenatal care from.</w:t>
      </w:r>
    </w:p>
    <w:p w14:paraId="5DB2DE45" w14:textId="77777777" w:rsidR="00145A8F" w:rsidRDefault="00145A8F">
      <w:pPr>
        <w:pStyle w:val="Heading1"/>
        <w:rPr>
          <w:rFonts w:eastAsia="Times New Roman"/>
        </w:rPr>
        <w:sectPr w:rsidR="00145A8F" w:rsidSect="00C6581B">
          <w:pgSz w:w="16838" w:h="11906" w:orient="landscape"/>
          <w:pgMar w:top="720" w:right="720" w:bottom="720" w:left="1134" w:header="709" w:footer="284" w:gutter="0"/>
          <w:cols w:space="708"/>
          <w:titlePg/>
          <w:docGrid w:linePitch="360"/>
        </w:sectPr>
      </w:pPr>
    </w:p>
    <w:p w14:paraId="3205F614" w14:textId="77777777" w:rsidR="00FD3719" w:rsidRDefault="00FD3719">
      <w:pPr>
        <w:pStyle w:val="Heading1"/>
        <w:rPr>
          <w:rFonts w:eastAsia="Times New Roman"/>
        </w:rPr>
      </w:pPr>
      <w:r>
        <w:rPr>
          <w:rFonts w:eastAsia="Times New Roman"/>
        </w:rPr>
        <w:lastRenderedPageBreak/>
        <w:t>Discussion</w:t>
      </w:r>
    </w:p>
    <w:p w14:paraId="29BE1E28" w14:textId="77777777" w:rsidR="00FD3719" w:rsidRDefault="00FD3719" w:rsidP="007573A0">
      <w:r>
        <w:t xml:space="preserve">We observed low sensitivity and specificity of influenza and pertussis vaccination information obtained from the MNS as compared with self-reported information and vaccine provider records due to 28-34% of MNS vaccination fields having </w:t>
      </w:r>
      <w:proofErr w:type="gramStart"/>
      <w:r>
        <w:t>missing</w:t>
      </w:r>
      <w:proofErr w:type="gramEnd"/>
      <w:r>
        <w:t xml:space="preserve"> or unknown vaccination status. After excluding women with missing or unknown vaccination status in the MNS, we observed high sensitivity and specificity. Given MNS vaccination fields were not differentially missing or unknown for vaccinated women compared to unvaccinated, vaccination data from complete records in the MNS are a potential data source for routinely monitoring antenatal vaccine coverage. However, more complete documentation of MNS vaccination fields would facilitate improved use of these MNS data for monitoring antenatal vaccine coverage.</w:t>
      </w:r>
    </w:p>
    <w:p w14:paraId="7D97A38B" w14:textId="77777777" w:rsidR="00FD3719" w:rsidRDefault="00FD3719" w:rsidP="007573A0">
      <w:r>
        <w:t>The proportion of women giving birth in Western Australia with complete antenatal influenza and pertussis vaccination information in the MNS has increased since these data fields were introduced in July 2016. Between September 2016 and September 2018, completeness increased from 65% to 84% for the influenza vaccination field</w:t>
      </w:r>
      <w:r>
        <w:rPr>
          <w:vertAlign w:val="superscript"/>
        </w:rPr>
        <w:t>19</w:t>
      </w:r>
      <w:r>
        <w:t xml:space="preserve"> and from 66% to 84% for the pertussis vaccination </w:t>
      </w:r>
      <w:r w:rsidR="007573A0">
        <w:t>field</w:t>
      </w:r>
      <w:r w:rsidR="007573A0">
        <w:rPr>
          <w:vertAlign w:val="superscript"/>
        </w:rPr>
        <w:t>20</w:t>
      </w:r>
      <w:r w:rsidR="007573A0">
        <w:t>;</w:t>
      </w:r>
      <w:r>
        <w:t xml:space="preserve"> this may be due to better data recording and/or improvements to data entry processes. Although vaccination status was a mandated field at the time of this study, since this study’s completion, the MNS system has been reconfigured to prevent blank vaccination fields, i.e. antenatal influenza and pertussis vaccination status must be recorded as ‘vaccinated’, ‘not-vaccinated’ or ‘unknown’. Further improvement in the completeness of reporting the MNS vaccination fields (i.e. reducing the ‘unknowns’) is still possible and should be encouraged.</w:t>
      </w:r>
    </w:p>
    <w:p w14:paraId="3D6A027C" w14:textId="77777777" w:rsidR="00FD3719" w:rsidRDefault="00FD3719" w:rsidP="007573A0">
      <w:r>
        <w:t>Findings from this study suggest a mandatory vaccination field in the MNS would offer better sensitivity and specificity compared to non-mandatory, purpose-built antenatal vaccination data collections.</w:t>
      </w:r>
      <w:r>
        <w:rPr>
          <w:vertAlign w:val="superscript"/>
        </w:rPr>
        <w:t>21</w:t>
      </w:r>
      <w:r>
        <w:t xml:space="preserve"> The Western Australian Antenatal Vaccination Database relied on passive reporting by immunisation providers of vaccines administered to pregnant women to the Western Australia Department of Health. A previous evaluation of this database found that although the specificity of this system exceeded 99%, its sensitivity was low (48%).</w:t>
      </w:r>
      <w:r>
        <w:rPr>
          <w:vertAlign w:val="superscript"/>
        </w:rPr>
        <w:t>21</w:t>
      </w:r>
      <w:r>
        <w:t xml:space="preserve"> In contrast to non-mandatory, purpose-built antenatal vaccination data collections, a mandatory vaccination field in the MNS and equivalent data collection systems in other jurisdictions could allow for surveillance of antenatal vaccination nationally. However, given that sensitivity has been consistently lowest for women who receive private antenatal care as measured by both non-mandatory database and the MNS data capture may be poorer for some groups of women.</w:t>
      </w:r>
    </w:p>
    <w:p w14:paraId="26EE139C" w14:textId="77777777" w:rsidR="00FD3719" w:rsidRDefault="00FD3719" w:rsidP="007573A0">
      <w:r>
        <w:t>Vaccination fields in the MNS are completed at, or soon after, birth so the quality of the vaccination information in a perinatal data collection is likely to depend on access to the woman’s vaccination records and ability/willingness to obtain self-reported vaccination status from recently-delivered mothers. Given this, there are several opportunities to further improve the quality and usability of vaccination information in perinatal data collections. First, the National Handheld Pregnancy Record provides a paper-based record of vaccines received during pregnancy.</w:t>
      </w:r>
      <w:r>
        <w:rPr>
          <w:vertAlign w:val="superscript"/>
        </w:rPr>
        <w:t>22</w:t>
      </w:r>
      <w:r>
        <w:t xml:space="preserve"> Promoting use of this record may allow medical professionals completing vaccination fields in perinatal data collections to </w:t>
      </w:r>
      <w:proofErr w:type="gramStart"/>
      <w:r>
        <w:t>more readily complete this information</w:t>
      </w:r>
      <w:proofErr w:type="gramEnd"/>
      <w:r>
        <w:t xml:space="preserve">. Second, retrievable electronic records which maintain vaccination information are useful for providing vaccination information. These are available in cases when the woman is delivering in the hospital where she received the majority of her </w:t>
      </w:r>
      <w:proofErr w:type="gramStart"/>
      <w:r>
        <w:t>care, but</w:t>
      </w:r>
      <w:proofErr w:type="gramEnd"/>
      <w:r>
        <w:t xml:space="preserve"> may not necessarily be available in other settings. Third, promoting entry of antenatal vaccinations by all immunisation providers (both public and private) on the Australian Immunisation Register (AIR) and ensuring medical professionals can access these records would allow consistent electronic recording of antenatal vaccination.</w:t>
      </w:r>
      <w:r>
        <w:rPr>
          <w:vertAlign w:val="superscript"/>
        </w:rPr>
        <w:t>23</w:t>
      </w:r>
      <w:r>
        <w:t xml:space="preserve"> Recording in AIR offers several advantages, including: 1) it is a national register; 2) the records are retrievable by multiple health providers; and 3) it is the system currently used to routinely monitor coverage for most government-funded vaccines. Providing training to midwives who complete perinatal data collection records on additional sources of vaccine information for pregnant women, such as AIR and the National Handheld Pregnancy Record, is likely to be helpful. However, it needs to be remembered that AIR neither records pregnancy status at the time of vaccination nor provides denominator data </w:t>
      </w:r>
      <w:r>
        <w:lastRenderedPageBreak/>
        <w:t>about the total number of pregnant women eligible for antenatal vaccination, so it cannot be used alone to monitor antenatal vaccination coverage. Fourth, midwives should be made aware that self-report has been shown to be an accurate and valid method of ascertaining antenatal vaccination status, in both Aboriginal</w:t>
      </w:r>
      <w:r>
        <w:rPr>
          <w:vertAlign w:val="superscript"/>
        </w:rPr>
        <w:t>16</w:t>
      </w:r>
      <w:r>
        <w:t xml:space="preserve"> and non-Aboriginal</w:t>
      </w:r>
      <w:r>
        <w:rPr>
          <w:vertAlign w:val="superscript"/>
        </w:rPr>
        <w:t>15,24</w:t>
      </w:r>
      <w:r>
        <w:t xml:space="preserve"> women, so it is reasonable to record a woman’s self-reported vaccination status in the MNS without seeking confirmation from a medical record or AIR. Fifth, enabling midwives to enter antenatal vaccinations into the MNS throughout pregnancy could improve data quality. A recent Australian study has suggested this could improve the completeness of antenatal vaccination records.</w:t>
      </w:r>
      <w:r>
        <w:rPr>
          <w:vertAlign w:val="superscript"/>
        </w:rPr>
        <w:t>25</w:t>
      </w:r>
      <w:r>
        <w:t xml:space="preserve"> </w:t>
      </w:r>
    </w:p>
    <w:p w14:paraId="167302DE" w14:textId="77777777" w:rsidR="00FD3719" w:rsidRDefault="00FD3719" w:rsidP="007573A0">
      <w:r>
        <w:t>At time of writing, 4 Australian states collect antenatal vaccination information as part of the state perinatal data collection: Queensland, Victoria, New South Wales, and Western Australia.</w:t>
      </w:r>
      <w:r>
        <w:rPr>
          <w:vertAlign w:val="superscript"/>
        </w:rPr>
        <w:t>26,27</w:t>
      </w:r>
      <w:r>
        <w:t xml:space="preserve"> However, each jurisdiction collects the data slightly differently and antenatal vaccination is not included in the national perinatal data collection.</w:t>
      </w:r>
      <w:r>
        <w:rPr>
          <w:vertAlign w:val="superscript"/>
        </w:rPr>
        <w:t>28</w:t>
      </w:r>
      <w:r>
        <w:t xml:space="preserve"> Currently, there remain substantial gaps in routinely available information on national antenatal vaccine coverage which should be addressed because these data could be used to inform current antenatal vaccination programs and, given the apparent safety and immunogenicity of pertussis vaccination at birth</w:t>
      </w:r>
      <w:r>
        <w:rPr>
          <w:vertAlign w:val="superscript"/>
        </w:rPr>
        <w:t>29</w:t>
      </w:r>
      <w:r>
        <w:t xml:space="preserve"> , to identify babies who could benefit from this intervention. In view of the benefits of antenatal vaccination to both mothers and infants and the currently suboptimal uptake of these vaccines among pregnant women, routine monitoring of antenatal vaccination is essential for promoting maternal and infant health in Australia. </w:t>
      </w:r>
    </w:p>
    <w:p w14:paraId="5541C528" w14:textId="77777777" w:rsidR="00FD3719" w:rsidRPr="007573A0" w:rsidRDefault="00FD3719" w:rsidP="007573A0">
      <w:pPr>
        <w:pStyle w:val="Heading1"/>
      </w:pPr>
      <w:r w:rsidRPr="007573A0">
        <w:t>Acknowledgements</w:t>
      </w:r>
    </w:p>
    <w:p w14:paraId="57356672" w14:textId="77777777" w:rsidR="00FD3719" w:rsidRDefault="00FD3719" w:rsidP="007573A0">
      <w:r>
        <w:t xml:space="preserve">The authors would like to acknowledge Maureen Hutchinson, Belinda </w:t>
      </w:r>
      <w:proofErr w:type="gramStart"/>
      <w:r>
        <w:t>Jennings</w:t>
      </w:r>
      <w:proofErr w:type="gramEnd"/>
      <w:r>
        <w:t xml:space="preserve"> and the staff at the Maternal and Child Health Unit supporting the Midwives Notification System for their assistance in providing project data.</w:t>
      </w:r>
    </w:p>
    <w:p w14:paraId="36A8183A" w14:textId="77777777" w:rsidR="00FD3719" w:rsidRDefault="00FD3719" w:rsidP="007573A0">
      <w:pPr>
        <w:pStyle w:val="Heading1"/>
        <w:rPr>
          <w:rFonts w:eastAsia="Times New Roman"/>
        </w:rPr>
      </w:pPr>
      <w:r>
        <w:rPr>
          <w:rFonts w:eastAsia="Times New Roman"/>
        </w:rPr>
        <w:t>Author details</w:t>
      </w:r>
    </w:p>
    <w:p w14:paraId="69B649BA" w14:textId="77777777" w:rsidR="00FD3719" w:rsidRDefault="00FD3719" w:rsidP="007573A0">
      <w:pPr>
        <w:pStyle w:val="NoSpacing"/>
      </w:pPr>
      <w:r>
        <w:t>Dr Annette Regan</w:t>
      </w:r>
      <w:r>
        <w:rPr>
          <w:vertAlign w:val="superscript"/>
        </w:rPr>
        <w:t>1,2,3</w:t>
      </w:r>
      <w:r>
        <w:t xml:space="preserve"> ,Research Fellow, School of Public Health, Curtin University</w:t>
      </w:r>
    </w:p>
    <w:p w14:paraId="11374A8D" w14:textId="77777777" w:rsidR="00FD3719" w:rsidRDefault="00FD3719" w:rsidP="007573A0">
      <w:pPr>
        <w:pStyle w:val="NoSpacing"/>
      </w:pPr>
      <w:r>
        <w:t>Prof Paul V Effler</w:t>
      </w:r>
      <w:r>
        <w:rPr>
          <w:vertAlign w:val="superscript"/>
        </w:rPr>
        <w:t>4,5</w:t>
      </w:r>
      <w:r>
        <w:t xml:space="preserve"> , Medical Coordinator, Communicable Disease Control Directorate, Department of Health Western Australia</w:t>
      </w:r>
    </w:p>
    <w:p w14:paraId="1133BEDE" w14:textId="77777777" w:rsidR="00FD3719" w:rsidRDefault="00FD3719" w:rsidP="007573A0">
      <w:pPr>
        <w:pStyle w:val="NoSpacing"/>
      </w:pPr>
      <w:r>
        <w:t>Ms Chloe Thomson</w:t>
      </w:r>
      <w:r>
        <w:rPr>
          <w:vertAlign w:val="superscript"/>
        </w:rPr>
        <w:t>4,6</w:t>
      </w:r>
      <w:r>
        <w:t xml:space="preserve"> , Project Officer, Communicable Disease Control Directorate, Department of Health Western Australia</w:t>
      </w:r>
    </w:p>
    <w:p w14:paraId="092E149B" w14:textId="77777777" w:rsidR="00FD3719" w:rsidRDefault="00FD3719" w:rsidP="007573A0">
      <w:pPr>
        <w:pStyle w:val="NoSpacing"/>
      </w:pPr>
      <w:r>
        <w:t>Prof Donna B Mak,</w:t>
      </w:r>
      <w:r>
        <w:rPr>
          <w:vertAlign w:val="superscript"/>
        </w:rPr>
        <w:t>4,7</w:t>
      </w:r>
      <w:r>
        <w:t xml:space="preserve"> Public Health Physician, Communicable Disease Control Directorate, Department of Health Western Australia</w:t>
      </w:r>
    </w:p>
    <w:p w14:paraId="47D93C80" w14:textId="77777777" w:rsidR="00FD3719" w:rsidRPr="007573A0" w:rsidRDefault="00FD3719" w:rsidP="007573A0">
      <w:pPr>
        <w:pStyle w:val="ListParagraph"/>
        <w:numPr>
          <w:ilvl w:val="0"/>
          <w:numId w:val="9"/>
        </w:numPr>
        <w:spacing w:before="100" w:beforeAutospacing="1" w:after="100" w:afterAutospacing="1" w:line="240" w:lineRule="auto"/>
        <w:rPr>
          <w:rFonts w:eastAsia="Times New Roman"/>
        </w:rPr>
      </w:pPr>
      <w:r w:rsidRPr="007573A0">
        <w:rPr>
          <w:rFonts w:eastAsia="Times New Roman"/>
        </w:rPr>
        <w:t>School of Public Health, Curtin University</w:t>
      </w:r>
    </w:p>
    <w:p w14:paraId="73F2CB32" w14:textId="77777777" w:rsidR="00FD3719" w:rsidRPr="007573A0" w:rsidRDefault="00FD3719" w:rsidP="007573A0">
      <w:pPr>
        <w:pStyle w:val="ListParagraph"/>
        <w:numPr>
          <w:ilvl w:val="0"/>
          <w:numId w:val="9"/>
        </w:numPr>
        <w:spacing w:before="100" w:beforeAutospacing="1" w:after="100" w:afterAutospacing="1" w:line="240" w:lineRule="auto"/>
        <w:rPr>
          <w:rFonts w:eastAsia="Times New Roman"/>
        </w:rPr>
      </w:pPr>
      <w:r w:rsidRPr="007573A0">
        <w:rPr>
          <w:rFonts w:eastAsia="Times New Roman"/>
        </w:rPr>
        <w:t>Wesfarmers Centre for Vaccines and Infectious Diseases, Telethon Kids Institute</w:t>
      </w:r>
    </w:p>
    <w:p w14:paraId="446A2F0E" w14:textId="77777777" w:rsidR="00FD3719" w:rsidRPr="007573A0" w:rsidRDefault="00FD3719" w:rsidP="007573A0">
      <w:pPr>
        <w:pStyle w:val="ListParagraph"/>
        <w:numPr>
          <w:ilvl w:val="0"/>
          <w:numId w:val="9"/>
        </w:numPr>
        <w:spacing w:before="100" w:beforeAutospacing="1" w:after="100" w:afterAutospacing="1" w:line="240" w:lineRule="auto"/>
        <w:rPr>
          <w:rFonts w:eastAsia="Times New Roman"/>
        </w:rPr>
      </w:pPr>
      <w:r w:rsidRPr="007573A0">
        <w:rPr>
          <w:rFonts w:eastAsia="Times New Roman"/>
        </w:rPr>
        <w:t>School of Public Health, Texas A&amp;M University</w:t>
      </w:r>
    </w:p>
    <w:p w14:paraId="389C0986" w14:textId="77777777" w:rsidR="00FD3719" w:rsidRPr="007573A0" w:rsidRDefault="00FD3719" w:rsidP="007573A0">
      <w:pPr>
        <w:pStyle w:val="ListParagraph"/>
        <w:numPr>
          <w:ilvl w:val="0"/>
          <w:numId w:val="9"/>
        </w:numPr>
        <w:spacing w:before="100" w:beforeAutospacing="1" w:after="100" w:afterAutospacing="1" w:line="240" w:lineRule="auto"/>
        <w:rPr>
          <w:rFonts w:eastAsia="Times New Roman"/>
        </w:rPr>
      </w:pPr>
      <w:r w:rsidRPr="007573A0">
        <w:rPr>
          <w:rFonts w:eastAsia="Times New Roman"/>
        </w:rPr>
        <w:t>Communicable Disease Control Directorate, Department of Health Western Australia</w:t>
      </w:r>
    </w:p>
    <w:p w14:paraId="55262090" w14:textId="77777777" w:rsidR="00FD3719" w:rsidRPr="007573A0" w:rsidRDefault="00FD3719" w:rsidP="007573A0">
      <w:pPr>
        <w:pStyle w:val="ListParagraph"/>
        <w:numPr>
          <w:ilvl w:val="0"/>
          <w:numId w:val="9"/>
        </w:numPr>
        <w:spacing w:before="100" w:beforeAutospacing="1" w:after="100" w:afterAutospacing="1" w:line="240" w:lineRule="auto"/>
        <w:rPr>
          <w:rFonts w:eastAsia="Times New Roman"/>
        </w:rPr>
      </w:pPr>
      <w:r w:rsidRPr="007573A0">
        <w:rPr>
          <w:rFonts w:eastAsia="Times New Roman"/>
        </w:rPr>
        <w:t>School of Pathology and Laboratory Medicine, University of Western Australia</w:t>
      </w:r>
    </w:p>
    <w:p w14:paraId="32BC07B5" w14:textId="77777777" w:rsidR="00FD3719" w:rsidRPr="007573A0" w:rsidRDefault="00FD3719" w:rsidP="007573A0">
      <w:pPr>
        <w:pStyle w:val="ListParagraph"/>
        <w:numPr>
          <w:ilvl w:val="0"/>
          <w:numId w:val="9"/>
        </w:numPr>
        <w:spacing w:before="100" w:beforeAutospacing="1" w:after="100" w:afterAutospacing="1" w:line="240" w:lineRule="auto"/>
        <w:rPr>
          <w:rFonts w:eastAsia="Times New Roman"/>
        </w:rPr>
      </w:pPr>
      <w:r w:rsidRPr="007573A0">
        <w:rPr>
          <w:rFonts w:eastAsia="Times New Roman"/>
        </w:rPr>
        <w:t>School of Population and Global Health, University of Western Australia</w:t>
      </w:r>
    </w:p>
    <w:p w14:paraId="72808AF6" w14:textId="77777777" w:rsidR="00FD3719" w:rsidRPr="007573A0" w:rsidRDefault="00FD3719" w:rsidP="007573A0">
      <w:pPr>
        <w:pStyle w:val="ListParagraph"/>
        <w:numPr>
          <w:ilvl w:val="0"/>
          <w:numId w:val="9"/>
        </w:numPr>
        <w:spacing w:before="100" w:beforeAutospacing="1" w:after="100" w:afterAutospacing="1" w:line="240" w:lineRule="auto"/>
        <w:rPr>
          <w:rFonts w:eastAsia="Times New Roman"/>
        </w:rPr>
      </w:pPr>
      <w:r w:rsidRPr="007573A0">
        <w:rPr>
          <w:rFonts w:eastAsia="Times New Roman"/>
        </w:rPr>
        <w:t xml:space="preserve">School of Medicine, University of Notre Dame </w:t>
      </w:r>
    </w:p>
    <w:p w14:paraId="485FE1E6" w14:textId="77777777" w:rsidR="00FD3719" w:rsidRPr="007573A0" w:rsidRDefault="00FD3719" w:rsidP="007573A0">
      <w:pPr>
        <w:pStyle w:val="Heading2"/>
      </w:pPr>
      <w:r w:rsidRPr="007573A0">
        <w:t>Corresponding author</w:t>
      </w:r>
    </w:p>
    <w:p w14:paraId="216A0900" w14:textId="77777777" w:rsidR="00FD3719" w:rsidRDefault="00FD3719" w:rsidP="007573A0">
      <w:r>
        <w:t>Dr Annette Regan School of Public Health, Curtin University GPO Box U1987 Perth WA 6845 Telephone: (02) 9388 2168 Email: Annette.Regan@curtin.edu.au</w:t>
      </w:r>
    </w:p>
    <w:p w14:paraId="7BE813AC" w14:textId="77777777" w:rsidR="00BF0929" w:rsidRDefault="00BF0929">
      <w:pPr>
        <w:rPr>
          <w:rFonts w:asciiTheme="majorHAnsi" w:eastAsiaTheme="majorEastAsia" w:hAnsiTheme="majorHAnsi" w:cstheme="majorBidi"/>
          <w:b/>
          <w:bCs/>
          <w:sz w:val="32"/>
          <w:szCs w:val="28"/>
        </w:rPr>
      </w:pPr>
      <w:r>
        <w:br w:type="page"/>
      </w:r>
    </w:p>
    <w:p w14:paraId="1147A30D" w14:textId="77777777" w:rsidR="00FD3719" w:rsidRPr="007573A0" w:rsidRDefault="00FD3719" w:rsidP="007573A0">
      <w:pPr>
        <w:pStyle w:val="Heading1"/>
      </w:pPr>
      <w:r w:rsidRPr="007573A0">
        <w:lastRenderedPageBreak/>
        <w:t>References</w:t>
      </w:r>
    </w:p>
    <w:p w14:paraId="0446DD0D"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Australian Technical Advisory Group on Immunisation (ATAGI). Australian Immunisation Handbook. 10</w:t>
      </w:r>
      <w:r w:rsidRPr="007573A0">
        <w:rPr>
          <w:rFonts w:eastAsia="Times New Roman"/>
          <w:vertAlign w:val="superscript"/>
        </w:rPr>
        <w:t>th</w:t>
      </w:r>
      <w:r w:rsidRPr="007573A0">
        <w:rPr>
          <w:rFonts w:eastAsia="Times New Roman"/>
        </w:rPr>
        <w:t xml:space="preserve"> </w:t>
      </w:r>
      <w:proofErr w:type="spellStart"/>
      <w:r w:rsidRPr="007573A0">
        <w:rPr>
          <w:rFonts w:eastAsia="Times New Roman"/>
        </w:rPr>
        <w:t>edn</w:t>
      </w:r>
      <w:proofErr w:type="spellEnd"/>
      <w:r w:rsidRPr="007573A0">
        <w:rPr>
          <w:rFonts w:eastAsia="Times New Roman"/>
        </w:rPr>
        <w:t>. Canberra (ACT): Australian Government Department of Health; 2016.</w:t>
      </w:r>
    </w:p>
    <w:p w14:paraId="2D9AFF76"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proofErr w:type="spellStart"/>
      <w:r w:rsidRPr="007573A0">
        <w:rPr>
          <w:rFonts w:eastAsia="Times New Roman"/>
        </w:rPr>
        <w:t>Centers</w:t>
      </w:r>
      <w:proofErr w:type="spellEnd"/>
      <w:r w:rsidRPr="007573A0">
        <w:rPr>
          <w:rFonts w:eastAsia="Times New Roman"/>
        </w:rPr>
        <w:t xml:space="preserve"> for Disease Control and Prevention (CDC). Updated recommendations for use of tetanus toxoid, reduced diphtheria toxoid, and acellular pertussis vaccine (Tdap) in pregnant women – Advisory Committee on Immunization Practices (ACIP), 2012. MMWR </w:t>
      </w:r>
      <w:proofErr w:type="spellStart"/>
      <w:r w:rsidRPr="007573A0">
        <w:rPr>
          <w:rFonts w:eastAsia="Times New Roman"/>
        </w:rPr>
        <w:t>Morb</w:t>
      </w:r>
      <w:proofErr w:type="spellEnd"/>
      <w:r w:rsidRPr="007573A0">
        <w:rPr>
          <w:rFonts w:eastAsia="Times New Roman"/>
        </w:rPr>
        <w:t xml:space="preserve"> Mortal </w:t>
      </w:r>
      <w:proofErr w:type="spellStart"/>
      <w:r w:rsidRPr="007573A0">
        <w:rPr>
          <w:rFonts w:eastAsia="Times New Roman"/>
        </w:rPr>
        <w:t>Wkly</w:t>
      </w:r>
      <w:proofErr w:type="spellEnd"/>
      <w:r w:rsidRPr="007573A0">
        <w:rPr>
          <w:rFonts w:eastAsia="Times New Roman"/>
        </w:rPr>
        <w:t xml:space="preserve"> Rep 2013;62(7):131—5.</w:t>
      </w:r>
    </w:p>
    <w:p w14:paraId="2E470D23"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Harper SA, Fukuda K, </w:t>
      </w:r>
      <w:proofErr w:type="spellStart"/>
      <w:r w:rsidRPr="007573A0">
        <w:rPr>
          <w:rFonts w:eastAsia="Times New Roman"/>
        </w:rPr>
        <w:t>Uyeki</w:t>
      </w:r>
      <w:proofErr w:type="spellEnd"/>
      <w:r w:rsidRPr="007573A0">
        <w:rPr>
          <w:rFonts w:eastAsia="Times New Roman"/>
        </w:rPr>
        <w:t xml:space="preserve"> TM, Cox NJ, Bridges CB. Prevention and control of influenza: recommendations of the Advisory Committee on Immunization Practices (ACIP). MMWR </w:t>
      </w:r>
      <w:proofErr w:type="spellStart"/>
      <w:r w:rsidRPr="007573A0">
        <w:rPr>
          <w:rFonts w:eastAsia="Times New Roman"/>
        </w:rPr>
        <w:t>Recomm</w:t>
      </w:r>
      <w:proofErr w:type="spellEnd"/>
      <w:r w:rsidRPr="007573A0">
        <w:rPr>
          <w:rFonts w:eastAsia="Times New Roman"/>
        </w:rPr>
        <w:t xml:space="preserve"> Rep 2004;53(6):1—40.</w:t>
      </w:r>
    </w:p>
    <w:p w14:paraId="76CFC530"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Royal College of Obstetricians and Gynaecologists (RCOG) [Online]. 2016. Accessed on 1 June 2017. RCOG statement: Pertussis (whooping cough) vaccination now offered from 20 weeks of pregnancy. Available from: https://www.rcog.org.uk/en/news/rcog-statement-pertussis-whooping-cough-vaccination-now-offered-from-20-weeks-of-pregnancy/ .</w:t>
      </w:r>
    </w:p>
    <w:p w14:paraId="1BCCBB99"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Zaman K, Roy E, </w:t>
      </w:r>
      <w:proofErr w:type="spellStart"/>
      <w:r w:rsidRPr="007573A0">
        <w:rPr>
          <w:rFonts w:eastAsia="Times New Roman"/>
        </w:rPr>
        <w:t>Arifeen</w:t>
      </w:r>
      <w:proofErr w:type="spellEnd"/>
      <w:r w:rsidRPr="007573A0">
        <w:rPr>
          <w:rFonts w:eastAsia="Times New Roman"/>
        </w:rPr>
        <w:t xml:space="preserve"> SE, Rahman M, </w:t>
      </w:r>
      <w:proofErr w:type="spellStart"/>
      <w:r w:rsidRPr="007573A0">
        <w:rPr>
          <w:rFonts w:eastAsia="Times New Roman"/>
        </w:rPr>
        <w:t>Raqib</w:t>
      </w:r>
      <w:proofErr w:type="spellEnd"/>
      <w:r w:rsidRPr="007573A0">
        <w:rPr>
          <w:rFonts w:eastAsia="Times New Roman"/>
        </w:rPr>
        <w:t xml:space="preserve"> R, Wilson E, et al. Effectiveness of maternal influenza immunization in mothers and infants. New Engl J Med 2008;359(15):1555—64.</w:t>
      </w:r>
    </w:p>
    <w:p w14:paraId="1845AB7C"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Steinhoff MC, Katz J, Englund JA, </w:t>
      </w:r>
      <w:proofErr w:type="spellStart"/>
      <w:r w:rsidRPr="007573A0">
        <w:rPr>
          <w:rFonts w:eastAsia="Times New Roman"/>
        </w:rPr>
        <w:t>Khatry</w:t>
      </w:r>
      <w:proofErr w:type="spellEnd"/>
      <w:r w:rsidRPr="007573A0">
        <w:rPr>
          <w:rFonts w:eastAsia="Times New Roman"/>
        </w:rPr>
        <w:t xml:space="preserve"> SK, Shrestha L, </w:t>
      </w:r>
      <w:proofErr w:type="spellStart"/>
      <w:r w:rsidRPr="007573A0">
        <w:rPr>
          <w:rFonts w:eastAsia="Times New Roman"/>
        </w:rPr>
        <w:t>Kuypers</w:t>
      </w:r>
      <w:proofErr w:type="spellEnd"/>
      <w:r w:rsidRPr="007573A0">
        <w:rPr>
          <w:rFonts w:eastAsia="Times New Roman"/>
        </w:rPr>
        <w:t xml:space="preserve"> J, et al. Year-round influenza immunisation during pregnancy in Nepal: a phase 4, randomised, placebo-controlled trial. Lancet Infect Dis 2017;17(9):981—9.</w:t>
      </w:r>
    </w:p>
    <w:p w14:paraId="43D071CA"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Amirthalingam G, Andrews N, Campbell H, Ribeiro S, Kara E, Donegan K, et al. Effectiveness of maternal pertussis vaccination in England: an observational study. Lancet 2014;384(9953):1521—8.</w:t>
      </w:r>
    </w:p>
    <w:p w14:paraId="2EAA1FA3"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proofErr w:type="spellStart"/>
      <w:r w:rsidRPr="007573A0">
        <w:rPr>
          <w:rFonts w:eastAsia="Times New Roman"/>
        </w:rPr>
        <w:t>Dabrera</w:t>
      </w:r>
      <w:proofErr w:type="spellEnd"/>
      <w:r w:rsidRPr="007573A0">
        <w:rPr>
          <w:rFonts w:eastAsia="Times New Roman"/>
        </w:rPr>
        <w:t xml:space="preserve"> G, Amirthalingam G, Andrews N, Campbell H, Ribeiro S, Kara E, et al. A case-control study to estimate the effectiveness of maternal pertussis vaccination in protecting newborn infants in England and Wales, 2012-2013. Clin Infect Dis 2015;60(3):333—7.</w:t>
      </w:r>
    </w:p>
    <w:p w14:paraId="4F8C6E1B"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Winter K, Cherry JD, Harriman K. Effectiveness of Prenatal Tetanus, Diphtheria, and Acellular Pertussis Vaccination on Pertussis Severity in Infants. Clin Infect Dis 2017;64(1):9—14.</w:t>
      </w:r>
    </w:p>
    <w:p w14:paraId="5968DCFF"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Baxter R, Bartlett J, Fireman B, Lewis E, Klein NP. Effectiveness of Vaccination During Pregnancy to Prevent Infant Pertussis. </w:t>
      </w:r>
      <w:proofErr w:type="spellStart"/>
      <w:r w:rsidRPr="007573A0">
        <w:rPr>
          <w:rFonts w:eastAsia="Times New Roman"/>
        </w:rPr>
        <w:t>Pediatrics</w:t>
      </w:r>
      <w:proofErr w:type="spellEnd"/>
      <w:r w:rsidRPr="007573A0">
        <w:rPr>
          <w:rFonts w:eastAsia="Times New Roman"/>
        </w:rPr>
        <w:t xml:space="preserve"> 2017;139(5). doi: 10.1542/peds.2016-4091.</w:t>
      </w:r>
    </w:p>
    <w:p w14:paraId="26F2FEA7"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Maher L, Hope K, </w:t>
      </w:r>
      <w:proofErr w:type="spellStart"/>
      <w:r w:rsidRPr="007573A0">
        <w:rPr>
          <w:rFonts w:eastAsia="Times New Roman"/>
        </w:rPr>
        <w:t>Torvaldsen</w:t>
      </w:r>
      <w:proofErr w:type="spellEnd"/>
      <w:r w:rsidRPr="007573A0">
        <w:rPr>
          <w:rFonts w:eastAsia="Times New Roman"/>
        </w:rPr>
        <w:t xml:space="preserve"> S, Lawrence G, Dawson A, Wiley K, et al. In </w:t>
      </w:r>
      <w:proofErr w:type="spellStart"/>
      <w:r w:rsidRPr="007573A0">
        <w:rPr>
          <w:rFonts w:eastAsia="Times New Roman"/>
        </w:rPr>
        <w:t>fluenza</w:t>
      </w:r>
      <w:proofErr w:type="spellEnd"/>
      <w:r w:rsidRPr="007573A0">
        <w:rPr>
          <w:rFonts w:eastAsia="Times New Roman"/>
        </w:rPr>
        <w:t xml:space="preserve"> vaccination during pregnancy: coverage rates and influencing factors in two urban districts in Sydney. Vaccine 2013;31(47):5557—64.</w:t>
      </w:r>
    </w:p>
    <w:p w14:paraId="5320023E"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Yuen CY, Tarrant M. Determinants of uptake of influenza vaccination among pregnant women: a systematic review. Vaccine 2014;32(36):4602—13.</w:t>
      </w:r>
    </w:p>
    <w:p w14:paraId="0E02D97F"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Ding H, Black CL, Ball S, Fink RV, Williams WW, </w:t>
      </w:r>
      <w:proofErr w:type="spellStart"/>
      <w:r w:rsidRPr="007573A0">
        <w:rPr>
          <w:rFonts w:eastAsia="Times New Roman"/>
        </w:rPr>
        <w:t>Fiebelkorn</w:t>
      </w:r>
      <w:proofErr w:type="spellEnd"/>
      <w:r w:rsidRPr="007573A0">
        <w:rPr>
          <w:rFonts w:eastAsia="Times New Roman"/>
        </w:rPr>
        <w:t xml:space="preserve"> AP, et al. Influenza Vaccination Coverage Among Pregnant Women–United States, 2016-17 Influenza Season. MMWR </w:t>
      </w:r>
      <w:proofErr w:type="spellStart"/>
      <w:r w:rsidRPr="007573A0">
        <w:rPr>
          <w:rFonts w:eastAsia="Times New Roman"/>
        </w:rPr>
        <w:t>Morb</w:t>
      </w:r>
      <w:proofErr w:type="spellEnd"/>
      <w:r w:rsidRPr="007573A0">
        <w:rPr>
          <w:rFonts w:eastAsia="Times New Roman"/>
        </w:rPr>
        <w:t xml:space="preserve"> Mortal </w:t>
      </w:r>
      <w:proofErr w:type="spellStart"/>
      <w:r w:rsidRPr="007573A0">
        <w:rPr>
          <w:rFonts w:eastAsia="Times New Roman"/>
        </w:rPr>
        <w:t>Wkly</w:t>
      </w:r>
      <w:proofErr w:type="spellEnd"/>
      <w:r w:rsidRPr="007573A0">
        <w:rPr>
          <w:rFonts w:eastAsia="Times New Roman"/>
        </w:rPr>
        <w:t xml:space="preserve"> Rep 2017;66(38):1016—22.</w:t>
      </w:r>
    </w:p>
    <w:p w14:paraId="1E5E8FDE"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Barber A, </w:t>
      </w:r>
      <w:proofErr w:type="spellStart"/>
      <w:r w:rsidRPr="007573A0">
        <w:rPr>
          <w:rFonts w:eastAsia="Times New Roman"/>
        </w:rPr>
        <w:t>Muscoplat</w:t>
      </w:r>
      <w:proofErr w:type="spellEnd"/>
      <w:r w:rsidRPr="007573A0">
        <w:rPr>
          <w:rFonts w:eastAsia="Times New Roman"/>
        </w:rPr>
        <w:t xml:space="preserve"> MH, </w:t>
      </w:r>
      <w:proofErr w:type="spellStart"/>
      <w:r w:rsidRPr="007573A0">
        <w:rPr>
          <w:rFonts w:eastAsia="Times New Roman"/>
        </w:rPr>
        <w:t>Fedorowicz</w:t>
      </w:r>
      <w:proofErr w:type="spellEnd"/>
      <w:r w:rsidRPr="007573A0">
        <w:rPr>
          <w:rFonts w:eastAsia="Times New Roman"/>
        </w:rPr>
        <w:t xml:space="preserve"> A. Coverage with Tetanus, Diphtheria, and Acellular Pertussis Vaccine and Influenza Vaccine Among Pregnant Women–Minnesota, March 2013-December 2014. MMWR </w:t>
      </w:r>
      <w:proofErr w:type="spellStart"/>
      <w:r w:rsidRPr="007573A0">
        <w:rPr>
          <w:rFonts w:eastAsia="Times New Roman"/>
        </w:rPr>
        <w:t>Morb</w:t>
      </w:r>
      <w:proofErr w:type="spellEnd"/>
      <w:r w:rsidRPr="007573A0">
        <w:rPr>
          <w:rFonts w:eastAsia="Times New Roman"/>
        </w:rPr>
        <w:t xml:space="preserve"> Mortal </w:t>
      </w:r>
      <w:proofErr w:type="spellStart"/>
      <w:r w:rsidRPr="007573A0">
        <w:rPr>
          <w:rFonts w:eastAsia="Times New Roman"/>
        </w:rPr>
        <w:t>Wkly</w:t>
      </w:r>
      <w:proofErr w:type="spellEnd"/>
      <w:r w:rsidRPr="007573A0">
        <w:rPr>
          <w:rFonts w:eastAsia="Times New Roman"/>
        </w:rPr>
        <w:t xml:space="preserve"> Rep 2017;66(2):56—9.</w:t>
      </w:r>
    </w:p>
    <w:p w14:paraId="2CC1EA00"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Regan AK, Mak DB, Hauck YL, Gibbs R, Tracey L, </w:t>
      </w:r>
      <w:proofErr w:type="spellStart"/>
      <w:r w:rsidRPr="007573A0">
        <w:rPr>
          <w:rFonts w:eastAsia="Times New Roman"/>
        </w:rPr>
        <w:t>Effler</w:t>
      </w:r>
      <w:proofErr w:type="spellEnd"/>
      <w:r w:rsidRPr="007573A0">
        <w:rPr>
          <w:rFonts w:eastAsia="Times New Roman"/>
        </w:rPr>
        <w:t xml:space="preserve"> PV. Trends in seasonal influenza vaccine uptake during pregnancy in Western Australia: Implications for midwives. Women Birth 2016;29(5):423—9.</w:t>
      </w:r>
    </w:p>
    <w:p w14:paraId="263ADE3D"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Lotter K, Regan AK, Thomas T, </w:t>
      </w:r>
      <w:proofErr w:type="spellStart"/>
      <w:r w:rsidRPr="007573A0">
        <w:rPr>
          <w:rFonts w:eastAsia="Times New Roman"/>
        </w:rPr>
        <w:t>Effler</w:t>
      </w:r>
      <w:proofErr w:type="spellEnd"/>
      <w:r w:rsidRPr="007573A0">
        <w:rPr>
          <w:rFonts w:eastAsia="Times New Roman"/>
        </w:rPr>
        <w:t xml:space="preserve"> PV, Mak DB. Antenatal influenza and pertussis vaccine uptake among Aboriginal mothers in Western Australia. Aust N Z J </w:t>
      </w:r>
      <w:proofErr w:type="spellStart"/>
      <w:r w:rsidRPr="007573A0">
        <w:rPr>
          <w:rFonts w:eastAsia="Times New Roman"/>
        </w:rPr>
        <w:t>Obstet</w:t>
      </w:r>
      <w:proofErr w:type="spellEnd"/>
      <w:r w:rsidRPr="007573A0">
        <w:rPr>
          <w:rFonts w:eastAsia="Times New Roman"/>
        </w:rPr>
        <w:t xml:space="preserve"> </w:t>
      </w:r>
      <w:proofErr w:type="spellStart"/>
      <w:r w:rsidRPr="007573A0">
        <w:rPr>
          <w:rFonts w:eastAsia="Times New Roman"/>
        </w:rPr>
        <w:t>Gynaecol</w:t>
      </w:r>
      <w:proofErr w:type="spellEnd"/>
      <w:r w:rsidRPr="007573A0">
        <w:rPr>
          <w:rFonts w:eastAsia="Times New Roman"/>
        </w:rPr>
        <w:t xml:space="preserve"> 2018;58(4):417—424.</w:t>
      </w:r>
    </w:p>
    <w:p w14:paraId="3B6C94A4"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Downey F. Validation study of the Western Australian Midwives’ Notification System: 2005 Birth Data. Perth (Western Australia): Department of Health Western Australia; 2007.</w:t>
      </w:r>
    </w:p>
    <w:p w14:paraId="4F8F202F"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Department of Health Western Australia. Birth Notification Specification “BN3”. Perth (Western Australia): Department of Health Western Australia; 2016.</w:t>
      </w:r>
    </w:p>
    <w:p w14:paraId="40D2854A"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Department of Health Western Australia [Online]. Influenza vaccination 2018. Accessed on 15 January 2018. Available from: http://ww2.health.wa.gov.au/Reports-and-publications/Western-Australias-Mothers-and-Babies-summary-information/data?report=mns_fluv_q.</w:t>
      </w:r>
    </w:p>
    <w:p w14:paraId="67503608"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Department of Health Western Australia [Online]. Pertussis vaccination 2018. Accessed 15 January 2018. Available from: http://ww2.health.wa.gov.au/Reports-and-publications/Western-Australias-Mothers-and-Babies-summary-information/data?report=mns_pertv_q.</w:t>
      </w:r>
    </w:p>
    <w:p w14:paraId="0B35BC0F"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lastRenderedPageBreak/>
        <w:t>Regan AK, Mak DB, Moore HC, Tracey L, Saker R, Jones C, et al. Surveillance of antenatal influenza vaccination: validity of current systems and recommendations for improvement. BMC Public Health 2015;15:1155.</w:t>
      </w:r>
    </w:p>
    <w:p w14:paraId="277C3530"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Australian Government Department of Health [Online]. National Handheld Pregnancy Record 2015. Accessed on 1 June 2017. Available from: http://www.health.wa.gov.au/circularsnew/attachments/1050.pdf .</w:t>
      </w:r>
    </w:p>
    <w:p w14:paraId="63112C94"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Australian Government Department of Health [Online]. Australian Immunisation Registers 2016. Accessed on 1 June 2017. Available from: http://www.immunise.health.gov.au/internet/immunise/publishing.nsf/Content/about-immunisation-registers .</w:t>
      </w:r>
    </w:p>
    <w:p w14:paraId="24E8282C"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Mak DB, Regan AK, Joyce S, Gibbs R, </w:t>
      </w:r>
      <w:proofErr w:type="spellStart"/>
      <w:r w:rsidRPr="007573A0">
        <w:rPr>
          <w:rFonts w:eastAsia="Times New Roman"/>
        </w:rPr>
        <w:t>Effler</w:t>
      </w:r>
      <w:proofErr w:type="spellEnd"/>
      <w:r w:rsidRPr="007573A0">
        <w:rPr>
          <w:rFonts w:eastAsia="Times New Roman"/>
        </w:rPr>
        <w:t xml:space="preserve"> PV. Antenatal care provider’s advice is the key determinant of influenza vaccination uptake in pregnant women. Aust N Z J </w:t>
      </w:r>
      <w:proofErr w:type="spellStart"/>
      <w:r w:rsidRPr="007573A0">
        <w:rPr>
          <w:rFonts w:eastAsia="Times New Roman"/>
        </w:rPr>
        <w:t>Obstetr</w:t>
      </w:r>
      <w:proofErr w:type="spellEnd"/>
      <w:r w:rsidRPr="007573A0">
        <w:rPr>
          <w:rFonts w:eastAsia="Times New Roman"/>
        </w:rPr>
        <w:t xml:space="preserve"> </w:t>
      </w:r>
      <w:proofErr w:type="spellStart"/>
      <w:r w:rsidRPr="007573A0">
        <w:rPr>
          <w:rFonts w:eastAsia="Times New Roman"/>
        </w:rPr>
        <w:t>Gynaecol</w:t>
      </w:r>
      <w:proofErr w:type="spellEnd"/>
      <w:r w:rsidRPr="007573A0">
        <w:rPr>
          <w:rFonts w:eastAsia="Times New Roman"/>
        </w:rPr>
        <w:t xml:space="preserve"> 2015;55(2):131—7.</w:t>
      </w:r>
    </w:p>
    <w:p w14:paraId="7959E3DE"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Krishnaswamy S, Wallace EM, Buttery J, Giles ML. Strategies to implement maternal vaccination: A comparison between standing orders for midwife delivery, a hospital based maternal immunisation service and primary care. Vaccine 2018;36(13):1796—1800.</w:t>
      </w:r>
    </w:p>
    <w:p w14:paraId="0887AB38"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Australian Institute of Health and Welfare [Online]. National Perinatal Data Collection (NPDC). 2017. Accessed on 15 January 2018. Available from: https://www.aihw.gov.au/about-our-data/our-data-collections/national-perinatal-data-collection .</w:t>
      </w:r>
    </w:p>
    <w:p w14:paraId="57C048A7"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NSW Health. Policy Directive: NSW Perinatal Data Collection (PDC) reporting and submission requirements from 1 January 2016. North Sydney (NSW): NSW Health; 2016.</w:t>
      </w:r>
    </w:p>
    <w:p w14:paraId="06B0092F"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Hutchinson M (Data Custodian for Midwives Notification System in Western Australia). Personal communication. November 2016.</w:t>
      </w:r>
    </w:p>
    <w:p w14:paraId="2A5D13BC" w14:textId="77777777" w:rsidR="00FD3719" w:rsidRPr="007573A0" w:rsidRDefault="00FD3719" w:rsidP="007573A0">
      <w:pPr>
        <w:pStyle w:val="ListParagraph"/>
        <w:numPr>
          <w:ilvl w:val="0"/>
          <w:numId w:val="10"/>
        </w:numPr>
        <w:spacing w:before="100" w:beforeAutospacing="1" w:after="100" w:afterAutospacing="1" w:line="240" w:lineRule="auto"/>
        <w:rPr>
          <w:rFonts w:eastAsia="Times New Roman"/>
        </w:rPr>
      </w:pPr>
      <w:r w:rsidRPr="007573A0">
        <w:rPr>
          <w:rFonts w:eastAsia="Times New Roman"/>
        </w:rPr>
        <w:t xml:space="preserve">Wood N, Nolan T, Marshall H, Richmond P, Gibbs E, Perret K, et al. Immunogenicity and safety of monovalent acellular pertussis vaccine at birth: a randomized clinical trial. JAMA </w:t>
      </w:r>
      <w:proofErr w:type="spellStart"/>
      <w:r w:rsidRPr="007573A0">
        <w:rPr>
          <w:rFonts w:eastAsia="Times New Roman"/>
        </w:rPr>
        <w:t>Pediatr</w:t>
      </w:r>
      <w:proofErr w:type="spellEnd"/>
      <w:r w:rsidRPr="007573A0">
        <w:rPr>
          <w:rFonts w:eastAsia="Times New Roman"/>
        </w:rPr>
        <w:t xml:space="preserve"> 2018; in press. doi: 10.1001/jamapediatrics.2018.2349.</w:t>
      </w:r>
    </w:p>
    <w:p w14:paraId="4FCAEDF6" w14:textId="77777777" w:rsidR="008B5348" w:rsidRDefault="008B5348">
      <w:pPr>
        <w:rPr>
          <w:rStyle w:val="A10"/>
        </w:rPr>
      </w:pPr>
    </w:p>
    <w:p w14:paraId="3717C7F7" w14:textId="77777777" w:rsidR="008B5348" w:rsidRDefault="008B5348">
      <w:pPr>
        <w:rPr>
          <w:rStyle w:val="A10"/>
        </w:rPr>
      </w:pPr>
      <w:r>
        <w:rPr>
          <w:rStyle w:val="A10"/>
        </w:rPr>
        <w:br w:type="page"/>
      </w:r>
    </w:p>
    <w:p w14:paraId="265F2127" w14:textId="77777777" w:rsidR="008B5348" w:rsidRDefault="008B5348">
      <w:pPr>
        <w:rPr>
          <w:rStyle w:val="A10"/>
        </w:rPr>
        <w:sectPr w:rsidR="008B5348" w:rsidSect="00145A8F">
          <w:pgSz w:w="11906" w:h="16838"/>
          <w:pgMar w:top="720" w:right="720" w:bottom="1134" w:left="720" w:header="709" w:footer="284" w:gutter="0"/>
          <w:cols w:space="708"/>
          <w:titlePg/>
          <w:docGrid w:linePitch="360"/>
        </w:sectPr>
      </w:pPr>
    </w:p>
    <w:p w14:paraId="2A87A78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1323E5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F8E1260" w14:textId="77777777" w:rsidR="000A5F42" w:rsidRPr="000606CC" w:rsidRDefault="000A5F42" w:rsidP="000A5F42">
      <w:pPr>
        <w:pStyle w:val="NoSpacing"/>
        <w:rPr>
          <w:rStyle w:val="URI"/>
          <w:rFonts w:cstheme="minorHAnsi"/>
          <w:sz w:val="20"/>
          <w:szCs w:val="18"/>
        </w:rPr>
      </w:pPr>
    </w:p>
    <w:p w14:paraId="3863E25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6AEFDC6E" w14:textId="77777777" w:rsidR="000A5F42" w:rsidRPr="000606CC" w:rsidRDefault="000A5F42" w:rsidP="000A5F42">
      <w:pPr>
        <w:pStyle w:val="NoSpacing"/>
        <w:rPr>
          <w:rStyle w:val="Strong"/>
          <w:rFonts w:cstheme="minorHAnsi"/>
          <w:sz w:val="20"/>
          <w:szCs w:val="18"/>
        </w:rPr>
      </w:pPr>
    </w:p>
    <w:p w14:paraId="0EE84F3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133B02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Deputy Editor</w:t>
      </w:r>
      <w:r w:rsidR="00C838F5">
        <w:rPr>
          <w:rStyle w:val="Strong"/>
          <w:rFonts w:cstheme="minorHAnsi"/>
          <w:sz w:val="20"/>
          <w:szCs w:val="18"/>
        </w:rPr>
        <w:t>s</w:t>
      </w:r>
      <w:r w:rsidRPr="000606CC">
        <w:rPr>
          <w:rStyle w:val="Strong"/>
          <w:rFonts w:cstheme="minorHAnsi"/>
          <w:sz w:val="20"/>
          <w:szCs w:val="18"/>
        </w:rPr>
        <w:t xml:space="preserve">: </w:t>
      </w:r>
      <w:r w:rsidR="00C838F5" w:rsidRPr="00C838F5">
        <w:rPr>
          <w:rFonts w:cstheme="minorHAnsi"/>
          <w:sz w:val="20"/>
          <w:szCs w:val="18"/>
        </w:rPr>
        <w:t>Simon Petrie</w:t>
      </w:r>
    </w:p>
    <w:p w14:paraId="36F95A00"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6FE94A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3F9AC4FB" w14:textId="77777777" w:rsidR="000A5F42" w:rsidRPr="000606CC" w:rsidRDefault="000A5F42" w:rsidP="000A5F42">
      <w:pPr>
        <w:pStyle w:val="NoSpacing"/>
        <w:rPr>
          <w:rStyle w:val="Strong"/>
          <w:rFonts w:cstheme="minorHAnsi"/>
          <w:sz w:val="20"/>
          <w:szCs w:val="18"/>
        </w:rPr>
      </w:pPr>
    </w:p>
    <w:p w14:paraId="2F83AEFF" w14:textId="05C101D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9DD2FFF" w14:textId="77777777" w:rsidR="000A5F42" w:rsidRPr="000606CC" w:rsidRDefault="000A5F42" w:rsidP="000A5F42">
      <w:pPr>
        <w:pStyle w:val="NoSpacing"/>
        <w:rPr>
          <w:rStyle w:val="Strong"/>
          <w:rFonts w:cstheme="minorHAnsi"/>
          <w:sz w:val="20"/>
          <w:szCs w:val="18"/>
        </w:rPr>
      </w:pPr>
    </w:p>
    <w:p w14:paraId="65872EC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E1ADD78" w14:textId="77777777" w:rsidR="000A5F42" w:rsidRPr="000606CC" w:rsidRDefault="000A5F42" w:rsidP="000A5F42">
      <w:pPr>
        <w:pStyle w:val="NoSpacing"/>
        <w:rPr>
          <w:rStyle w:val="Strong"/>
          <w:rFonts w:cstheme="minorHAnsi"/>
          <w:sz w:val="20"/>
          <w:szCs w:val="18"/>
        </w:rPr>
      </w:pPr>
    </w:p>
    <w:p w14:paraId="37AEEF27" w14:textId="2A01432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D198B9A" w14:textId="77777777" w:rsidR="000A5F42" w:rsidRPr="000606CC" w:rsidRDefault="000A5F42" w:rsidP="000A5F42">
      <w:pPr>
        <w:pStyle w:val="NoSpacing"/>
        <w:rPr>
          <w:rStyle w:val="Strong"/>
          <w:rFonts w:cstheme="minorHAnsi"/>
          <w:sz w:val="20"/>
          <w:szCs w:val="18"/>
        </w:rPr>
      </w:pPr>
    </w:p>
    <w:p w14:paraId="680D6404" w14:textId="03799623"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4C2DBD2" w14:textId="0ACE810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2277F67C" w14:textId="77777777" w:rsidR="000A5F42" w:rsidRPr="000606CC" w:rsidRDefault="000A5F42" w:rsidP="000A5F42">
      <w:pPr>
        <w:pStyle w:val="NoSpacing"/>
        <w:pBdr>
          <w:bottom w:val="single" w:sz="6" w:space="1" w:color="auto"/>
        </w:pBdr>
        <w:rPr>
          <w:rStyle w:val="Strong"/>
          <w:rFonts w:cstheme="minorHAnsi"/>
          <w:sz w:val="12"/>
          <w:szCs w:val="18"/>
        </w:rPr>
      </w:pPr>
    </w:p>
    <w:p w14:paraId="6F37BBCD" w14:textId="77777777" w:rsidR="000A5F42" w:rsidRPr="000606CC" w:rsidRDefault="000A5F42" w:rsidP="000A5F42">
      <w:pPr>
        <w:pStyle w:val="NoSpacing"/>
        <w:rPr>
          <w:rFonts w:cstheme="minorHAnsi"/>
          <w:sz w:val="20"/>
          <w:szCs w:val="18"/>
        </w:rPr>
      </w:pPr>
    </w:p>
    <w:p w14:paraId="482C8F9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08EB32E" w14:textId="77777777" w:rsidR="000A5F42" w:rsidRPr="000606CC" w:rsidRDefault="000A5F42" w:rsidP="000A5F42">
      <w:pPr>
        <w:pStyle w:val="NoSpacing"/>
        <w:rPr>
          <w:rFonts w:cstheme="minorHAnsi"/>
          <w:sz w:val="20"/>
          <w:szCs w:val="18"/>
        </w:rPr>
      </w:pPr>
    </w:p>
    <w:p w14:paraId="2D7CE58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B7EECD3"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3F5020A3" w14:textId="02F9D05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000D9B9" w14:textId="77777777" w:rsidR="000A5F42" w:rsidRPr="000606CC" w:rsidRDefault="000A5F42" w:rsidP="000A5F42">
      <w:pPr>
        <w:pStyle w:val="NoSpacing"/>
        <w:rPr>
          <w:rFonts w:cstheme="minorHAnsi"/>
          <w:sz w:val="20"/>
          <w:szCs w:val="18"/>
        </w:rPr>
      </w:pPr>
    </w:p>
    <w:p w14:paraId="3BAD2CC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7D9BAC53" w14:textId="12DF5A9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82EF89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D02BBC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CEB7B3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0E3D63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F9DA38A" w14:textId="77777777" w:rsidR="000A5F42" w:rsidRPr="000606CC" w:rsidRDefault="000A5F42" w:rsidP="000A5F42">
      <w:pPr>
        <w:pStyle w:val="NoSpacing"/>
        <w:rPr>
          <w:rStyle w:val="Strong"/>
          <w:rFonts w:cstheme="minorHAnsi"/>
          <w:sz w:val="20"/>
          <w:szCs w:val="18"/>
        </w:rPr>
      </w:pPr>
    </w:p>
    <w:p w14:paraId="5D97E1BD"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6BBEC33" w14:textId="77777777" w:rsidR="000A5F42" w:rsidRPr="000606CC" w:rsidRDefault="000A5F42" w:rsidP="000A5F42">
      <w:pPr>
        <w:pStyle w:val="NoSpacing"/>
        <w:rPr>
          <w:rStyle w:val="Strong"/>
          <w:rFonts w:cstheme="minorHAnsi"/>
          <w:sz w:val="20"/>
          <w:szCs w:val="18"/>
        </w:rPr>
      </w:pPr>
    </w:p>
    <w:p w14:paraId="12612085" w14:textId="1FD54A4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3294670" w14:textId="77777777" w:rsidR="000A5F42" w:rsidRPr="000606CC" w:rsidRDefault="000A5F42" w:rsidP="000A5F42">
      <w:pPr>
        <w:pStyle w:val="NoSpacing"/>
        <w:rPr>
          <w:rStyle w:val="URI"/>
          <w:rFonts w:cstheme="minorHAnsi"/>
          <w:sz w:val="20"/>
          <w:szCs w:val="18"/>
        </w:rPr>
      </w:pPr>
    </w:p>
    <w:p w14:paraId="51801266" w14:textId="6E52119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394EB97B"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AB89" w14:textId="77777777" w:rsidR="004852A9" w:rsidRDefault="004852A9" w:rsidP="00E54DBA">
      <w:r>
        <w:separator/>
      </w:r>
    </w:p>
    <w:p w14:paraId="2B4E6290" w14:textId="77777777" w:rsidR="004852A9" w:rsidRDefault="004852A9"/>
    <w:p w14:paraId="79280633" w14:textId="77777777" w:rsidR="004852A9" w:rsidRDefault="004852A9" w:rsidP="008714B0"/>
  </w:endnote>
  <w:endnote w:type="continuationSeparator" w:id="0">
    <w:p w14:paraId="2939FD57" w14:textId="77777777" w:rsidR="004852A9" w:rsidRDefault="004852A9" w:rsidP="00E54DBA">
      <w:r>
        <w:continuationSeparator/>
      </w:r>
    </w:p>
    <w:p w14:paraId="30B8B717" w14:textId="77777777" w:rsidR="004852A9" w:rsidRDefault="004852A9"/>
    <w:p w14:paraId="3954C7F2" w14:textId="77777777" w:rsidR="004852A9" w:rsidRDefault="004852A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87634"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B2B1E">
      <w:rPr>
        <w:noProof/>
        <w:sz w:val="18"/>
      </w:rPr>
      <w:t>10</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9B2B1E">
      <w:rPr>
        <w:noProof/>
        <w:sz w:val="18"/>
      </w:rPr>
      <w:t>14</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B97B51">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4852A9">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4852A9">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81F12">
      <w:rPr>
        <w:sz w:val="18"/>
      </w:rPr>
      <w:t>https://doi.org/10.33321/cdi.2019.43.21</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B2B1E">
      <w:rPr>
        <w:sz w:val="18"/>
      </w:rPr>
      <w:t>17/06/2019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DAC"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B2B1E">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9B2B1E">
      <w:rPr>
        <w:noProof/>
        <w:sz w:val="18"/>
      </w:rPr>
      <w:t>2</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B97B51">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852A9">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852A9">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81F12">
      <w:rPr>
        <w:sz w:val="18"/>
      </w:rPr>
      <w:t>https://doi.org/10.33321/cdi.2019.43.21</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9B2B1E">
      <w:rPr>
        <w:sz w:val="18"/>
      </w:rPr>
      <w:t>17/06/2019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DB4E" w14:textId="77777777" w:rsidR="004852A9" w:rsidRDefault="004852A9" w:rsidP="00E54DBA">
      <w:r>
        <w:separator/>
      </w:r>
    </w:p>
    <w:p w14:paraId="529D2623" w14:textId="77777777" w:rsidR="004852A9" w:rsidRDefault="004852A9"/>
    <w:p w14:paraId="71CCEEA5" w14:textId="77777777" w:rsidR="004852A9" w:rsidRDefault="004852A9" w:rsidP="008714B0"/>
  </w:footnote>
  <w:footnote w:type="continuationSeparator" w:id="0">
    <w:p w14:paraId="459314B5" w14:textId="77777777" w:rsidR="004852A9" w:rsidRDefault="004852A9" w:rsidP="00E54DBA">
      <w:r>
        <w:continuationSeparator/>
      </w:r>
    </w:p>
    <w:p w14:paraId="368E4204" w14:textId="77777777" w:rsidR="004852A9" w:rsidRDefault="004852A9"/>
    <w:p w14:paraId="0A875A44" w14:textId="77777777" w:rsidR="004852A9" w:rsidRDefault="004852A9"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000A" w14:textId="77777777" w:rsidR="00257484" w:rsidRPr="00A153B6" w:rsidRDefault="0090795D"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5004E">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34D9"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47CE0C0"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4BC4"/>
    <w:multiLevelType w:val="hybridMultilevel"/>
    <w:tmpl w:val="DBB4260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34F7FA4"/>
    <w:multiLevelType w:val="hybridMultilevel"/>
    <w:tmpl w:val="040E00A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116C54"/>
    <w:multiLevelType w:val="multilevel"/>
    <w:tmpl w:val="1EC26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E61A3A"/>
    <w:multiLevelType w:val="multilevel"/>
    <w:tmpl w:val="D62A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6110352">
    <w:abstractNumId w:val="3"/>
  </w:num>
  <w:num w:numId="2" w16cid:durableId="358161120">
    <w:abstractNumId w:val="5"/>
  </w:num>
  <w:num w:numId="3" w16cid:durableId="1344433195">
    <w:abstractNumId w:val="6"/>
  </w:num>
  <w:num w:numId="4" w16cid:durableId="1072001354">
    <w:abstractNumId w:val="2"/>
  </w:num>
  <w:num w:numId="5" w16cid:durableId="1485512049">
    <w:abstractNumId w:val="8"/>
  </w:num>
  <w:num w:numId="6" w16cid:durableId="165632032">
    <w:abstractNumId w:val="9"/>
  </w:num>
  <w:num w:numId="7" w16cid:durableId="1675572644">
    <w:abstractNumId w:val="4"/>
  </w:num>
  <w:num w:numId="8" w16cid:durableId="1778135687">
    <w:abstractNumId w:val="7"/>
  </w:num>
  <w:num w:numId="9" w16cid:durableId="1432432662">
    <w:abstractNumId w:val="1"/>
  </w:num>
  <w:num w:numId="10" w16cid:durableId="83055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2A9"/>
    <w:rsid w:val="00000B5B"/>
    <w:rsid w:val="00001611"/>
    <w:rsid w:val="000104A8"/>
    <w:rsid w:val="0001246E"/>
    <w:rsid w:val="000124B1"/>
    <w:rsid w:val="00016FE6"/>
    <w:rsid w:val="000222EC"/>
    <w:rsid w:val="00031064"/>
    <w:rsid w:val="00031692"/>
    <w:rsid w:val="00032531"/>
    <w:rsid w:val="00034D85"/>
    <w:rsid w:val="000471BF"/>
    <w:rsid w:val="00047B68"/>
    <w:rsid w:val="0005125C"/>
    <w:rsid w:val="00052600"/>
    <w:rsid w:val="0005643C"/>
    <w:rsid w:val="0006264A"/>
    <w:rsid w:val="00073D77"/>
    <w:rsid w:val="00081655"/>
    <w:rsid w:val="000852D0"/>
    <w:rsid w:val="000864E0"/>
    <w:rsid w:val="000969B3"/>
    <w:rsid w:val="000A5F42"/>
    <w:rsid w:val="000B20D7"/>
    <w:rsid w:val="000D0FC3"/>
    <w:rsid w:val="000D4B4D"/>
    <w:rsid w:val="000F7154"/>
    <w:rsid w:val="00113D58"/>
    <w:rsid w:val="001154A3"/>
    <w:rsid w:val="001409E5"/>
    <w:rsid w:val="00145A8F"/>
    <w:rsid w:val="00155582"/>
    <w:rsid w:val="00161590"/>
    <w:rsid w:val="00171CC0"/>
    <w:rsid w:val="00175494"/>
    <w:rsid w:val="00175629"/>
    <w:rsid w:val="001830EC"/>
    <w:rsid w:val="00183534"/>
    <w:rsid w:val="0018495B"/>
    <w:rsid w:val="001A4A96"/>
    <w:rsid w:val="001A5D05"/>
    <w:rsid w:val="001A796C"/>
    <w:rsid w:val="001B2614"/>
    <w:rsid w:val="001B37B8"/>
    <w:rsid w:val="001B552F"/>
    <w:rsid w:val="001C0893"/>
    <w:rsid w:val="001C1303"/>
    <w:rsid w:val="001C70B2"/>
    <w:rsid w:val="001D37C7"/>
    <w:rsid w:val="001D6888"/>
    <w:rsid w:val="001F3AAA"/>
    <w:rsid w:val="00223998"/>
    <w:rsid w:val="002276DC"/>
    <w:rsid w:val="00227E00"/>
    <w:rsid w:val="002307CB"/>
    <w:rsid w:val="00231046"/>
    <w:rsid w:val="00242659"/>
    <w:rsid w:val="002428F7"/>
    <w:rsid w:val="0024315F"/>
    <w:rsid w:val="00245107"/>
    <w:rsid w:val="00252C9A"/>
    <w:rsid w:val="00256309"/>
    <w:rsid w:val="00257484"/>
    <w:rsid w:val="00260636"/>
    <w:rsid w:val="00275C78"/>
    <w:rsid w:val="00280594"/>
    <w:rsid w:val="00281EE3"/>
    <w:rsid w:val="00283C3B"/>
    <w:rsid w:val="00284E4A"/>
    <w:rsid w:val="00286985"/>
    <w:rsid w:val="002A3799"/>
    <w:rsid w:val="002A3BCC"/>
    <w:rsid w:val="002A4516"/>
    <w:rsid w:val="002A569F"/>
    <w:rsid w:val="002A7066"/>
    <w:rsid w:val="002B001E"/>
    <w:rsid w:val="002B09B7"/>
    <w:rsid w:val="002B0FC5"/>
    <w:rsid w:val="002B75A9"/>
    <w:rsid w:val="002C21B0"/>
    <w:rsid w:val="002C41BE"/>
    <w:rsid w:val="002E2FB3"/>
    <w:rsid w:val="002E61B1"/>
    <w:rsid w:val="002F327B"/>
    <w:rsid w:val="00301626"/>
    <w:rsid w:val="003059EC"/>
    <w:rsid w:val="00316CCD"/>
    <w:rsid w:val="00324F7E"/>
    <w:rsid w:val="003323BC"/>
    <w:rsid w:val="00346D42"/>
    <w:rsid w:val="00346E11"/>
    <w:rsid w:val="003601C0"/>
    <w:rsid w:val="003635F5"/>
    <w:rsid w:val="00366CA6"/>
    <w:rsid w:val="00372A88"/>
    <w:rsid w:val="00381A0F"/>
    <w:rsid w:val="003A1B3A"/>
    <w:rsid w:val="003A40F5"/>
    <w:rsid w:val="003B5B8C"/>
    <w:rsid w:val="003C652A"/>
    <w:rsid w:val="003C6B7E"/>
    <w:rsid w:val="003C79A4"/>
    <w:rsid w:val="003D79B1"/>
    <w:rsid w:val="003E3370"/>
    <w:rsid w:val="003E74EE"/>
    <w:rsid w:val="003F0552"/>
    <w:rsid w:val="003F3BC2"/>
    <w:rsid w:val="00401ED1"/>
    <w:rsid w:val="0040224C"/>
    <w:rsid w:val="00413EE1"/>
    <w:rsid w:val="004164BB"/>
    <w:rsid w:val="00421ECE"/>
    <w:rsid w:val="00422FEB"/>
    <w:rsid w:val="0042435E"/>
    <w:rsid w:val="004257BC"/>
    <w:rsid w:val="004315F5"/>
    <w:rsid w:val="00433456"/>
    <w:rsid w:val="00433DFA"/>
    <w:rsid w:val="00435D67"/>
    <w:rsid w:val="00443418"/>
    <w:rsid w:val="00464A58"/>
    <w:rsid w:val="00473D2D"/>
    <w:rsid w:val="004852A9"/>
    <w:rsid w:val="004A2125"/>
    <w:rsid w:val="004A38F6"/>
    <w:rsid w:val="004B4EB6"/>
    <w:rsid w:val="004C67C6"/>
    <w:rsid w:val="004D29DE"/>
    <w:rsid w:val="004D7C7D"/>
    <w:rsid w:val="00510EAC"/>
    <w:rsid w:val="00542A57"/>
    <w:rsid w:val="00563560"/>
    <w:rsid w:val="00571DDD"/>
    <w:rsid w:val="005732C0"/>
    <w:rsid w:val="0057336D"/>
    <w:rsid w:val="0057489A"/>
    <w:rsid w:val="00574ACF"/>
    <w:rsid w:val="00581588"/>
    <w:rsid w:val="0058540B"/>
    <w:rsid w:val="00587C87"/>
    <w:rsid w:val="00590B80"/>
    <w:rsid w:val="00597A19"/>
    <w:rsid w:val="005A781C"/>
    <w:rsid w:val="005B3134"/>
    <w:rsid w:val="005B4E61"/>
    <w:rsid w:val="005B595A"/>
    <w:rsid w:val="005B66C2"/>
    <w:rsid w:val="005D2465"/>
    <w:rsid w:val="005E4229"/>
    <w:rsid w:val="005E540E"/>
    <w:rsid w:val="005E55FB"/>
    <w:rsid w:val="005F16BB"/>
    <w:rsid w:val="00607115"/>
    <w:rsid w:val="006160B5"/>
    <w:rsid w:val="00620768"/>
    <w:rsid w:val="0062594B"/>
    <w:rsid w:val="00631406"/>
    <w:rsid w:val="006324FF"/>
    <w:rsid w:val="006351D6"/>
    <w:rsid w:val="00636E0D"/>
    <w:rsid w:val="0064142F"/>
    <w:rsid w:val="00643CB4"/>
    <w:rsid w:val="00656427"/>
    <w:rsid w:val="00660255"/>
    <w:rsid w:val="006971F3"/>
    <w:rsid w:val="006B2236"/>
    <w:rsid w:val="006C74A3"/>
    <w:rsid w:val="006D1381"/>
    <w:rsid w:val="006D2D67"/>
    <w:rsid w:val="006D31BC"/>
    <w:rsid w:val="006E7943"/>
    <w:rsid w:val="006F24EA"/>
    <w:rsid w:val="006F650A"/>
    <w:rsid w:val="00704CA9"/>
    <w:rsid w:val="0071048D"/>
    <w:rsid w:val="00710F86"/>
    <w:rsid w:val="007111A8"/>
    <w:rsid w:val="00726265"/>
    <w:rsid w:val="00731BC3"/>
    <w:rsid w:val="00732121"/>
    <w:rsid w:val="00741192"/>
    <w:rsid w:val="00743A33"/>
    <w:rsid w:val="00746080"/>
    <w:rsid w:val="0075144A"/>
    <w:rsid w:val="007573A0"/>
    <w:rsid w:val="00786329"/>
    <w:rsid w:val="00792C7D"/>
    <w:rsid w:val="00794A4D"/>
    <w:rsid w:val="007A5234"/>
    <w:rsid w:val="007A6F03"/>
    <w:rsid w:val="007B7854"/>
    <w:rsid w:val="007C56A1"/>
    <w:rsid w:val="007C6454"/>
    <w:rsid w:val="007D75E6"/>
    <w:rsid w:val="007E01E0"/>
    <w:rsid w:val="007E5993"/>
    <w:rsid w:val="007F0B93"/>
    <w:rsid w:val="007F2ECA"/>
    <w:rsid w:val="00800A1F"/>
    <w:rsid w:val="008078B9"/>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B6F1C"/>
    <w:rsid w:val="008C0712"/>
    <w:rsid w:val="008C4520"/>
    <w:rsid w:val="008C4D27"/>
    <w:rsid w:val="008C5F09"/>
    <w:rsid w:val="008C7748"/>
    <w:rsid w:val="008D470F"/>
    <w:rsid w:val="008E1F8F"/>
    <w:rsid w:val="008E4768"/>
    <w:rsid w:val="008E761E"/>
    <w:rsid w:val="008F77B3"/>
    <w:rsid w:val="009008F5"/>
    <w:rsid w:val="00904CC1"/>
    <w:rsid w:val="009066AF"/>
    <w:rsid w:val="0090795D"/>
    <w:rsid w:val="0091066C"/>
    <w:rsid w:val="00912050"/>
    <w:rsid w:val="00912E48"/>
    <w:rsid w:val="0091686D"/>
    <w:rsid w:val="00921786"/>
    <w:rsid w:val="0092746F"/>
    <w:rsid w:val="00935DC9"/>
    <w:rsid w:val="009446C0"/>
    <w:rsid w:val="0096082E"/>
    <w:rsid w:val="00961347"/>
    <w:rsid w:val="00967410"/>
    <w:rsid w:val="00967D73"/>
    <w:rsid w:val="0098119A"/>
    <w:rsid w:val="00984AAF"/>
    <w:rsid w:val="00991B09"/>
    <w:rsid w:val="00993CB2"/>
    <w:rsid w:val="009A5166"/>
    <w:rsid w:val="009A76F8"/>
    <w:rsid w:val="009B2B1E"/>
    <w:rsid w:val="009B2B83"/>
    <w:rsid w:val="009C49F8"/>
    <w:rsid w:val="009D77CC"/>
    <w:rsid w:val="009E2423"/>
    <w:rsid w:val="009E4435"/>
    <w:rsid w:val="009E55D7"/>
    <w:rsid w:val="009E778F"/>
    <w:rsid w:val="009E7ACD"/>
    <w:rsid w:val="009F4150"/>
    <w:rsid w:val="009F5665"/>
    <w:rsid w:val="009F5DAD"/>
    <w:rsid w:val="00A01BCA"/>
    <w:rsid w:val="00A02DCE"/>
    <w:rsid w:val="00A10458"/>
    <w:rsid w:val="00A153B6"/>
    <w:rsid w:val="00A164D5"/>
    <w:rsid w:val="00A273C3"/>
    <w:rsid w:val="00A36C65"/>
    <w:rsid w:val="00A41BBE"/>
    <w:rsid w:val="00A45BDD"/>
    <w:rsid w:val="00A46A0A"/>
    <w:rsid w:val="00A553F8"/>
    <w:rsid w:val="00A6708F"/>
    <w:rsid w:val="00A71BF6"/>
    <w:rsid w:val="00A848B3"/>
    <w:rsid w:val="00A86F9A"/>
    <w:rsid w:val="00AA35E6"/>
    <w:rsid w:val="00AA50B6"/>
    <w:rsid w:val="00AB3472"/>
    <w:rsid w:val="00AD0762"/>
    <w:rsid w:val="00AE4452"/>
    <w:rsid w:val="00AE7C38"/>
    <w:rsid w:val="00AF03A2"/>
    <w:rsid w:val="00B01F99"/>
    <w:rsid w:val="00B02B37"/>
    <w:rsid w:val="00B05276"/>
    <w:rsid w:val="00B132DB"/>
    <w:rsid w:val="00B26CE1"/>
    <w:rsid w:val="00B31427"/>
    <w:rsid w:val="00B33861"/>
    <w:rsid w:val="00B40DE2"/>
    <w:rsid w:val="00B50210"/>
    <w:rsid w:val="00B53955"/>
    <w:rsid w:val="00B6408A"/>
    <w:rsid w:val="00B714B8"/>
    <w:rsid w:val="00B82C2C"/>
    <w:rsid w:val="00B860AF"/>
    <w:rsid w:val="00B8720B"/>
    <w:rsid w:val="00B876EF"/>
    <w:rsid w:val="00B97B51"/>
    <w:rsid w:val="00BA4697"/>
    <w:rsid w:val="00BB5378"/>
    <w:rsid w:val="00BC0BD3"/>
    <w:rsid w:val="00BD0107"/>
    <w:rsid w:val="00BE0C33"/>
    <w:rsid w:val="00BE262C"/>
    <w:rsid w:val="00BE269A"/>
    <w:rsid w:val="00BE6C3D"/>
    <w:rsid w:val="00BF0929"/>
    <w:rsid w:val="00C07606"/>
    <w:rsid w:val="00C10A28"/>
    <w:rsid w:val="00C12542"/>
    <w:rsid w:val="00C13AF8"/>
    <w:rsid w:val="00C174E1"/>
    <w:rsid w:val="00C2096E"/>
    <w:rsid w:val="00C24725"/>
    <w:rsid w:val="00C30BA9"/>
    <w:rsid w:val="00C32D44"/>
    <w:rsid w:val="00C3541E"/>
    <w:rsid w:val="00C36A8F"/>
    <w:rsid w:val="00C42FFA"/>
    <w:rsid w:val="00C5004E"/>
    <w:rsid w:val="00C507D8"/>
    <w:rsid w:val="00C62EAC"/>
    <w:rsid w:val="00C63F9F"/>
    <w:rsid w:val="00C6581B"/>
    <w:rsid w:val="00C7147C"/>
    <w:rsid w:val="00C7723C"/>
    <w:rsid w:val="00C838F5"/>
    <w:rsid w:val="00C85EE2"/>
    <w:rsid w:val="00C93B04"/>
    <w:rsid w:val="00CA1AF4"/>
    <w:rsid w:val="00CA6068"/>
    <w:rsid w:val="00CB15E1"/>
    <w:rsid w:val="00CB1680"/>
    <w:rsid w:val="00CB3D46"/>
    <w:rsid w:val="00CD1A87"/>
    <w:rsid w:val="00CD35F3"/>
    <w:rsid w:val="00CD5C93"/>
    <w:rsid w:val="00CD6668"/>
    <w:rsid w:val="00CE342B"/>
    <w:rsid w:val="00CF320C"/>
    <w:rsid w:val="00CF3A4B"/>
    <w:rsid w:val="00CF4001"/>
    <w:rsid w:val="00D00CFA"/>
    <w:rsid w:val="00D05837"/>
    <w:rsid w:val="00D12D8A"/>
    <w:rsid w:val="00D13E0C"/>
    <w:rsid w:val="00D25896"/>
    <w:rsid w:val="00D373A1"/>
    <w:rsid w:val="00D37C0F"/>
    <w:rsid w:val="00D424A0"/>
    <w:rsid w:val="00D45661"/>
    <w:rsid w:val="00D45943"/>
    <w:rsid w:val="00D47D22"/>
    <w:rsid w:val="00D51865"/>
    <w:rsid w:val="00D51D0C"/>
    <w:rsid w:val="00D52734"/>
    <w:rsid w:val="00D74140"/>
    <w:rsid w:val="00D81F12"/>
    <w:rsid w:val="00D960F3"/>
    <w:rsid w:val="00D96BEE"/>
    <w:rsid w:val="00DA3686"/>
    <w:rsid w:val="00DA6E56"/>
    <w:rsid w:val="00DC6705"/>
    <w:rsid w:val="00DD2DE8"/>
    <w:rsid w:val="00DD3A71"/>
    <w:rsid w:val="00DE38B4"/>
    <w:rsid w:val="00DE5D02"/>
    <w:rsid w:val="00DF7B1A"/>
    <w:rsid w:val="00E005A9"/>
    <w:rsid w:val="00E1166E"/>
    <w:rsid w:val="00E24DC0"/>
    <w:rsid w:val="00E2519C"/>
    <w:rsid w:val="00E25AD0"/>
    <w:rsid w:val="00E25F2A"/>
    <w:rsid w:val="00E41455"/>
    <w:rsid w:val="00E42AD2"/>
    <w:rsid w:val="00E4653C"/>
    <w:rsid w:val="00E50856"/>
    <w:rsid w:val="00E538CC"/>
    <w:rsid w:val="00E54DBA"/>
    <w:rsid w:val="00E63D7C"/>
    <w:rsid w:val="00E640D5"/>
    <w:rsid w:val="00E67691"/>
    <w:rsid w:val="00E83FA2"/>
    <w:rsid w:val="00E92237"/>
    <w:rsid w:val="00E951EF"/>
    <w:rsid w:val="00EA3D54"/>
    <w:rsid w:val="00EA56D9"/>
    <w:rsid w:val="00EA5CE3"/>
    <w:rsid w:val="00EB51C1"/>
    <w:rsid w:val="00EB5AE1"/>
    <w:rsid w:val="00EB5E0B"/>
    <w:rsid w:val="00EC2171"/>
    <w:rsid w:val="00ED442D"/>
    <w:rsid w:val="00ED70C2"/>
    <w:rsid w:val="00EE0B15"/>
    <w:rsid w:val="00EE18FF"/>
    <w:rsid w:val="00EE489F"/>
    <w:rsid w:val="00EE668E"/>
    <w:rsid w:val="00EF5B98"/>
    <w:rsid w:val="00F050F2"/>
    <w:rsid w:val="00F05F0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B3124"/>
    <w:rsid w:val="00FC002E"/>
    <w:rsid w:val="00FC4C23"/>
    <w:rsid w:val="00FC642E"/>
    <w:rsid w:val="00FD2E04"/>
    <w:rsid w:val="00FD3719"/>
    <w:rsid w:val="00FE2AE4"/>
    <w:rsid w:val="00FE59BD"/>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3F1EE5"/>
  <w15:docId w15:val="{2FC3CA9F-757F-45AC-8085-25A33DC9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C174E1"/>
    <w:rPr>
      <w:sz w:val="16"/>
      <w:szCs w:val="16"/>
    </w:rPr>
  </w:style>
  <w:style w:type="paragraph" w:styleId="CommentText">
    <w:name w:val="annotation text"/>
    <w:basedOn w:val="Normal"/>
    <w:link w:val="CommentTextChar"/>
    <w:uiPriority w:val="99"/>
    <w:semiHidden/>
    <w:unhideWhenUsed/>
    <w:rsid w:val="00C174E1"/>
    <w:pPr>
      <w:spacing w:line="240" w:lineRule="auto"/>
    </w:pPr>
    <w:rPr>
      <w:sz w:val="20"/>
      <w:szCs w:val="20"/>
    </w:rPr>
  </w:style>
  <w:style w:type="character" w:customStyle="1" w:styleId="CommentTextChar">
    <w:name w:val="Comment Text Char"/>
    <w:basedOn w:val="DefaultParagraphFont"/>
    <w:link w:val="CommentText"/>
    <w:uiPriority w:val="99"/>
    <w:semiHidden/>
    <w:rsid w:val="00C174E1"/>
    <w:rPr>
      <w:sz w:val="20"/>
      <w:szCs w:val="20"/>
    </w:rPr>
  </w:style>
  <w:style w:type="paragraph" w:styleId="CommentSubject">
    <w:name w:val="annotation subject"/>
    <w:basedOn w:val="CommentText"/>
    <w:next w:val="CommentText"/>
    <w:link w:val="CommentSubjectChar"/>
    <w:uiPriority w:val="99"/>
    <w:semiHidden/>
    <w:unhideWhenUsed/>
    <w:rsid w:val="00C174E1"/>
    <w:rPr>
      <w:b/>
      <w:bCs/>
    </w:rPr>
  </w:style>
  <w:style w:type="character" w:customStyle="1" w:styleId="CommentSubjectChar">
    <w:name w:val="Comment Subject Char"/>
    <w:basedOn w:val="CommentTextChar"/>
    <w:link w:val="CommentSubject"/>
    <w:uiPriority w:val="99"/>
    <w:semiHidden/>
    <w:rsid w:val="00C174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E12E3B-419B-4B29-B433-C8B14F2A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4597</Words>
  <Characters>29027</Characters>
  <Application>Microsoft Office Word</Application>
  <DocSecurity>0</DocSecurity>
  <Lines>241</Lines>
  <Paragraphs>67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Potential Use of Western Australia’s Mandatory Midwives Notification System for Routinely Monitoring Antenatal Vaccine Coverage</vt:lpstr>
      <vt:lpstr>Abstract</vt:lpstr>
      <vt:lpstr>    Background</vt:lpstr>
      <vt:lpstr>    Methods</vt:lpstr>
      <vt:lpstr>    Results</vt:lpstr>
      <vt:lpstr>    Conclusion</vt:lpstr>
      <vt:lpstr>Article summary</vt:lpstr>
      <vt:lpstr>Introduction</vt:lpstr>
      <vt:lpstr>Methods</vt:lpstr>
      <vt:lpstr>Results</vt:lpstr>
      <vt:lpstr>    Influenza vaccine</vt:lpstr>
      <vt:lpstr>    Pertussis vaccine</vt:lpstr>
      <vt:lpstr/>
      <vt:lpstr>Discussion</vt:lpstr>
      <vt:lpstr>Acknowledgements</vt:lpstr>
      <vt:lpstr>Author details</vt:lpstr>
      <vt:lpstr>    Corresponding author</vt:lpstr>
      <vt:lpstr>References</vt:lpstr>
    </vt:vector>
  </TitlesOfParts>
  <Company>Australian Government, Department of Health</Company>
  <LinksUpToDate>false</LinksUpToDate>
  <CharactersWithSpaces>33557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Use of Western Australia’s Mandatory Midwives Notification System for Routinely Monitoring Antenatal Vaccine Coverage</dc:title>
  <dc:subject>We evaluated the use of Western Australia’s mandatory Midwives Notification System (MNS) for routinely monitoring antenatal vaccine coverage. Despite the low proportion of completed vaccine fields, complete vaccine information in the MNS was highly reliable and is a potential source of state-wide vaccine coverage data for public health surveillance.</dc:subject>
  <dc:creator>Annette K. Regan, Paul V. Effler, Chloe Thomson, Donna B. Mak</dc:creator>
  <cp:keywords>Antenatal vaccination, pregnancy, vaccine surveillance, vaccine coverage, influenza vaccine, pertussis vaccine, public health, evaluation</cp:keywords>
  <dc:description>© Commonwealth of Australia CC BY-NC-ND ISSN: 2209-6051 (Online)</dc:description>
  <cp:lastPrinted>2018-05-10T02:19:00Z</cp:lastPrinted>
  <dcterms:created xsi:type="dcterms:W3CDTF">2024-08-27T07:09:00Z</dcterms:created>
  <dcterms:modified xsi:type="dcterms:W3CDTF">2024-08-27T07:09:00Z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17/06/2019</vt:lpwstr>
  </property>
  <property fmtid="{D5CDD505-2E9C-101B-9397-08002B2CF9AE}" pid="5" name="DOI">
    <vt:lpwstr>https://doi.org/10.33321/cdi.2019.43.21</vt:lpwstr>
  </property>
</Properties>
</file>