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AAFB" w14:textId="77777777" w:rsidR="00D7689A" w:rsidRDefault="00D7689A" w:rsidP="00D7689A">
      <w:pPr>
        <w:pStyle w:val="Title"/>
        <w:rPr>
          <w:rFonts w:eastAsia="Times New Roman"/>
          <w:sz w:val="48"/>
          <w:szCs w:val="48"/>
        </w:rPr>
      </w:pPr>
      <w:r>
        <w:rPr>
          <w:rFonts w:eastAsia="Times New Roman"/>
        </w:rPr>
        <w:t xml:space="preserve">The utility of empirical mupirocin for eradication of methicillin-resistant </w:t>
      </w:r>
      <w:r w:rsidRPr="00515857">
        <w:rPr>
          <w:rFonts w:eastAsia="Times New Roman"/>
          <w:i/>
          <w:iCs/>
        </w:rPr>
        <w:t>Staphylococcus aureus</w:t>
      </w:r>
      <w:r>
        <w:rPr>
          <w:rFonts w:eastAsia="Times New Roman"/>
        </w:rPr>
        <w:t xml:space="preserve"> colonisation in Far North Queensland, Australia </w:t>
      </w:r>
    </w:p>
    <w:p w14:paraId="1F85235F" w14:textId="77777777" w:rsidR="00D7689A" w:rsidRDefault="00D7689A" w:rsidP="00D7689A">
      <w:r>
        <w:t xml:space="preserve">Isabel Guthridge, Stuart Campbell, Simon Smith, Josh Hanson </w:t>
      </w:r>
    </w:p>
    <w:p w14:paraId="51AAB23A" w14:textId="77777777" w:rsidR="00D7689A" w:rsidRPr="00D7689A" w:rsidRDefault="00D7689A" w:rsidP="00D7689A">
      <w:pPr>
        <w:pStyle w:val="Heading1"/>
      </w:pPr>
      <w:r w:rsidRPr="00D7689A">
        <w:t xml:space="preserve">Abstract </w:t>
      </w:r>
    </w:p>
    <w:p w14:paraId="1C843630" w14:textId="77777777" w:rsidR="00D7689A" w:rsidRDefault="00D7689A" w:rsidP="00283066">
      <w:r>
        <w:t xml:space="preserve">Methicillin-resistant </w:t>
      </w:r>
      <w:r w:rsidRPr="00283066">
        <w:rPr>
          <w:rStyle w:val="Emphasis"/>
          <w:b w:val="0"/>
          <w:bCs w:val="0"/>
        </w:rPr>
        <w:t>Staphylococcus aureus</w:t>
      </w:r>
      <w:r>
        <w:t xml:space="preserve"> (MRSA) infections are common in Far North Queensland (FNQ) and their incidence is increasing. Decolonisation regimens that include topical mupirocin </w:t>
      </w:r>
      <w:proofErr w:type="gramStart"/>
      <w:r>
        <w:t>are recommended</w:t>
      </w:r>
      <w:proofErr w:type="gramEnd"/>
      <w:r>
        <w:t xml:space="preserve"> in Australian guidelines to reduce recurrent infection. Mupirocin resistance was </w:t>
      </w:r>
      <w:proofErr w:type="gramStart"/>
      <w:r>
        <w:t>identified</w:t>
      </w:r>
      <w:proofErr w:type="gramEnd"/>
      <w:r>
        <w:t xml:space="preserve"> in 3,932/15,851 (24.8%) methicillin-sensitive </w:t>
      </w:r>
      <w:r w:rsidRPr="00283066">
        <w:rPr>
          <w:rStyle w:val="Emphasis"/>
          <w:b w:val="0"/>
          <w:bCs w:val="0"/>
        </w:rPr>
        <w:t>Staphylococcus aureus</w:t>
      </w:r>
      <w:r>
        <w:t xml:space="preserve"> (MSSA) isolates and in 533/5,134 (10.4%) MRSA isolates from FNQ between 1997 and 2016. Factors associated with mupirocin resistance in multivariate analysis were an MSSA isolate, age &lt; 40 years, rural </w:t>
      </w:r>
      <w:proofErr w:type="gramStart"/>
      <w:r>
        <w:t>residence</w:t>
      </w:r>
      <w:proofErr w:type="gramEnd"/>
      <w:r>
        <w:t xml:space="preserve"> and female gender. These data support the use of mupirocin in MRSA decolonisation in FNQ, although addressing the underlying social determinants of health that drive the incidence of </w:t>
      </w:r>
      <w:r w:rsidRPr="00283066">
        <w:rPr>
          <w:rStyle w:val="Emphasis"/>
          <w:b w:val="0"/>
          <w:bCs w:val="0"/>
        </w:rPr>
        <w:t>S. aureus</w:t>
      </w:r>
      <w:r>
        <w:t xml:space="preserve"> infections </w:t>
      </w:r>
      <w:proofErr w:type="gramStart"/>
      <w:r>
        <w:t>remain</w:t>
      </w:r>
      <w:proofErr w:type="gramEnd"/>
      <w:r>
        <w:t xml:space="preserve"> a priority for local healthcare provision. </w:t>
      </w:r>
    </w:p>
    <w:p w14:paraId="171F7E1F" w14:textId="77777777" w:rsidR="00D7689A" w:rsidRDefault="00D7689A" w:rsidP="00283066">
      <w:r>
        <w:t>Keywords:</w:t>
      </w:r>
      <w:r>
        <w:rPr>
          <w:rStyle w:val="Strong"/>
        </w:rPr>
        <w:t xml:space="preserve"> </w:t>
      </w:r>
      <w:r>
        <w:t xml:space="preserve">Mupirocin; Staphylococcus aureus; MRSA; decolonisation; Tropical Australia </w:t>
      </w:r>
    </w:p>
    <w:p w14:paraId="2E3624F5" w14:textId="77777777" w:rsidR="00D7689A" w:rsidRPr="00283066" w:rsidRDefault="00D7689A" w:rsidP="00283066">
      <w:pPr>
        <w:pStyle w:val="Heading1"/>
      </w:pPr>
      <w:r w:rsidRPr="00283066">
        <w:t xml:space="preserve">Background and methods </w:t>
      </w:r>
    </w:p>
    <w:p w14:paraId="6E349F98" w14:textId="77777777" w:rsidR="00D7689A" w:rsidRDefault="00D7689A" w:rsidP="00283066">
      <w:r>
        <w:t xml:space="preserve">Recurrent staphylococcal skin infections (SSI) are common in Far North Queensland (FNQ), and the proportion caused by methicillin-resistant </w:t>
      </w:r>
      <w:r w:rsidRPr="00283066">
        <w:rPr>
          <w:rStyle w:val="Emphasis"/>
          <w:b w:val="0"/>
          <w:bCs w:val="0"/>
        </w:rPr>
        <w:t>Staphylococcus aureus</w:t>
      </w:r>
      <w:r>
        <w:t xml:space="preserve"> (MRSA) is increasing.</w:t>
      </w:r>
      <w:r>
        <w:rPr>
          <w:vertAlign w:val="superscript"/>
        </w:rPr>
        <w:t>1,2</w:t>
      </w:r>
      <w:r>
        <w:t xml:space="preserve"> This is a challenging therapeutic problem, particularly in rural and remote areas where the social determinants of health contribute to higher rates of staphylococcal colonisation and infection.</w:t>
      </w:r>
      <w:r>
        <w:rPr>
          <w:vertAlign w:val="superscript"/>
        </w:rPr>
        <w:t>3–5</w:t>
      </w:r>
      <w:r>
        <w:t xml:space="preserve"> Decolonisation regimens that include nasal mupirocin are recommended to eradicate </w:t>
      </w:r>
      <w:r w:rsidRPr="00283066">
        <w:rPr>
          <w:rStyle w:val="Emphasis"/>
          <w:b w:val="0"/>
          <w:bCs w:val="0"/>
        </w:rPr>
        <w:t>S. aureus</w:t>
      </w:r>
      <w:r>
        <w:t xml:space="preserve"> carriage</w:t>
      </w:r>
      <w:r>
        <w:rPr>
          <w:vertAlign w:val="superscript"/>
        </w:rPr>
        <w:t>6,</w:t>
      </w:r>
      <w:proofErr w:type="gramStart"/>
      <w:r>
        <w:rPr>
          <w:vertAlign w:val="superscript"/>
        </w:rPr>
        <w:t>7</w:t>
      </w:r>
      <w:proofErr w:type="gramEnd"/>
      <w:r>
        <w:t xml:space="preserve"> and may reduce recurrent infections.</w:t>
      </w:r>
      <w:r>
        <w:rPr>
          <w:vertAlign w:val="superscript"/>
        </w:rPr>
        <w:t xml:space="preserve">8 </w:t>
      </w:r>
    </w:p>
    <w:p w14:paraId="73DB8D31" w14:textId="77777777" w:rsidR="00D7689A" w:rsidRDefault="00D7689A" w:rsidP="00283066">
      <w:r>
        <w:t xml:space="preserve">This study examined mupirocin resistance in </w:t>
      </w:r>
      <w:r w:rsidRPr="00283066">
        <w:rPr>
          <w:rStyle w:val="Emphasis"/>
          <w:b w:val="0"/>
          <w:bCs w:val="0"/>
        </w:rPr>
        <w:t>S. aureus</w:t>
      </w:r>
      <w:r>
        <w:t xml:space="preserve"> isolates in FNQ to </w:t>
      </w:r>
      <w:proofErr w:type="gramStart"/>
      <w:r>
        <w:t>determine</w:t>
      </w:r>
      <w:proofErr w:type="gramEnd"/>
      <w:r>
        <w:t xml:space="preserve"> the utility of mupirocin in local empirical staphylococcal decolonisation regimens. There was a focus on rural and remote areas where there are high rates of MRSA infection and limited access to </w:t>
      </w:r>
      <w:proofErr w:type="gramStart"/>
      <w:r>
        <w:t>timely</w:t>
      </w:r>
      <w:proofErr w:type="gramEnd"/>
      <w:r>
        <w:t xml:space="preserve"> microbiology testing. Far North Queensland, an area of around 380,000 km</w:t>
      </w:r>
      <w:r>
        <w:rPr>
          <w:vertAlign w:val="superscript"/>
        </w:rPr>
        <w:t>2</w:t>
      </w:r>
      <w:r>
        <w:t xml:space="preserve"> in tropical north-eastern Australia, extends from Tully in the south to the Torres Strait Islands in the north; 65% of the population of 280,000 people live in the urban Cairns region.</w:t>
      </w:r>
      <w:r>
        <w:rPr>
          <w:vertAlign w:val="superscript"/>
        </w:rPr>
        <w:t xml:space="preserve">9 </w:t>
      </w:r>
      <w:proofErr w:type="gramStart"/>
      <w:r>
        <w:t>Approximately 17%</w:t>
      </w:r>
      <w:proofErr w:type="gramEnd"/>
      <w:r>
        <w:t xml:space="preserve"> of the FNQ population identify as Aboriginal and/or Torres Strait Islander Australians.</w:t>
      </w:r>
      <w:r>
        <w:rPr>
          <w:vertAlign w:val="superscript"/>
        </w:rPr>
        <w:t>9</w:t>
      </w:r>
      <w:r>
        <w:t xml:space="preserve"> </w:t>
      </w:r>
    </w:p>
    <w:p w14:paraId="48C47E1F" w14:textId="77777777" w:rsidR="00D7689A" w:rsidRDefault="00D7689A" w:rsidP="00283066">
      <w:r>
        <w:t xml:space="preserve">We interrogated the Queensland Health electronic laboratory database (AUSLAB) for </w:t>
      </w:r>
      <w:r w:rsidRPr="00283066">
        <w:rPr>
          <w:rStyle w:val="Emphasis"/>
          <w:b w:val="0"/>
          <w:bCs w:val="0"/>
        </w:rPr>
        <w:t>S. aureus</w:t>
      </w:r>
      <w:r>
        <w:t xml:space="preserve"> isolates from both inpatient and outpatient clinical specimens in FNQ between 1 January 1997 and 31 December 2016. Patient demographics and the isolates’ antibiograms </w:t>
      </w:r>
      <w:proofErr w:type="gramStart"/>
      <w:r>
        <w:t>were recorded</w:t>
      </w:r>
      <w:proofErr w:type="gramEnd"/>
      <w:r>
        <w:t xml:space="preserve">. Isolates were </w:t>
      </w:r>
      <w:proofErr w:type="gramStart"/>
      <w:r>
        <w:t>deemed</w:t>
      </w:r>
      <w:proofErr w:type="gramEnd"/>
      <w:r>
        <w:t xml:space="preserve"> urban if they were collected in Cairns, and rural if not. Repeat isolates collected within &lt; 12 months from the same patient </w:t>
      </w:r>
      <w:proofErr w:type="gramStart"/>
      <w:r>
        <w:t>were excluded</w:t>
      </w:r>
      <w:proofErr w:type="gramEnd"/>
      <w:r>
        <w:t xml:space="preserve">, as were isolates from non-FNQ residents. Isolates </w:t>
      </w:r>
      <w:proofErr w:type="gramStart"/>
      <w:r>
        <w:t>were defined</w:t>
      </w:r>
      <w:proofErr w:type="gramEnd"/>
      <w:r>
        <w:t xml:space="preserve"> as MRSA if there was </w:t>
      </w:r>
      <w:r w:rsidRPr="00283066">
        <w:rPr>
          <w:rStyle w:val="Emphasis"/>
          <w:b w:val="0"/>
          <w:bCs w:val="0"/>
        </w:rPr>
        <w:t>in vitro</w:t>
      </w:r>
      <w:r>
        <w:t xml:space="preserve"> resistance to oxacillin or cefoxitin. Mupirocin resistance testing </w:t>
      </w:r>
      <w:proofErr w:type="gramStart"/>
      <w:r>
        <w:t>was performed</w:t>
      </w:r>
      <w:proofErr w:type="gramEnd"/>
      <w:r>
        <w:t xml:space="preserve"> using the Vitek2 system (</w:t>
      </w:r>
      <w:proofErr w:type="spellStart"/>
      <w:r>
        <w:t>bioMérieux</w:t>
      </w:r>
      <w:proofErr w:type="spellEnd"/>
      <w:r>
        <w:t xml:space="preserve">, France) with 2 mg/L used as the resistance breakpoint. Further testing to distinguish between low-level and high-level mupirocin resistance </w:t>
      </w:r>
      <w:proofErr w:type="gramStart"/>
      <w:r>
        <w:t>was not performed</w:t>
      </w:r>
      <w:proofErr w:type="gramEnd"/>
      <w:r>
        <w:t xml:space="preserve">. Statistical analysis </w:t>
      </w:r>
      <w:proofErr w:type="gramStart"/>
      <w:r>
        <w:t>was performed</w:t>
      </w:r>
      <w:proofErr w:type="gramEnd"/>
      <w:r>
        <w:t xml:space="preserve"> with statistical software (Stata version 14.2, USA). Groups were compared using the chi-squared test and multivariate logistic regression analysis, as </w:t>
      </w:r>
      <w:proofErr w:type="gramStart"/>
      <w:r>
        <w:t>appropriate</w:t>
      </w:r>
      <w:proofErr w:type="gramEnd"/>
      <w:r>
        <w:t xml:space="preserve">, whilst </w:t>
      </w:r>
      <w:r>
        <w:lastRenderedPageBreak/>
        <w:t xml:space="preserve">trends over time were determined using an extension of the Wilcoxon rank-sum test. The study </w:t>
      </w:r>
      <w:proofErr w:type="gramStart"/>
      <w:r>
        <w:t>was approved</w:t>
      </w:r>
      <w:proofErr w:type="gramEnd"/>
      <w:r>
        <w:t xml:space="preserve"> by the FNQ Human Research Ethics Committee (HREC/16/QCH/112–1085). </w:t>
      </w:r>
    </w:p>
    <w:p w14:paraId="352745B3" w14:textId="00AB01BB" w:rsidR="00D7689A" w:rsidRPr="00283066" w:rsidRDefault="00D7689A" w:rsidP="00283066">
      <w:pPr>
        <w:pStyle w:val="Heading1"/>
      </w:pPr>
      <w:r w:rsidRPr="00283066">
        <w:t xml:space="preserve">Results and </w:t>
      </w:r>
      <w:r w:rsidR="00515857">
        <w:t>d</w:t>
      </w:r>
      <w:r w:rsidRPr="00283066">
        <w:t xml:space="preserve">iscussion </w:t>
      </w:r>
    </w:p>
    <w:p w14:paraId="3EA9C715" w14:textId="28AD7E43" w:rsidR="00D7689A" w:rsidRDefault="00D7689A" w:rsidP="00283066">
      <w:r>
        <w:t xml:space="preserve">There were 46,304 </w:t>
      </w:r>
      <w:r w:rsidRPr="00283066">
        <w:rPr>
          <w:rStyle w:val="Emphasis"/>
          <w:b w:val="0"/>
          <w:bCs w:val="0"/>
        </w:rPr>
        <w:t>S. aureus</w:t>
      </w:r>
      <w:r>
        <w:t xml:space="preserve"> isolates found in AUSLAB from clinical specimens in FNQ for the study period. Of these isolates, 20,985 had mupirocin susceptibility testing performed during the study period;</w:t>
      </w:r>
      <w:r w:rsidR="00E55A83">
        <w:rPr>
          <w:rStyle w:val="FootnoteReference"/>
        </w:rPr>
        <w:footnoteReference w:id="2"/>
      </w:r>
      <w:r>
        <w:t xml:space="preserve"> mupirocin resistance was present in 4,465 (21.3%). Mupirocin resistance was </w:t>
      </w:r>
      <w:proofErr w:type="gramStart"/>
      <w:r>
        <w:t>identified</w:t>
      </w:r>
      <w:proofErr w:type="gramEnd"/>
      <w:r>
        <w:t xml:space="preserve"> in 3,932/15,851 methicillin-sensitive </w:t>
      </w:r>
      <w:r w:rsidRPr="00283066">
        <w:rPr>
          <w:rStyle w:val="Emphasis"/>
          <w:b w:val="0"/>
          <w:bCs w:val="0"/>
        </w:rPr>
        <w:t>Staphylococcus aureus</w:t>
      </w:r>
      <w:r>
        <w:t xml:space="preserve"> (MSSA) isolates (24.8%) and in 533/5,134 MRSA isolates (10.4%) (Table 1). There was no change in the proportion of isolates with mupirocin resistance during the study period (</w:t>
      </w:r>
      <w:r w:rsidRPr="00283066">
        <w:rPr>
          <w:rStyle w:val="Emphasis"/>
          <w:b w:val="0"/>
          <w:bCs w:val="0"/>
        </w:rPr>
        <w:t>p</w:t>
      </w:r>
      <w:r>
        <w:t xml:space="preserve"> for trend = 0.50). In multivariate analysis, mupirocin resistance was more likely in MSSA isolates, in people &lt; 40 years of age, in people from rural locations, and in females (Table 2). Aboriginal and/or Torres Strait Islander ethnicity was not associated with mupirocin</w:t>
      </w:r>
      <w:r w:rsidR="00493B3B">
        <w:t> </w:t>
      </w:r>
      <w:r>
        <w:t xml:space="preserve">resistance. </w:t>
      </w:r>
    </w:p>
    <w:p w14:paraId="1F49E04B" w14:textId="77777777" w:rsidR="00493B3B" w:rsidRPr="00496908" w:rsidRDefault="00493B3B" w:rsidP="00493B3B">
      <w:pPr>
        <w:pStyle w:val="CDIFigures"/>
      </w:pPr>
      <w:r w:rsidRPr="00496908">
        <w:rPr>
          <w:rStyle w:val="Strong"/>
          <w:b/>
          <w:bCs w:val="0"/>
        </w:rPr>
        <w:t xml:space="preserve">Table 1: Characteristics of mupirocin sensitive and resistant </w:t>
      </w:r>
      <w:r w:rsidRPr="00515857">
        <w:rPr>
          <w:rStyle w:val="Strong"/>
          <w:b/>
          <w:bCs w:val="0"/>
          <w:i/>
          <w:iCs/>
        </w:rPr>
        <w:t>S. aureus</w:t>
      </w:r>
      <w:r w:rsidRPr="00496908">
        <w:rPr>
          <w:rStyle w:val="Strong"/>
          <w:b/>
          <w:bCs w:val="0"/>
        </w:rPr>
        <w:t xml:space="preserve"> isolates in Far North Queensland, Australia, 1 January 1997 – 31 December 2016</w:t>
      </w:r>
    </w:p>
    <w:tbl>
      <w:tblPr>
        <w:tblStyle w:val="CDI-StandardTable"/>
        <w:tblW w:w="0" w:type="auto"/>
        <w:tblLook w:val="04A0" w:firstRow="1" w:lastRow="0" w:firstColumn="1" w:lastColumn="0" w:noHBand="0" w:noVBand="1"/>
        <w:tblCaption w:val="Table 1: Characteristics of mupirocin sensitive and resistant S. aureus isolates in Far North Queensland, Australia, 1 January 1997 – 31 December 2016."/>
        <w:tblDescription w:val="This table outlines the number and distribution of Staphylococcus aureus isolates whom underwent mupirocin testing over the study period. Mupirocin resistance was associated with methicillin resistant S. aureus, younger patients, female patients, and those living in remote area. Indigenous Australian ethnicity was not associated with resistance. "/>
      </w:tblPr>
      <w:tblGrid>
        <w:gridCol w:w="2610"/>
        <w:gridCol w:w="2610"/>
        <w:gridCol w:w="2610"/>
        <w:gridCol w:w="2610"/>
      </w:tblGrid>
      <w:tr w:rsidR="00493B3B" w:rsidRPr="00496908" w14:paraId="49360B2C" w14:textId="77777777" w:rsidTr="00493B3B">
        <w:trPr>
          <w:cnfStyle w:val="100000000000" w:firstRow="1" w:lastRow="0" w:firstColumn="0" w:lastColumn="0" w:oddVBand="0" w:evenVBand="0" w:oddHBand="0" w:evenHBand="0" w:firstRowFirstColumn="0" w:firstRowLastColumn="0" w:lastRowFirstColumn="0" w:lastRowLastColumn="0"/>
        </w:trPr>
        <w:tc>
          <w:tcPr>
            <w:tcW w:w="2610" w:type="dxa"/>
            <w:hideMark/>
          </w:tcPr>
          <w:p w14:paraId="702E610E" w14:textId="77777777" w:rsidR="00493B3B" w:rsidRPr="00496908" w:rsidRDefault="00493B3B" w:rsidP="006A1F80">
            <w:pPr>
              <w:pStyle w:val="NormalWeb"/>
              <w:jc w:val="left"/>
              <w:rPr>
                <w:sz w:val="18"/>
                <w:szCs w:val="18"/>
                <w:lang w:val="en-GB"/>
              </w:rPr>
            </w:pPr>
            <w:r w:rsidRPr="00496908">
              <w:rPr>
                <w:sz w:val="18"/>
                <w:szCs w:val="18"/>
                <w:lang w:val="en-GB"/>
              </w:rPr>
              <w:t>Category</w:t>
            </w:r>
          </w:p>
        </w:tc>
        <w:tc>
          <w:tcPr>
            <w:tcW w:w="2610" w:type="dxa"/>
            <w:hideMark/>
          </w:tcPr>
          <w:p w14:paraId="3E4E3EB0" w14:textId="77777777" w:rsidR="00493B3B" w:rsidRPr="00496908" w:rsidRDefault="00493B3B" w:rsidP="006A1F80">
            <w:pPr>
              <w:pStyle w:val="NormalWeb"/>
              <w:rPr>
                <w:sz w:val="18"/>
                <w:szCs w:val="18"/>
                <w:lang w:val="en-GB"/>
              </w:rPr>
            </w:pPr>
            <w:r w:rsidRPr="00496908">
              <w:rPr>
                <w:sz w:val="18"/>
                <w:szCs w:val="18"/>
                <w:lang w:val="en-GB"/>
              </w:rPr>
              <w:t>Mupirocin sensitive</w:t>
            </w:r>
          </w:p>
        </w:tc>
        <w:tc>
          <w:tcPr>
            <w:tcW w:w="2610" w:type="dxa"/>
            <w:hideMark/>
          </w:tcPr>
          <w:p w14:paraId="5AC7AF4A" w14:textId="77777777" w:rsidR="00493B3B" w:rsidRPr="00496908" w:rsidRDefault="00493B3B" w:rsidP="006A1F80">
            <w:pPr>
              <w:pStyle w:val="NormalWeb"/>
              <w:rPr>
                <w:sz w:val="18"/>
                <w:szCs w:val="18"/>
                <w:lang w:val="en-GB"/>
              </w:rPr>
            </w:pPr>
            <w:r w:rsidRPr="00496908">
              <w:rPr>
                <w:sz w:val="18"/>
                <w:szCs w:val="18"/>
                <w:lang w:val="en-GB"/>
              </w:rPr>
              <w:t>Mupirocin resistant</w:t>
            </w:r>
          </w:p>
        </w:tc>
        <w:tc>
          <w:tcPr>
            <w:tcW w:w="2610" w:type="dxa"/>
            <w:hideMark/>
          </w:tcPr>
          <w:p w14:paraId="399CA36B" w14:textId="77777777" w:rsidR="00493B3B" w:rsidRPr="00496908" w:rsidRDefault="00493B3B" w:rsidP="006A1F80">
            <w:pPr>
              <w:pStyle w:val="NormalWeb"/>
              <w:rPr>
                <w:sz w:val="18"/>
                <w:szCs w:val="18"/>
                <w:lang w:val="en-GB"/>
              </w:rPr>
            </w:pPr>
            <w:r w:rsidRPr="005A5E49">
              <w:rPr>
                <w:i/>
                <w:iCs/>
                <w:sz w:val="18"/>
                <w:szCs w:val="18"/>
                <w:lang w:val="en-GB"/>
              </w:rPr>
              <w:t>p</w:t>
            </w:r>
            <w:r w:rsidRPr="00496908">
              <w:rPr>
                <w:sz w:val="18"/>
                <w:szCs w:val="18"/>
                <w:lang w:val="en-GB"/>
              </w:rPr>
              <w:t xml:space="preserve"> </w:t>
            </w:r>
            <w:proofErr w:type="spellStart"/>
            <w:r w:rsidRPr="00496908">
              <w:rPr>
                <w:sz w:val="18"/>
                <w:szCs w:val="18"/>
                <w:lang w:val="en-GB"/>
              </w:rPr>
              <w:t>value</w:t>
            </w:r>
            <w:r w:rsidRPr="00496908">
              <w:rPr>
                <w:sz w:val="18"/>
                <w:szCs w:val="18"/>
                <w:vertAlign w:val="superscript"/>
                <w:lang w:val="en-GB"/>
              </w:rPr>
              <w:t>a</w:t>
            </w:r>
            <w:proofErr w:type="spellEnd"/>
          </w:p>
        </w:tc>
      </w:tr>
      <w:tr w:rsidR="00493B3B" w:rsidRPr="00496908" w14:paraId="318E7664" w14:textId="77777777" w:rsidTr="00493B3B">
        <w:tc>
          <w:tcPr>
            <w:tcW w:w="2610" w:type="dxa"/>
            <w:hideMark/>
          </w:tcPr>
          <w:p w14:paraId="395785E1" w14:textId="77777777" w:rsidR="00493B3B" w:rsidRPr="00496908" w:rsidRDefault="00493B3B" w:rsidP="006A1F80">
            <w:pPr>
              <w:pStyle w:val="NormalWeb"/>
              <w:jc w:val="left"/>
              <w:rPr>
                <w:sz w:val="18"/>
                <w:szCs w:val="18"/>
                <w:lang w:val="en-GB"/>
              </w:rPr>
            </w:pPr>
            <w:r w:rsidRPr="00496908">
              <w:rPr>
                <w:sz w:val="18"/>
                <w:szCs w:val="18"/>
                <w:lang w:val="en-GB"/>
              </w:rPr>
              <w:t>All isolates</w:t>
            </w:r>
          </w:p>
        </w:tc>
        <w:tc>
          <w:tcPr>
            <w:tcW w:w="2610" w:type="dxa"/>
            <w:hideMark/>
          </w:tcPr>
          <w:p w14:paraId="6DB7DBFB" w14:textId="77777777" w:rsidR="00493B3B" w:rsidRPr="00496908" w:rsidRDefault="00493B3B" w:rsidP="006A1F80">
            <w:pPr>
              <w:pStyle w:val="NormalWeb"/>
              <w:rPr>
                <w:sz w:val="18"/>
                <w:szCs w:val="18"/>
                <w:lang w:val="en-GB"/>
              </w:rPr>
            </w:pPr>
            <w:r w:rsidRPr="00496908">
              <w:rPr>
                <w:sz w:val="18"/>
                <w:szCs w:val="18"/>
                <w:lang w:val="en-GB"/>
              </w:rPr>
              <w:t>16,520 (78.7%)</w:t>
            </w:r>
          </w:p>
        </w:tc>
        <w:tc>
          <w:tcPr>
            <w:tcW w:w="2610" w:type="dxa"/>
            <w:hideMark/>
          </w:tcPr>
          <w:p w14:paraId="417F24D2" w14:textId="77777777" w:rsidR="00493B3B" w:rsidRPr="00496908" w:rsidRDefault="00493B3B" w:rsidP="006A1F80">
            <w:pPr>
              <w:pStyle w:val="NormalWeb"/>
              <w:rPr>
                <w:sz w:val="18"/>
                <w:szCs w:val="18"/>
                <w:lang w:val="en-GB"/>
              </w:rPr>
            </w:pPr>
            <w:r w:rsidRPr="00496908">
              <w:rPr>
                <w:sz w:val="18"/>
                <w:szCs w:val="18"/>
                <w:lang w:val="en-GB"/>
              </w:rPr>
              <w:t>4,465 (21.3%)</w:t>
            </w:r>
          </w:p>
        </w:tc>
        <w:tc>
          <w:tcPr>
            <w:tcW w:w="2610" w:type="dxa"/>
            <w:hideMark/>
          </w:tcPr>
          <w:p w14:paraId="45B450D9" w14:textId="77777777" w:rsidR="00493B3B" w:rsidRPr="00496908" w:rsidRDefault="00493B3B" w:rsidP="006A1F80">
            <w:pPr>
              <w:rPr>
                <w:sz w:val="18"/>
                <w:szCs w:val="18"/>
                <w:lang w:val="en-GB"/>
              </w:rPr>
            </w:pPr>
          </w:p>
        </w:tc>
      </w:tr>
      <w:tr w:rsidR="00493B3B" w:rsidRPr="00496908" w14:paraId="5D8BA59A" w14:textId="77777777" w:rsidTr="00493B3B">
        <w:trPr>
          <w:cnfStyle w:val="000000010000" w:firstRow="0" w:lastRow="0" w:firstColumn="0" w:lastColumn="0" w:oddVBand="0" w:evenVBand="0" w:oddHBand="0" w:evenHBand="1" w:firstRowFirstColumn="0" w:firstRowLastColumn="0" w:lastRowFirstColumn="0" w:lastRowLastColumn="0"/>
        </w:trPr>
        <w:tc>
          <w:tcPr>
            <w:tcW w:w="2610" w:type="dxa"/>
            <w:hideMark/>
          </w:tcPr>
          <w:p w14:paraId="4160A0D6" w14:textId="77777777" w:rsidR="00493B3B" w:rsidRPr="00496908" w:rsidRDefault="00493B3B" w:rsidP="006A1F80">
            <w:pPr>
              <w:pStyle w:val="NormalWeb"/>
              <w:jc w:val="left"/>
              <w:rPr>
                <w:sz w:val="18"/>
                <w:szCs w:val="18"/>
                <w:lang w:val="en-GB"/>
              </w:rPr>
            </w:pPr>
            <w:proofErr w:type="spellStart"/>
            <w:r w:rsidRPr="00496908">
              <w:rPr>
                <w:sz w:val="18"/>
                <w:szCs w:val="18"/>
                <w:lang w:val="en-GB"/>
              </w:rPr>
              <w:t>MSSA</w:t>
            </w:r>
            <w:r w:rsidRPr="00496908">
              <w:rPr>
                <w:sz w:val="18"/>
                <w:szCs w:val="18"/>
                <w:vertAlign w:val="superscript"/>
                <w:lang w:val="en-GB"/>
              </w:rPr>
              <w:t>b</w:t>
            </w:r>
            <w:proofErr w:type="spellEnd"/>
          </w:p>
        </w:tc>
        <w:tc>
          <w:tcPr>
            <w:tcW w:w="2610" w:type="dxa"/>
            <w:hideMark/>
          </w:tcPr>
          <w:p w14:paraId="330708A9" w14:textId="77777777" w:rsidR="00493B3B" w:rsidRPr="00496908" w:rsidRDefault="00493B3B" w:rsidP="006A1F80">
            <w:pPr>
              <w:pStyle w:val="NormalWeb"/>
              <w:rPr>
                <w:sz w:val="18"/>
                <w:szCs w:val="18"/>
                <w:lang w:val="en-GB"/>
              </w:rPr>
            </w:pPr>
            <w:r w:rsidRPr="00496908">
              <w:rPr>
                <w:sz w:val="18"/>
                <w:szCs w:val="18"/>
                <w:lang w:val="en-GB"/>
              </w:rPr>
              <w:t>11,919 (75.2%)</w:t>
            </w:r>
          </w:p>
        </w:tc>
        <w:tc>
          <w:tcPr>
            <w:tcW w:w="2610" w:type="dxa"/>
            <w:hideMark/>
          </w:tcPr>
          <w:p w14:paraId="2FE409D9" w14:textId="77777777" w:rsidR="00493B3B" w:rsidRPr="00496908" w:rsidRDefault="00493B3B" w:rsidP="006A1F80">
            <w:pPr>
              <w:pStyle w:val="NormalWeb"/>
              <w:rPr>
                <w:sz w:val="18"/>
                <w:szCs w:val="18"/>
                <w:lang w:val="en-GB"/>
              </w:rPr>
            </w:pPr>
            <w:r w:rsidRPr="00496908">
              <w:rPr>
                <w:sz w:val="18"/>
                <w:szCs w:val="18"/>
                <w:lang w:val="en-GB"/>
              </w:rPr>
              <w:t>3,932 (24.8%)</w:t>
            </w:r>
          </w:p>
        </w:tc>
        <w:tc>
          <w:tcPr>
            <w:tcW w:w="2610" w:type="dxa"/>
            <w:hideMark/>
          </w:tcPr>
          <w:p w14:paraId="5A5A8420" w14:textId="77777777" w:rsidR="00493B3B" w:rsidRPr="00496908" w:rsidRDefault="00493B3B" w:rsidP="006A1F80">
            <w:pPr>
              <w:rPr>
                <w:sz w:val="18"/>
                <w:szCs w:val="18"/>
                <w:lang w:val="en-GB"/>
              </w:rPr>
            </w:pPr>
          </w:p>
        </w:tc>
      </w:tr>
      <w:tr w:rsidR="00493B3B" w:rsidRPr="00496908" w14:paraId="52EA82C2" w14:textId="77777777" w:rsidTr="00493B3B">
        <w:tc>
          <w:tcPr>
            <w:tcW w:w="2610" w:type="dxa"/>
            <w:hideMark/>
          </w:tcPr>
          <w:p w14:paraId="515CE6F3" w14:textId="77777777" w:rsidR="00493B3B" w:rsidRPr="00496908" w:rsidRDefault="00493B3B" w:rsidP="006A1F80">
            <w:pPr>
              <w:pStyle w:val="NormalWeb"/>
              <w:jc w:val="left"/>
              <w:rPr>
                <w:sz w:val="18"/>
                <w:szCs w:val="18"/>
                <w:lang w:val="en-GB"/>
              </w:rPr>
            </w:pPr>
            <w:proofErr w:type="spellStart"/>
            <w:r w:rsidRPr="00496908">
              <w:rPr>
                <w:sz w:val="18"/>
                <w:szCs w:val="18"/>
                <w:lang w:val="en-GB"/>
              </w:rPr>
              <w:t>MRSA</w:t>
            </w:r>
            <w:r w:rsidRPr="00496908">
              <w:rPr>
                <w:sz w:val="18"/>
                <w:szCs w:val="18"/>
                <w:vertAlign w:val="superscript"/>
                <w:lang w:val="en-GB"/>
              </w:rPr>
              <w:t>c</w:t>
            </w:r>
            <w:proofErr w:type="spellEnd"/>
          </w:p>
        </w:tc>
        <w:tc>
          <w:tcPr>
            <w:tcW w:w="2610" w:type="dxa"/>
            <w:hideMark/>
          </w:tcPr>
          <w:p w14:paraId="7414E898" w14:textId="77777777" w:rsidR="00493B3B" w:rsidRPr="00496908" w:rsidRDefault="00493B3B" w:rsidP="006A1F80">
            <w:pPr>
              <w:pStyle w:val="NormalWeb"/>
              <w:rPr>
                <w:sz w:val="18"/>
                <w:szCs w:val="18"/>
                <w:lang w:val="en-GB"/>
              </w:rPr>
            </w:pPr>
            <w:r w:rsidRPr="00496908">
              <w:rPr>
                <w:sz w:val="18"/>
                <w:szCs w:val="18"/>
                <w:lang w:val="en-GB"/>
              </w:rPr>
              <w:t>4,601 (89.6%)</w:t>
            </w:r>
          </w:p>
        </w:tc>
        <w:tc>
          <w:tcPr>
            <w:tcW w:w="2610" w:type="dxa"/>
            <w:hideMark/>
          </w:tcPr>
          <w:p w14:paraId="612BF3C5" w14:textId="77777777" w:rsidR="00493B3B" w:rsidRPr="00496908" w:rsidRDefault="00493B3B" w:rsidP="006A1F80">
            <w:pPr>
              <w:pStyle w:val="NormalWeb"/>
              <w:rPr>
                <w:sz w:val="18"/>
                <w:szCs w:val="18"/>
                <w:lang w:val="en-GB"/>
              </w:rPr>
            </w:pPr>
            <w:r w:rsidRPr="00496908">
              <w:rPr>
                <w:sz w:val="18"/>
                <w:szCs w:val="18"/>
                <w:lang w:val="en-GB"/>
              </w:rPr>
              <w:t>533 (10.4%)</w:t>
            </w:r>
          </w:p>
        </w:tc>
        <w:tc>
          <w:tcPr>
            <w:tcW w:w="2610" w:type="dxa"/>
            <w:hideMark/>
          </w:tcPr>
          <w:p w14:paraId="6E33C3C6" w14:textId="77777777" w:rsidR="00493B3B" w:rsidRPr="00496908" w:rsidRDefault="00493B3B" w:rsidP="006A1F80">
            <w:pPr>
              <w:rPr>
                <w:sz w:val="18"/>
                <w:szCs w:val="18"/>
                <w:lang w:val="en-GB"/>
              </w:rPr>
            </w:pPr>
          </w:p>
        </w:tc>
      </w:tr>
      <w:tr w:rsidR="00493B3B" w:rsidRPr="00496908" w14:paraId="3F25938F" w14:textId="77777777" w:rsidTr="00493B3B">
        <w:trPr>
          <w:cnfStyle w:val="000000010000" w:firstRow="0" w:lastRow="0" w:firstColumn="0" w:lastColumn="0" w:oddVBand="0" w:evenVBand="0" w:oddHBand="0" w:evenHBand="1" w:firstRowFirstColumn="0" w:firstRowLastColumn="0" w:lastRowFirstColumn="0" w:lastRowLastColumn="0"/>
        </w:trPr>
        <w:tc>
          <w:tcPr>
            <w:tcW w:w="2610" w:type="dxa"/>
            <w:hideMark/>
          </w:tcPr>
          <w:p w14:paraId="09A721D3" w14:textId="77777777" w:rsidR="00493B3B" w:rsidRPr="00496908" w:rsidRDefault="00493B3B" w:rsidP="006A1F80">
            <w:pPr>
              <w:pStyle w:val="NormalWeb"/>
              <w:jc w:val="left"/>
              <w:rPr>
                <w:sz w:val="18"/>
                <w:szCs w:val="18"/>
                <w:lang w:val="en-GB"/>
              </w:rPr>
            </w:pPr>
            <w:r w:rsidRPr="00496908">
              <w:rPr>
                <w:sz w:val="18"/>
                <w:szCs w:val="18"/>
                <w:lang w:val="en-GB"/>
              </w:rPr>
              <w:t>Median age (interquartile range)</w:t>
            </w:r>
          </w:p>
        </w:tc>
        <w:tc>
          <w:tcPr>
            <w:tcW w:w="2610" w:type="dxa"/>
            <w:hideMark/>
          </w:tcPr>
          <w:p w14:paraId="6BC94ADB" w14:textId="77777777" w:rsidR="00493B3B" w:rsidRPr="00496908" w:rsidRDefault="00493B3B" w:rsidP="006A1F80">
            <w:pPr>
              <w:pStyle w:val="NormalWeb"/>
              <w:rPr>
                <w:sz w:val="18"/>
                <w:szCs w:val="18"/>
                <w:lang w:val="en-GB"/>
              </w:rPr>
            </w:pPr>
            <w:r w:rsidRPr="00496908">
              <w:rPr>
                <w:sz w:val="18"/>
                <w:szCs w:val="18"/>
                <w:lang w:val="en-GB"/>
              </w:rPr>
              <w:t>36 (17–56)</w:t>
            </w:r>
          </w:p>
        </w:tc>
        <w:tc>
          <w:tcPr>
            <w:tcW w:w="2610" w:type="dxa"/>
            <w:hideMark/>
          </w:tcPr>
          <w:p w14:paraId="24499E09" w14:textId="77777777" w:rsidR="00493B3B" w:rsidRPr="00496908" w:rsidRDefault="00493B3B" w:rsidP="006A1F80">
            <w:pPr>
              <w:pStyle w:val="NormalWeb"/>
              <w:rPr>
                <w:sz w:val="18"/>
                <w:szCs w:val="18"/>
                <w:lang w:val="en-GB"/>
              </w:rPr>
            </w:pPr>
            <w:r w:rsidRPr="00496908">
              <w:rPr>
                <w:sz w:val="18"/>
                <w:szCs w:val="18"/>
                <w:lang w:val="en-GB"/>
              </w:rPr>
              <w:t>25 (9–44)</w:t>
            </w:r>
          </w:p>
        </w:tc>
        <w:tc>
          <w:tcPr>
            <w:tcW w:w="2610" w:type="dxa"/>
            <w:hideMark/>
          </w:tcPr>
          <w:p w14:paraId="37407718" w14:textId="3B6E18BC" w:rsidR="00493B3B" w:rsidRPr="00496908" w:rsidRDefault="00493B3B" w:rsidP="006A1F80">
            <w:pPr>
              <w:pStyle w:val="NormalWeb"/>
              <w:rPr>
                <w:sz w:val="18"/>
                <w:szCs w:val="18"/>
                <w:lang w:val="en-GB"/>
              </w:rPr>
            </w:pPr>
            <w:r w:rsidRPr="00496908">
              <w:rPr>
                <w:sz w:val="18"/>
                <w:szCs w:val="18"/>
                <w:lang w:val="en-GB"/>
              </w:rPr>
              <w:t>&lt;</w:t>
            </w:r>
            <w:r w:rsidR="00515857">
              <w:rPr>
                <w:sz w:val="18"/>
                <w:szCs w:val="18"/>
                <w:lang w:val="en-GB"/>
              </w:rPr>
              <w:t xml:space="preserve"> </w:t>
            </w:r>
            <w:r w:rsidRPr="00496908">
              <w:rPr>
                <w:sz w:val="18"/>
                <w:szCs w:val="18"/>
                <w:lang w:val="en-GB"/>
              </w:rPr>
              <w:t>0.001</w:t>
            </w:r>
          </w:p>
        </w:tc>
      </w:tr>
      <w:tr w:rsidR="00493B3B" w:rsidRPr="00496908" w14:paraId="2247F5DC" w14:textId="77777777" w:rsidTr="00493B3B">
        <w:tc>
          <w:tcPr>
            <w:tcW w:w="2610" w:type="dxa"/>
            <w:hideMark/>
          </w:tcPr>
          <w:p w14:paraId="1F9AA580" w14:textId="77777777" w:rsidR="00493B3B" w:rsidRPr="00496908" w:rsidRDefault="00493B3B" w:rsidP="006A1F80">
            <w:pPr>
              <w:pStyle w:val="NormalWeb"/>
              <w:jc w:val="left"/>
              <w:rPr>
                <w:sz w:val="18"/>
                <w:szCs w:val="18"/>
                <w:lang w:val="en-GB"/>
              </w:rPr>
            </w:pPr>
            <w:r w:rsidRPr="00496908">
              <w:rPr>
                <w:sz w:val="18"/>
                <w:szCs w:val="18"/>
                <w:lang w:val="en-GB"/>
              </w:rPr>
              <w:t>&lt; 40 years old</w:t>
            </w:r>
          </w:p>
        </w:tc>
        <w:tc>
          <w:tcPr>
            <w:tcW w:w="2610" w:type="dxa"/>
            <w:hideMark/>
          </w:tcPr>
          <w:p w14:paraId="0ACBDD18" w14:textId="77777777" w:rsidR="00493B3B" w:rsidRPr="00496908" w:rsidRDefault="00493B3B" w:rsidP="006A1F80">
            <w:pPr>
              <w:pStyle w:val="NormalWeb"/>
              <w:rPr>
                <w:sz w:val="18"/>
                <w:szCs w:val="18"/>
                <w:lang w:val="en-GB"/>
              </w:rPr>
            </w:pPr>
            <w:r w:rsidRPr="00496908">
              <w:rPr>
                <w:sz w:val="18"/>
                <w:szCs w:val="18"/>
                <w:lang w:val="en-GB"/>
              </w:rPr>
              <w:t>9,008 (54.5%)</w:t>
            </w:r>
          </w:p>
        </w:tc>
        <w:tc>
          <w:tcPr>
            <w:tcW w:w="2610" w:type="dxa"/>
            <w:hideMark/>
          </w:tcPr>
          <w:p w14:paraId="49EDA108" w14:textId="77777777" w:rsidR="00493B3B" w:rsidRPr="00496908" w:rsidRDefault="00493B3B" w:rsidP="006A1F80">
            <w:pPr>
              <w:pStyle w:val="NormalWeb"/>
              <w:rPr>
                <w:sz w:val="18"/>
                <w:szCs w:val="18"/>
                <w:lang w:val="en-GB"/>
              </w:rPr>
            </w:pPr>
            <w:r w:rsidRPr="00496908">
              <w:rPr>
                <w:sz w:val="18"/>
                <w:szCs w:val="18"/>
                <w:lang w:val="en-GB"/>
              </w:rPr>
              <w:t>3,091 (69.2%)</w:t>
            </w:r>
          </w:p>
        </w:tc>
        <w:tc>
          <w:tcPr>
            <w:tcW w:w="2610" w:type="dxa"/>
            <w:hideMark/>
          </w:tcPr>
          <w:p w14:paraId="3C479C67" w14:textId="09B7A7D0" w:rsidR="00493B3B" w:rsidRPr="00496908" w:rsidRDefault="00493B3B" w:rsidP="006A1F80">
            <w:pPr>
              <w:pStyle w:val="NormalWeb"/>
              <w:rPr>
                <w:sz w:val="18"/>
                <w:szCs w:val="18"/>
                <w:lang w:val="en-GB"/>
              </w:rPr>
            </w:pPr>
            <w:r w:rsidRPr="00496908">
              <w:rPr>
                <w:sz w:val="18"/>
                <w:szCs w:val="18"/>
                <w:lang w:val="en-GB"/>
              </w:rPr>
              <w:t>&lt;</w:t>
            </w:r>
            <w:r w:rsidR="00515857">
              <w:rPr>
                <w:sz w:val="18"/>
                <w:szCs w:val="18"/>
                <w:lang w:val="en-GB"/>
              </w:rPr>
              <w:t xml:space="preserve"> </w:t>
            </w:r>
            <w:r w:rsidRPr="00496908">
              <w:rPr>
                <w:sz w:val="18"/>
                <w:szCs w:val="18"/>
                <w:lang w:val="en-GB"/>
              </w:rPr>
              <w:t>0.001</w:t>
            </w:r>
          </w:p>
        </w:tc>
      </w:tr>
      <w:tr w:rsidR="00493B3B" w:rsidRPr="00496908" w14:paraId="2A24925C" w14:textId="77777777" w:rsidTr="00493B3B">
        <w:trPr>
          <w:cnfStyle w:val="000000010000" w:firstRow="0" w:lastRow="0" w:firstColumn="0" w:lastColumn="0" w:oddVBand="0" w:evenVBand="0" w:oddHBand="0" w:evenHBand="1" w:firstRowFirstColumn="0" w:firstRowLastColumn="0" w:lastRowFirstColumn="0" w:lastRowLastColumn="0"/>
        </w:trPr>
        <w:tc>
          <w:tcPr>
            <w:tcW w:w="2610" w:type="dxa"/>
            <w:hideMark/>
          </w:tcPr>
          <w:p w14:paraId="3DAFB59D" w14:textId="77777777" w:rsidR="00493B3B" w:rsidRPr="00496908" w:rsidRDefault="00493B3B" w:rsidP="006A1F80">
            <w:pPr>
              <w:pStyle w:val="NormalWeb"/>
              <w:jc w:val="left"/>
              <w:rPr>
                <w:sz w:val="18"/>
                <w:szCs w:val="18"/>
                <w:lang w:val="en-GB"/>
              </w:rPr>
            </w:pPr>
            <w:r w:rsidRPr="00496908">
              <w:rPr>
                <w:sz w:val="18"/>
                <w:szCs w:val="18"/>
                <w:lang w:val="en-GB"/>
              </w:rPr>
              <w:t>Female gender</w:t>
            </w:r>
          </w:p>
        </w:tc>
        <w:tc>
          <w:tcPr>
            <w:tcW w:w="2610" w:type="dxa"/>
            <w:hideMark/>
          </w:tcPr>
          <w:p w14:paraId="18D726D2" w14:textId="77777777" w:rsidR="00493B3B" w:rsidRPr="00496908" w:rsidRDefault="00493B3B" w:rsidP="006A1F80">
            <w:pPr>
              <w:pStyle w:val="NormalWeb"/>
              <w:rPr>
                <w:sz w:val="18"/>
                <w:szCs w:val="18"/>
                <w:lang w:val="en-GB"/>
              </w:rPr>
            </w:pPr>
            <w:r w:rsidRPr="00496908">
              <w:rPr>
                <w:sz w:val="18"/>
                <w:szCs w:val="18"/>
                <w:lang w:val="en-GB"/>
              </w:rPr>
              <w:t>7,016 (42.7%)</w:t>
            </w:r>
          </w:p>
        </w:tc>
        <w:tc>
          <w:tcPr>
            <w:tcW w:w="2610" w:type="dxa"/>
            <w:hideMark/>
          </w:tcPr>
          <w:p w14:paraId="10F91784" w14:textId="77777777" w:rsidR="00493B3B" w:rsidRPr="00496908" w:rsidRDefault="00493B3B" w:rsidP="006A1F80">
            <w:pPr>
              <w:pStyle w:val="NormalWeb"/>
              <w:rPr>
                <w:sz w:val="18"/>
                <w:szCs w:val="18"/>
                <w:lang w:val="en-GB"/>
              </w:rPr>
            </w:pPr>
            <w:r w:rsidRPr="00496908">
              <w:rPr>
                <w:sz w:val="18"/>
                <w:szCs w:val="18"/>
                <w:lang w:val="en-GB"/>
              </w:rPr>
              <w:t>2,029 (45.7%)</w:t>
            </w:r>
          </w:p>
        </w:tc>
        <w:tc>
          <w:tcPr>
            <w:tcW w:w="2610" w:type="dxa"/>
            <w:hideMark/>
          </w:tcPr>
          <w:p w14:paraId="3F07D288" w14:textId="65AD8863" w:rsidR="00493B3B" w:rsidRPr="00496908" w:rsidRDefault="00493B3B" w:rsidP="006A1F80">
            <w:pPr>
              <w:pStyle w:val="NormalWeb"/>
              <w:rPr>
                <w:sz w:val="18"/>
                <w:szCs w:val="18"/>
                <w:lang w:val="en-GB"/>
              </w:rPr>
            </w:pPr>
            <w:r w:rsidRPr="00496908">
              <w:rPr>
                <w:sz w:val="18"/>
                <w:szCs w:val="18"/>
                <w:lang w:val="en-GB"/>
              </w:rPr>
              <w:t>&lt;</w:t>
            </w:r>
            <w:r w:rsidR="00515857">
              <w:rPr>
                <w:sz w:val="18"/>
                <w:szCs w:val="18"/>
                <w:lang w:val="en-GB"/>
              </w:rPr>
              <w:t xml:space="preserve"> </w:t>
            </w:r>
            <w:r w:rsidRPr="00496908">
              <w:rPr>
                <w:sz w:val="18"/>
                <w:szCs w:val="18"/>
                <w:lang w:val="en-GB"/>
              </w:rPr>
              <w:t>0.001</w:t>
            </w:r>
          </w:p>
        </w:tc>
      </w:tr>
      <w:tr w:rsidR="00493B3B" w:rsidRPr="00496908" w14:paraId="40BF50F5" w14:textId="77777777" w:rsidTr="00493B3B">
        <w:tc>
          <w:tcPr>
            <w:tcW w:w="2610" w:type="dxa"/>
            <w:hideMark/>
          </w:tcPr>
          <w:p w14:paraId="580F9CED" w14:textId="77777777" w:rsidR="00493B3B" w:rsidRPr="00496908" w:rsidRDefault="00493B3B" w:rsidP="006A1F80">
            <w:pPr>
              <w:pStyle w:val="NormalWeb"/>
              <w:jc w:val="left"/>
              <w:rPr>
                <w:sz w:val="18"/>
                <w:szCs w:val="18"/>
                <w:lang w:val="en-GB"/>
              </w:rPr>
            </w:pPr>
            <w:r w:rsidRPr="00496908">
              <w:rPr>
                <w:sz w:val="18"/>
                <w:szCs w:val="18"/>
                <w:lang w:val="en-GB"/>
              </w:rPr>
              <w:t>First Nations Australian</w:t>
            </w:r>
          </w:p>
        </w:tc>
        <w:tc>
          <w:tcPr>
            <w:tcW w:w="2610" w:type="dxa"/>
            <w:hideMark/>
          </w:tcPr>
          <w:p w14:paraId="6A041134" w14:textId="77777777" w:rsidR="00493B3B" w:rsidRPr="00496908" w:rsidRDefault="00493B3B" w:rsidP="006A1F80">
            <w:pPr>
              <w:pStyle w:val="NormalWeb"/>
              <w:rPr>
                <w:sz w:val="18"/>
                <w:szCs w:val="18"/>
                <w:lang w:val="en-GB"/>
              </w:rPr>
            </w:pPr>
            <w:r w:rsidRPr="00496908">
              <w:rPr>
                <w:sz w:val="18"/>
                <w:szCs w:val="18"/>
                <w:lang w:val="en-GB"/>
              </w:rPr>
              <w:t>6,654 (42.7%)</w:t>
            </w:r>
          </w:p>
        </w:tc>
        <w:tc>
          <w:tcPr>
            <w:tcW w:w="2610" w:type="dxa"/>
            <w:hideMark/>
          </w:tcPr>
          <w:p w14:paraId="3914E151" w14:textId="77777777" w:rsidR="00493B3B" w:rsidRPr="00496908" w:rsidRDefault="00493B3B" w:rsidP="006A1F80">
            <w:pPr>
              <w:pStyle w:val="NormalWeb"/>
              <w:rPr>
                <w:sz w:val="18"/>
                <w:szCs w:val="18"/>
                <w:lang w:val="en-GB"/>
              </w:rPr>
            </w:pPr>
            <w:r w:rsidRPr="00496908">
              <w:rPr>
                <w:sz w:val="18"/>
                <w:szCs w:val="18"/>
                <w:lang w:val="en-GB"/>
              </w:rPr>
              <w:t>1,795 (43.2%)</w:t>
            </w:r>
          </w:p>
        </w:tc>
        <w:tc>
          <w:tcPr>
            <w:tcW w:w="2610" w:type="dxa"/>
            <w:hideMark/>
          </w:tcPr>
          <w:p w14:paraId="7114A9B4" w14:textId="77777777" w:rsidR="00493B3B" w:rsidRPr="00496908" w:rsidRDefault="00493B3B" w:rsidP="006A1F80">
            <w:pPr>
              <w:pStyle w:val="NormalWeb"/>
              <w:rPr>
                <w:sz w:val="18"/>
                <w:szCs w:val="18"/>
                <w:lang w:val="en-GB"/>
              </w:rPr>
            </w:pPr>
            <w:r w:rsidRPr="00496908">
              <w:rPr>
                <w:sz w:val="18"/>
                <w:szCs w:val="18"/>
                <w:lang w:val="en-GB"/>
              </w:rPr>
              <w:t>0.6</w:t>
            </w:r>
          </w:p>
        </w:tc>
      </w:tr>
      <w:tr w:rsidR="00493B3B" w:rsidRPr="00496908" w14:paraId="493B6E1F" w14:textId="77777777" w:rsidTr="00493B3B">
        <w:trPr>
          <w:cnfStyle w:val="000000010000" w:firstRow="0" w:lastRow="0" w:firstColumn="0" w:lastColumn="0" w:oddVBand="0" w:evenVBand="0" w:oddHBand="0" w:evenHBand="1" w:firstRowFirstColumn="0" w:firstRowLastColumn="0" w:lastRowFirstColumn="0" w:lastRowLastColumn="0"/>
        </w:trPr>
        <w:tc>
          <w:tcPr>
            <w:tcW w:w="2610" w:type="dxa"/>
            <w:hideMark/>
          </w:tcPr>
          <w:p w14:paraId="06919682" w14:textId="77777777" w:rsidR="00493B3B" w:rsidRPr="00496908" w:rsidRDefault="00493B3B" w:rsidP="006A1F80">
            <w:pPr>
              <w:pStyle w:val="NormalWeb"/>
              <w:jc w:val="left"/>
              <w:rPr>
                <w:sz w:val="18"/>
                <w:szCs w:val="18"/>
                <w:lang w:val="en-GB"/>
              </w:rPr>
            </w:pPr>
            <w:r w:rsidRPr="00496908">
              <w:rPr>
                <w:sz w:val="18"/>
                <w:szCs w:val="18"/>
                <w:lang w:val="en-GB"/>
              </w:rPr>
              <w:t>Remote isolate</w:t>
            </w:r>
          </w:p>
        </w:tc>
        <w:tc>
          <w:tcPr>
            <w:tcW w:w="2610" w:type="dxa"/>
            <w:hideMark/>
          </w:tcPr>
          <w:p w14:paraId="1A47A1FD" w14:textId="77777777" w:rsidR="00493B3B" w:rsidRPr="00496908" w:rsidRDefault="00493B3B" w:rsidP="006A1F80">
            <w:pPr>
              <w:pStyle w:val="NormalWeb"/>
              <w:rPr>
                <w:sz w:val="18"/>
                <w:szCs w:val="18"/>
                <w:lang w:val="en-GB"/>
              </w:rPr>
            </w:pPr>
            <w:r w:rsidRPr="00496908">
              <w:rPr>
                <w:sz w:val="18"/>
                <w:szCs w:val="18"/>
                <w:lang w:val="en-GB"/>
              </w:rPr>
              <w:t>10,410 (63.0%)</w:t>
            </w:r>
          </w:p>
        </w:tc>
        <w:tc>
          <w:tcPr>
            <w:tcW w:w="2610" w:type="dxa"/>
            <w:hideMark/>
          </w:tcPr>
          <w:p w14:paraId="491E398E" w14:textId="77777777" w:rsidR="00493B3B" w:rsidRPr="00496908" w:rsidRDefault="00493B3B" w:rsidP="006A1F80">
            <w:pPr>
              <w:pStyle w:val="NormalWeb"/>
              <w:rPr>
                <w:sz w:val="18"/>
                <w:szCs w:val="18"/>
                <w:lang w:val="en-GB"/>
              </w:rPr>
            </w:pPr>
            <w:r w:rsidRPr="00496908">
              <w:rPr>
                <w:sz w:val="18"/>
                <w:szCs w:val="18"/>
                <w:lang w:val="en-GB"/>
              </w:rPr>
              <w:t>3,082 (69.0%)</w:t>
            </w:r>
          </w:p>
        </w:tc>
        <w:tc>
          <w:tcPr>
            <w:tcW w:w="2610" w:type="dxa"/>
            <w:hideMark/>
          </w:tcPr>
          <w:p w14:paraId="2792E3D7" w14:textId="4D563626" w:rsidR="00493B3B" w:rsidRPr="00496908" w:rsidRDefault="00493B3B" w:rsidP="006A1F80">
            <w:pPr>
              <w:pStyle w:val="NormalWeb"/>
              <w:rPr>
                <w:sz w:val="18"/>
                <w:szCs w:val="18"/>
                <w:lang w:val="en-GB"/>
              </w:rPr>
            </w:pPr>
            <w:r w:rsidRPr="00496908">
              <w:rPr>
                <w:sz w:val="18"/>
                <w:szCs w:val="18"/>
                <w:lang w:val="en-GB"/>
              </w:rPr>
              <w:t>&lt;</w:t>
            </w:r>
            <w:r w:rsidR="00515857">
              <w:rPr>
                <w:sz w:val="18"/>
                <w:szCs w:val="18"/>
                <w:lang w:val="en-GB"/>
              </w:rPr>
              <w:t xml:space="preserve"> </w:t>
            </w:r>
            <w:r w:rsidRPr="00496908">
              <w:rPr>
                <w:sz w:val="18"/>
                <w:szCs w:val="18"/>
                <w:lang w:val="en-GB"/>
              </w:rPr>
              <w:t>0.001</w:t>
            </w:r>
          </w:p>
        </w:tc>
      </w:tr>
    </w:tbl>
    <w:p w14:paraId="07FC6BE3" w14:textId="77777777" w:rsidR="00493B3B" w:rsidRDefault="00493B3B" w:rsidP="00493B3B">
      <w:pPr>
        <w:pStyle w:val="CDIfootnotes"/>
        <w:rPr>
          <w:lang w:val="en-GB"/>
        </w:rPr>
      </w:pPr>
      <w:proofErr w:type="spellStart"/>
      <w:r>
        <w:rPr>
          <w:lang w:val="en-GB"/>
        </w:rPr>
        <w:t>a</w:t>
      </w:r>
      <w:proofErr w:type="spellEnd"/>
      <w:r>
        <w:rPr>
          <w:lang w:val="en-GB"/>
        </w:rPr>
        <w:tab/>
        <w:t>Groups were compared using the chi squared test.</w:t>
      </w:r>
    </w:p>
    <w:p w14:paraId="79C3A805" w14:textId="146C1811" w:rsidR="00493B3B" w:rsidRDefault="00493B3B" w:rsidP="00493B3B">
      <w:pPr>
        <w:pStyle w:val="CDIfootnotes"/>
        <w:rPr>
          <w:lang w:val="en-GB"/>
        </w:rPr>
      </w:pPr>
      <w:r>
        <w:rPr>
          <w:lang w:val="en-GB"/>
        </w:rPr>
        <w:t>b</w:t>
      </w:r>
      <w:r>
        <w:rPr>
          <w:lang w:val="en-GB"/>
        </w:rPr>
        <w:tab/>
        <w:t xml:space="preserve">MSSA: methicillin-sensitive </w:t>
      </w:r>
      <w:r w:rsidRPr="00515857">
        <w:rPr>
          <w:i/>
          <w:iCs/>
          <w:lang w:val="en-GB"/>
        </w:rPr>
        <w:t>Staphylococc</w:t>
      </w:r>
      <w:r w:rsidR="00515857">
        <w:rPr>
          <w:i/>
          <w:iCs/>
          <w:lang w:val="en-GB"/>
        </w:rPr>
        <w:t>us</w:t>
      </w:r>
      <w:r w:rsidRPr="00515857">
        <w:rPr>
          <w:i/>
          <w:iCs/>
          <w:lang w:val="en-GB"/>
        </w:rPr>
        <w:t xml:space="preserve"> aureus</w:t>
      </w:r>
      <w:r>
        <w:rPr>
          <w:lang w:val="en-GB"/>
        </w:rPr>
        <w:t>.</w:t>
      </w:r>
    </w:p>
    <w:p w14:paraId="78744361" w14:textId="0A46C027" w:rsidR="00493B3B" w:rsidRPr="00493B3B" w:rsidRDefault="00493B3B" w:rsidP="00493B3B">
      <w:pPr>
        <w:pStyle w:val="CDIfootnotes"/>
        <w:rPr>
          <w:lang w:val="en-GB"/>
        </w:rPr>
      </w:pPr>
      <w:r>
        <w:rPr>
          <w:lang w:val="en-GB"/>
        </w:rPr>
        <w:t>c</w:t>
      </w:r>
      <w:r>
        <w:rPr>
          <w:lang w:val="en-GB"/>
        </w:rPr>
        <w:tab/>
        <w:t xml:space="preserve">MRSA: methicillin-resistant </w:t>
      </w:r>
      <w:r w:rsidRPr="00515857">
        <w:rPr>
          <w:i/>
          <w:iCs/>
          <w:lang w:val="en-GB"/>
        </w:rPr>
        <w:t>Staphylococcus aureus</w:t>
      </w:r>
      <w:r>
        <w:rPr>
          <w:lang w:val="en-GB"/>
        </w:rPr>
        <w:t>.</w:t>
      </w:r>
    </w:p>
    <w:p w14:paraId="639A9AC2" w14:textId="77777777" w:rsidR="00106BF1" w:rsidRPr="002336C2" w:rsidRDefault="00106BF1" w:rsidP="00106BF1">
      <w:pPr>
        <w:pStyle w:val="CDIFigures"/>
      </w:pPr>
      <w:r w:rsidRPr="002336C2">
        <w:rPr>
          <w:rStyle w:val="Strong"/>
          <w:b/>
          <w:bCs w:val="0"/>
        </w:rPr>
        <w:t xml:space="preserve">Table 2: Multivariate logistic regression analysis of predictors of mupirocin resistance in </w:t>
      </w:r>
      <w:r w:rsidRPr="00515857">
        <w:rPr>
          <w:rStyle w:val="Strong"/>
          <w:b/>
          <w:bCs w:val="0"/>
          <w:i/>
          <w:iCs/>
        </w:rPr>
        <w:t>S. aureus</w:t>
      </w:r>
      <w:r w:rsidRPr="002336C2">
        <w:rPr>
          <w:rStyle w:val="Strong"/>
          <w:b/>
          <w:bCs w:val="0"/>
        </w:rPr>
        <w:t xml:space="preserve"> isolates, Far North Queensland, Australia, 1 January 1997 – 31 December 2016</w:t>
      </w:r>
      <w:r w:rsidRPr="002336C2">
        <w:t xml:space="preserve"> </w:t>
      </w:r>
    </w:p>
    <w:tbl>
      <w:tblPr>
        <w:tblStyle w:val="CDI-StandardTable"/>
        <w:tblW w:w="0" w:type="auto"/>
        <w:tblLook w:val="04A0" w:firstRow="1" w:lastRow="0" w:firstColumn="1" w:lastColumn="0" w:noHBand="0" w:noVBand="1"/>
        <w:tblCaption w:val="Table 2: Multivariate logistic regression analysis of predictors of mupirocin resistance in S. aureus isolates, Far North Queensland, Australia, 1 January 1997 – 31 December 2016"/>
        <w:tblDescription w:val="This table outlines the results of multivariate analysis in the presence or absence of mupirocin resistance within the study cohort. The best predictor of mupirocin resistance was methicillin susceptibility of the isolate, which had an odds ratio of 2.85.  Other predictors included younger age, rural location, and female gender. "/>
      </w:tblPr>
      <w:tblGrid>
        <w:gridCol w:w="2610"/>
        <w:gridCol w:w="2610"/>
        <w:gridCol w:w="2610"/>
        <w:gridCol w:w="2610"/>
      </w:tblGrid>
      <w:tr w:rsidR="00106BF1" w:rsidRPr="002336C2" w14:paraId="20883E37" w14:textId="77777777" w:rsidTr="00106BF1">
        <w:trPr>
          <w:cnfStyle w:val="100000000000" w:firstRow="1" w:lastRow="0" w:firstColumn="0" w:lastColumn="0" w:oddVBand="0" w:evenVBand="0" w:oddHBand="0" w:evenHBand="0" w:firstRowFirstColumn="0" w:firstRowLastColumn="0" w:lastRowFirstColumn="0" w:lastRowLastColumn="0"/>
        </w:trPr>
        <w:tc>
          <w:tcPr>
            <w:tcW w:w="2610" w:type="dxa"/>
            <w:hideMark/>
          </w:tcPr>
          <w:p w14:paraId="3D2FEA9B" w14:textId="77777777" w:rsidR="00106BF1" w:rsidRPr="002336C2" w:rsidRDefault="00106BF1" w:rsidP="00106BF1">
            <w:pPr>
              <w:jc w:val="left"/>
              <w:rPr>
                <w:sz w:val="18"/>
                <w:szCs w:val="18"/>
                <w:lang w:val="en-GB"/>
              </w:rPr>
            </w:pPr>
          </w:p>
        </w:tc>
        <w:tc>
          <w:tcPr>
            <w:tcW w:w="2610" w:type="dxa"/>
            <w:hideMark/>
          </w:tcPr>
          <w:p w14:paraId="724805E3" w14:textId="77777777" w:rsidR="00106BF1" w:rsidRPr="002336C2" w:rsidRDefault="00106BF1" w:rsidP="006A1F80">
            <w:pPr>
              <w:pStyle w:val="NormalWeb"/>
              <w:rPr>
                <w:sz w:val="18"/>
                <w:szCs w:val="18"/>
                <w:lang w:val="en-GB"/>
              </w:rPr>
            </w:pPr>
            <w:r w:rsidRPr="002336C2">
              <w:rPr>
                <w:sz w:val="18"/>
                <w:szCs w:val="18"/>
                <w:lang w:val="en-GB"/>
              </w:rPr>
              <w:t>Odds ratio</w:t>
            </w:r>
          </w:p>
        </w:tc>
        <w:tc>
          <w:tcPr>
            <w:tcW w:w="2610" w:type="dxa"/>
            <w:hideMark/>
          </w:tcPr>
          <w:p w14:paraId="5016BD8A" w14:textId="77777777" w:rsidR="00106BF1" w:rsidRPr="002336C2" w:rsidRDefault="00106BF1" w:rsidP="006A1F80">
            <w:pPr>
              <w:pStyle w:val="NormalWeb"/>
              <w:rPr>
                <w:sz w:val="18"/>
                <w:szCs w:val="18"/>
                <w:lang w:val="en-GB"/>
              </w:rPr>
            </w:pPr>
            <w:r w:rsidRPr="002336C2">
              <w:rPr>
                <w:sz w:val="18"/>
                <w:szCs w:val="18"/>
                <w:lang w:val="en-GB"/>
              </w:rPr>
              <w:t>95% confidence interval</w:t>
            </w:r>
          </w:p>
        </w:tc>
        <w:tc>
          <w:tcPr>
            <w:tcW w:w="2610" w:type="dxa"/>
            <w:hideMark/>
          </w:tcPr>
          <w:p w14:paraId="13723C84" w14:textId="77777777" w:rsidR="00106BF1" w:rsidRPr="002336C2" w:rsidRDefault="00106BF1" w:rsidP="006A1F80">
            <w:pPr>
              <w:pStyle w:val="NormalWeb"/>
              <w:rPr>
                <w:sz w:val="18"/>
                <w:szCs w:val="18"/>
                <w:lang w:val="en-GB"/>
              </w:rPr>
            </w:pPr>
            <w:r w:rsidRPr="005A5E49">
              <w:rPr>
                <w:i/>
                <w:iCs/>
                <w:sz w:val="18"/>
                <w:szCs w:val="18"/>
                <w:lang w:val="en-GB"/>
              </w:rPr>
              <w:t>p</w:t>
            </w:r>
            <w:r w:rsidRPr="002336C2">
              <w:rPr>
                <w:sz w:val="18"/>
                <w:szCs w:val="18"/>
                <w:lang w:val="en-GB"/>
              </w:rPr>
              <w:t xml:space="preserve"> </w:t>
            </w:r>
            <w:proofErr w:type="spellStart"/>
            <w:r w:rsidRPr="002336C2">
              <w:rPr>
                <w:sz w:val="18"/>
                <w:szCs w:val="18"/>
                <w:lang w:val="en-GB"/>
              </w:rPr>
              <w:t>value</w:t>
            </w:r>
            <w:r w:rsidRPr="00383B10">
              <w:rPr>
                <w:sz w:val="18"/>
                <w:szCs w:val="18"/>
                <w:vertAlign w:val="superscript"/>
                <w:lang w:val="en-GB"/>
              </w:rPr>
              <w:t>a</w:t>
            </w:r>
            <w:proofErr w:type="spellEnd"/>
          </w:p>
        </w:tc>
      </w:tr>
      <w:tr w:rsidR="00106BF1" w:rsidRPr="002336C2" w14:paraId="419F9838" w14:textId="77777777" w:rsidTr="00106BF1">
        <w:tc>
          <w:tcPr>
            <w:tcW w:w="2610" w:type="dxa"/>
            <w:hideMark/>
          </w:tcPr>
          <w:p w14:paraId="25C7888B" w14:textId="77777777" w:rsidR="00106BF1" w:rsidRPr="002336C2" w:rsidRDefault="00106BF1" w:rsidP="00106BF1">
            <w:pPr>
              <w:pStyle w:val="NormalWeb"/>
              <w:jc w:val="left"/>
              <w:rPr>
                <w:sz w:val="18"/>
                <w:szCs w:val="18"/>
                <w:lang w:val="en-GB"/>
              </w:rPr>
            </w:pPr>
            <w:r w:rsidRPr="002336C2">
              <w:rPr>
                <w:sz w:val="18"/>
                <w:szCs w:val="18"/>
                <w:lang w:val="en-GB"/>
              </w:rPr>
              <w:t>Age &lt; 40 years</w:t>
            </w:r>
          </w:p>
        </w:tc>
        <w:tc>
          <w:tcPr>
            <w:tcW w:w="2610" w:type="dxa"/>
            <w:hideMark/>
          </w:tcPr>
          <w:p w14:paraId="72CDF7B0" w14:textId="77777777" w:rsidR="00106BF1" w:rsidRPr="002336C2" w:rsidRDefault="00106BF1" w:rsidP="006A1F80">
            <w:pPr>
              <w:pStyle w:val="NormalWeb"/>
              <w:rPr>
                <w:sz w:val="18"/>
                <w:szCs w:val="18"/>
                <w:lang w:val="en-GB"/>
              </w:rPr>
            </w:pPr>
            <w:r w:rsidRPr="002336C2">
              <w:rPr>
                <w:sz w:val="18"/>
                <w:szCs w:val="18"/>
                <w:lang w:val="en-GB"/>
              </w:rPr>
              <w:t>1.94</w:t>
            </w:r>
          </w:p>
        </w:tc>
        <w:tc>
          <w:tcPr>
            <w:tcW w:w="2610" w:type="dxa"/>
            <w:hideMark/>
          </w:tcPr>
          <w:p w14:paraId="62A407CE" w14:textId="77777777" w:rsidR="00106BF1" w:rsidRPr="002336C2" w:rsidRDefault="00106BF1" w:rsidP="006A1F80">
            <w:pPr>
              <w:pStyle w:val="NormalWeb"/>
              <w:rPr>
                <w:sz w:val="18"/>
                <w:szCs w:val="18"/>
                <w:lang w:val="en-GB"/>
              </w:rPr>
            </w:pPr>
            <w:r w:rsidRPr="002336C2">
              <w:rPr>
                <w:sz w:val="18"/>
                <w:szCs w:val="18"/>
                <w:lang w:val="en-GB"/>
              </w:rPr>
              <w:t>1.80–2.08</w:t>
            </w:r>
          </w:p>
        </w:tc>
        <w:tc>
          <w:tcPr>
            <w:tcW w:w="2610" w:type="dxa"/>
            <w:hideMark/>
          </w:tcPr>
          <w:p w14:paraId="49CC6731" w14:textId="77777777" w:rsidR="00106BF1" w:rsidRPr="002336C2" w:rsidRDefault="00106BF1" w:rsidP="006A1F80">
            <w:pPr>
              <w:pStyle w:val="NormalWeb"/>
              <w:rPr>
                <w:sz w:val="18"/>
                <w:szCs w:val="18"/>
                <w:lang w:val="en-GB"/>
              </w:rPr>
            </w:pPr>
            <w:r w:rsidRPr="002336C2">
              <w:rPr>
                <w:sz w:val="18"/>
                <w:szCs w:val="18"/>
                <w:lang w:val="en-GB"/>
              </w:rPr>
              <w:t>&lt; 0.001</w:t>
            </w:r>
          </w:p>
        </w:tc>
      </w:tr>
      <w:tr w:rsidR="00106BF1" w:rsidRPr="002336C2" w14:paraId="410EFD5A" w14:textId="77777777" w:rsidTr="00106BF1">
        <w:trPr>
          <w:cnfStyle w:val="000000010000" w:firstRow="0" w:lastRow="0" w:firstColumn="0" w:lastColumn="0" w:oddVBand="0" w:evenVBand="0" w:oddHBand="0" w:evenHBand="1" w:firstRowFirstColumn="0" w:firstRowLastColumn="0" w:lastRowFirstColumn="0" w:lastRowLastColumn="0"/>
        </w:trPr>
        <w:tc>
          <w:tcPr>
            <w:tcW w:w="2610" w:type="dxa"/>
            <w:hideMark/>
          </w:tcPr>
          <w:p w14:paraId="229F78E2" w14:textId="77777777" w:rsidR="00106BF1" w:rsidRPr="002336C2" w:rsidRDefault="00106BF1" w:rsidP="00106BF1">
            <w:pPr>
              <w:pStyle w:val="NormalWeb"/>
              <w:jc w:val="left"/>
              <w:rPr>
                <w:sz w:val="18"/>
                <w:szCs w:val="18"/>
                <w:lang w:val="en-GB"/>
              </w:rPr>
            </w:pPr>
            <w:r w:rsidRPr="002336C2">
              <w:rPr>
                <w:sz w:val="18"/>
                <w:szCs w:val="18"/>
                <w:lang w:val="en-GB"/>
              </w:rPr>
              <w:t>Rural location</w:t>
            </w:r>
          </w:p>
        </w:tc>
        <w:tc>
          <w:tcPr>
            <w:tcW w:w="2610" w:type="dxa"/>
            <w:hideMark/>
          </w:tcPr>
          <w:p w14:paraId="5AED3617" w14:textId="77777777" w:rsidR="00106BF1" w:rsidRPr="002336C2" w:rsidRDefault="00106BF1" w:rsidP="006A1F80">
            <w:pPr>
              <w:pStyle w:val="NormalWeb"/>
              <w:rPr>
                <w:sz w:val="18"/>
                <w:szCs w:val="18"/>
                <w:lang w:val="en-GB"/>
              </w:rPr>
            </w:pPr>
            <w:r w:rsidRPr="002336C2">
              <w:rPr>
                <w:sz w:val="18"/>
                <w:szCs w:val="18"/>
                <w:lang w:val="en-GB"/>
              </w:rPr>
              <w:t>1.25</w:t>
            </w:r>
          </w:p>
        </w:tc>
        <w:tc>
          <w:tcPr>
            <w:tcW w:w="2610" w:type="dxa"/>
            <w:hideMark/>
          </w:tcPr>
          <w:p w14:paraId="5940EED7" w14:textId="77777777" w:rsidR="00106BF1" w:rsidRPr="002336C2" w:rsidRDefault="00106BF1" w:rsidP="006A1F80">
            <w:pPr>
              <w:pStyle w:val="NormalWeb"/>
              <w:rPr>
                <w:sz w:val="18"/>
                <w:szCs w:val="18"/>
                <w:lang w:val="en-GB"/>
              </w:rPr>
            </w:pPr>
            <w:r w:rsidRPr="002336C2">
              <w:rPr>
                <w:sz w:val="18"/>
                <w:szCs w:val="18"/>
                <w:lang w:val="en-GB"/>
              </w:rPr>
              <w:t>1.16–1.34</w:t>
            </w:r>
          </w:p>
        </w:tc>
        <w:tc>
          <w:tcPr>
            <w:tcW w:w="2610" w:type="dxa"/>
            <w:hideMark/>
          </w:tcPr>
          <w:p w14:paraId="2B1789D2" w14:textId="77777777" w:rsidR="00106BF1" w:rsidRPr="002336C2" w:rsidRDefault="00106BF1" w:rsidP="006A1F80">
            <w:pPr>
              <w:pStyle w:val="NormalWeb"/>
              <w:rPr>
                <w:sz w:val="18"/>
                <w:szCs w:val="18"/>
                <w:lang w:val="en-GB"/>
              </w:rPr>
            </w:pPr>
            <w:r w:rsidRPr="002336C2">
              <w:rPr>
                <w:sz w:val="18"/>
                <w:szCs w:val="18"/>
                <w:lang w:val="en-GB"/>
              </w:rPr>
              <w:t>&lt; 0.001</w:t>
            </w:r>
          </w:p>
        </w:tc>
      </w:tr>
      <w:tr w:rsidR="00106BF1" w:rsidRPr="002336C2" w14:paraId="6B9B1CA1" w14:textId="77777777" w:rsidTr="00106BF1">
        <w:tc>
          <w:tcPr>
            <w:tcW w:w="2610" w:type="dxa"/>
            <w:hideMark/>
          </w:tcPr>
          <w:p w14:paraId="771A4B25" w14:textId="77777777" w:rsidR="00106BF1" w:rsidRPr="002336C2" w:rsidRDefault="00106BF1" w:rsidP="00106BF1">
            <w:pPr>
              <w:pStyle w:val="NormalWeb"/>
              <w:jc w:val="left"/>
              <w:rPr>
                <w:sz w:val="18"/>
                <w:szCs w:val="18"/>
                <w:lang w:val="en-GB"/>
              </w:rPr>
            </w:pPr>
            <w:r w:rsidRPr="002336C2">
              <w:rPr>
                <w:sz w:val="18"/>
                <w:szCs w:val="18"/>
                <w:lang w:val="en-GB"/>
              </w:rPr>
              <w:t>Female gender</w:t>
            </w:r>
          </w:p>
        </w:tc>
        <w:tc>
          <w:tcPr>
            <w:tcW w:w="2610" w:type="dxa"/>
            <w:hideMark/>
          </w:tcPr>
          <w:p w14:paraId="46C1C865" w14:textId="77777777" w:rsidR="00106BF1" w:rsidRPr="002336C2" w:rsidRDefault="00106BF1" w:rsidP="006A1F80">
            <w:pPr>
              <w:pStyle w:val="NormalWeb"/>
              <w:rPr>
                <w:sz w:val="18"/>
                <w:szCs w:val="18"/>
                <w:lang w:val="en-GB"/>
              </w:rPr>
            </w:pPr>
            <w:r w:rsidRPr="002336C2">
              <w:rPr>
                <w:sz w:val="18"/>
                <w:szCs w:val="18"/>
                <w:lang w:val="en-GB"/>
              </w:rPr>
              <w:t>1.11</w:t>
            </w:r>
          </w:p>
        </w:tc>
        <w:tc>
          <w:tcPr>
            <w:tcW w:w="2610" w:type="dxa"/>
            <w:hideMark/>
          </w:tcPr>
          <w:p w14:paraId="1331B192" w14:textId="77777777" w:rsidR="00106BF1" w:rsidRPr="002336C2" w:rsidRDefault="00106BF1" w:rsidP="006A1F80">
            <w:pPr>
              <w:pStyle w:val="NormalWeb"/>
              <w:rPr>
                <w:sz w:val="18"/>
                <w:szCs w:val="18"/>
                <w:lang w:val="en-GB"/>
              </w:rPr>
            </w:pPr>
            <w:r w:rsidRPr="002336C2">
              <w:rPr>
                <w:sz w:val="18"/>
                <w:szCs w:val="18"/>
                <w:lang w:val="en-GB"/>
              </w:rPr>
              <w:t>1.04–1.19</w:t>
            </w:r>
          </w:p>
        </w:tc>
        <w:tc>
          <w:tcPr>
            <w:tcW w:w="2610" w:type="dxa"/>
            <w:hideMark/>
          </w:tcPr>
          <w:p w14:paraId="7475F093" w14:textId="77777777" w:rsidR="00106BF1" w:rsidRPr="002336C2" w:rsidRDefault="00106BF1" w:rsidP="006A1F80">
            <w:pPr>
              <w:pStyle w:val="NormalWeb"/>
              <w:rPr>
                <w:sz w:val="18"/>
                <w:szCs w:val="18"/>
                <w:lang w:val="en-GB"/>
              </w:rPr>
            </w:pPr>
            <w:r w:rsidRPr="002336C2">
              <w:rPr>
                <w:sz w:val="18"/>
                <w:szCs w:val="18"/>
                <w:lang w:val="en-GB"/>
              </w:rPr>
              <w:t>0.002</w:t>
            </w:r>
          </w:p>
        </w:tc>
      </w:tr>
      <w:tr w:rsidR="00106BF1" w:rsidRPr="002336C2" w14:paraId="595D54C1" w14:textId="77777777" w:rsidTr="00106BF1">
        <w:trPr>
          <w:cnfStyle w:val="000000010000" w:firstRow="0" w:lastRow="0" w:firstColumn="0" w:lastColumn="0" w:oddVBand="0" w:evenVBand="0" w:oddHBand="0" w:evenHBand="1" w:firstRowFirstColumn="0" w:firstRowLastColumn="0" w:lastRowFirstColumn="0" w:lastRowLastColumn="0"/>
        </w:trPr>
        <w:tc>
          <w:tcPr>
            <w:tcW w:w="2610" w:type="dxa"/>
            <w:hideMark/>
          </w:tcPr>
          <w:p w14:paraId="38A6359D" w14:textId="77777777" w:rsidR="00106BF1" w:rsidRPr="002336C2" w:rsidRDefault="00106BF1" w:rsidP="00106BF1">
            <w:pPr>
              <w:pStyle w:val="NormalWeb"/>
              <w:jc w:val="left"/>
              <w:rPr>
                <w:sz w:val="18"/>
                <w:szCs w:val="18"/>
                <w:lang w:val="en-GB"/>
              </w:rPr>
            </w:pPr>
            <w:r w:rsidRPr="002336C2">
              <w:rPr>
                <w:sz w:val="18"/>
                <w:szCs w:val="18"/>
                <w:lang w:val="en-GB"/>
              </w:rPr>
              <w:t xml:space="preserve">MSSA </w:t>
            </w:r>
            <w:proofErr w:type="spellStart"/>
            <w:r w:rsidRPr="002336C2">
              <w:rPr>
                <w:sz w:val="18"/>
                <w:szCs w:val="18"/>
                <w:lang w:val="en-GB"/>
              </w:rPr>
              <w:t>isolate</w:t>
            </w:r>
            <w:r w:rsidRPr="00B2391E">
              <w:rPr>
                <w:sz w:val="18"/>
                <w:szCs w:val="18"/>
                <w:vertAlign w:val="superscript"/>
                <w:lang w:val="en-GB"/>
              </w:rPr>
              <w:t>b</w:t>
            </w:r>
            <w:proofErr w:type="spellEnd"/>
          </w:p>
        </w:tc>
        <w:tc>
          <w:tcPr>
            <w:tcW w:w="2610" w:type="dxa"/>
            <w:hideMark/>
          </w:tcPr>
          <w:p w14:paraId="5B639BE1" w14:textId="77777777" w:rsidR="00106BF1" w:rsidRPr="002336C2" w:rsidRDefault="00106BF1" w:rsidP="006A1F80">
            <w:pPr>
              <w:pStyle w:val="NormalWeb"/>
              <w:rPr>
                <w:sz w:val="18"/>
                <w:szCs w:val="18"/>
                <w:lang w:val="en-GB"/>
              </w:rPr>
            </w:pPr>
            <w:r w:rsidRPr="002336C2">
              <w:rPr>
                <w:sz w:val="18"/>
                <w:szCs w:val="18"/>
                <w:lang w:val="en-GB"/>
              </w:rPr>
              <w:t>2.85</w:t>
            </w:r>
          </w:p>
        </w:tc>
        <w:tc>
          <w:tcPr>
            <w:tcW w:w="2610" w:type="dxa"/>
            <w:hideMark/>
          </w:tcPr>
          <w:p w14:paraId="175FEA65" w14:textId="77777777" w:rsidR="00106BF1" w:rsidRPr="002336C2" w:rsidRDefault="00106BF1" w:rsidP="006A1F80">
            <w:pPr>
              <w:pStyle w:val="NormalWeb"/>
              <w:rPr>
                <w:sz w:val="18"/>
                <w:szCs w:val="18"/>
                <w:lang w:val="en-GB"/>
              </w:rPr>
            </w:pPr>
            <w:r w:rsidRPr="002336C2">
              <w:rPr>
                <w:sz w:val="18"/>
                <w:szCs w:val="18"/>
                <w:lang w:val="en-GB"/>
              </w:rPr>
              <w:t>2.59–3.14</w:t>
            </w:r>
          </w:p>
        </w:tc>
        <w:tc>
          <w:tcPr>
            <w:tcW w:w="2610" w:type="dxa"/>
            <w:hideMark/>
          </w:tcPr>
          <w:p w14:paraId="55AFEE7F" w14:textId="77777777" w:rsidR="00106BF1" w:rsidRPr="002336C2" w:rsidRDefault="00106BF1" w:rsidP="006A1F80">
            <w:pPr>
              <w:pStyle w:val="NormalWeb"/>
              <w:rPr>
                <w:sz w:val="18"/>
                <w:szCs w:val="18"/>
                <w:lang w:val="en-GB"/>
              </w:rPr>
            </w:pPr>
            <w:r w:rsidRPr="002336C2">
              <w:rPr>
                <w:sz w:val="18"/>
                <w:szCs w:val="18"/>
                <w:lang w:val="en-GB"/>
              </w:rPr>
              <w:t>&lt; 0.001</w:t>
            </w:r>
          </w:p>
        </w:tc>
      </w:tr>
    </w:tbl>
    <w:p w14:paraId="6C89490D" w14:textId="77777777" w:rsidR="00106BF1" w:rsidRDefault="00106BF1" w:rsidP="00106BF1">
      <w:pPr>
        <w:pStyle w:val="CDIfootnotes"/>
        <w:rPr>
          <w:lang w:val="en-GB"/>
        </w:rPr>
      </w:pPr>
      <w:r>
        <w:rPr>
          <w:lang w:val="en-GB"/>
        </w:rPr>
        <w:t>a</w:t>
      </w:r>
      <w:r>
        <w:rPr>
          <w:lang w:val="en-GB"/>
        </w:rPr>
        <w:tab/>
        <w:t>Variables were assessed using multivariate logistic regression analysis.</w:t>
      </w:r>
    </w:p>
    <w:p w14:paraId="0155FA69" w14:textId="09A79EFE" w:rsidR="00106BF1" w:rsidRPr="00106BF1" w:rsidRDefault="00106BF1" w:rsidP="00106BF1">
      <w:pPr>
        <w:pStyle w:val="CDIfootnotes"/>
        <w:rPr>
          <w:lang w:val="en-GB"/>
        </w:rPr>
      </w:pPr>
      <w:r>
        <w:rPr>
          <w:lang w:val="en-GB"/>
        </w:rPr>
        <w:t>b</w:t>
      </w:r>
      <w:r>
        <w:rPr>
          <w:lang w:val="en-GB"/>
        </w:rPr>
        <w:tab/>
        <w:t xml:space="preserve">MSSA: Methicillin sensitive </w:t>
      </w:r>
      <w:r w:rsidRPr="00515857">
        <w:rPr>
          <w:i/>
          <w:iCs/>
          <w:lang w:val="en-GB"/>
        </w:rPr>
        <w:t>Staphylococc</w:t>
      </w:r>
      <w:r w:rsidR="00515857" w:rsidRPr="00515857">
        <w:rPr>
          <w:i/>
          <w:iCs/>
          <w:lang w:val="en-GB"/>
        </w:rPr>
        <w:t>us</w:t>
      </w:r>
      <w:r w:rsidRPr="00515857">
        <w:rPr>
          <w:i/>
          <w:iCs/>
          <w:lang w:val="en-GB"/>
        </w:rPr>
        <w:t xml:space="preserve"> aureus</w:t>
      </w:r>
      <w:r>
        <w:rPr>
          <w:lang w:val="en-GB"/>
        </w:rPr>
        <w:t>.</w:t>
      </w:r>
    </w:p>
    <w:p w14:paraId="12474F6B" w14:textId="382BBF48" w:rsidR="00D7689A" w:rsidRDefault="00D7689A" w:rsidP="00283066">
      <w:r>
        <w:lastRenderedPageBreak/>
        <w:t>The rate of mupirocin resistance in FNQ is higher than the global rates of 7.6% and 13.8% reported in MSSA and MRSA respectively</w:t>
      </w:r>
      <w:r w:rsidRPr="00283066">
        <w:rPr>
          <w:rStyle w:val="Emphasis"/>
          <w:b w:val="0"/>
          <w:bCs w:val="0"/>
        </w:rPr>
        <w:t>.</w:t>
      </w:r>
      <w:r>
        <w:rPr>
          <w:vertAlign w:val="superscript"/>
        </w:rPr>
        <w:t>10</w:t>
      </w:r>
      <w:r>
        <w:t xml:space="preserve"> It is also much higher than the rate of 1.2% (MSSA) and 0.8% (MRSA) described in Australian national data for 2016, although the higher rates in FNQ are partly explained by the fact that the national series only reports high-level resistance.</w:t>
      </w:r>
      <w:r>
        <w:rPr>
          <w:vertAlign w:val="superscript"/>
        </w:rPr>
        <w:t>11</w:t>
      </w:r>
      <w:r>
        <w:t xml:space="preserve"> The distinction between high- and low-level resistance is important, because although high-level mupirocin resistance predicts failure of decolonisation regimens containing mupirocin, the impact of low-level mupirocin resistance is less clear.</w:t>
      </w:r>
      <w:r>
        <w:rPr>
          <w:vertAlign w:val="superscript"/>
        </w:rPr>
        <w:t xml:space="preserve">12 </w:t>
      </w:r>
      <w:r>
        <w:t xml:space="preserve">Unfortunately, the retrospective nature of this FNQ study and the limited capacity of local laboratories precluded the determination of high- and low-level resistance. </w:t>
      </w:r>
    </w:p>
    <w:p w14:paraId="54BE66BB" w14:textId="77777777" w:rsidR="00D7689A" w:rsidRDefault="00D7689A" w:rsidP="00283066">
      <w:r>
        <w:t xml:space="preserve">Despite this limitation, these data do have implications for local clinical management. As mupirocin resistance rates in FNQ MRSA isolates are </w:t>
      </w:r>
      <w:proofErr w:type="gramStart"/>
      <w:r>
        <w:t>relatively low</w:t>
      </w:r>
      <w:proofErr w:type="gramEnd"/>
      <w:r>
        <w:t xml:space="preserve">, our study suggests that topical mupirocin remains suitable for empirical use in MRSA decolonisation regimens, although it cannot be unequivocally recommended for MSSA decolonisation. </w:t>
      </w:r>
    </w:p>
    <w:p w14:paraId="2777E9E1" w14:textId="77777777" w:rsidR="00D7689A" w:rsidRDefault="00D7689A" w:rsidP="00283066">
      <w:r>
        <w:t>The increased rates of mupirocin resistance observed in young people in FNQ may reflect higher rates of recent mupirocin exposure, a primary driver of resistance.</w:t>
      </w:r>
      <w:r>
        <w:rPr>
          <w:vertAlign w:val="superscript"/>
        </w:rPr>
        <w:t>13</w:t>
      </w:r>
      <w:r>
        <w:t xml:space="preserve"> Topical mupirocin was previously used extensively in FNQ for impetigo, which occurs more commonly in children, but has been superseded by oral trimethoprim/</w:t>
      </w:r>
      <w:proofErr w:type="spellStart"/>
      <w:r>
        <w:t>sulphamethoxazole</w:t>
      </w:r>
      <w:proofErr w:type="spellEnd"/>
      <w:r>
        <w:t xml:space="preserve"> or intramuscular benzylpenicillin</w:t>
      </w:r>
      <w:r w:rsidRPr="00283066">
        <w:rPr>
          <w:rStyle w:val="Emphasis"/>
          <w:b w:val="0"/>
          <w:bCs w:val="0"/>
        </w:rPr>
        <w:t>.</w:t>
      </w:r>
      <w:r>
        <w:rPr>
          <w:vertAlign w:val="superscript"/>
        </w:rPr>
        <w:t xml:space="preserve">14–16 </w:t>
      </w:r>
      <w:r>
        <w:t xml:space="preserve">It might be anticipated, therefore, that mupirocin resistance will fall in young people in the future. </w:t>
      </w:r>
    </w:p>
    <w:p w14:paraId="3E541D54" w14:textId="77777777" w:rsidR="00D7689A" w:rsidRDefault="00D7689A" w:rsidP="00283066">
      <w:r>
        <w:t>Rural location was also an independent predictor of mupirocin resistance. Australian data have demonstrated state to state variation, with Queensland reporting high-level mupirocin resistance rates of 3.1% (MRSA) and 3.5% (MSSA) compared with the Australian average of 0.8% (MRSA) and 1.2% (MSSA).</w:t>
      </w:r>
      <w:r>
        <w:rPr>
          <w:vertAlign w:val="superscript"/>
        </w:rPr>
        <w:t>11</w:t>
      </w:r>
      <w:r>
        <w:t xml:space="preserve"> Although this FNQ study presents more granular data than prior reports, it is unable to characterise the spatial epidemiology of mupirocin resistance in more detail (e.g., specific communities). Mupirocin resistance was more common in women, </w:t>
      </w:r>
      <w:proofErr w:type="gramStart"/>
      <w:r>
        <w:t>possibly due</w:t>
      </w:r>
      <w:proofErr w:type="gramEnd"/>
      <w:r>
        <w:t xml:space="preserve"> to asymmetric gender roles in child rearing and higher rates of mupirocin resistance in younger people.</w:t>
      </w:r>
      <w:r>
        <w:rPr>
          <w:vertAlign w:val="superscript"/>
        </w:rPr>
        <w:t>17</w:t>
      </w:r>
      <w:r>
        <w:t xml:space="preserve"> Gender variation in overall rates of </w:t>
      </w:r>
      <w:r w:rsidRPr="00283066">
        <w:rPr>
          <w:rStyle w:val="Emphasis"/>
          <w:b w:val="0"/>
          <w:bCs w:val="0"/>
        </w:rPr>
        <w:t>S. aureus</w:t>
      </w:r>
      <w:r>
        <w:t xml:space="preserve"> infection has previously been described</w:t>
      </w:r>
      <w:r>
        <w:rPr>
          <w:vertAlign w:val="superscript"/>
        </w:rPr>
        <w:t>18</w:t>
      </w:r>
      <w:r>
        <w:t xml:space="preserve"> although this was not apparent in a prior FNQ study.</w:t>
      </w:r>
      <w:r>
        <w:rPr>
          <w:vertAlign w:val="superscript"/>
        </w:rPr>
        <w:t>1</w:t>
      </w:r>
      <w:r>
        <w:t xml:space="preserve"> </w:t>
      </w:r>
    </w:p>
    <w:p w14:paraId="3BF5E905" w14:textId="14A5BD94" w:rsidR="00D7689A" w:rsidRDefault="00D7689A" w:rsidP="00283066">
      <w:r>
        <w:t xml:space="preserve">Our study has limitations. Mupirocin testing </w:t>
      </w:r>
      <w:proofErr w:type="gramStart"/>
      <w:r>
        <w:t>was not performed</w:t>
      </w:r>
      <w:proofErr w:type="gramEnd"/>
      <w:r>
        <w:t xml:space="preserve"> on 55% of isolates; the reasons for this varied over the study timeframe.</w:t>
      </w:r>
      <w:r w:rsidR="00E55A83">
        <w:rPr>
          <w:rStyle w:val="FootnoteReference"/>
        </w:rPr>
        <w:footnoteReference w:id="3"/>
      </w:r>
      <w:r>
        <w:t xml:space="preserve"> Isolates were more commonly collected in rural areas despite most FNQ residents having an urban address. Similarly, 49.8% of isolates </w:t>
      </w:r>
      <w:proofErr w:type="gramStart"/>
      <w:r>
        <w:t>were collected</w:t>
      </w:r>
      <w:proofErr w:type="gramEnd"/>
      <w:r>
        <w:t xml:space="preserve"> from Aboriginal and/or Torres Strait Islander Australians, who represent only 17% of the FNQ population. This is </w:t>
      </w:r>
      <w:proofErr w:type="gramStart"/>
      <w:r>
        <w:t>likely due</w:t>
      </w:r>
      <w:proofErr w:type="gramEnd"/>
      <w:r>
        <w:t xml:space="preserve"> to the disproportionate burden of skin infections borne by Indigenous Australians living in rural areas; regional variation in specimen collection practices, or the use of alternative pathology providers, may also contribute to this finding. The study also lacks concomitant clinical data. </w:t>
      </w:r>
    </w:p>
    <w:p w14:paraId="63F945EC" w14:textId="77777777" w:rsidR="00D7689A" w:rsidRDefault="00D7689A" w:rsidP="00283066">
      <w:r>
        <w:t xml:space="preserve">Interventions that reduce the burden of recurrent </w:t>
      </w:r>
      <w:r w:rsidRPr="00283066">
        <w:rPr>
          <w:rStyle w:val="Emphasis"/>
          <w:b w:val="0"/>
          <w:bCs w:val="0"/>
        </w:rPr>
        <w:t>S. aureus</w:t>
      </w:r>
      <w:r>
        <w:t xml:space="preserve"> infections are necessary, as these infections are common, debilitating, and potentially life-threatening. The efficacy of topical mupirocin has </w:t>
      </w:r>
      <w:proofErr w:type="gramStart"/>
      <w:r>
        <w:t>been compared</w:t>
      </w:r>
      <w:proofErr w:type="gramEnd"/>
      <w:r>
        <w:t xml:space="preserve"> to other regimens, primarily in elective surgery cohorts. In one study, topical mupirocin achieved clearance rates </w:t>
      </w:r>
      <w:proofErr w:type="gramStart"/>
      <w:r>
        <w:t>similar to</w:t>
      </w:r>
      <w:proofErr w:type="gramEnd"/>
      <w:r>
        <w:t xml:space="preserve"> neomycin and superior to </w:t>
      </w:r>
      <w:proofErr w:type="spellStart"/>
      <w:r>
        <w:t>octenidine</w:t>
      </w:r>
      <w:proofErr w:type="spellEnd"/>
      <w:r>
        <w:t>, although no reduction in infection was seen.</w:t>
      </w:r>
      <w:r>
        <w:rPr>
          <w:vertAlign w:val="superscript"/>
        </w:rPr>
        <w:t>19</w:t>
      </w:r>
      <w:r>
        <w:t xml:space="preserve"> In another, nasal iodine was marginally superior to mupirocin in preventing </w:t>
      </w:r>
      <w:r w:rsidRPr="00283066">
        <w:rPr>
          <w:rStyle w:val="Emphasis"/>
          <w:b w:val="0"/>
          <w:bCs w:val="0"/>
        </w:rPr>
        <w:t>S. aureus</w:t>
      </w:r>
      <w:r>
        <w:t xml:space="preserve"> infection.</w:t>
      </w:r>
      <w:r>
        <w:rPr>
          <w:vertAlign w:val="superscript"/>
        </w:rPr>
        <w:t>20</w:t>
      </w:r>
      <w:r>
        <w:t xml:space="preserve"> </w:t>
      </w:r>
    </w:p>
    <w:p w14:paraId="6CFC5828" w14:textId="77777777" w:rsidR="00D7689A" w:rsidRDefault="00D7689A" w:rsidP="00283066">
      <w:r>
        <w:t>In conclusion, our data support the empirical use of mupirocin in MRSA—but not MSSA—decolonisation in FNQ. Its role in other infections requires further evaluation. However</w:t>
      </w:r>
      <w:proofErr w:type="gramStart"/>
      <w:r>
        <w:t>, ultimately, a</w:t>
      </w:r>
      <w:proofErr w:type="gramEnd"/>
      <w:r>
        <w:t xml:space="preserve"> concerted public health effort addressing the underlying socioeconomic disadvantage that drives the acquisition and spread of S</w:t>
      </w:r>
      <w:r w:rsidRPr="00283066">
        <w:rPr>
          <w:rStyle w:val="Emphasis"/>
          <w:b w:val="0"/>
          <w:bCs w:val="0"/>
        </w:rPr>
        <w:t>. aureus</w:t>
      </w:r>
      <w:r>
        <w:t xml:space="preserve"> infections is likely to have a greater health impact than the optimisation of different eradication regimens. </w:t>
      </w:r>
    </w:p>
    <w:p w14:paraId="27CEE62D" w14:textId="77777777" w:rsidR="00D7689A" w:rsidRPr="00283066" w:rsidRDefault="00D7689A" w:rsidP="00283066">
      <w:pPr>
        <w:pStyle w:val="Heading1"/>
      </w:pPr>
      <w:r w:rsidRPr="00283066">
        <w:lastRenderedPageBreak/>
        <w:t xml:space="preserve">Acknowledgements </w:t>
      </w:r>
    </w:p>
    <w:p w14:paraId="476118B3" w14:textId="77777777" w:rsidR="00D7689A" w:rsidRDefault="00D7689A" w:rsidP="00283066">
      <w:r>
        <w:t xml:space="preserve">The research </w:t>
      </w:r>
      <w:proofErr w:type="gramStart"/>
      <w:r>
        <w:t>was funded</w:t>
      </w:r>
      <w:proofErr w:type="gramEnd"/>
      <w:r>
        <w:t xml:space="preserve"> under the Australian National Health and Medical Research Council grant numbers 1046812, 1098337, and 1131932 (The HOT NORTH initiative).</w:t>
      </w:r>
    </w:p>
    <w:p w14:paraId="72FD6863" w14:textId="77777777" w:rsidR="00D7689A" w:rsidRPr="00283066" w:rsidRDefault="00D7689A" w:rsidP="00283066">
      <w:pPr>
        <w:pStyle w:val="Heading1"/>
      </w:pPr>
      <w:r w:rsidRPr="00283066">
        <w:t xml:space="preserve">Author details </w:t>
      </w:r>
    </w:p>
    <w:p w14:paraId="7E9A843D" w14:textId="2DC41151" w:rsidR="00D7689A" w:rsidRDefault="00D7689A" w:rsidP="00283066">
      <w:r>
        <w:t>Dr Isabel Guthridge</w:t>
      </w:r>
      <w:proofErr w:type="gramStart"/>
      <w:r>
        <w:rPr>
          <w:vertAlign w:val="superscript"/>
        </w:rPr>
        <w:t>1,*</w:t>
      </w:r>
      <w:proofErr w:type="gramEnd"/>
      <w:r>
        <w:t xml:space="preserve"> </w:t>
      </w:r>
      <w:r w:rsidR="00316F27">
        <w:br/>
      </w:r>
      <w:r>
        <w:t>Dr Stuart Campbell</w:t>
      </w:r>
      <w:r>
        <w:rPr>
          <w:vertAlign w:val="superscript"/>
        </w:rPr>
        <w:t>1,*</w:t>
      </w:r>
      <w:r>
        <w:t xml:space="preserve"> </w:t>
      </w:r>
      <w:r w:rsidR="00316F27">
        <w:br/>
      </w:r>
      <w:r>
        <w:t>Dr Simon Smith</w:t>
      </w:r>
      <w:r>
        <w:rPr>
          <w:vertAlign w:val="superscript"/>
        </w:rPr>
        <w:t>1</w:t>
      </w:r>
      <w:r>
        <w:t xml:space="preserve"> </w:t>
      </w:r>
      <w:r w:rsidR="00316F27">
        <w:br/>
      </w:r>
      <w:r>
        <w:t>Dr Josh Hanson</w:t>
      </w:r>
      <w:r>
        <w:rPr>
          <w:vertAlign w:val="superscript"/>
        </w:rPr>
        <w:t xml:space="preserve">1,2 </w:t>
      </w:r>
    </w:p>
    <w:p w14:paraId="08D0161E" w14:textId="77777777" w:rsidR="00D7689A" w:rsidRPr="00283066" w:rsidRDefault="00D7689A" w:rsidP="00283066">
      <w:pPr>
        <w:pStyle w:val="ListParagraph"/>
        <w:numPr>
          <w:ilvl w:val="0"/>
          <w:numId w:val="9"/>
        </w:numPr>
        <w:rPr>
          <w:rFonts w:eastAsia="Times New Roman"/>
        </w:rPr>
      </w:pPr>
      <w:r w:rsidRPr="00283066">
        <w:rPr>
          <w:rFonts w:eastAsia="Times New Roman"/>
        </w:rPr>
        <w:t xml:space="preserve">Division of Medicine, Cairns Hospital, Cairns, Australia. </w:t>
      </w:r>
    </w:p>
    <w:p w14:paraId="31ED3D6A" w14:textId="77777777" w:rsidR="00D7689A" w:rsidRPr="00283066" w:rsidRDefault="00D7689A" w:rsidP="00283066">
      <w:pPr>
        <w:pStyle w:val="ListParagraph"/>
        <w:numPr>
          <w:ilvl w:val="0"/>
          <w:numId w:val="9"/>
        </w:numPr>
        <w:rPr>
          <w:rFonts w:eastAsia="Times New Roman"/>
        </w:rPr>
      </w:pPr>
      <w:r w:rsidRPr="00283066">
        <w:rPr>
          <w:rFonts w:eastAsia="Times New Roman"/>
        </w:rPr>
        <w:t xml:space="preserve">Kirby Institute, University of New South Wales, Sydney, Australia. </w:t>
      </w:r>
    </w:p>
    <w:p w14:paraId="7559CE0B" w14:textId="77777777" w:rsidR="00D7689A" w:rsidRDefault="00D7689A" w:rsidP="00283066">
      <w:r>
        <w:t xml:space="preserve">*Dr Guthridge and Dr Campbell contributed equally to this article. </w:t>
      </w:r>
    </w:p>
    <w:p w14:paraId="3867AAAF" w14:textId="12A59BB3" w:rsidR="009C4550" w:rsidRDefault="00D7689A" w:rsidP="00692D2B">
      <w:pPr>
        <w:pStyle w:val="Heading2"/>
        <w:spacing w:after="200"/>
      </w:pPr>
      <w:r w:rsidRPr="00410DDE">
        <w:t xml:space="preserve">Corresponding author </w:t>
      </w:r>
    </w:p>
    <w:p w14:paraId="3A98B0D5" w14:textId="7652CDDB" w:rsidR="00D7689A" w:rsidRDefault="00D7689A" w:rsidP="00283066">
      <w:r>
        <w:t xml:space="preserve">Dr Stuart Campbell </w:t>
      </w:r>
    </w:p>
    <w:p w14:paraId="0EC4AF27" w14:textId="77777777" w:rsidR="00D7689A" w:rsidRDefault="00D7689A" w:rsidP="00283066">
      <w:r>
        <w:t xml:space="preserve">Department of Medicine, Cairns and Hinterland Hospital and Health Service, Queensland, Australia </w:t>
      </w:r>
    </w:p>
    <w:p w14:paraId="2A80217E" w14:textId="77777777" w:rsidR="00D7689A" w:rsidRDefault="00D7689A" w:rsidP="00283066">
      <w:r>
        <w:t>Email: stuartc345@gmail.com.</w:t>
      </w:r>
    </w:p>
    <w:p w14:paraId="1091ACB4" w14:textId="77777777" w:rsidR="00D7689A" w:rsidRPr="00283066" w:rsidRDefault="00D7689A" w:rsidP="00283066">
      <w:pPr>
        <w:pStyle w:val="Heading1"/>
      </w:pPr>
      <w:r w:rsidRPr="00283066">
        <w:t xml:space="preserve">References </w:t>
      </w:r>
    </w:p>
    <w:p w14:paraId="3F9B2545"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Guthridge I, Smith S, Horne P, Hanson J. Increasing prevalence of methicillin-resistant </w:t>
      </w:r>
      <w:r w:rsidRPr="00283066">
        <w:rPr>
          <w:rStyle w:val="Emphasis"/>
          <w:rFonts w:eastAsia="Times New Roman"/>
          <w:b w:val="0"/>
          <w:bCs w:val="0"/>
        </w:rPr>
        <w:t>Staphylococcus aureus</w:t>
      </w:r>
      <w:r w:rsidRPr="00283066">
        <w:rPr>
          <w:rFonts w:eastAsia="Times New Roman"/>
        </w:rPr>
        <w:t xml:space="preserve"> in remote Australian communities: implications for patients and clinicians. </w:t>
      </w:r>
      <w:r w:rsidRPr="00283066">
        <w:rPr>
          <w:rStyle w:val="Emphasis"/>
          <w:rFonts w:eastAsia="Times New Roman"/>
          <w:b w:val="0"/>
          <w:bCs w:val="0"/>
        </w:rPr>
        <w:t>Pathology</w:t>
      </w:r>
      <w:r w:rsidRPr="00283066">
        <w:rPr>
          <w:rFonts w:eastAsia="Times New Roman"/>
        </w:rPr>
        <w:t xml:space="preserve">. 2019;51(4):428–31. </w:t>
      </w:r>
      <w:proofErr w:type="spellStart"/>
      <w:r w:rsidRPr="00283066">
        <w:rPr>
          <w:rFonts w:eastAsia="Times New Roman"/>
        </w:rPr>
        <w:t>doi</w:t>
      </w:r>
      <w:proofErr w:type="spellEnd"/>
      <w:r w:rsidRPr="00283066">
        <w:rPr>
          <w:rFonts w:eastAsia="Times New Roman"/>
        </w:rPr>
        <w:t xml:space="preserve">: https://doi.org/10.1016/j.pathol.2018.11.015. </w:t>
      </w:r>
    </w:p>
    <w:p w14:paraId="3DF1A487" w14:textId="77777777" w:rsidR="00D7689A" w:rsidRPr="00283066" w:rsidRDefault="00D7689A" w:rsidP="00283066">
      <w:pPr>
        <w:pStyle w:val="ListParagraph"/>
        <w:numPr>
          <w:ilvl w:val="0"/>
          <w:numId w:val="10"/>
        </w:numPr>
        <w:rPr>
          <w:rFonts w:eastAsia="Times New Roman"/>
        </w:rPr>
      </w:pPr>
      <w:proofErr w:type="spellStart"/>
      <w:r w:rsidRPr="00283066">
        <w:rPr>
          <w:rFonts w:eastAsia="Times New Roman"/>
        </w:rPr>
        <w:t>Harch</w:t>
      </w:r>
      <w:proofErr w:type="spellEnd"/>
      <w:r w:rsidRPr="00283066">
        <w:rPr>
          <w:rFonts w:eastAsia="Times New Roman"/>
        </w:rPr>
        <w:t xml:space="preserve"> SAJ, </w:t>
      </w:r>
      <w:proofErr w:type="spellStart"/>
      <w:r w:rsidRPr="00283066">
        <w:rPr>
          <w:rFonts w:eastAsia="Times New Roman"/>
        </w:rPr>
        <w:t>MacMorran</w:t>
      </w:r>
      <w:proofErr w:type="spellEnd"/>
      <w:r w:rsidRPr="00283066">
        <w:rPr>
          <w:rFonts w:eastAsia="Times New Roman"/>
        </w:rPr>
        <w:t xml:space="preserve"> E, Tong SYC, Holt DC, Wilson J, </w:t>
      </w:r>
      <w:proofErr w:type="spellStart"/>
      <w:r w:rsidRPr="00283066">
        <w:rPr>
          <w:rFonts w:eastAsia="Times New Roman"/>
        </w:rPr>
        <w:t>Athan</w:t>
      </w:r>
      <w:proofErr w:type="spellEnd"/>
      <w:r w:rsidRPr="00283066">
        <w:rPr>
          <w:rFonts w:eastAsia="Times New Roman"/>
        </w:rPr>
        <w:t xml:space="preserve"> E et al. High burden of complicated skin and soft tissue infections in the Indigenous population of Central Australia due to dominant Panton Valentine leucocidin clones ST93-MRSA and CC121-MSSA. </w:t>
      </w:r>
      <w:r w:rsidRPr="00283066">
        <w:rPr>
          <w:rStyle w:val="Emphasis"/>
          <w:rFonts w:eastAsia="Times New Roman"/>
          <w:b w:val="0"/>
          <w:bCs w:val="0"/>
        </w:rPr>
        <w:t>BMC Infect Dis</w:t>
      </w:r>
      <w:r w:rsidRPr="00283066">
        <w:rPr>
          <w:rFonts w:eastAsia="Times New Roman"/>
        </w:rPr>
        <w:t xml:space="preserve">. 2017;17(1):405. </w:t>
      </w:r>
      <w:proofErr w:type="spellStart"/>
      <w:r w:rsidRPr="00283066">
        <w:rPr>
          <w:rFonts w:eastAsia="Times New Roman"/>
        </w:rPr>
        <w:t>doi</w:t>
      </w:r>
      <w:proofErr w:type="spellEnd"/>
      <w:r w:rsidRPr="00283066">
        <w:rPr>
          <w:rFonts w:eastAsia="Times New Roman"/>
        </w:rPr>
        <w:t xml:space="preserve">: https://doi.org/10.1186/s12879-017-2460-3. </w:t>
      </w:r>
    </w:p>
    <w:p w14:paraId="7A41AE6C"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von </w:t>
      </w:r>
      <w:proofErr w:type="spellStart"/>
      <w:r w:rsidRPr="00283066">
        <w:rPr>
          <w:rFonts w:eastAsia="Times New Roman"/>
        </w:rPr>
        <w:t>Eiff</w:t>
      </w:r>
      <w:proofErr w:type="spellEnd"/>
      <w:r w:rsidRPr="00283066">
        <w:rPr>
          <w:rFonts w:eastAsia="Times New Roman"/>
        </w:rPr>
        <w:t xml:space="preserve"> C, Becker K, </w:t>
      </w:r>
      <w:proofErr w:type="spellStart"/>
      <w:r w:rsidRPr="00283066">
        <w:rPr>
          <w:rFonts w:eastAsia="Times New Roman"/>
        </w:rPr>
        <w:t>Machka</w:t>
      </w:r>
      <w:proofErr w:type="spellEnd"/>
      <w:r w:rsidRPr="00283066">
        <w:rPr>
          <w:rFonts w:eastAsia="Times New Roman"/>
        </w:rPr>
        <w:t xml:space="preserve"> K, Stammer H, Peters G. Nasal carriage as a source of </w:t>
      </w:r>
      <w:r w:rsidRPr="00283066">
        <w:rPr>
          <w:rStyle w:val="Emphasis"/>
          <w:rFonts w:eastAsia="Times New Roman"/>
          <w:b w:val="0"/>
          <w:bCs w:val="0"/>
        </w:rPr>
        <w:t>Staphylococcus aureus</w:t>
      </w:r>
      <w:r w:rsidRPr="00283066">
        <w:rPr>
          <w:rFonts w:eastAsia="Times New Roman"/>
        </w:rPr>
        <w:t xml:space="preserve"> </w:t>
      </w:r>
      <w:proofErr w:type="spellStart"/>
      <w:r w:rsidRPr="00283066">
        <w:rPr>
          <w:rFonts w:eastAsia="Times New Roman"/>
        </w:rPr>
        <w:t>bacteremia</w:t>
      </w:r>
      <w:proofErr w:type="spellEnd"/>
      <w:r w:rsidRPr="00283066">
        <w:rPr>
          <w:rFonts w:eastAsia="Times New Roman"/>
        </w:rPr>
        <w:t xml:space="preserve">. </w:t>
      </w:r>
      <w:r w:rsidRPr="00283066">
        <w:rPr>
          <w:rStyle w:val="Emphasis"/>
          <w:rFonts w:eastAsia="Times New Roman"/>
          <w:b w:val="0"/>
          <w:bCs w:val="0"/>
        </w:rPr>
        <w:t xml:space="preserve">N </w:t>
      </w:r>
      <w:proofErr w:type="spellStart"/>
      <w:r w:rsidRPr="00283066">
        <w:rPr>
          <w:rStyle w:val="Emphasis"/>
          <w:rFonts w:eastAsia="Times New Roman"/>
          <w:b w:val="0"/>
          <w:bCs w:val="0"/>
        </w:rPr>
        <w:t>Engl</w:t>
      </w:r>
      <w:proofErr w:type="spellEnd"/>
      <w:r w:rsidRPr="00283066">
        <w:rPr>
          <w:rStyle w:val="Emphasis"/>
          <w:rFonts w:eastAsia="Times New Roman"/>
          <w:b w:val="0"/>
          <w:bCs w:val="0"/>
        </w:rPr>
        <w:t xml:space="preserve"> J Med</w:t>
      </w:r>
      <w:r w:rsidRPr="00283066">
        <w:rPr>
          <w:rFonts w:eastAsia="Times New Roman"/>
        </w:rPr>
        <w:t xml:space="preserve">. 2001;344(1):11–6. </w:t>
      </w:r>
      <w:proofErr w:type="spellStart"/>
      <w:r w:rsidRPr="00283066">
        <w:rPr>
          <w:rFonts w:eastAsia="Times New Roman"/>
        </w:rPr>
        <w:t>doi</w:t>
      </w:r>
      <w:proofErr w:type="spellEnd"/>
      <w:r w:rsidRPr="00283066">
        <w:rPr>
          <w:rFonts w:eastAsia="Times New Roman"/>
        </w:rPr>
        <w:t xml:space="preserve">: https://doi.org/10.1056/NEJM200101043440102. </w:t>
      </w:r>
    </w:p>
    <w:p w14:paraId="44CD6E34" w14:textId="77777777" w:rsidR="00D7689A" w:rsidRPr="00283066" w:rsidRDefault="00D7689A" w:rsidP="00283066">
      <w:pPr>
        <w:pStyle w:val="ListParagraph"/>
        <w:numPr>
          <w:ilvl w:val="0"/>
          <w:numId w:val="10"/>
        </w:numPr>
        <w:rPr>
          <w:rFonts w:eastAsia="Times New Roman"/>
        </w:rPr>
      </w:pPr>
      <w:proofErr w:type="spellStart"/>
      <w:r w:rsidRPr="00283066">
        <w:rPr>
          <w:rFonts w:eastAsia="Times New Roman"/>
        </w:rPr>
        <w:t>Toshkova</w:t>
      </w:r>
      <w:proofErr w:type="spellEnd"/>
      <w:r w:rsidRPr="00283066">
        <w:rPr>
          <w:rFonts w:eastAsia="Times New Roman"/>
        </w:rPr>
        <w:t xml:space="preserve"> K, </w:t>
      </w:r>
      <w:proofErr w:type="spellStart"/>
      <w:r w:rsidRPr="00283066">
        <w:rPr>
          <w:rFonts w:eastAsia="Times New Roman"/>
        </w:rPr>
        <w:t>Annemüller</w:t>
      </w:r>
      <w:proofErr w:type="spellEnd"/>
      <w:r w:rsidRPr="00283066">
        <w:rPr>
          <w:rFonts w:eastAsia="Times New Roman"/>
        </w:rPr>
        <w:t xml:space="preserve"> C, </w:t>
      </w:r>
      <w:proofErr w:type="spellStart"/>
      <w:r w:rsidRPr="00283066">
        <w:rPr>
          <w:rFonts w:eastAsia="Times New Roman"/>
        </w:rPr>
        <w:t>Akineden</w:t>
      </w:r>
      <w:proofErr w:type="spellEnd"/>
      <w:r w:rsidRPr="00283066">
        <w:rPr>
          <w:rFonts w:eastAsia="Times New Roman"/>
        </w:rPr>
        <w:t xml:space="preserve"> O, </w:t>
      </w:r>
      <w:proofErr w:type="spellStart"/>
      <w:r w:rsidRPr="00283066">
        <w:rPr>
          <w:rFonts w:eastAsia="Times New Roman"/>
        </w:rPr>
        <w:t>Lämmler</w:t>
      </w:r>
      <w:proofErr w:type="spellEnd"/>
      <w:r w:rsidRPr="00283066">
        <w:rPr>
          <w:rFonts w:eastAsia="Times New Roman"/>
        </w:rPr>
        <w:t xml:space="preserve"> C. The significance of nasal carriage of </w:t>
      </w:r>
      <w:r w:rsidRPr="00283066">
        <w:rPr>
          <w:rStyle w:val="Emphasis"/>
          <w:rFonts w:eastAsia="Times New Roman"/>
          <w:b w:val="0"/>
          <w:bCs w:val="0"/>
        </w:rPr>
        <w:t>Staphylococcus aureus</w:t>
      </w:r>
      <w:r w:rsidRPr="00283066">
        <w:rPr>
          <w:rFonts w:eastAsia="Times New Roman"/>
        </w:rPr>
        <w:t xml:space="preserve"> as risk factor for human skin infections. </w:t>
      </w:r>
      <w:r w:rsidRPr="00283066">
        <w:rPr>
          <w:rStyle w:val="Emphasis"/>
          <w:rFonts w:eastAsia="Times New Roman"/>
          <w:b w:val="0"/>
          <w:bCs w:val="0"/>
        </w:rPr>
        <w:t>FEMS Microbiol Lett</w:t>
      </w:r>
      <w:r w:rsidRPr="00283066">
        <w:rPr>
          <w:rFonts w:eastAsia="Times New Roman"/>
        </w:rPr>
        <w:t xml:space="preserve">. 2001;202(1):17–24. </w:t>
      </w:r>
      <w:proofErr w:type="spellStart"/>
      <w:r w:rsidRPr="00283066">
        <w:rPr>
          <w:rFonts w:eastAsia="Times New Roman"/>
        </w:rPr>
        <w:t>doi</w:t>
      </w:r>
      <w:proofErr w:type="spellEnd"/>
      <w:r w:rsidRPr="00283066">
        <w:rPr>
          <w:rFonts w:eastAsia="Times New Roman"/>
        </w:rPr>
        <w:t xml:space="preserve">: https://doi.org/10.1111/j.1574-6968.2001.tb10774.x. </w:t>
      </w:r>
    </w:p>
    <w:p w14:paraId="18099C3B" w14:textId="77777777" w:rsidR="00D7689A" w:rsidRPr="00283066" w:rsidRDefault="00D7689A" w:rsidP="00283066">
      <w:pPr>
        <w:pStyle w:val="ListParagraph"/>
        <w:numPr>
          <w:ilvl w:val="0"/>
          <w:numId w:val="10"/>
        </w:numPr>
        <w:rPr>
          <w:rFonts w:eastAsia="Times New Roman"/>
        </w:rPr>
      </w:pPr>
      <w:proofErr w:type="spellStart"/>
      <w:r w:rsidRPr="00283066">
        <w:rPr>
          <w:rFonts w:eastAsia="Times New Roman"/>
        </w:rPr>
        <w:t>Turnidge</w:t>
      </w:r>
      <w:proofErr w:type="spellEnd"/>
      <w:r w:rsidRPr="00283066">
        <w:rPr>
          <w:rFonts w:eastAsia="Times New Roman"/>
        </w:rPr>
        <w:t xml:space="preserve"> JD. High burden of staphylococcal disease in indigenous communities. </w:t>
      </w:r>
      <w:r w:rsidRPr="00283066">
        <w:rPr>
          <w:rStyle w:val="Emphasis"/>
          <w:rFonts w:eastAsia="Times New Roman"/>
          <w:b w:val="0"/>
          <w:bCs w:val="0"/>
        </w:rPr>
        <w:t>J Infect Dis</w:t>
      </w:r>
      <w:r w:rsidRPr="00283066">
        <w:rPr>
          <w:rFonts w:eastAsia="Times New Roman"/>
        </w:rPr>
        <w:t xml:space="preserve">. 2009;199(10):1416–8. </w:t>
      </w:r>
      <w:proofErr w:type="spellStart"/>
      <w:r w:rsidRPr="00283066">
        <w:rPr>
          <w:rFonts w:eastAsia="Times New Roman"/>
        </w:rPr>
        <w:t>doi</w:t>
      </w:r>
      <w:proofErr w:type="spellEnd"/>
      <w:r w:rsidRPr="00283066">
        <w:rPr>
          <w:rFonts w:eastAsia="Times New Roman"/>
        </w:rPr>
        <w:t xml:space="preserve">: https://doi.org/10.1086/598219. </w:t>
      </w:r>
    </w:p>
    <w:p w14:paraId="43BB4705"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Therapeutic Guidelines. Recurrent staphylococcal skin infection. [Internet.] Melbourne: Therapeutic Guidelines Ltd.; April 2019. [Accessed on 12 March 2022.] Available from: https://tgldcdp.tg.org.au/viewTopic?topicfile=staphylococcal-skin-infection&amp;guidelineName=Antibiotic#toc_d1e47. </w:t>
      </w:r>
    </w:p>
    <w:p w14:paraId="02A05E84" w14:textId="77777777" w:rsidR="00D7689A" w:rsidRPr="00283066" w:rsidRDefault="00D7689A" w:rsidP="00283066">
      <w:pPr>
        <w:pStyle w:val="ListParagraph"/>
        <w:numPr>
          <w:ilvl w:val="0"/>
          <w:numId w:val="10"/>
        </w:numPr>
        <w:rPr>
          <w:rFonts w:eastAsia="Times New Roman"/>
        </w:rPr>
      </w:pPr>
      <w:r w:rsidRPr="00283066">
        <w:rPr>
          <w:rFonts w:eastAsia="Times New Roman"/>
        </w:rPr>
        <w:lastRenderedPageBreak/>
        <w:t xml:space="preserve">Liu C, Bayer A, Cosgrove SE, </w:t>
      </w:r>
      <w:proofErr w:type="spellStart"/>
      <w:r w:rsidRPr="00283066">
        <w:rPr>
          <w:rFonts w:eastAsia="Times New Roman"/>
        </w:rPr>
        <w:t>Daum</w:t>
      </w:r>
      <w:proofErr w:type="spellEnd"/>
      <w:r w:rsidRPr="00283066">
        <w:rPr>
          <w:rFonts w:eastAsia="Times New Roman"/>
        </w:rPr>
        <w:t xml:space="preserve"> RS, </w:t>
      </w:r>
      <w:proofErr w:type="spellStart"/>
      <w:r w:rsidRPr="00283066">
        <w:rPr>
          <w:rFonts w:eastAsia="Times New Roman"/>
        </w:rPr>
        <w:t>Fridkin</w:t>
      </w:r>
      <w:proofErr w:type="spellEnd"/>
      <w:r w:rsidRPr="00283066">
        <w:rPr>
          <w:rFonts w:eastAsia="Times New Roman"/>
        </w:rPr>
        <w:t xml:space="preserve"> SK, </w:t>
      </w:r>
      <w:proofErr w:type="spellStart"/>
      <w:r w:rsidRPr="00283066">
        <w:rPr>
          <w:rFonts w:eastAsia="Times New Roman"/>
        </w:rPr>
        <w:t>Gorwitz</w:t>
      </w:r>
      <w:proofErr w:type="spellEnd"/>
      <w:r w:rsidRPr="00283066">
        <w:rPr>
          <w:rFonts w:eastAsia="Times New Roman"/>
        </w:rPr>
        <w:t xml:space="preserve"> RJ et al. Clinical practice guidelines by the Infectious Diseases Society of America for the treatment of methicillin-resistant </w:t>
      </w:r>
      <w:r w:rsidRPr="00283066">
        <w:rPr>
          <w:rStyle w:val="Emphasis"/>
          <w:rFonts w:eastAsia="Times New Roman"/>
          <w:b w:val="0"/>
          <w:bCs w:val="0"/>
        </w:rPr>
        <w:t>Staphylococcus aureus</w:t>
      </w:r>
      <w:r w:rsidRPr="00283066">
        <w:rPr>
          <w:rFonts w:eastAsia="Times New Roman"/>
        </w:rPr>
        <w:t xml:space="preserve"> infections in adults and children. </w:t>
      </w:r>
      <w:r w:rsidRPr="00283066">
        <w:rPr>
          <w:rStyle w:val="Emphasis"/>
          <w:rFonts w:eastAsia="Times New Roman"/>
          <w:b w:val="0"/>
          <w:bCs w:val="0"/>
        </w:rPr>
        <w:t>Clin Infect Dis</w:t>
      </w:r>
      <w:r w:rsidRPr="00283066">
        <w:rPr>
          <w:rFonts w:eastAsia="Times New Roman"/>
        </w:rPr>
        <w:t xml:space="preserve">. 2011;52(3):18–55. </w:t>
      </w:r>
      <w:proofErr w:type="spellStart"/>
      <w:r w:rsidRPr="00283066">
        <w:rPr>
          <w:rFonts w:eastAsia="Times New Roman"/>
        </w:rPr>
        <w:t>doi</w:t>
      </w:r>
      <w:proofErr w:type="spellEnd"/>
      <w:r w:rsidRPr="00283066">
        <w:rPr>
          <w:rFonts w:eastAsia="Times New Roman"/>
        </w:rPr>
        <w:t xml:space="preserve">: https://doi.org/10.1093/cid/ciq146. </w:t>
      </w:r>
    </w:p>
    <w:p w14:paraId="5D569D4E"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Huang SS, Singh R, </w:t>
      </w:r>
      <w:proofErr w:type="spellStart"/>
      <w:r w:rsidRPr="00283066">
        <w:rPr>
          <w:rFonts w:eastAsia="Times New Roman"/>
        </w:rPr>
        <w:t>McKinnell</w:t>
      </w:r>
      <w:proofErr w:type="spellEnd"/>
      <w:r w:rsidRPr="00283066">
        <w:rPr>
          <w:rFonts w:eastAsia="Times New Roman"/>
        </w:rPr>
        <w:t xml:space="preserve"> JA, Park S, </w:t>
      </w:r>
      <w:proofErr w:type="spellStart"/>
      <w:r w:rsidRPr="00283066">
        <w:rPr>
          <w:rFonts w:eastAsia="Times New Roman"/>
        </w:rPr>
        <w:t>Gombosev</w:t>
      </w:r>
      <w:proofErr w:type="spellEnd"/>
      <w:r w:rsidRPr="00283066">
        <w:rPr>
          <w:rFonts w:eastAsia="Times New Roman"/>
        </w:rPr>
        <w:t xml:space="preserve"> A, </w:t>
      </w:r>
      <w:proofErr w:type="spellStart"/>
      <w:r w:rsidRPr="00283066">
        <w:rPr>
          <w:rFonts w:eastAsia="Times New Roman"/>
        </w:rPr>
        <w:t>Eells</w:t>
      </w:r>
      <w:proofErr w:type="spellEnd"/>
      <w:r w:rsidRPr="00283066">
        <w:rPr>
          <w:rFonts w:eastAsia="Times New Roman"/>
        </w:rPr>
        <w:t xml:space="preserve"> SJ et al. Decolonization to reduce </w:t>
      </w:r>
      <w:proofErr w:type="spellStart"/>
      <w:r w:rsidRPr="00283066">
        <w:rPr>
          <w:rFonts w:eastAsia="Times New Roman"/>
        </w:rPr>
        <w:t>postdischarge</w:t>
      </w:r>
      <w:proofErr w:type="spellEnd"/>
      <w:r w:rsidRPr="00283066">
        <w:rPr>
          <w:rFonts w:eastAsia="Times New Roman"/>
        </w:rPr>
        <w:t xml:space="preserve"> infection risk among MRSA carriers. </w:t>
      </w:r>
      <w:r w:rsidRPr="00283066">
        <w:rPr>
          <w:rStyle w:val="Emphasis"/>
          <w:rFonts w:eastAsia="Times New Roman"/>
          <w:b w:val="0"/>
          <w:bCs w:val="0"/>
        </w:rPr>
        <w:t xml:space="preserve">N </w:t>
      </w:r>
      <w:proofErr w:type="spellStart"/>
      <w:r w:rsidRPr="00283066">
        <w:rPr>
          <w:rStyle w:val="Emphasis"/>
          <w:rFonts w:eastAsia="Times New Roman"/>
          <w:b w:val="0"/>
          <w:bCs w:val="0"/>
        </w:rPr>
        <w:t>Engl</w:t>
      </w:r>
      <w:proofErr w:type="spellEnd"/>
      <w:r w:rsidRPr="00283066">
        <w:rPr>
          <w:rStyle w:val="Emphasis"/>
          <w:rFonts w:eastAsia="Times New Roman"/>
          <w:b w:val="0"/>
          <w:bCs w:val="0"/>
        </w:rPr>
        <w:t xml:space="preserve"> J Med</w:t>
      </w:r>
      <w:r w:rsidRPr="00283066">
        <w:rPr>
          <w:rFonts w:eastAsia="Times New Roman"/>
        </w:rPr>
        <w:t xml:space="preserve">. 2019;380(7):638–50. </w:t>
      </w:r>
      <w:proofErr w:type="spellStart"/>
      <w:r w:rsidRPr="00283066">
        <w:rPr>
          <w:rFonts w:eastAsia="Times New Roman"/>
        </w:rPr>
        <w:t>doi</w:t>
      </w:r>
      <w:proofErr w:type="spellEnd"/>
      <w:r w:rsidRPr="00283066">
        <w:rPr>
          <w:rFonts w:eastAsia="Times New Roman"/>
        </w:rPr>
        <w:t xml:space="preserve">: https://doi.org/10.1056/NEJMoa1716771. </w:t>
      </w:r>
    </w:p>
    <w:p w14:paraId="5EDDB1BF"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Australian Bureau of Statistics (ABS). Community Profiles. [Internet.] Canberra: ABS; 2017. [Accessed on 22 March 2022.] Available from: https://www.abs.gov.au/websitedbs/D3310114.nsf/Home/2016CensusCommunityProfiles. </w:t>
      </w:r>
    </w:p>
    <w:p w14:paraId="79F8D941" w14:textId="77777777" w:rsidR="00D7689A" w:rsidRPr="00283066" w:rsidRDefault="00D7689A" w:rsidP="00283066">
      <w:pPr>
        <w:pStyle w:val="ListParagraph"/>
        <w:numPr>
          <w:ilvl w:val="0"/>
          <w:numId w:val="10"/>
        </w:numPr>
        <w:rPr>
          <w:rFonts w:eastAsia="Times New Roman"/>
        </w:rPr>
      </w:pPr>
      <w:proofErr w:type="spellStart"/>
      <w:r w:rsidRPr="00283066">
        <w:rPr>
          <w:rFonts w:eastAsia="Times New Roman"/>
        </w:rPr>
        <w:t>Dadashi</w:t>
      </w:r>
      <w:proofErr w:type="spellEnd"/>
      <w:r w:rsidRPr="00283066">
        <w:rPr>
          <w:rFonts w:eastAsia="Times New Roman"/>
        </w:rPr>
        <w:t xml:space="preserve"> M, </w:t>
      </w:r>
      <w:proofErr w:type="spellStart"/>
      <w:r w:rsidRPr="00283066">
        <w:rPr>
          <w:rFonts w:eastAsia="Times New Roman"/>
        </w:rPr>
        <w:t>Hajikhani</w:t>
      </w:r>
      <w:proofErr w:type="spellEnd"/>
      <w:r w:rsidRPr="00283066">
        <w:rPr>
          <w:rFonts w:eastAsia="Times New Roman"/>
        </w:rPr>
        <w:t xml:space="preserve"> B, </w:t>
      </w:r>
      <w:proofErr w:type="spellStart"/>
      <w:r w:rsidRPr="00283066">
        <w:rPr>
          <w:rFonts w:eastAsia="Times New Roman"/>
        </w:rPr>
        <w:t>Darban-Sarokhalil</w:t>
      </w:r>
      <w:proofErr w:type="spellEnd"/>
      <w:r w:rsidRPr="00283066">
        <w:rPr>
          <w:rFonts w:eastAsia="Times New Roman"/>
        </w:rPr>
        <w:t xml:space="preserve"> D, van </w:t>
      </w:r>
      <w:proofErr w:type="spellStart"/>
      <w:r w:rsidRPr="00283066">
        <w:rPr>
          <w:rFonts w:eastAsia="Times New Roman"/>
        </w:rPr>
        <w:t>Belkum</w:t>
      </w:r>
      <w:proofErr w:type="spellEnd"/>
      <w:r w:rsidRPr="00283066">
        <w:rPr>
          <w:rFonts w:eastAsia="Times New Roman"/>
        </w:rPr>
        <w:t xml:space="preserve"> A, </w:t>
      </w:r>
      <w:proofErr w:type="spellStart"/>
      <w:r w:rsidRPr="00283066">
        <w:rPr>
          <w:rFonts w:eastAsia="Times New Roman"/>
        </w:rPr>
        <w:t>Goudarzi</w:t>
      </w:r>
      <w:proofErr w:type="spellEnd"/>
      <w:r w:rsidRPr="00283066">
        <w:rPr>
          <w:rFonts w:eastAsia="Times New Roman"/>
        </w:rPr>
        <w:t xml:space="preserve"> M. Mupirocin resistance in </w:t>
      </w:r>
      <w:r w:rsidRPr="00283066">
        <w:rPr>
          <w:rStyle w:val="Emphasis"/>
          <w:rFonts w:eastAsia="Times New Roman"/>
          <w:b w:val="0"/>
          <w:bCs w:val="0"/>
        </w:rPr>
        <w:t>Staphylococcus aureus</w:t>
      </w:r>
      <w:r w:rsidRPr="00283066">
        <w:rPr>
          <w:rFonts w:eastAsia="Times New Roman"/>
        </w:rPr>
        <w:t xml:space="preserve">: a systematic review and meta-analysis. </w:t>
      </w:r>
      <w:r w:rsidRPr="00283066">
        <w:rPr>
          <w:rStyle w:val="Emphasis"/>
          <w:rFonts w:eastAsia="Times New Roman"/>
          <w:b w:val="0"/>
          <w:bCs w:val="0"/>
        </w:rPr>
        <w:t xml:space="preserve">J Glob </w:t>
      </w:r>
      <w:proofErr w:type="spellStart"/>
      <w:r w:rsidRPr="00283066">
        <w:rPr>
          <w:rStyle w:val="Emphasis"/>
          <w:rFonts w:eastAsia="Times New Roman"/>
          <w:b w:val="0"/>
          <w:bCs w:val="0"/>
        </w:rPr>
        <w:t>Antimicrob</w:t>
      </w:r>
      <w:proofErr w:type="spellEnd"/>
      <w:r w:rsidRPr="00283066">
        <w:rPr>
          <w:rStyle w:val="Emphasis"/>
          <w:rFonts w:eastAsia="Times New Roman"/>
          <w:b w:val="0"/>
          <w:bCs w:val="0"/>
        </w:rPr>
        <w:t xml:space="preserve"> Resist</w:t>
      </w:r>
      <w:r w:rsidRPr="00283066">
        <w:rPr>
          <w:rFonts w:eastAsia="Times New Roman"/>
        </w:rPr>
        <w:t xml:space="preserve">. </w:t>
      </w:r>
      <w:proofErr w:type="gramStart"/>
      <w:r w:rsidRPr="00283066">
        <w:rPr>
          <w:rFonts w:eastAsia="Times New Roman"/>
        </w:rPr>
        <w:t>2020;20:238</w:t>
      </w:r>
      <w:proofErr w:type="gramEnd"/>
      <w:r w:rsidRPr="00283066">
        <w:rPr>
          <w:rFonts w:eastAsia="Times New Roman"/>
        </w:rPr>
        <w:t xml:space="preserve">–47. </w:t>
      </w:r>
      <w:proofErr w:type="spellStart"/>
      <w:r w:rsidRPr="00283066">
        <w:rPr>
          <w:rFonts w:eastAsia="Times New Roman"/>
        </w:rPr>
        <w:t>doi</w:t>
      </w:r>
      <w:proofErr w:type="spellEnd"/>
      <w:r w:rsidRPr="00283066">
        <w:rPr>
          <w:rFonts w:eastAsia="Times New Roman"/>
        </w:rPr>
        <w:t xml:space="preserve">: https://doi.org/10.1016/j.jgar.2019.07.032. </w:t>
      </w:r>
    </w:p>
    <w:p w14:paraId="5AB38FE4"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Coombs GW, Daley DA, Lee YT, Pang S for the Australian Group on Antimicrobial Resistance. Australian Group on Antimicrobial Resistance (AGAR) Australian </w:t>
      </w:r>
      <w:r w:rsidRPr="00283066">
        <w:rPr>
          <w:rStyle w:val="Emphasis"/>
          <w:rFonts w:eastAsia="Times New Roman"/>
          <w:b w:val="0"/>
          <w:bCs w:val="0"/>
        </w:rPr>
        <w:t>Staphylococcus aureus</w:t>
      </w:r>
      <w:r w:rsidRPr="00283066">
        <w:rPr>
          <w:rFonts w:eastAsia="Times New Roman"/>
        </w:rPr>
        <w:t xml:space="preserve"> Sepsis Outcome Programme (ASSOP) Annual Report 2016. </w:t>
      </w:r>
      <w:proofErr w:type="spellStart"/>
      <w:r w:rsidRPr="00283066">
        <w:rPr>
          <w:rStyle w:val="Emphasis"/>
          <w:rFonts w:eastAsia="Times New Roman"/>
          <w:b w:val="0"/>
          <w:bCs w:val="0"/>
        </w:rPr>
        <w:t>Commun</w:t>
      </w:r>
      <w:proofErr w:type="spellEnd"/>
      <w:r w:rsidRPr="00283066">
        <w:rPr>
          <w:rStyle w:val="Emphasis"/>
          <w:rFonts w:eastAsia="Times New Roman"/>
          <w:b w:val="0"/>
          <w:bCs w:val="0"/>
        </w:rPr>
        <w:t xml:space="preserve"> Dis </w:t>
      </w:r>
      <w:proofErr w:type="spellStart"/>
      <w:r w:rsidRPr="00283066">
        <w:rPr>
          <w:rStyle w:val="Emphasis"/>
          <w:rFonts w:eastAsia="Times New Roman"/>
          <w:b w:val="0"/>
          <w:bCs w:val="0"/>
        </w:rPr>
        <w:t>Intell</w:t>
      </w:r>
      <w:proofErr w:type="spellEnd"/>
      <w:r w:rsidRPr="00283066">
        <w:rPr>
          <w:rStyle w:val="Emphasis"/>
          <w:rFonts w:eastAsia="Times New Roman"/>
          <w:b w:val="0"/>
          <w:bCs w:val="0"/>
        </w:rPr>
        <w:t xml:space="preserve"> (2018)</w:t>
      </w:r>
      <w:r w:rsidRPr="00283066">
        <w:rPr>
          <w:rFonts w:eastAsia="Times New Roman"/>
        </w:rPr>
        <w:t>. 2018;42. PII</w:t>
      </w:r>
      <w:proofErr w:type="gramStart"/>
      <w:r w:rsidRPr="00283066">
        <w:rPr>
          <w:rFonts w:eastAsia="Times New Roman"/>
        </w:rPr>
        <w:t>: :S</w:t>
      </w:r>
      <w:proofErr w:type="gramEnd"/>
      <w:r w:rsidRPr="00283066">
        <w:rPr>
          <w:rFonts w:eastAsia="Times New Roman"/>
        </w:rPr>
        <w:t xml:space="preserve">2209-6051(18)00021-0. </w:t>
      </w:r>
    </w:p>
    <w:p w14:paraId="35A412A4"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Patel JB, </w:t>
      </w:r>
      <w:proofErr w:type="spellStart"/>
      <w:r w:rsidRPr="00283066">
        <w:rPr>
          <w:rFonts w:eastAsia="Times New Roman"/>
        </w:rPr>
        <w:t>Gorwitz</w:t>
      </w:r>
      <w:proofErr w:type="spellEnd"/>
      <w:r w:rsidRPr="00283066">
        <w:rPr>
          <w:rFonts w:eastAsia="Times New Roman"/>
        </w:rPr>
        <w:t xml:space="preserve"> RJ, Jernigan JA. Mupirocin resistance. </w:t>
      </w:r>
      <w:r w:rsidRPr="00283066">
        <w:rPr>
          <w:rStyle w:val="Emphasis"/>
          <w:rFonts w:eastAsia="Times New Roman"/>
          <w:b w:val="0"/>
          <w:bCs w:val="0"/>
        </w:rPr>
        <w:t>Clin Infect Dis</w:t>
      </w:r>
      <w:r w:rsidRPr="00283066">
        <w:rPr>
          <w:rFonts w:eastAsia="Times New Roman"/>
        </w:rPr>
        <w:t xml:space="preserve">. 2009;49(6):935–41. </w:t>
      </w:r>
      <w:proofErr w:type="spellStart"/>
      <w:r w:rsidRPr="00283066">
        <w:rPr>
          <w:rFonts w:eastAsia="Times New Roman"/>
        </w:rPr>
        <w:t>doi</w:t>
      </w:r>
      <w:proofErr w:type="spellEnd"/>
      <w:r w:rsidRPr="00283066">
        <w:rPr>
          <w:rFonts w:eastAsia="Times New Roman"/>
        </w:rPr>
        <w:t xml:space="preserve">: https://doi.org/10.1086/605495. </w:t>
      </w:r>
    </w:p>
    <w:p w14:paraId="726BFE3C"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Upton A, Lang S, Heffernan H. Mupirocin and </w:t>
      </w:r>
      <w:r w:rsidRPr="00283066">
        <w:rPr>
          <w:rStyle w:val="Emphasis"/>
          <w:rFonts w:eastAsia="Times New Roman"/>
          <w:b w:val="0"/>
          <w:bCs w:val="0"/>
        </w:rPr>
        <w:t>Staphylococcus aureus</w:t>
      </w:r>
      <w:r w:rsidRPr="00283066">
        <w:rPr>
          <w:rFonts w:eastAsia="Times New Roman"/>
        </w:rPr>
        <w:t xml:space="preserve">: a recent paradigm of emerging antibiotic resistance. </w:t>
      </w:r>
      <w:r w:rsidRPr="00283066">
        <w:rPr>
          <w:rStyle w:val="Emphasis"/>
          <w:rFonts w:eastAsia="Times New Roman"/>
          <w:b w:val="0"/>
          <w:bCs w:val="0"/>
        </w:rPr>
        <w:t xml:space="preserve">J </w:t>
      </w:r>
      <w:proofErr w:type="spellStart"/>
      <w:r w:rsidRPr="00283066">
        <w:rPr>
          <w:rStyle w:val="Emphasis"/>
          <w:rFonts w:eastAsia="Times New Roman"/>
          <w:b w:val="0"/>
          <w:bCs w:val="0"/>
        </w:rPr>
        <w:t>Antimicrob</w:t>
      </w:r>
      <w:proofErr w:type="spellEnd"/>
      <w:r w:rsidRPr="00283066">
        <w:rPr>
          <w:rStyle w:val="Emphasis"/>
          <w:rFonts w:eastAsia="Times New Roman"/>
          <w:b w:val="0"/>
          <w:bCs w:val="0"/>
        </w:rPr>
        <w:t xml:space="preserve"> Chemother</w:t>
      </w:r>
      <w:r w:rsidRPr="00283066">
        <w:rPr>
          <w:rFonts w:eastAsia="Times New Roman"/>
        </w:rPr>
        <w:t xml:space="preserve">. 2003;51(3):613–7. </w:t>
      </w:r>
      <w:proofErr w:type="spellStart"/>
      <w:r w:rsidRPr="00283066">
        <w:rPr>
          <w:rFonts w:eastAsia="Times New Roman"/>
        </w:rPr>
        <w:t>doi</w:t>
      </w:r>
      <w:proofErr w:type="spellEnd"/>
      <w:r w:rsidRPr="00283066">
        <w:rPr>
          <w:rFonts w:eastAsia="Times New Roman"/>
        </w:rPr>
        <w:t xml:space="preserve">: https://doi.org/10.1093/jac/dkg127. </w:t>
      </w:r>
    </w:p>
    <w:p w14:paraId="340529C6"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Bowen AC, Tong SYC, Chatfield MD, </w:t>
      </w:r>
      <w:proofErr w:type="spellStart"/>
      <w:r w:rsidRPr="00283066">
        <w:rPr>
          <w:rFonts w:eastAsia="Times New Roman"/>
        </w:rPr>
        <w:t>Carapetis</w:t>
      </w:r>
      <w:proofErr w:type="spellEnd"/>
      <w:r w:rsidRPr="00283066">
        <w:rPr>
          <w:rFonts w:eastAsia="Times New Roman"/>
        </w:rPr>
        <w:t xml:space="preserve"> JR. The microbiology of impetigo in Indigenous children: associations between </w:t>
      </w:r>
      <w:r w:rsidRPr="00283066">
        <w:rPr>
          <w:rStyle w:val="Emphasis"/>
          <w:rFonts w:eastAsia="Times New Roman"/>
          <w:b w:val="0"/>
          <w:bCs w:val="0"/>
        </w:rPr>
        <w:t>Streptococcus pyogenes</w:t>
      </w:r>
      <w:r w:rsidRPr="00283066">
        <w:rPr>
          <w:rFonts w:eastAsia="Times New Roman"/>
        </w:rPr>
        <w:t xml:space="preserve">, </w:t>
      </w:r>
      <w:r w:rsidRPr="00283066">
        <w:rPr>
          <w:rStyle w:val="Emphasis"/>
          <w:rFonts w:eastAsia="Times New Roman"/>
          <w:b w:val="0"/>
          <w:bCs w:val="0"/>
        </w:rPr>
        <w:t>Staphylococcus aureus</w:t>
      </w:r>
      <w:r w:rsidRPr="00283066">
        <w:rPr>
          <w:rFonts w:eastAsia="Times New Roman"/>
        </w:rPr>
        <w:t xml:space="preserve">, scabies, and nasal carriage. </w:t>
      </w:r>
      <w:r w:rsidRPr="00283066">
        <w:rPr>
          <w:rStyle w:val="Emphasis"/>
          <w:rFonts w:eastAsia="Times New Roman"/>
          <w:b w:val="0"/>
          <w:bCs w:val="0"/>
        </w:rPr>
        <w:t>BMC Infect Dis</w:t>
      </w:r>
      <w:r w:rsidRPr="00283066">
        <w:rPr>
          <w:rFonts w:eastAsia="Times New Roman"/>
        </w:rPr>
        <w:t xml:space="preserve">. </w:t>
      </w:r>
      <w:proofErr w:type="gramStart"/>
      <w:r w:rsidRPr="00283066">
        <w:rPr>
          <w:rFonts w:eastAsia="Times New Roman"/>
        </w:rPr>
        <w:t>2014;14:727</w:t>
      </w:r>
      <w:proofErr w:type="gramEnd"/>
      <w:r w:rsidRPr="00283066">
        <w:rPr>
          <w:rFonts w:eastAsia="Times New Roman"/>
        </w:rPr>
        <w:t xml:space="preserve">. </w:t>
      </w:r>
      <w:proofErr w:type="spellStart"/>
      <w:r w:rsidRPr="00283066">
        <w:rPr>
          <w:rFonts w:eastAsia="Times New Roman"/>
        </w:rPr>
        <w:t>doi</w:t>
      </w:r>
      <w:proofErr w:type="spellEnd"/>
      <w:r w:rsidRPr="00283066">
        <w:rPr>
          <w:rFonts w:eastAsia="Times New Roman"/>
        </w:rPr>
        <w:t xml:space="preserve">: https://doi.org/10.1186/s12879-014-0727-5. </w:t>
      </w:r>
    </w:p>
    <w:p w14:paraId="45207303"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Ray GT, </w:t>
      </w:r>
      <w:proofErr w:type="spellStart"/>
      <w:r w:rsidRPr="00283066">
        <w:rPr>
          <w:rFonts w:eastAsia="Times New Roman"/>
        </w:rPr>
        <w:t>Suaya</w:t>
      </w:r>
      <w:proofErr w:type="spellEnd"/>
      <w:r w:rsidRPr="00283066">
        <w:rPr>
          <w:rFonts w:eastAsia="Times New Roman"/>
        </w:rPr>
        <w:t xml:space="preserve"> JA, Baxter R. Incidence, microbiology, and patient characteristics of skin and soft-tissue infections in a U.S. population: a retrospective population-based study. </w:t>
      </w:r>
      <w:r w:rsidRPr="00283066">
        <w:rPr>
          <w:rStyle w:val="Emphasis"/>
          <w:rFonts w:eastAsia="Times New Roman"/>
          <w:b w:val="0"/>
          <w:bCs w:val="0"/>
        </w:rPr>
        <w:t>BMC Infect Dis</w:t>
      </w:r>
      <w:r w:rsidRPr="00283066">
        <w:rPr>
          <w:rFonts w:eastAsia="Times New Roman"/>
        </w:rPr>
        <w:t xml:space="preserve">. </w:t>
      </w:r>
      <w:proofErr w:type="gramStart"/>
      <w:r w:rsidRPr="00283066">
        <w:rPr>
          <w:rFonts w:eastAsia="Times New Roman"/>
        </w:rPr>
        <w:t>2013;13:252</w:t>
      </w:r>
      <w:proofErr w:type="gramEnd"/>
      <w:r w:rsidRPr="00283066">
        <w:rPr>
          <w:rFonts w:eastAsia="Times New Roman"/>
        </w:rPr>
        <w:t xml:space="preserve">. </w:t>
      </w:r>
      <w:proofErr w:type="spellStart"/>
      <w:r w:rsidRPr="00283066">
        <w:rPr>
          <w:rFonts w:eastAsia="Times New Roman"/>
        </w:rPr>
        <w:t>doi</w:t>
      </w:r>
      <w:proofErr w:type="spellEnd"/>
      <w:r w:rsidRPr="00283066">
        <w:rPr>
          <w:rFonts w:eastAsia="Times New Roman"/>
        </w:rPr>
        <w:t xml:space="preserve">: https://doi.org/10.1186/1471-2334-13-252. </w:t>
      </w:r>
    </w:p>
    <w:p w14:paraId="08E90B04"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Bowen AC, Tong SYC, Andrews RM, O’Meara IM, McDonald MI, Chatfield MD et al. Short-course oral co-trimoxazole versus intramuscular benzathine benzylpenicillin for impetigo in a highly endemic region: an open-label, randomised, controlled, non-inferiority trial. </w:t>
      </w:r>
      <w:r w:rsidRPr="00283066">
        <w:rPr>
          <w:rStyle w:val="Emphasis"/>
          <w:rFonts w:eastAsia="Times New Roman"/>
          <w:b w:val="0"/>
          <w:bCs w:val="0"/>
        </w:rPr>
        <w:t>Lancet</w:t>
      </w:r>
      <w:r w:rsidRPr="00283066">
        <w:rPr>
          <w:rFonts w:eastAsia="Times New Roman"/>
        </w:rPr>
        <w:t xml:space="preserve">. 2014;384(9960):2132–40. </w:t>
      </w:r>
      <w:proofErr w:type="spellStart"/>
      <w:r w:rsidRPr="00283066">
        <w:rPr>
          <w:rFonts w:eastAsia="Times New Roman"/>
        </w:rPr>
        <w:t>doi</w:t>
      </w:r>
      <w:proofErr w:type="spellEnd"/>
      <w:r w:rsidRPr="00283066">
        <w:rPr>
          <w:rFonts w:eastAsia="Times New Roman"/>
        </w:rPr>
        <w:t xml:space="preserve">: https://doi.org/10.1016/S0140-6736(14)60841-2. </w:t>
      </w:r>
    </w:p>
    <w:p w14:paraId="6F585285"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Muir N, Bohr Y. Contemporary practice of traditional Aboriginal child rearing: a review. </w:t>
      </w:r>
      <w:r w:rsidRPr="00283066">
        <w:rPr>
          <w:rStyle w:val="Emphasis"/>
          <w:rFonts w:eastAsia="Times New Roman"/>
          <w:b w:val="0"/>
          <w:bCs w:val="0"/>
        </w:rPr>
        <w:t>First Peoples Child &amp; Family Review</w:t>
      </w:r>
      <w:r w:rsidRPr="00283066">
        <w:rPr>
          <w:rFonts w:eastAsia="Times New Roman"/>
        </w:rPr>
        <w:t xml:space="preserve">. 2020;9(1):66–79. </w:t>
      </w:r>
    </w:p>
    <w:p w14:paraId="2A62AFC1"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Tong SYC, Bishop EJ, </w:t>
      </w:r>
      <w:proofErr w:type="spellStart"/>
      <w:r w:rsidRPr="00283066">
        <w:rPr>
          <w:rFonts w:eastAsia="Times New Roman"/>
        </w:rPr>
        <w:t>Lilliebridge</w:t>
      </w:r>
      <w:proofErr w:type="spellEnd"/>
      <w:r w:rsidRPr="00283066">
        <w:rPr>
          <w:rFonts w:eastAsia="Times New Roman"/>
        </w:rPr>
        <w:t xml:space="preserve"> RA, Cheng AC, </w:t>
      </w:r>
      <w:proofErr w:type="spellStart"/>
      <w:r w:rsidRPr="00283066">
        <w:rPr>
          <w:rFonts w:eastAsia="Times New Roman"/>
        </w:rPr>
        <w:t>Spasova-Penkova</w:t>
      </w:r>
      <w:proofErr w:type="spellEnd"/>
      <w:r w:rsidRPr="00283066">
        <w:rPr>
          <w:rFonts w:eastAsia="Times New Roman"/>
        </w:rPr>
        <w:t xml:space="preserve"> Z, Holt DC et al. Community-associated strains of methicillin-resistant </w:t>
      </w:r>
      <w:r w:rsidRPr="00283066">
        <w:rPr>
          <w:rStyle w:val="Emphasis"/>
          <w:rFonts w:eastAsia="Times New Roman"/>
          <w:b w:val="0"/>
          <w:bCs w:val="0"/>
        </w:rPr>
        <w:t>Staphylococcus aureus</w:t>
      </w:r>
      <w:r w:rsidRPr="00283066">
        <w:rPr>
          <w:rFonts w:eastAsia="Times New Roman"/>
        </w:rPr>
        <w:t xml:space="preserve"> and methicillin-susceptible </w:t>
      </w:r>
      <w:r w:rsidRPr="00283066">
        <w:rPr>
          <w:rStyle w:val="Emphasis"/>
          <w:rFonts w:eastAsia="Times New Roman"/>
          <w:b w:val="0"/>
          <w:bCs w:val="0"/>
        </w:rPr>
        <w:t>S. aureus</w:t>
      </w:r>
      <w:r w:rsidRPr="00283066">
        <w:rPr>
          <w:rFonts w:eastAsia="Times New Roman"/>
        </w:rPr>
        <w:t xml:space="preserve"> in Indigenous northern Australia: epidemiology and outcomes. </w:t>
      </w:r>
      <w:r w:rsidRPr="00283066">
        <w:rPr>
          <w:rStyle w:val="Emphasis"/>
          <w:rFonts w:eastAsia="Times New Roman"/>
          <w:b w:val="0"/>
          <w:bCs w:val="0"/>
        </w:rPr>
        <w:t>J Infect Dis</w:t>
      </w:r>
      <w:r w:rsidRPr="00283066">
        <w:rPr>
          <w:rFonts w:eastAsia="Times New Roman"/>
        </w:rPr>
        <w:t xml:space="preserve">. 2009;199(10):1461–70. </w:t>
      </w:r>
      <w:proofErr w:type="spellStart"/>
      <w:r w:rsidRPr="00283066">
        <w:rPr>
          <w:rFonts w:eastAsia="Times New Roman"/>
        </w:rPr>
        <w:t>doi</w:t>
      </w:r>
      <w:proofErr w:type="spellEnd"/>
      <w:r w:rsidRPr="00283066">
        <w:rPr>
          <w:rFonts w:eastAsia="Times New Roman"/>
        </w:rPr>
        <w:t xml:space="preserve">: https://doi.org/10.1086/598218. </w:t>
      </w:r>
    </w:p>
    <w:p w14:paraId="26FD4745"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Allport J, Choudhury R, Bruce-Wootton P, Reed M, Tate D, Malviya A. Efficacy of mupirocin, neomycin and </w:t>
      </w:r>
      <w:proofErr w:type="spellStart"/>
      <w:r w:rsidRPr="00283066">
        <w:rPr>
          <w:rFonts w:eastAsia="Times New Roman"/>
        </w:rPr>
        <w:t>octenidine</w:t>
      </w:r>
      <w:proofErr w:type="spellEnd"/>
      <w:r w:rsidRPr="00283066">
        <w:rPr>
          <w:rFonts w:eastAsia="Times New Roman"/>
        </w:rPr>
        <w:t xml:space="preserve"> for nasal </w:t>
      </w:r>
      <w:r w:rsidRPr="00283066">
        <w:rPr>
          <w:rStyle w:val="Emphasis"/>
          <w:rFonts w:eastAsia="Times New Roman"/>
          <w:b w:val="0"/>
          <w:bCs w:val="0"/>
        </w:rPr>
        <w:t>Staphylococcus aureus</w:t>
      </w:r>
      <w:r w:rsidRPr="00283066">
        <w:rPr>
          <w:rFonts w:eastAsia="Times New Roman"/>
        </w:rPr>
        <w:t xml:space="preserve"> decolonisation: a retrospective cohort study. </w:t>
      </w:r>
      <w:proofErr w:type="spellStart"/>
      <w:r w:rsidRPr="00283066">
        <w:rPr>
          <w:rStyle w:val="Emphasis"/>
          <w:rFonts w:eastAsia="Times New Roman"/>
          <w:b w:val="0"/>
          <w:bCs w:val="0"/>
        </w:rPr>
        <w:t>Antimicrob</w:t>
      </w:r>
      <w:proofErr w:type="spellEnd"/>
      <w:r w:rsidRPr="00283066">
        <w:rPr>
          <w:rStyle w:val="Emphasis"/>
          <w:rFonts w:eastAsia="Times New Roman"/>
          <w:b w:val="0"/>
          <w:bCs w:val="0"/>
        </w:rPr>
        <w:t xml:space="preserve"> Resist Infect Control</w:t>
      </w:r>
      <w:r w:rsidRPr="00283066">
        <w:rPr>
          <w:rFonts w:eastAsia="Times New Roman"/>
        </w:rPr>
        <w:t>. 2022;11(1):</w:t>
      </w:r>
      <w:proofErr w:type="gramStart"/>
      <w:r w:rsidRPr="00283066">
        <w:rPr>
          <w:rFonts w:eastAsia="Times New Roman"/>
        </w:rPr>
        <w:t>5</w:t>
      </w:r>
      <w:proofErr w:type="gramEnd"/>
      <w:r w:rsidRPr="00283066">
        <w:rPr>
          <w:rFonts w:eastAsia="Times New Roman"/>
        </w:rPr>
        <w:t xml:space="preserve">. </w:t>
      </w:r>
      <w:proofErr w:type="spellStart"/>
      <w:r w:rsidRPr="00283066">
        <w:rPr>
          <w:rFonts w:eastAsia="Times New Roman"/>
        </w:rPr>
        <w:t>doi</w:t>
      </w:r>
      <w:proofErr w:type="spellEnd"/>
      <w:r w:rsidRPr="00283066">
        <w:rPr>
          <w:rFonts w:eastAsia="Times New Roman"/>
        </w:rPr>
        <w:t xml:space="preserve">: https://doi.org/10.1186/s13756-021-01043-1. </w:t>
      </w:r>
    </w:p>
    <w:p w14:paraId="5DA3F8D5" w14:textId="77777777" w:rsidR="00D7689A" w:rsidRPr="00283066" w:rsidRDefault="00D7689A" w:rsidP="00283066">
      <w:pPr>
        <w:pStyle w:val="ListParagraph"/>
        <w:numPr>
          <w:ilvl w:val="0"/>
          <w:numId w:val="10"/>
        </w:numPr>
        <w:rPr>
          <w:rFonts w:eastAsia="Times New Roman"/>
        </w:rPr>
      </w:pPr>
      <w:r w:rsidRPr="00283066">
        <w:rPr>
          <w:rFonts w:eastAsia="Times New Roman"/>
        </w:rPr>
        <w:t xml:space="preserve">Phillips M, Rosenberg A, </w:t>
      </w:r>
      <w:proofErr w:type="spellStart"/>
      <w:r w:rsidRPr="00283066">
        <w:rPr>
          <w:rFonts w:eastAsia="Times New Roman"/>
        </w:rPr>
        <w:t>Shopsin</w:t>
      </w:r>
      <w:proofErr w:type="spellEnd"/>
      <w:r w:rsidRPr="00283066">
        <w:rPr>
          <w:rFonts w:eastAsia="Times New Roman"/>
        </w:rPr>
        <w:t xml:space="preserve"> B, Cuff G, </w:t>
      </w:r>
      <w:proofErr w:type="spellStart"/>
      <w:r w:rsidRPr="00283066">
        <w:rPr>
          <w:rFonts w:eastAsia="Times New Roman"/>
        </w:rPr>
        <w:t>Skeete</w:t>
      </w:r>
      <w:proofErr w:type="spellEnd"/>
      <w:r w:rsidRPr="00283066">
        <w:rPr>
          <w:rFonts w:eastAsia="Times New Roman"/>
        </w:rPr>
        <w:t xml:space="preserve"> F, </w:t>
      </w:r>
      <w:proofErr w:type="spellStart"/>
      <w:r w:rsidRPr="00283066">
        <w:rPr>
          <w:rFonts w:eastAsia="Times New Roman"/>
        </w:rPr>
        <w:t>Foti</w:t>
      </w:r>
      <w:proofErr w:type="spellEnd"/>
      <w:r w:rsidRPr="00283066">
        <w:rPr>
          <w:rFonts w:eastAsia="Times New Roman"/>
        </w:rPr>
        <w:t xml:space="preserve"> A et al. Preventing surgical site infections: a randomized, open-label trial of nasal mupirocin ointment and nasal povidone-iodine solution. </w:t>
      </w:r>
      <w:r w:rsidRPr="00283066">
        <w:rPr>
          <w:rStyle w:val="Emphasis"/>
          <w:rFonts w:eastAsia="Times New Roman"/>
          <w:b w:val="0"/>
          <w:bCs w:val="0"/>
        </w:rPr>
        <w:t>Infect Control Hosp Epidemiol</w:t>
      </w:r>
      <w:r w:rsidRPr="00283066">
        <w:rPr>
          <w:rFonts w:eastAsia="Times New Roman"/>
        </w:rPr>
        <w:t xml:space="preserve">. 2014;35(7):826–32. </w:t>
      </w:r>
      <w:proofErr w:type="spellStart"/>
      <w:r w:rsidRPr="00283066">
        <w:rPr>
          <w:rFonts w:eastAsia="Times New Roman"/>
        </w:rPr>
        <w:t>doi</w:t>
      </w:r>
      <w:proofErr w:type="spellEnd"/>
      <w:r w:rsidRPr="00283066">
        <w:rPr>
          <w:rFonts w:eastAsia="Times New Roman"/>
        </w:rPr>
        <w:t>: https://doi.org/10.1086/676872.</w:t>
      </w:r>
    </w:p>
    <w:p w14:paraId="6B5E4BA2" w14:textId="77777777" w:rsidR="001C600B" w:rsidRDefault="001C600B">
      <w:pPr>
        <w:rPr>
          <w:rFonts w:asciiTheme="majorHAnsi" w:eastAsiaTheme="majorEastAsia" w:hAnsiTheme="majorHAnsi" w:cstheme="majorBidi"/>
          <w:b/>
          <w:bCs/>
          <w:sz w:val="32"/>
          <w:szCs w:val="28"/>
        </w:rPr>
      </w:pPr>
      <w:r>
        <w:br w:type="page"/>
      </w:r>
    </w:p>
    <w:p w14:paraId="768DEA41" w14:textId="6268D91E" w:rsidR="00D7689A" w:rsidRPr="00283066" w:rsidRDefault="00D7689A" w:rsidP="00283066">
      <w:pPr>
        <w:pStyle w:val="Heading1"/>
      </w:pPr>
      <w:r w:rsidRPr="00283066">
        <w:lastRenderedPageBreak/>
        <w:t>Appendix A: Supplementary material</w:t>
      </w:r>
    </w:p>
    <w:p w14:paraId="051B5874" w14:textId="77777777" w:rsidR="00106BF1" w:rsidRDefault="00106BF1" w:rsidP="00106BF1">
      <w:pPr>
        <w:pStyle w:val="NormalWeb"/>
        <w:divId w:val="99223499"/>
        <w:rPr>
          <w:sz w:val="24"/>
          <w:szCs w:val="24"/>
          <w:lang w:val="en-GB"/>
        </w:rPr>
      </w:pPr>
      <w:r>
        <w:rPr>
          <w:rStyle w:val="Strong"/>
          <w:lang w:val="en-GB"/>
        </w:rPr>
        <w:t>Table A.1: Comparison of mupirocin testing across major variables</w:t>
      </w:r>
    </w:p>
    <w:tbl>
      <w:tblPr>
        <w:tblStyle w:val="CDI-StandardTable"/>
        <w:tblW w:w="0" w:type="auto"/>
        <w:tblCellMar>
          <w:top w:w="113" w:type="dxa"/>
          <w:bottom w:w="113" w:type="dxa"/>
        </w:tblCellMar>
        <w:tblLook w:val="04A0" w:firstRow="1" w:lastRow="0" w:firstColumn="1" w:lastColumn="0" w:noHBand="0" w:noVBand="1"/>
        <w:tblCaption w:val="Table A.1: Comparison of mupirocin testing across major variables. "/>
        <w:tblDescription w:val="This table compares the characteristics of those isolates who underwent mupirocin susceptibility testing and those who did not. There was small, but statistically significant, differences in the characteristics of mupirocin sensitivity tested isolates. Untested isolates were more commonly methicillin sensitive, younger, indigenous, and from remote residence. "/>
      </w:tblPr>
      <w:tblGrid>
        <w:gridCol w:w="2610"/>
        <w:gridCol w:w="2610"/>
        <w:gridCol w:w="2610"/>
        <w:gridCol w:w="2610"/>
      </w:tblGrid>
      <w:tr w:rsidR="00106BF1" w:rsidRPr="00250789" w14:paraId="3CD543FC" w14:textId="77777777" w:rsidTr="00D739F7">
        <w:trPr>
          <w:cnfStyle w:val="100000000000" w:firstRow="1" w:lastRow="0" w:firstColumn="0" w:lastColumn="0" w:oddVBand="0" w:evenVBand="0" w:oddHBand="0" w:evenHBand="0" w:firstRowFirstColumn="0" w:firstRowLastColumn="0" w:lastRowFirstColumn="0" w:lastRowLastColumn="0"/>
          <w:divId w:val="99223499"/>
        </w:trPr>
        <w:tc>
          <w:tcPr>
            <w:tcW w:w="2610" w:type="dxa"/>
            <w:hideMark/>
          </w:tcPr>
          <w:p w14:paraId="051D11BE" w14:textId="77777777" w:rsidR="00106BF1" w:rsidRPr="00250789" w:rsidRDefault="00106BF1" w:rsidP="006A1F80">
            <w:pPr>
              <w:pStyle w:val="NormalWeb"/>
              <w:jc w:val="left"/>
              <w:rPr>
                <w:sz w:val="18"/>
                <w:szCs w:val="18"/>
                <w:lang w:val="en-GB"/>
              </w:rPr>
            </w:pPr>
            <w:r w:rsidRPr="00250789">
              <w:rPr>
                <w:sz w:val="18"/>
                <w:szCs w:val="18"/>
                <w:lang w:val="en-GB"/>
              </w:rPr>
              <w:t>Variable</w:t>
            </w:r>
          </w:p>
        </w:tc>
        <w:tc>
          <w:tcPr>
            <w:tcW w:w="2610" w:type="dxa"/>
            <w:hideMark/>
          </w:tcPr>
          <w:p w14:paraId="473E50F5" w14:textId="77777777" w:rsidR="00106BF1" w:rsidRPr="00250789" w:rsidRDefault="00106BF1" w:rsidP="006A1F80">
            <w:pPr>
              <w:pStyle w:val="NormalWeb"/>
              <w:rPr>
                <w:sz w:val="18"/>
                <w:szCs w:val="18"/>
                <w:lang w:val="en-GB"/>
              </w:rPr>
            </w:pPr>
            <w:r w:rsidRPr="00250789">
              <w:rPr>
                <w:sz w:val="18"/>
                <w:szCs w:val="18"/>
                <w:lang w:val="en-GB"/>
              </w:rPr>
              <w:t>Not tested</w:t>
            </w:r>
            <w:r w:rsidRPr="00250789">
              <w:rPr>
                <w:sz w:val="18"/>
                <w:szCs w:val="18"/>
                <w:lang w:val="en-GB"/>
              </w:rPr>
              <w:br/>
              <w:t>N = 25,319</w:t>
            </w:r>
          </w:p>
        </w:tc>
        <w:tc>
          <w:tcPr>
            <w:tcW w:w="2610" w:type="dxa"/>
            <w:hideMark/>
          </w:tcPr>
          <w:p w14:paraId="3CB4A3EA" w14:textId="77777777" w:rsidR="00106BF1" w:rsidRPr="00250789" w:rsidRDefault="00106BF1" w:rsidP="006A1F80">
            <w:pPr>
              <w:pStyle w:val="NormalWeb"/>
              <w:rPr>
                <w:sz w:val="18"/>
                <w:szCs w:val="18"/>
                <w:lang w:val="en-GB"/>
              </w:rPr>
            </w:pPr>
            <w:r w:rsidRPr="00250789">
              <w:rPr>
                <w:sz w:val="18"/>
                <w:szCs w:val="18"/>
                <w:lang w:val="en-GB"/>
              </w:rPr>
              <w:t>Tested</w:t>
            </w:r>
            <w:r w:rsidRPr="00250789">
              <w:rPr>
                <w:sz w:val="18"/>
                <w:szCs w:val="18"/>
                <w:lang w:val="en-GB"/>
              </w:rPr>
              <w:br/>
              <w:t>N = 20,985</w:t>
            </w:r>
          </w:p>
        </w:tc>
        <w:tc>
          <w:tcPr>
            <w:tcW w:w="2610" w:type="dxa"/>
            <w:hideMark/>
          </w:tcPr>
          <w:p w14:paraId="79012AD6" w14:textId="77777777" w:rsidR="00106BF1" w:rsidRPr="00250789" w:rsidRDefault="00106BF1" w:rsidP="006A1F80">
            <w:pPr>
              <w:pStyle w:val="NormalWeb"/>
              <w:rPr>
                <w:sz w:val="18"/>
                <w:szCs w:val="18"/>
                <w:lang w:val="en-GB"/>
              </w:rPr>
            </w:pPr>
            <w:r w:rsidRPr="005A5E49">
              <w:rPr>
                <w:i/>
                <w:iCs/>
                <w:sz w:val="18"/>
                <w:szCs w:val="18"/>
                <w:lang w:val="en-GB"/>
              </w:rPr>
              <w:t>p</w:t>
            </w:r>
            <w:r w:rsidRPr="00250789">
              <w:rPr>
                <w:sz w:val="18"/>
                <w:szCs w:val="18"/>
                <w:lang w:val="en-GB"/>
              </w:rPr>
              <w:t xml:space="preserve"> </w:t>
            </w:r>
            <w:proofErr w:type="spellStart"/>
            <w:r w:rsidRPr="00250789">
              <w:rPr>
                <w:sz w:val="18"/>
                <w:szCs w:val="18"/>
                <w:lang w:val="en-GB"/>
              </w:rPr>
              <w:t>value</w:t>
            </w:r>
            <w:r w:rsidRPr="00025565">
              <w:rPr>
                <w:sz w:val="18"/>
                <w:szCs w:val="18"/>
                <w:vertAlign w:val="superscript"/>
                <w:lang w:val="en-GB"/>
              </w:rPr>
              <w:t>a</w:t>
            </w:r>
            <w:proofErr w:type="spellEnd"/>
          </w:p>
        </w:tc>
      </w:tr>
      <w:tr w:rsidR="00106BF1" w:rsidRPr="00250789" w14:paraId="292867B6" w14:textId="77777777" w:rsidTr="00D739F7">
        <w:trPr>
          <w:divId w:val="99223499"/>
        </w:trPr>
        <w:tc>
          <w:tcPr>
            <w:tcW w:w="2610" w:type="dxa"/>
            <w:hideMark/>
          </w:tcPr>
          <w:p w14:paraId="5C9DF848" w14:textId="77777777" w:rsidR="00106BF1" w:rsidRPr="00250789" w:rsidRDefault="00106BF1" w:rsidP="006A1F80">
            <w:pPr>
              <w:pStyle w:val="NormalWeb"/>
              <w:jc w:val="left"/>
              <w:rPr>
                <w:sz w:val="18"/>
                <w:szCs w:val="18"/>
                <w:lang w:val="en-GB"/>
              </w:rPr>
            </w:pPr>
            <w:proofErr w:type="spellStart"/>
            <w:r w:rsidRPr="00250789">
              <w:rPr>
                <w:sz w:val="18"/>
                <w:szCs w:val="18"/>
                <w:lang w:val="en-GB"/>
              </w:rPr>
              <w:t>MSSA</w:t>
            </w:r>
            <w:r w:rsidRPr="004F03FD">
              <w:rPr>
                <w:sz w:val="18"/>
                <w:szCs w:val="18"/>
                <w:vertAlign w:val="superscript"/>
                <w:lang w:val="en-GB"/>
              </w:rPr>
              <w:t>b</w:t>
            </w:r>
            <w:proofErr w:type="spellEnd"/>
          </w:p>
        </w:tc>
        <w:tc>
          <w:tcPr>
            <w:tcW w:w="2610" w:type="dxa"/>
            <w:hideMark/>
          </w:tcPr>
          <w:p w14:paraId="334AC4EA" w14:textId="77777777" w:rsidR="00106BF1" w:rsidRPr="00250789" w:rsidRDefault="00106BF1" w:rsidP="006A1F80">
            <w:pPr>
              <w:pStyle w:val="NormalWeb"/>
              <w:rPr>
                <w:sz w:val="18"/>
                <w:szCs w:val="18"/>
                <w:lang w:val="en-GB"/>
              </w:rPr>
            </w:pPr>
            <w:r w:rsidRPr="00250789">
              <w:rPr>
                <w:sz w:val="18"/>
                <w:szCs w:val="18"/>
                <w:lang w:val="en-GB"/>
              </w:rPr>
              <w:t>20,951 (83%)</w:t>
            </w:r>
          </w:p>
        </w:tc>
        <w:tc>
          <w:tcPr>
            <w:tcW w:w="2610" w:type="dxa"/>
            <w:hideMark/>
          </w:tcPr>
          <w:p w14:paraId="567107EB" w14:textId="77777777" w:rsidR="00106BF1" w:rsidRPr="00250789" w:rsidRDefault="00106BF1" w:rsidP="006A1F80">
            <w:pPr>
              <w:pStyle w:val="NormalWeb"/>
              <w:rPr>
                <w:sz w:val="18"/>
                <w:szCs w:val="18"/>
                <w:lang w:val="en-GB"/>
              </w:rPr>
            </w:pPr>
            <w:r w:rsidRPr="00250789">
              <w:rPr>
                <w:sz w:val="18"/>
                <w:szCs w:val="18"/>
                <w:lang w:val="en-GB"/>
              </w:rPr>
              <w:t>15,851 (76%)</w:t>
            </w:r>
          </w:p>
        </w:tc>
        <w:tc>
          <w:tcPr>
            <w:tcW w:w="2610" w:type="dxa"/>
            <w:hideMark/>
          </w:tcPr>
          <w:p w14:paraId="4949A414" w14:textId="77777777" w:rsidR="00106BF1" w:rsidRPr="00250789" w:rsidRDefault="00106BF1" w:rsidP="006A1F80">
            <w:pPr>
              <w:pStyle w:val="NormalWeb"/>
              <w:rPr>
                <w:sz w:val="18"/>
                <w:szCs w:val="18"/>
                <w:lang w:val="en-GB"/>
              </w:rPr>
            </w:pPr>
            <w:r w:rsidRPr="00250789">
              <w:rPr>
                <w:sz w:val="18"/>
                <w:szCs w:val="18"/>
                <w:lang w:val="en-GB"/>
              </w:rPr>
              <w:t>&lt; 0.0001</w:t>
            </w:r>
          </w:p>
        </w:tc>
      </w:tr>
      <w:tr w:rsidR="00106BF1" w:rsidRPr="00250789" w14:paraId="4E7FF9D0" w14:textId="77777777" w:rsidTr="00D739F7">
        <w:trPr>
          <w:cnfStyle w:val="000000010000" w:firstRow="0" w:lastRow="0" w:firstColumn="0" w:lastColumn="0" w:oddVBand="0" w:evenVBand="0" w:oddHBand="0" w:evenHBand="1" w:firstRowFirstColumn="0" w:firstRowLastColumn="0" w:lastRowFirstColumn="0" w:lastRowLastColumn="0"/>
          <w:divId w:val="99223499"/>
        </w:trPr>
        <w:tc>
          <w:tcPr>
            <w:tcW w:w="2610" w:type="dxa"/>
            <w:hideMark/>
          </w:tcPr>
          <w:p w14:paraId="0E1F7FCC" w14:textId="77777777" w:rsidR="00106BF1" w:rsidRPr="00250789" w:rsidRDefault="00106BF1" w:rsidP="006A1F80">
            <w:pPr>
              <w:pStyle w:val="NormalWeb"/>
              <w:jc w:val="left"/>
              <w:rPr>
                <w:sz w:val="18"/>
                <w:szCs w:val="18"/>
                <w:lang w:val="en-GB"/>
              </w:rPr>
            </w:pPr>
            <w:proofErr w:type="spellStart"/>
            <w:r w:rsidRPr="00250789">
              <w:rPr>
                <w:sz w:val="18"/>
                <w:szCs w:val="18"/>
                <w:lang w:val="en-GB"/>
              </w:rPr>
              <w:t>MRSA</w:t>
            </w:r>
            <w:r w:rsidRPr="004F03FD">
              <w:rPr>
                <w:sz w:val="18"/>
                <w:szCs w:val="18"/>
                <w:vertAlign w:val="superscript"/>
                <w:lang w:val="en-GB"/>
              </w:rPr>
              <w:t>c</w:t>
            </w:r>
            <w:proofErr w:type="spellEnd"/>
          </w:p>
        </w:tc>
        <w:tc>
          <w:tcPr>
            <w:tcW w:w="2610" w:type="dxa"/>
            <w:hideMark/>
          </w:tcPr>
          <w:p w14:paraId="69765DF1" w14:textId="77777777" w:rsidR="00106BF1" w:rsidRPr="00250789" w:rsidRDefault="00106BF1" w:rsidP="006A1F80">
            <w:pPr>
              <w:pStyle w:val="NormalWeb"/>
              <w:rPr>
                <w:sz w:val="18"/>
                <w:szCs w:val="18"/>
                <w:lang w:val="en-GB"/>
              </w:rPr>
            </w:pPr>
            <w:r w:rsidRPr="00250789">
              <w:rPr>
                <w:sz w:val="18"/>
                <w:szCs w:val="18"/>
                <w:lang w:val="en-GB"/>
              </w:rPr>
              <w:t>4,368 (17%)</w:t>
            </w:r>
          </w:p>
        </w:tc>
        <w:tc>
          <w:tcPr>
            <w:tcW w:w="2610" w:type="dxa"/>
            <w:hideMark/>
          </w:tcPr>
          <w:p w14:paraId="7CFEE686" w14:textId="77777777" w:rsidR="00106BF1" w:rsidRPr="00250789" w:rsidRDefault="00106BF1" w:rsidP="006A1F80">
            <w:pPr>
              <w:pStyle w:val="NormalWeb"/>
              <w:rPr>
                <w:sz w:val="18"/>
                <w:szCs w:val="18"/>
                <w:lang w:val="en-GB"/>
              </w:rPr>
            </w:pPr>
            <w:r w:rsidRPr="00250789">
              <w:rPr>
                <w:sz w:val="18"/>
                <w:szCs w:val="18"/>
                <w:lang w:val="en-GB"/>
              </w:rPr>
              <w:t>5,134 (24%)</w:t>
            </w:r>
          </w:p>
        </w:tc>
        <w:tc>
          <w:tcPr>
            <w:tcW w:w="2610" w:type="dxa"/>
            <w:hideMark/>
          </w:tcPr>
          <w:p w14:paraId="59DEAC2C" w14:textId="77777777" w:rsidR="00106BF1" w:rsidRPr="00250789" w:rsidRDefault="00106BF1" w:rsidP="006A1F80">
            <w:pPr>
              <w:pStyle w:val="NormalWeb"/>
              <w:rPr>
                <w:sz w:val="18"/>
                <w:szCs w:val="18"/>
                <w:lang w:val="en-GB"/>
              </w:rPr>
            </w:pPr>
            <w:r w:rsidRPr="00250789">
              <w:rPr>
                <w:sz w:val="18"/>
                <w:szCs w:val="18"/>
                <w:lang w:val="en-GB"/>
              </w:rPr>
              <w:t>&lt; 0.0001</w:t>
            </w:r>
          </w:p>
        </w:tc>
      </w:tr>
      <w:tr w:rsidR="00106BF1" w:rsidRPr="00250789" w14:paraId="74C5E65F" w14:textId="77777777" w:rsidTr="00D739F7">
        <w:trPr>
          <w:divId w:val="99223499"/>
        </w:trPr>
        <w:tc>
          <w:tcPr>
            <w:tcW w:w="2610" w:type="dxa"/>
            <w:hideMark/>
          </w:tcPr>
          <w:p w14:paraId="1E9F74A2" w14:textId="77777777" w:rsidR="00106BF1" w:rsidRPr="00250789" w:rsidRDefault="00106BF1" w:rsidP="006A1F80">
            <w:pPr>
              <w:pStyle w:val="NormalWeb"/>
              <w:jc w:val="left"/>
              <w:rPr>
                <w:sz w:val="18"/>
                <w:szCs w:val="18"/>
                <w:lang w:val="en-GB"/>
              </w:rPr>
            </w:pPr>
            <w:r w:rsidRPr="00250789">
              <w:rPr>
                <w:sz w:val="18"/>
                <w:szCs w:val="18"/>
                <w:lang w:val="en-GB"/>
              </w:rPr>
              <w:t>Median age (interquartile range)</w:t>
            </w:r>
          </w:p>
        </w:tc>
        <w:tc>
          <w:tcPr>
            <w:tcW w:w="2610" w:type="dxa"/>
            <w:hideMark/>
          </w:tcPr>
          <w:p w14:paraId="664A3D0C" w14:textId="77777777" w:rsidR="00106BF1" w:rsidRPr="00250789" w:rsidRDefault="00106BF1" w:rsidP="006A1F80">
            <w:pPr>
              <w:pStyle w:val="NormalWeb"/>
              <w:rPr>
                <w:sz w:val="18"/>
                <w:szCs w:val="18"/>
                <w:lang w:val="en-GB"/>
              </w:rPr>
            </w:pPr>
            <w:r w:rsidRPr="00250789">
              <w:rPr>
                <w:sz w:val="18"/>
                <w:szCs w:val="18"/>
                <w:lang w:val="en-GB"/>
              </w:rPr>
              <w:t>35 (16–56)</w:t>
            </w:r>
          </w:p>
        </w:tc>
        <w:tc>
          <w:tcPr>
            <w:tcW w:w="2610" w:type="dxa"/>
            <w:hideMark/>
          </w:tcPr>
          <w:p w14:paraId="4914D92A" w14:textId="77777777" w:rsidR="00106BF1" w:rsidRPr="00250789" w:rsidRDefault="00106BF1" w:rsidP="006A1F80">
            <w:pPr>
              <w:pStyle w:val="NormalWeb"/>
              <w:rPr>
                <w:sz w:val="18"/>
                <w:szCs w:val="18"/>
                <w:lang w:val="en-GB"/>
              </w:rPr>
            </w:pPr>
            <w:r w:rsidRPr="00250789">
              <w:rPr>
                <w:sz w:val="18"/>
                <w:szCs w:val="18"/>
                <w:lang w:val="en-GB"/>
              </w:rPr>
              <w:t>33 (15–53)</w:t>
            </w:r>
          </w:p>
        </w:tc>
        <w:tc>
          <w:tcPr>
            <w:tcW w:w="2610" w:type="dxa"/>
            <w:hideMark/>
          </w:tcPr>
          <w:p w14:paraId="3FDBF800" w14:textId="77777777" w:rsidR="00106BF1" w:rsidRPr="00250789" w:rsidRDefault="00106BF1" w:rsidP="006A1F80">
            <w:pPr>
              <w:pStyle w:val="NormalWeb"/>
              <w:rPr>
                <w:sz w:val="18"/>
                <w:szCs w:val="18"/>
                <w:lang w:val="en-GB"/>
              </w:rPr>
            </w:pPr>
            <w:r w:rsidRPr="00250789">
              <w:rPr>
                <w:sz w:val="18"/>
                <w:szCs w:val="18"/>
                <w:lang w:val="en-GB"/>
              </w:rPr>
              <w:t>0.0001</w:t>
            </w:r>
          </w:p>
        </w:tc>
      </w:tr>
      <w:tr w:rsidR="00106BF1" w:rsidRPr="00250789" w14:paraId="0B871092" w14:textId="77777777" w:rsidTr="00D739F7">
        <w:trPr>
          <w:cnfStyle w:val="000000010000" w:firstRow="0" w:lastRow="0" w:firstColumn="0" w:lastColumn="0" w:oddVBand="0" w:evenVBand="0" w:oddHBand="0" w:evenHBand="1" w:firstRowFirstColumn="0" w:firstRowLastColumn="0" w:lastRowFirstColumn="0" w:lastRowLastColumn="0"/>
          <w:divId w:val="99223499"/>
        </w:trPr>
        <w:tc>
          <w:tcPr>
            <w:tcW w:w="2610" w:type="dxa"/>
            <w:hideMark/>
          </w:tcPr>
          <w:p w14:paraId="6723CA90" w14:textId="77777777" w:rsidR="00106BF1" w:rsidRPr="00250789" w:rsidRDefault="00106BF1" w:rsidP="006A1F80">
            <w:pPr>
              <w:pStyle w:val="NormalWeb"/>
              <w:jc w:val="left"/>
              <w:rPr>
                <w:sz w:val="18"/>
                <w:szCs w:val="18"/>
                <w:lang w:val="en-GB"/>
              </w:rPr>
            </w:pPr>
            <w:r w:rsidRPr="00250789">
              <w:rPr>
                <w:sz w:val="18"/>
                <w:szCs w:val="18"/>
                <w:lang w:val="en-GB"/>
              </w:rPr>
              <w:t>&lt; 40 years old</w:t>
            </w:r>
          </w:p>
        </w:tc>
        <w:tc>
          <w:tcPr>
            <w:tcW w:w="2610" w:type="dxa"/>
            <w:hideMark/>
          </w:tcPr>
          <w:p w14:paraId="631EE07C" w14:textId="77777777" w:rsidR="00106BF1" w:rsidRPr="00250789" w:rsidRDefault="00106BF1" w:rsidP="006A1F80">
            <w:pPr>
              <w:pStyle w:val="NormalWeb"/>
              <w:rPr>
                <w:sz w:val="18"/>
                <w:szCs w:val="18"/>
                <w:lang w:val="en-GB"/>
              </w:rPr>
            </w:pPr>
            <w:r w:rsidRPr="00250789">
              <w:rPr>
                <w:sz w:val="18"/>
                <w:szCs w:val="18"/>
                <w:lang w:val="en-GB"/>
              </w:rPr>
              <w:t>14,114 (56%)</w:t>
            </w:r>
          </w:p>
        </w:tc>
        <w:tc>
          <w:tcPr>
            <w:tcW w:w="2610" w:type="dxa"/>
            <w:hideMark/>
          </w:tcPr>
          <w:p w14:paraId="3296DDA6" w14:textId="77777777" w:rsidR="00106BF1" w:rsidRPr="00250789" w:rsidRDefault="00106BF1" w:rsidP="006A1F80">
            <w:pPr>
              <w:pStyle w:val="NormalWeb"/>
              <w:rPr>
                <w:sz w:val="18"/>
                <w:szCs w:val="18"/>
                <w:lang w:val="en-GB"/>
              </w:rPr>
            </w:pPr>
            <w:r w:rsidRPr="00250789">
              <w:rPr>
                <w:sz w:val="18"/>
                <w:szCs w:val="18"/>
                <w:lang w:val="en-GB"/>
              </w:rPr>
              <w:t>12,099 (58%)</w:t>
            </w:r>
          </w:p>
        </w:tc>
        <w:tc>
          <w:tcPr>
            <w:tcW w:w="2610" w:type="dxa"/>
            <w:hideMark/>
          </w:tcPr>
          <w:p w14:paraId="60C1F2A8" w14:textId="77777777" w:rsidR="00106BF1" w:rsidRPr="00250789" w:rsidRDefault="00106BF1" w:rsidP="006A1F80">
            <w:pPr>
              <w:pStyle w:val="NormalWeb"/>
              <w:rPr>
                <w:sz w:val="18"/>
                <w:szCs w:val="18"/>
                <w:lang w:val="en-GB"/>
              </w:rPr>
            </w:pPr>
            <w:r w:rsidRPr="00250789">
              <w:rPr>
                <w:sz w:val="18"/>
                <w:szCs w:val="18"/>
                <w:lang w:val="en-GB"/>
              </w:rPr>
              <w:t>&lt; 0.0001</w:t>
            </w:r>
          </w:p>
        </w:tc>
      </w:tr>
      <w:tr w:rsidR="00106BF1" w:rsidRPr="00250789" w14:paraId="19B74508" w14:textId="77777777" w:rsidTr="00D739F7">
        <w:trPr>
          <w:divId w:val="99223499"/>
        </w:trPr>
        <w:tc>
          <w:tcPr>
            <w:tcW w:w="2610" w:type="dxa"/>
            <w:hideMark/>
          </w:tcPr>
          <w:p w14:paraId="579355FA" w14:textId="77777777" w:rsidR="00106BF1" w:rsidRPr="00250789" w:rsidRDefault="00106BF1" w:rsidP="006A1F80">
            <w:pPr>
              <w:pStyle w:val="NormalWeb"/>
              <w:jc w:val="left"/>
              <w:rPr>
                <w:sz w:val="18"/>
                <w:szCs w:val="18"/>
                <w:lang w:val="en-GB"/>
              </w:rPr>
            </w:pPr>
            <w:r w:rsidRPr="00250789">
              <w:rPr>
                <w:sz w:val="18"/>
                <w:szCs w:val="18"/>
                <w:lang w:val="en-GB"/>
              </w:rPr>
              <w:t>Female gender</w:t>
            </w:r>
          </w:p>
        </w:tc>
        <w:tc>
          <w:tcPr>
            <w:tcW w:w="2610" w:type="dxa"/>
            <w:hideMark/>
          </w:tcPr>
          <w:p w14:paraId="4A5646B7" w14:textId="77777777" w:rsidR="00106BF1" w:rsidRPr="00250789" w:rsidRDefault="00106BF1" w:rsidP="006A1F80">
            <w:pPr>
              <w:pStyle w:val="NormalWeb"/>
              <w:rPr>
                <w:sz w:val="18"/>
                <w:szCs w:val="18"/>
                <w:lang w:val="en-GB"/>
              </w:rPr>
            </w:pPr>
            <w:r w:rsidRPr="00250789">
              <w:rPr>
                <w:sz w:val="18"/>
                <w:szCs w:val="18"/>
                <w:lang w:val="en-GB"/>
              </w:rPr>
              <w:t>11,250 (45%)</w:t>
            </w:r>
          </w:p>
        </w:tc>
        <w:tc>
          <w:tcPr>
            <w:tcW w:w="2610" w:type="dxa"/>
            <w:hideMark/>
          </w:tcPr>
          <w:p w14:paraId="6AE3ADB9" w14:textId="77777777" w:rsidR="00106BF1" w:rsidRPr="00250789" w:rsidRDefault="00106BF1" w:rsidP="006A1F80">
            <w:pPr>
              <w:pStyle w:val="NormalWeb"/>
              <w:rPr>
                <w:sz w:val="18"/>
                <w:szCs w:val="18"/>
                <w:lang w:val="en-GB"/>
              </w:rPr>
            </w:pPr>
            <w:r w:rsidRPr="00250789">
              <w:rPr>
                <w:sz w:val="18"/>
                <w:szCs w:val="18"/>
                <w:lang w:val="en-GB"/>
              </w:rPr>
              <w:t>9,045 (43%)</w:t>
            </w:r>
          </w:p>
        </w:tc>
        <w:tc>
          <w:tcPr>
            <w:tcW w:w="2610" w:type="dxa"/>
            <w:hideMark/>
          </w:tcPr>
          <w:p w14:paraId="3B8C8AD8" w14:textId="77777777" w:rsidR="00106BF1" w:rsidRPr="00250789" w:rsidRDefault="00106BF1" w:rsidP="006A1F80">
            <w:pPr>
              <w:pStyle w:val="NormalWeb"/>
              <w:rPr>
                <w:sz w:val="18"/>
                <w:szCs w:val="18"/>
                <w:lang w:val="en-GB"/>
              </w:rPr>
            </w:pPr>
            <w:r w:rsidRPr="00250789">
              <w:rPr>
                <w:sz w:val="18"/>
                <w:szCs w:val="18"/>
                <w:lang w:val="en-GB"/>
              </w:rPr>
              <w:t>0.004</w:t>
            </w:r>
          </w:p>
        </w:tc>
      </w:tr>
      <w:tr w:rsidR="00106BF1" w:rsidRPr="00250789" w14:paraId="71AC5AB6" w14:textId="77777777" w:rsidTr="00D739F7">
        <w:trPr>
          <w:cnfStyle w:val="000000010000" w:firstRow="0" w:lastRow="0" w:firstColumn="0" w:lastColumn="0" w:oddVBand="0" w:evenVBand="0" w:oddHBand="0" w:evenHBand="1" w:firstRowFirstColumn="0" w:firstRowLastColumn="0" w:lastRowFirstColumn="0" w:lastRowLastColumn="0"/>
          <w:divId w:val="99223499"/>
        </w:trPr>
        <w:tc>
          <w:tcPr>
            <w:tcW w:w="2610" w:type="dxa"/>
            <w:hideMark/>
          </w:tcPr>
          <w:p w14:paraId="26DFFF1A" w14:textId="77777777" w:rsidR="00106BF1" w:rsidRPr="00250789" w:rsidRDefault="00106BF1" w:rsidP="006A1F80">
            <w:pPr>
              <w:pStyle w:val="NormalWeb"/>
              <w:jc w:val="left"/>
              <w:rPr>
                <w:sz w:val="18"/>
                <w:szCs w:val="18"/>
                <w:lang w:val="en-GB"/>
              </w:rPr>
            </w:pPr>
            <w:r w:rsidRPr="00250789">
              <w:rPr>
                <w:sz w:val="18"/>
                <w:szCs w:val="18"/>
                <w:lang w:val="en-GB"/>
              </w:rPr>
              <w:t>Indigenous Australian</w:t>
            </w:r>
          </w:p>
        </w:tc>
        <w:tc>
          <w:tcPr>
            <w:tcW w:w="2610" w:type="dxa"/>
            <w:hideMark/>
          </w:tcPr>
          <w:p w14:paraId="7A4A4EF3" w14:textId="77777777" w:rsidR="00106BF1" w:rsidRPr="00250789" w:rsidRDefault="00106BF1" w:rsidP="006A1F80">
            <w:pPr>
              <w:pStyle w:val="NormalWeb"/>
              <w:rPr>
                <w:sz w:val="18"/>
                <w:szCs w:val="18"/>
                <w:lang w:val="en-GB"/>
              </w:rPr>
            </w:pPr>
            <w:r w:rsidRPr="00250789">
              <w:rPr>
                <w:sz w:val="18"/>
                <w:szCs w:val="18"/>
                <w:lang w:val="en-GB"/>
              </w:rPr>
              <w:t>9,325 (58%)</w:t>
            </w:r>
          </w:p>
        </w:tc>
        <w:tc>
          <w:tcPr>
            <w:tcW w:w="2610" w:type="dxa"/>
            <w:hideMark/>
          </w:tcPr>
          <w:p w14:paraId="0FC3BD90" w14:textId="77777777" w:rsidR="00106BF1" w:rsidRPr="00250789" w:rsidRDefault="00106BF1" w:rsidP="006A1F80">
            <w:pPr>
              <w:pStyle w:val="NormalWeb"/>
              <w:rPr>
                <w:sz w:val="18"/>
                <w:szCs w:val="18"/>
                <w:lang w:val="en-GB"/>
              </w:rPr>
            </w:pPr>
            <w:r w:rsidRPr="00250789">
              <w:rPr>
                <w:sz w:val="18"/>
                <w:szCs w:val="18"/>
                <w:lang w:val="en-GB"/>
              </w:rPr>
              <w:t>8,449 (43%)</w:t>
            </w:r>
          </w:p>
        </w:tc>
        <w:tc>
          <w:tcPr>
            <w:tcW w:w="2610" w:type="dxa"/>
            <w:hideMark/>
          </w:tcPr>
          <w:p w14:paraId="634BE566" w14:textId="77777777" w:rsidR="00106BF1" w:rsidRPr="00250789" w:rsidRDefault="00106BF1" w:rsidP="006A1F80">
            <w:pPr>
              <w:pStyle w:val="NormalWeb"/>
              <w:rPr>
                <w:sz w:val="18"/>
                <w:szCs w:val="18"/>
                <w:lang w:val="en-GB"/>
              </w:rPr>
            </w:pPr>
            <w:r w:rsidRPr="00250789">
              <w:rPr>
                <w:sz w:val="18"/>
                <w:szCs w:val="18"/>
                <w:lang w:val="en-GB"/>
              </w:rPr>
              <w:t>&lt; 0.0001</w:t>
            </w:r>
          </w:p>
        </w:tc>
      </w:tr>
      <w:tr w:rsidR="00106BF1" w:rsidRPr="00250789" w14:paraId="00144E98" w14:textId="77777777" w:rsidTr="00D739F7">
        <w:trPr>
          <w:divId w:val="99223499"/>
        </w:trPr>
        <w:tc>
          <w:tcPr>
            <w:tcW w:w="2610" w:type="dxa"/>
            <w:hideMark/>
          </w:tcPr>
          <w:p w14:paraId="7C20DE17" w14:textId="77777777" w:rsidR="00106BF1" w:rsidRPr="00250789" w:rsidRDefault="00106BF1" w:rsidP="006A1F80">
            <w:pPr>
              <w:pStyle w:val="NormalWeb"/>
              <w:jc w:val="left"/>
              <w:rPr>
                <w:sz w:val="18"/>
                <w:szCs w:val="18"/>
                <w:lang w:val="en-GB"/>
              </w:rPr>
            </w:pPr>
            <w:r w:rsidRPr="00250789">
              <w:rPr>
                <w:sz w:val="18"/>
                <w:szCs w:val="18"/>
                <w:lang w:val="en-GB"/>
              </w:rPr>
              <w:t>Remote isolate</w:t>
            </w:r>
          </w:p>
        </w:tc>
        <w:tc>
          <w:tcPr>
            <w:tcW w:w="2610" w:type="dxa"/>
            <w:hideMark/>
          </w:tcPr>
          <w:p w14:paraId="13F520CE" w14:textId="77777777" w:rsidR="00106BF1" w:rsidRPr="00250789" w:rsidRDefault="00106BF1" w:rsidP="006A1F80">
            <w:pPr>
              <w:pStyle w:val="NormalWeb"/>
              <w:rPr>
                <w:sz w:val="18"/>
                <w:szCs w:val="18"/>
                <w:lang w:val="en-GB"/>
              </w:rPr>
            </w:pPr>
            <w:r w:rsidRPr="00250789">
              <w:rPr>
                <w:sz w:val="18"/>
                <w:szCs w:val="18"/>
                <w:lang w:val="en-GB"/>
              </w:rPr>
              <w:t>18,588 (73%)</w:t>
            </w:r>
          </w:p>
        </w:tc>
        <w:tc>
          <w:tcPr>
            <w:tcW w:w="2610" w:type="dxa"/>
            <w:hideMark/>
          </w:tcPr>
          <w:p w14:paraId="3DF82978" w14:textId="77777777" w:rsidR="00106BF1" w:rsidRPr="00250789" w:rsidRDefault="00106BF1" w:rsidP="006A1F80">
            <w:pPr>
              <w:pStyle w:val="NormalWeb"/>
              <w:rPr>
                <w:sz w:val="18"/>
                <w:szCs w:val="18"/>
                <w:lang w:val="en-GB"/>
              </w:rPr>
            </w:pPr>
            <w:r w:rsidRPr="00250789">
              <w:rPr>
                <w:sz w:val="18"/>
                <w:szCs w:val="18"/>
                <w:lang w:val="en-GB"/>
              </w:rPr>
              <w:t>13,492 (64%)</w:t>
            </w:r>
          </w:p>
        </w:tc>
        <w:tc>
          <w:tcPr>
            <w:tcW w:w="2610" w:type="dxa"/>
            <w:hideMark/>
          </w:tcPr>
          <w:p w14:paraId="745BC7FE" w14:textId="77777777" w:rsidR="00106BF1" w:rsidRPr="00250789" w:rsidRDefault="00106BF1" w:rsidP="006A1F80">
            <w:pPr>
              <w:pStyle w:val="NormalWeb"/>
              <w:rPr>
                <w:sz w:val="18"/>
                <w:szCs w:val="18"/>
                <w:lang w:val="en-GB"/>
              </w:rPr>
            </w:pPr>
            <w:r w:rsidRPr="00250789">
              <w:rPr>
                <w:sz w:val="18"/>
                <w:szCs w:val="18"/>
                <w:lang w:val="en-GB"/>
              </w:rPr>
              <w:t>&lt; 0.0001</w:t>
            </w:r>
          </w:p>
        </w:tc>
      </w:tr>
    </w:tbl>
    <w:p w14:paraId="2617BF50" w14:textId="77777777" w:rsidR="00106BF1" w:rsidRDefault="00106BF1" w:rsidP="00106BF1">
      <w:pPr>
        <w:pStyle w:val="CDIfootnotes"/>
        <w:divId w:val="99223499"/>
        <w:rPr>
          <w:lang w:val="en-GB"/>
        </w:rPr>
      </w:pPr>
      <w:proofErr w:type="spellStart"/>
      <w:r>
        <w:rPr>
          <w:lang w:val="en-GB"/>
        </w:rPr>
        <w:t>a</w:t>
      </w:r>
      <w:proofErr w:type="spellEnd"/>
      <w:r>
        <w:rPr>
          <w:lang w:val="en-GB"/>
        </w:rPr>
        <w:tab/>
        <w:t>Groups compared using the Chi-squared test.</w:t>
      </w:r>
    </w:p>
    <w:p w14:paraId="78132C56" w14:textId="77777777" w:rsidR="00106BF1" w:rsidRDefault="00106BF1" w:rsidP="00106BF1">
      <w:pPr>
        <w:pStyle w:val="CDIfootnotes"/>
        <w:divId w:val="99223499"/>
        <w:rPr>
          <w:lang w:val="en-GB"/>
        </w:rPr>
      </w:pPr>
      <w:r>
        <w:rPr>
          <w:lang w:val="en-GB"/>
        </w:rPr>
        <w:t>b</w:t>
      </w:r>
      <w:r>
        <w:rPr>
          <w:lang w:val="en-GB"/>
        </w:rPr>
        <w:tab/>
        <w:t xml:space="preserve">Methicillin-sensitive </w:t>
      </w:r>
      <w:r w:rsidRPr="00316F27">
        <w:rPr>
          <w:i/>
          <w:iCs/>
          <w:lang w:val="en-GB"/>
        </w:rPr>
        <w:t>S. aureus</w:t>
      </w:r>
      <w:r>
        <w:rPr>
          <w:lang w:val="en-GB"/>
        </w:rPr>
        <w:t>.</w:t>
      </w:r>
    </w:p>
    <w:p w14:paraId="6681C706" w14:textId="5B4D09B7" w:rsidR="008B5348" w:rsidRPr="001C600B" w:rsidRDefault="00106BF1" w:rsidP="001C600B">
      <w:pPr>
        <w:pStyle w:val="CDIfootnotes"/>
        <w:divId w:val="99223499"/>
        <w:rPr>
          <w:rStyle w:val="A10"/>
          <w:rFonts w:cstheme="minorBidi"/>
          <w:color w:val="auto"/>
          <w:sz w:val="18"/>
          <w:lang w:val="en-GB"/>
        </w:rPr>
      </w:pPr>
      <w:r>
        <w:rPr>
          <w:lang w:val="en-GB"/>
        </w:rPr>
        <w:t>c</w:t>
      </w:r>
      <w:r>
        <w:rPr>
          <w:lang w:val="en-GB"/>
        </w:rPr>
        <w:tab/>
        <w:t xml:space="preserve">Methicillin-resistant </w:t>
      </w:r>
      <w:r w:rsidRPr="00316F27">
        <w:rPr>
          <w:i/>
          <w:iCs/>
          <w:lang w:val="en-GB"/>
        </w:rPr>
        <w:t>S. aureus</w:t>
      </w:r>
      <w:r>
        <w:rPr>
          <w:lang w:val="en-GB"/>
        </w:rPr>
        <w:t>.</w:t>
      </w:r>
    </w:p>
    <w:p w14:paraId="1BBD215A" w14:textId="77777777" w:rsidR="008B5348" w:rsidRDefault="008B5348">
      <w:pPr>
        <w:rPr>
          <w:rStyle w:val="A10"/>
        </w:rPr>
      </w:pPr>
      <w:r>
        <w:rPr>
          <w:rStyle w:val="A10"/>
        </w:rPr>
        <w:br w:type="page"/>
      </w:r>
    </w:p>
    <w:p w14:paraId="41B529F3" w14:textId="77777777" w:rsidR="008B5348" w:rsidRDefault="008B5348">
      <w:pPr>
        <w:rPr>
          <w:rStyle w:val="A10"/>
        </w:rPr>
        <w:sectPr w:rsidR="008B5348"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5E17283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96EB71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77404BD" w14:textId="77777777" w:rsidR="000A5F42" w:rsidRPr="000606CC" w:rsidRDefault="000A5F42" w:rsidP="000A5F42">
      <w:pPr>
        <w:pStyle w:val="NoSpacing"/>
        <w:rPr>
          <w:rStyle w:val="URI"/>
          <w:rFonts w:cstheme="minorHAnsi"/>
          <w:sz w:val="20"/>
          <w:szCs w:val="18"/>
        </w:rPr>
      </w:pPr>
    </w:p>
    <w:p w14:paraId="68E6B6C0" w14:textId="54C01B8E"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w:t>
      </w:r>
      <w:r w:rsidR="00BE0802">
        <w:rPr>
          <w:rStyle w:val="Strong"/>
          <w:rFonts w:cs="Calibri"/>
          <w:b w:val="0"/>
          <w:bCs w:val="0"/>
          <w:sz w:val="20"/>
          <w:szCs w:val="18"/>
        </w:rPr>
        <w:t>Office of Health Protection</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5FDD9C2" w14:textId="77777777" w:rsidR="000A5F42" w:rsidRPr="000606CC" w:rsidRDefault="000A5F42" w:rsidP="000A5F42">
      <w:pPr>
        <w:pStyle w:val="NoSpacing"/>
        <w:rPr>
          <w:rStyle w:val="Strong"/>
          <w:rFonts w:cstheme="minorHAnsi"/>
          <w:sz w:val="20"/>
          <w:szCs w:val="18"/>
        </w:rPr>
      </w:pPr>
    </w:p>
    <w:p w14:paraId="2697EAE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2D1B6A7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FD0738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AECFE80" w14:textId="16F07B71"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911D6" w:rsidRPr="00C911D6">
        <w:rPr>
          <w:rFonts w:cstheme="minorHAnsi"/>
          <w:sz w:val="20"/>
          <w:szCs w:val="18"/>
        </w:rPr>
        <w:t xml:space="preserve">David </w:t>
      </w:r>
      <w:proofErr w:type="spellStart"/>
      <w:r w:rsidR="00C911D6" w:rsidRPr="00C911D6">
        <w:rPr>
          <w:rFonts w:cstheme="minorHAnsi"/>
          <w:sz w:val="20"/>
          <w:szCs w:val="18"/>
        </w:rPr>
        <w:t>Durrheim</w:t>
      </w:r>
      <w:proofErr w:type="spellEnd"/>
      <w:r w:rsidR="00C911D6" w:rsidRPr="00C911D6">
        <w:rPr>
          <w:rFonts w:cstheme="minorHAnsi"/>
          <w:sz w:val="20"/>
          <w:szCs w:val="18"/>
        </w:rPr>
        <w:t xml:space="preserve">, Mark Ferson, Clare </w:t>
      </w:r>
      <w:proofErr w:type="spellStart"/>
      <w:r w:rsidR="00C911D6" w:rsidRPr="00C911D6">
        <w:rPr>
          <w:rFonts w:cstheme="minorHAnsi"/>
          <w:sz w:val="20"/>
          <w:szCs w:val="18"/>
        </w:rPr>
        <w:t>Huppatz</w:t>
      </w:r>
      <w:proofErr w:type="spellEnd"/>
      <w:r w:rsidR="00C911D6" w:rsidRPr="00C911D6">
        <w:rPr>
          <w:rFonts w:cstheme="minorHAnsi"/>
          <w:sz w:val="20"/>
          <w:szCs w:val="18"/>
        </w:rPr>
        <w:t>, John Kaldor, Martyn Kirk, Meru Sheel and Steph</w:t>
      </w:r>
      <w:r w:rsidR="00C911D6">
        <w:rPr>
          <w:rFonts w:cstheme="minorHAnsi"/>
          <w:sz w:val="20"/>
          <w:szCs w:val="18"/>
        </w:rPr>
        <w:t> </w:t>
      </w:r>
      <w:r w:rsidR="00C911D6" w:rsidRPr="00C911D6">
        <w:rPr>
          <w:rFonts w:cstheme="minorHAnsi"/>
          <w:sz w:val="20"/>
          <w:szCs w:val="18"/>
        </w:rPr>
        <w:t>Williams</w:t>
      </w:r>
    </w:p>
    <w:p w14:paraId="00EC4307" w14:textId="77777777" w:rsidR="000A5F42" w:rsidRPr="000606CC" w:rsidRDefault="000A5F42" w:rsidP="000A5F42">
      <w:pPr>
        <w:pStyle w:val="NoSpacing"/>
        <w:rPr>
          <w:rStyle w:val="Strong"/>
          <w:rFonts w:cstheme="minorHAnsi"/>
          <w:sz w:val="20"/>
          <w:szCs w:val="18"/>
        </w:rPr>
      </w:pPr>
    </w:p>
    <w:p w14:paraId="02D424CF" w14:textId="1C2D3F4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F94D4B2" w14:textId="77777777" w:rsidR="000A5F42" w:rsidRPr="000606CC" w:rsidRDefault="000A5F42" w:rsidP="000A5F42">
      <w:pPr>
        <w:pStyle w:val="NoSpacing"/>
        <w:rPr>
          <w:rStyle w:val="Strong"/>
          <w:rFonts w:cstheme="minorHAnsi"/>
          <w:sz w:val="20"/>
          <w:szCs w:val="18"/>
        </w:rPr>
      </w:pPr>
    </w:p>
    <w:p w14:paraId="2BB0782F" w14:textId="6B1D915B"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2BFF6127" w14:textId="77777777" w:rsidR="000A5F42" w:rsidRPr="000606CC" w:rsidRDefault="000A5F42" w:rsidP="000A5F42">
      <w:pPr>
        <w:pStyle w:val="NoSpacing"/>
        <w:rPr>
          <w:rStyle w:val="Strong"/>
          <w:rFonts w:cstheme="minorHAnsi"/>
          <w:sz w:val="20"/>
          <w:szCs w:val="18"/>
        </w:rPr>
      </w:pPr>
    </w:p>
    <w:p w14:paraId="7F3EEE97" w14:textId="38A2E49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C54221C" w14:textId="77777777" w:rsidR="000A5F42" w:rsidRPr="000606CC" w:rsidRDefault="000A5F42" w:rsidP="000A5F42">
      <w:pPr>
        <w:pStyle w:val="NoSpacing"/>
        <w:rPr>
          <w:rStyle w:val="Strong"/>
          <w:rFonts w:cstheme="minorHAnsi"/>
          <w:sz w:val="20"/>
          <w:szCs w:val="18"/>
        </w:rPr>
      </w:pPr>
    </w:p>
    <w:p w14:paraId="32AD6929" w14:textId="7F17933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1A80D55" w14:textId="27E1B38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7143BA3" w14:textId="77777777" w:rsidR="000A5F42" w:rsidRPr="000606CC" w:rsidRDefault="000A5F42" w:rsidP="000A5F42">
      <w:pPr>
        <w:pStyle w:val="NoSpacing"/>
        <w:pBdr>
          <w:bottom w:val="single" w:sz="6" w:space="1" w:color="auto"/>
        </w:pBdr>
        <w:rPr>
          <w:rStyle w:val="Strong"/>
          <w:rFonts w:cstheme="minorHAnsi"/>
          <w:sz w:val="12"/>
          <w:szCs w:val="18"/>
        </w:rPr>
      </w:pPr>
    </w:p>
    <w:p w14:paraId="0E40BA2E" w14:textId="77777777" w:rsidR="000A5F42" w:rsidRPr="000606CC" w:rsidRDefault="000A5F42" w:rsidP="000A5F42">
      <w:pPr>
        <w:pStyle w:val="NoSpacing"/>
        <w:rPr>
          <w:rFonts w:cstheme="minorHAnsi"/>
          <w:sz w:val="20"/>
          <w:szCs w:val="18"/>
        </w:rPr>
      </w:pPr>
    </w:p>
    <w:p w14:paraId="643321A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189E93DB" w14:textId="77777777" w:rsidR="000A5F42" w:rsidRPr="000606CC" w:rsidRDefault="000A5F42" w:rsidP="000A5F42">
      <w:pPr>
        <w:pStyle w:val="NoSpacing"/>
        <w:rPr>
          <w:rFonts w:cstheme="minorHAnsi"/>
          <w:sz w:val="20"/>
          <w:szCs w:val="18"/>
        </w:rPr>
      </w:pPr>
    </w:p>
    <w:p w14:paraId="169AF50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1B6D76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12EDE">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E7327D1" w14:textId="18B17C2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2CB781B" w14:textId="77777777" w:rsidR="000A5F42" w:rsidRPr="000606CC" w:rsidRDefault="000A5F42" w:rsidP="000A5F42">
      <w:pPr>
        <w:pStyle w:val="NoSpacing"/>
        <w:rPr>
          <w:rFonts w:cstheme="minorHAnsi"/>
          <w:sz w:val="20"/>
          <w:szCs w:val="18"/>
        </w:rPr>
      </w:pPr>
    </w:p>
    <w:p w14:paraId="62CB955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72C721C" w14:textId="6CA7139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F2277A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8555FE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E4D85D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F13C61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4A45E6B" w14:textId="77777777" w:rsidR="000A5F42" w:rsidRPr="000606CC" w:rsidRDefault="000A5F42" w:rsidP="000A5F42">
      <w:pPr>
        <w:pStyle w:val="NoSpacing"/>
        <w:rPr>
          <w:rStyle w:val="Strong"/>
          <w:rFonts w:cstheme="minorHAnsi"/>
          <w:sz w:val="20"/>
          <w:szCs w:val="18"/>
        </w:rPr>
      </w:pPr>
    </w:p>
    <w:p w14:paraId="50C6E97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79F755B7" w14:textId="77777777" w:rsidR="000A5F42" w:rsidRPr="000606CC" w:rsidRDefault="000A5F42" w:rsidP="000A5F42">
      <w:pPr>
        <w:pStyle w:val="NoSpacing"/>
        <w:rPr>
          <w:rStyle w:val="Strong"/>
          <w:rFonts w:cstheme="minorHAnsi"/>
          <w:sz w:val="20"/>
          <w:szCs w:val="18"/>
        </w:rPr>
      </w:pPr>
    </w:p>
    <w:p w14:paraId="20A0455E" w14:textId="3C8A747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F91F29A" w14:textId="77777777" w:rsidR="000A5F42" w:rsidRPr="000606CC" w:rsidRDefault="000A5F42" w:rsidP="000A5F42">
      <w:pPr>
        <w:pStyle w:val="NoSpacing"/>
        <w:rPr>
          <w:rStyle w:val="URI"/>
          <w:rFonts w:cstheme="minorHAnsi"/>
          <w:sz w:val="20"/>
          <w:szCs w:val="18"/>
        </w:rPr>
      </w:pPr>
    </w:p>
    <w:p w14:paraId="5D14D469" w14:textId="13CDA97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F337" w14:textId="77777777" w:rsidR="00B12EDE" w:rsidRDefault="00B12EDE" w:rsidP="00E54DBA">
      <w:r>
        <w:separator/>
      </w:r>
    </w:p>
    <w:p w14:paraId="63CD54B4" w14:textId="77777777" w:rsidR="00B12EDE" w:rsidRDefault="00B12EDE"/>
    <w:p w14:paraId="5737616B" w14:textId="77777777" w:rsidR="00B12EDE" w:rsidRDefault="00B12EDE" w:rsidP="008714B0"/>
  </w:endnote>
  <w:endnote w:type="continuationSeparator" w:id="0">
    <w:p w14:paraId="7D1BDA53" w14:textId="77777777" w:rsidR="00B12EDE" w:rsidRDefault="00B12EDE" w:rsidP="00E54DBA">
      <w:r>
        <w:continuationSeparator/>
      </w:r>
    </w:p>
    <w:p w14:paraId="3093A355" w14:textId="77777777" w:rsidR="00B12EDE" w:rsidRDefault="00B12EDE"/>
    <w:p w14:paraId="2AEDC421" w14:textId="77777777" w:rsidR="00B12EDE" w:rsidRDefault="00B12ED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7A8E" w14:textId="582F8A5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83066">
      <w:rPr>
        <w:i/>
        <w:sz w:val="18"/>
      </w:rPr>
      <w:t>Commun</w:t>
    </w:r>
    <w:proofErr w:type="spellEnd"/>
    <w:r w:rsidR="00CE342B" w:rsidRPr="00283066">
      <w:rPr>
        <w:i/>
        <w:sz w:val="18"/>
      </w:rPr>
      <w:t xml:space="preserve"> Dis </w:t>
    </w:r>
    <w:proofErr w:type="spellStart"/>
    <w:r w:rsidR="00CE342B" w:rsidRPr="00283066">
      <w:rPr>
        <w:i/>
        <w:sz w:val="18"/>
      </w:rPr>
      <w:t>Intell</w:t>
    </w:r>
    <w:proofErr w:type="spellEnd"/>
    <w:r w:rsidR="00CE342B" w:rsidRPr="0028306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12EDE">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12EDE">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84B98">
      <w:rPr>
        <w:sz w:val="18"/>
      </w:rPr>
      <w:t>https://doi.org/10.33321/cdi.2023.47.9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84B98">
      <w:rPr>
        <w:sz w:val="18"/>
      </w:rPr>
      <w:t>28/02/2023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DBA6" w14:textId="4037108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83066">
      <w:rPr>
        <w:i/>
        <w:sz w:val="18"/>
      </w:rPr>
      <w:t>Commun</w:t>
    </w:r>
    <w:proofErr w:type="spellEnd"/>
    <w:r w:rsidR="00A164D5" w:rsidRPr="00283066">
      <w:rPr>
        <w:i/>
        <w:sz w:val="18"/>
      </w:rPr>
      <w:t xml:space="preserve"> Dis </w:t>
    </w:r>
    <w:proofErr w:type="spellStart"/>
    <w:r w:rsidR="00A164D5" w:rsidRPr="00283066">
      <w:rPr>
        <w:i/>
        <w:sz w:val="18"/>
      </w:rPr>
      <w:t>Intell</w:t>
    </w:r>
    <w:proofErr w:type="spellEnd"/>
    <w:r w:rsidR="00A164D5" w:rsidRPr="0028306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12EDE">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12EDE">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84B98">
      <w:rPr>
        <w:sz w:val="18"/>
      </w:rPr>
      <w:t>https://doi.org/10.33321/cdi.2023.47.9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84B98">
      <w:rPr>
        <w:sz w:val="18"/>
      </w:rPr>
      <w:t>28/02/2023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C19C" w14:textId="77777777" w:rsidR="00B12EDE" w:rsidRPr="00B91FB5" w:rsidRDefault="00B12EDE" w:rsidP="00B91FB5">
      <w:pPr>
        <w:spacing w:after="0" w:line="240" w:lineRule="auto"/>
        <w:rPr>
          <w:sz w:val="18"/>
          <w:szCs w:val="18"/>
        </w:rPr>
      </w:pPr>
      <w:r w:rsidRPr="00B91FB5">
        <w:rPr>
          <w:sz w:val="18"/>
          <w:szCs w:val="18"/>
        </w:rPr>
        <w:separator/>
      </w:r>
    </w:p>
  </w:footnote>
  <w:footnote w:type="continuationSeparator" w:id="0">
    <w:p w14:paraId="0C849432" w14:textId="77777777" w:rsidR="00B12EDE" w:rsidRDefault="00B12EDE" w:rsidP="00E54DBA">
      <w:r>
        <w:continuationSeparator/>
      </w:r>
    </w:p>
  </w:footnote>
  <w:footnote w:type="continuationNotice" w:id="1">
    <w:p w14:paraId="1567A05C" w14:textId="77777777" w:rsidR="00B12EDE" w:rsidRPr="00224EFF" w:rsidRDefault="00B12EDE" w:rsidP="00224EFF">
      <w:pPr>
        <w:pStyle w:val="Footer"/>
      </w:pPr>
    </w:p>
  </w:footnote>
  <w:footnote w:id="2">
    <w:p w14:paraId="22D1865E" w14:textId="63DEB8F6" w:rsidR="00E55A83" w:rsidRPr="00E55A83" w:rsidRDefault="00E55A83" w:rsidP="00E55A83">
      <w:pPr>
        <w:pStyle w:val="CDIfootnotes"/>
      </w:pPr>
      <w:r w:rsidRPr="00E55A83">
        <w:rPr>
          <w:rStyle w:val="FootnoteReference"/>
          <w:vertAlign w:val="baseline"/>
        </w:rPr>
        <w:footnoteRef/>
      </w:r>
      <w:r>
        <w:tab/>
      </w:r>
      <w:r w:rsidRPr="00E55A83">
        <w:t xml:space="preserve">Please see Appendix A, Table A.1 for a comparison of characteristics of isolates undergoing testing for mupirocin resistance versus those that were not </w:t>
      </w:r>
      <w:proofErr w:type="gramStart"/>
      <w:r w:rsidRPr="00E55A83">
        <w:t>tested</w:t>
      </w:r>
      <w:proofErr w:type="gramEnd"/>
      <w:r w:rsidRPr="00E55A83">
        <w:t>.</w:t>
      </w:r>
    </w:p>
  </w:footnote>
  <w:footnote w:id="3">
    <w:p w14:paraId="35669E06" w14:textId="09263B98" w:rsidR="00E55A83" w:rsidRPr="00E55A83" w:rsidRDefault="00E55A83" w:rsidP="00E55A83">
      <w:pPr>
        <w:pStyle w:val="CDIfootnotes"/>
      </w:pPr>
      <w:r w:rsidRPr="00E55A83">
        <w:rPr>
          <w:rStyle w:val="FootnoteReference"/>
          <w:vertAlign w:val="baseline"/>
        </w:rPr>
        <w:footnoteRef/>
      </w:r>
      <w:r>
        <w:tab/>
      </w:r>
      <w:r w:rsidRPr="00E55A83">
        <w:t>Of the four public laboratories in FNQ, only a single site (Cairns Hospital) has access to automated testing (</w:t>
      </w:r>
      <w:proofErr w:type="spellStart"/>
      <w:r w:rsidRPr="00E55A83">
        <w:t>Vitek</w:t>
      </w:r>
      <w:proofErr w:type="spellEnd"/>
      <w:r w:rsidRPr="00E55A83">
        <w:t xml:space="preserve"> 2). Manual methods for </w:t>
      </w:r>
      <w:proofErr w:type="gramStart"/>
      <w:r w:rsidRPr="00E55A83">
        <w:t>determining</w:t>
      </w:r>
      <w:proofErr w:type="gramEnd"/>
      <w:r w:rsidRPr="00E55A83">
        <w:t xml:space="preserve"> mupirocin resistance are not routine at these peripheral sites. As not all clinical specimens are referred to Cairns, many isolates did not have any mupirocin testing performed. Please see Appendix A, Table A.1 for a comparison of characteristics of isolates that did—or did not—have mupirocin resistance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F857" w14:textId="3F764CE8" w:rsidR="00257484" w:rsidRPr="00A153B6" w:rsidRDefault="000A268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A1B3B">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C1E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0C9D415" wp14:editId="59D9D70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897C2F"/>
    <w:multiLevelType w:val="hybridMultilevel"/>
    <w:tmpl w:val="D4A2C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19228A"/>
    <w:multiLevelType w:val="multilevel"/>
    <w:tmpl w:val="772C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2101F1"/>
    <w:multiLevelType w:val="hybridMultilevel"/>
    <w:tmpl w:val="44B07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FC110E"/>
    <w:multiLevelType w:val="multilevel"/>
    <w:tmpl w:val="CDCA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8"/>
  </w:num>
  <w:num w:numId="6">
    <w:abstractNumId w:val="9"/>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1433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DE"/>
    <w:rsid w:val="00000B5B"/>
    <w:rsid w:val="00001611"/>
    <w:rsid w:val="000104A8"/>
    <w:rsid w:val="0001246E"/>
    <w:rsid w:val="000124B1"/>
    <w:rsid w:val="00016FE6"/>
    <w:rsid w:val="00025565"/>
    <w:rsid w:val="00031064"/>
    <w:rsid w:val="00031692"/>
    <w:rsid w:val="00032531"/>
    <w:rsid w:val="000325A0"/>
    <w:rsid w:val="000471BF"/>
    <w:rsid w:val="00047B68"/>
    <w:rsid w:val="00052600"/>
    <w:rsid w:val="0005643C"/>
    <w:rsid w:val="0006264A"/>
    <w:rsid w:val="00073D77"/>
    <w:rsid w:val="00081655"/>
    <w:rsid w:val="000864E0"/>
    <w:rsid w:val="000969B3"/>
    <w:rsid w:val="000A2689"/>
    <w:rsid w:val="000A5F42"/>
    <w:rsid w:val="000D4B4D"/>
    <w:rsid w:val="00106BF1"/>
    <w:rsid w:val="00113D58"/>
    <w:rsid w:val="001200CB"/>
    <w:rsid w:val="001378A3"/>
    <w:rsid w:val="00155582"/>
    <w:rsid w:val="00161590"/>
    <w:rsid w:val="00171CC0"/>
    <w:rsid w:val="001723AC"/>
    <w:rsid w:val="00175494"/>
    <w:rsid w:val="00175629"/>
    <w:rsid w:val="001830EC"/>
    <w:rsid w:val="00183534"/>
    <w:rsid w:val="001A0072"/>
    <w:rsid w:val="001A4A96"/>
    <w:rsid w:val="001A5D05"/>
    <w:rsid w:val="001A796C"/>
    <w:rsid w:val="001B2614"/>
    <w:rsid w:val="001B37B8"/>
    <w:rsid w:val="001B552F"/>
    <w:rsid w:val="001C0893"/>
    <w:rsid w:val="001C1303"/>
    <w:rsid w:val="001C600B"/>
    <w:rsid w:val="001C70B2"/>
    <w:rsid w:val="001D37C7"/>
    <w:rsid w:val="001D6888"/>
    <w:rsid w:val="001E4E1D"/>
    <w:rsid w:val="00224EFF"/>
    <w:rsid w:val="00226A45"/>
    <w:rsid w:val="002276DC"/>
    <w:rsid w:val="00227E00"/>
    <w:rsid w:val="002307CB"/>
    <w:rsid w:val="00231046"/>
    <w:rsid w:val="002336C2"/>
    <w:rsid w:val="00234F21"/>
    <w:rsid w:val="00242659"/>
    <w:rsid w:val="002428F7"/>
    <w:rsid w:val="0024315F"/>
    <w:rsid w:val="0024631C"/>
    <w:rsid w:val="00250789"/>
    <w:rsid w:val="00252C9A"/>
    <w:rsid w:val="00256309"/>
    <w:rsid w:val="00257484"/>
    <w:rsid w:val="00260636"/>
    <w:rsid w:val="00275C5C"/>
    <w:rsid w:val="00275C78"/>
    <w:rsid w:val="00280594"/>
    <w:rsid w:val="00281EE3"/>
    <w:rsid w:val="00283066"/>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16F27"/>
    <w:rsid w:val="00324F7E"/>
    <w:rsid w:val="003323BC"/>
    <w:rsid w:val="00346D42"/>
    <w:rsid w:val="00346E11"/>
    <w:rsid w:val="003601C0"/>
    <w:rsid w:val="003635F5"/>
    <w:rsid w:val="00372A88"/>
    <w:rsid w:val="00381A0F"/>
    <w:rsid w:val="00383B10"/>
    <w:rsid w:val="003A1B3A"/>
    <w:rsid w:val="003A40F5"/>
    <w:rsid w:val="003B5B8C"/>
    <w:rsid w:val="003C7841"/>
    <w:rsid w:val="003D79B1"/>
    <w:rsid w:val="003E74EE"/>
    <w:rsid w:val="003F0552"/>
    <w:rsid w:val="003F3BC2"/>
    <w:rsid w:val="003F725B"/>
    <w:rsid w:val="00401ED1"/>
    <w:rsid w:val="0040224C"/>
    <w:rsid w:val="00410DDE"/>
    <w:rsid w:val="00413EE1"/>
    <w:rsid w:val="004164BB"/>
    <w:rsid w:val="0042000E"/>
    <w:rsid w:val="00421ECE"/>
    <w:rsid w:val="00422FEB"/>
    <w:rsid w:val="0042435E"/>
    <w:rsid w:val="004315F5"/>
    <w:rsid w:val="00433456"/>
    <w:rsid w:val="00433DFA"/>
    <w:rsid w:val="00435D67"/>
    <w:rsid w:val="00464A58"/>
    <w:rsid w:val="00466857"/>
    <w:rsid w:val="00473D2D"/>
    <w:rsid w:val="00493B3B"/>
    <w:rsid w:val="00496908"/>
    <w:rsid w:val="004A1B3B"/>
    <w:rsid w:val="004A2125"/>
    <w:rsid w:val="004A38F6"/>
    <w:rsid w:val="004B4EB6"/>
    <w:rsid w:val="004C083C"/>
    <w:rsid w:val="004C67C6"/>
    <w:rsid w:val="004D29DE"/>
    <w:rsid w:val="004F03FD"/>
    <w:rsid w:val="00510EAC"/>
    <w:rsid w:val="00515857"/>
    <w:rsid w:val="00542A57"/>
    <w:rsid w:val="00565974"/>
    <w:rsid w:val="005732C0"/>
    <w:rsid w:val="0057336D"/>
    <w:rsid w:val="0057489A"/>
    <w:rsid w:val="00574ACF"/>
    <w:rsid w:val="00581588"/>
    <w:rsid w:val="0058540B"/>
    <w:rsid w:val="00587C87"/>
    <w:rsid w:val="00590B80"/>
    <w:rsid w:val="005A5E49"/>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2D2B"/>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FD9"/>
    <w:rsid w:val="008C0712"/>
    <w:rsid w:val="008C4520"/>
    <w:rsid w:val="008C5F09"/>
    <w:rsid w:val="008D432F"/>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550"/>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2EDE"/>
    <w:rsid w:val="00B132DB"/>
    <w:rsid w:val="00B2391E"/>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802"/>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2408"/>
    <w:rsid w:val="00C838F5"/>
    <w:rsid w:val="00C841C0"/>
    <w:rsid w:val="00C911D6"/>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39F7"/>
    <w:rsid w:val="00D74140"/>
    <w:rsid w:val="00D7689A"/>
    <w:rsid w:val="00D84B98"/>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55A83"/>
    <w:rsid w:val="00E63D7C"/>
    <w:rsid w:val="00E640D5"/>
    <w:rsid w:val="00E66E2E"/>
    <w:rsid w:val="00E67691"/>
    <w:rsid w:val="00E83657"/>
    <w:rsid w:val="00E92237"/>
    <w:rsid w:val="00E951EF"/>
    <w:rsid w:val="00EA3D54"/>
    <w:rsid w:val="00EA56D9"/>
    <w:rsid w:val="00EA5CE3"/>
    <w:rsid w:val="00EB51C1"/>
    <w:rsid w:val="00EB57B3"/>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FDA064"/>
  <w15:docId w15:val="{8CA7AFB7-5D89-4967-9B29-40546AD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3499">
      <w:bodyDiv w:val="1"/>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5</TotalTime>
  <Pages>7</Pages>
  <Words>2563</Words>
  <Characters>16872</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Communicable Diseases Intelligence - The utility of empirical mupirocin for eradication of methicillin-resistant Staphylococcus aureus colonisation in Far North Queensland, Australia</vt:lpstr>
    </vt:vector>
  </TitlesOfParts>
  <Company>Australian Government, Department of Health</Company>
  <LinksUpToDate>false</LinksUpToDate>
  <CharactersWithSpaces>19397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utility of empirical mupirocin for eradication of methicillin-resistant Staphylococcus aureus colonisation in Far North Queensland, Australia</dc:title>
  <dc:subject>A study examining rates of mupirocin resistant Staphylococcus aureus in the Far North Queensland region of Australia. Factors associated with mupirocin resistance were methicillin sensitivity, younger age, rural location, female gender.</dc:subject>
  <dc:creator>Isabel Guthridge, Stuart Campbell, Simon Smith, Josh Hanson</dc:creator>
  <cp:keywords>Mupirocin; Staphylococcus aureus; MRSA; decolonisation; Tropical Australia</cp:keywords>
  <dc:description>© Commonwealth of Australia CC BY-NC-ND ISSN: 2209-6051 (Online)</dc:description>
  <cp:lastModifiedBy>YOUSEFI, Kasra</cp:lastModifiedBy>
  <cp:revision>9</cp:revision>
  <cp:lastPrinted>2018-05-10T02:19:00Z</cp:lastPrinted>
  <dcterms:created xsi:type="dcterms:W3CDTF">2023-01-19T00:38:00Z</dcterms:created>
  <dcterms:modified xsi:type="dcterms:W3CDTF">2023-02-21T23:50:00Z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28/02/2023</vt:lpwstr>
  </property>
  <property fmtid="{D5CDD505-2E9C-101B-9397-08002B2CF9AE}" pid="5" name="DOI">
    <vt:lpwstr>https://doi.org/10.33321/cdi.2023.47.9</vt:lpwstr>
  </property>
</Properties>
</file>