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CA52A" w14:textId="7E5CDF7C"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E242FD">
          <w:t>2023</w:t>
        </w:r>
      </w:fldSimple>
      <w:r w:rsidRPr="00B50D8D">
        <w:t xml:space="preserve">, Volume </w:t>
      </w:r>
      <w:r w:rsidR="009A3AFD">
        <w:fldChar w:fldCharType="begin"/>
      </w:r>
      <w:r w:rsidR="009A3AFD">
        <w:instrText xml:space="preserve"> DOCPROPERTY  Vol  \* MERGEFORMAT </w:instrText>
      </w:r>
      <w:r w:rsidR="009A3AFD">
        <w:fldChar w:fldCharType="separate"/>
      </w:r>
      <w:proofErr w:type="gramStart"/>
      <w:r w:rsidR="00E242FD">
        <w:t>47</w:t>
      </w:r>
      <w:proofErr w:type="gramEnd"/>
      <w:r w:rsidR="009A3AFD">
        <w:fldChar w:fldCharType="end"/>
      </w:r>
    </w:p>
    <w:p w14:paraId="18A93891" w14:textId="74E41E45" w:rsidR="00B50D8D" w:rsidRPr="00B50D8D" w:rsidRDefault="009A3AFD" w:rsidP="00B50D8D">
      <w:pPr>
        <w:pStyle w:val="CDIfootnotes"/>
      </w:pPr>
      <w:fldSimple w:instr=" DOCPROPERTY  DOI  \* MERGEFORMAT ">
        <w:r w:rsidR="00E242FD">
          <w:t>https://doi.org/10.33321/cdi.2023.47.24</w:t>
        </w:r>
      </w:fldSimple>
    </w:p>
    <w:p w14:paraId="2EEBD357" w14:textId="7DAEC6F2" w:rsidR="00B50D8D" w:rsidRPr="00B50D8D" w:rsidRDefault="00B50D8D" w:rsidP="00B50D8D">
      <w:pPr>
        <w:pStyle w:val="CDIfootnotes"/>
      </w:pPr>
      <w:r w:rsidRPr="00B50D8D">
        <w:t xml:space="preserve">Publication date: </w:t>
      </w:r>
      <w:fldSimple w:instr=" DOCPROPERTY  ePubDate  \* MERGEFORMAT ">
        <w:r w:rsidR="00E242FD">
          <w:t>27/4/2023</w:t>
        </w:r>
      </w:fldSimple>
    </w:p>
    <w:p w14:paraId="28178115" w14:textId="5DA43825" w:rsidR="00B50D8D" w:rsidRPr="00B50D8D" w:rsidRDefault="00B50D8D" w:rsidP="00B50D8D">
      <w:pPr>
        <w:pStyle w:val="CDIfootnotes"/>
      </w:pPr>
      <w:r w:rsidRPr="009A3AFD">
        <w:t>http://health.gov.au/cdi</w:t>
      </w:r>
      <w:r w:rsidRPr="00B50D8D">
        <w:t xml:space="preserve"> </w:t>
      </w:r>
    </w:p>
    <w:p w14:paraId="24B5ABC8" w14:textId="77777777" w:rsidR="00920A0B" w:rsidRPr="00775F06" w:rsidRDefault="00920A0B" w:rsidP="00775F06">
      <w:pPr>
        <w:pStyle w:val="Title"/>
        <w:divId w:val="579758760"/>
      </w:pPr>
      <w:r w:rsidRPr="00775F06">
        <w:t xml:space="preserve">Using silent area analysis to inform a COVID-19 public health response in Hunter New England, regional New South Wales </w:t>
      </w:r>
    </w:p>
    <w:p w14:paraId="688BEC2C" w14:textId="77777777" w:rsidR="00920A0B" w:rsidRDefault="00920A0B" w:rsidP="00920A0B">
      <w:pPr>
        <w:divId w:val="579758760"/>
      </w:pPr>
      <w:r>
        <w:t xml:space="preserve">Michelle Butler, Benjamin Elton, David </w:t>
      </w:r>
      <w:proofErr w:type="spellStart"/>
      <w:r>
        <w:t>Durrheim</w:t>
      </w:r>
      <w:proofErr w:type="spellEnd"/>
      <w:r>
        <w:t xml:space="preserve"> </w:t>
      </w:r>
    </w:p>
    <w:p w14:paraId="5AF04FFD" w14:textId="77777777" w:rsidR="00920A0B" w:rsidRPr="00920A0B" w:rsidRDefault="00920A0B" w:rsidP="00920A0B">
      <w:pPr>
        <w:pStyle w:val="Heading1"/>
        <w:divId w:val="579758760"/>
      </w:pPr>
      <w:r w:rsidRPr="00920A0B">
        <w:t xml:space="preserve">Abstract </w:t>
      </w:r>
    </w:p>
    <w:p w14:paraId="50398E5A" w14:textId="77777777" w:rsidR="00920A0B" w:rsidRDefault="00920A0B" w:rsidP="00920A0B">
      <w:pPr>
        <w:divId w:val="579758760"/>
      </w:pPr>
      <w:r>
        <w:t xml:space="preserve">In 2020 and 2021, in the context of nationwide efforts to suppress SARS CoV-2 virus transmission while awaiting a vaccine, public health teams </w:t>
      </w:r>
      <w:proofErr w:type="gramStart"/>
      <w:r>
        <w:t>were responsible for</w:t>
      </w:r>
      <w:proofErr w:type="gramEnd"/>
      <w:r>
        <w:t xml:space="preserve"> finding and isolating all cases and quarantining their contacts. The success of this strategy required </w:t>
      </w:r>
      <w:proofErr w:type="gramStart"/>
      <w:r>
        <w:t>very high</w:t>
      </w:r>
      <w:proofErr w:type="gramEnd"/>
      <w:r>
        <w:t xml:space="preserve"> case ascertainment and thus, by inference, ready access to PCR testing, even in large rural areas such as Hunter New England in New South Wales. </w:t>
      </w:r>
    </w:p>
    <w:p w14:paraId="4B16ECAF" w14:textId="77777777" w:rsidR="00920A0B" w:rsidRDefault="00920A0B" w:rsidP="00920A0B">
      <w:pPr>
        <w:divId w:val="579758760"/>
      </w:pPr>
      <w:r>
        <w:t xml:space="preserve">‘Silent area’ analysis entailed the scheduled regular comparison of case and testing rates at local-government-area resolution against larger area and state-wide rates. This analysis provided an easily understood metric for </w:t>
      </w:r>
      <w:proofErr w:type="gramStart"/>
      <w:r>
        <w:t>identifying</w:t>
      </w:r>
      <w:proofErr w:type="gramEnd"/>
      <w:r>
        <w:t xml:space="preserve"> areas with lower testing rates, and for direction of surging of local testing capacity in such areas, by the local health district in partnership with public health services and private laboratory services. Complementary intensive community messaging was also </w:t>
      </w:r>
      <w:proofErr w:type="gramStart"/>
      <w:r>
        <w:t>utilised</w:t>
      </w:r>
      <w:proofErr w:type="gramEnd"/>
      <w:r>
        <w:t xml:space="preserve"> to promote increased testing in identified areas. </w:t>
      </w:r>
    </w:p>
    <w:p w14:paraId="4982D52F" w14:textId="77777777" w:rsidR="00920A0B" w:rsidRDefault="00920A0B" w:rsidP="00920A0B">
      <w:pPr>
        <w:divId w:val="579758760"/>
      </w:pPr>
      <w:r>
        <w:t xml:space="preserve">Keywords: Silent areas; SARS CoV-2; COVID-19; population; testing rates </w:t>
      </w:r>
    </w:p>
    <w:p w14:paraId="3B393D39" w14:textId="77777777" w:rsidR="00920A0B" w:rsidRPr="00920A0B" w:rsidRDefault="00920A0B" w:rsidP="00920A0B">
      <w:pPr>
        <w:pStyle w:val="Heading1"/>
        <w:divId w:val="579758760"/>
      </w:pPr>
      <w:r w:rsidRPr="00920A0B">
        <w:t xml:space="preserve">Background </w:t>
      </w:r>
    </w:p>
    <w:p w14:paraId="1DEE82AF" w14:textId="77777777" w:rsidR="00920A0B" w:rsidRDefault="00920A0B" w:rsidP="00920A0B">
      <w:pPr>
        <w:divId w:val="579758760"/>
      </w:pPr>
      <w:r>
        <w:t xml:space="preserve">Hunter New England (HNE) is one of 15 health districts in New South Wales (NSW). It serves a regional/rural population of close to 950,000 people across 132,000 square kilometres. Almost seven percent of the population identify as Aboriginal or Torres Strait Islander and 18% of the population were born overseas. The local health district (LHD) encompasses </w:t>
      </w:r>
      <w:proofErr w:type="gramStart"/>
      <w:r>
        <w:t>25</w:t>
      </w:r>
      <w:proofErr w:type="gramEnd"/>
      <w:r>
        <w:t xml:space="preserve"> local government areas (LGAs) including the ‘major city’ and ‘inner regional’ areas of Newcastle and Lake Macquarie (Figure 1). </w:t>
      </w:r>
    </w:p>
    <w:p w14:paraId="303ADAC0" w14:textId="77777777" w:rsidR="00647502" w:rsidRDefault="00647502">
      <w:r>
        <w:br w:type="page"/>
      </w:r>
    </w:p>
    <w:p w14:paraId="5CE6D5EF" w14:textId="77777777" w:rsidR="00647502" w:rsidRPr="007B2B6B" w:rsidRDefault="00647502" w:rsidP="00647502">
      <w:pPr>
        <w:pStyle w:val="CDIFigures"/>
        <w:divId w:val="579758760"/>
      </w:pPr>
      <w:r w:rsidRPr="007B2B6B">
        <w:rPr>
          <w:rStyle w:val="Strong"/>
          <w:b/>
          <w:bCs w:val="0"/>
        </w:rPr>
        <w:lastRenderedPageBreak/>
        <w:t>Figure 1: The location of the Hunter New England Local Health District (HNELHD) within New South Wales</w:t>
      </w:r>
    </w:p>
    <w:p w14:paraId="1EAA1807" w14:textId="77777777" w:rsidR="00647502" w:rsidRDefault="00647502" w:rsidP="00647502">
      <w:pPr>
        <w:divId w:val="579758760"/>
        <w:rPr>
          <w:rFonts w:eastAsia="Times New Roman"/>
          <w:lang w:val="en-GB"/>
        </w:rPr>
      </w:pPr>
      <w:r>
        <w:rPr>
          <w:rFonts w:eastAsia="Times New Roman"/>
          <w:noProof/>
          <w:lang w:val="en-GB"/>
        </w:rPr>
        <w:drawing>
          <wp:inline distT="0" distB="0" distL="0" distR="0" wp14:anchorId="7E689516" wp14:editId="494C8F47">
            <wp:extent cx="2523744" cy="1879736"/>
            <wp:effectExtent l="0" t="0" r="0" b="6350"/>
            <wp:docPr id="4" name="Picture 4" descr="Figure 1 shows the area of Hunter New England local health district relative to the rest of NSW. It covers the coastline from Newcastle to Forster and as a band all the way up to the Queensland border. There is a section above Forster to the border that is a different local health district. The HNE local health district covers 132,000 square kilome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the area of Hunter New England local health district relative to the rest of NSW. It covers the coastline from Newcastle to Forster and as a band all the way up to the Queensland border. There is a section above Forster to the border that is a different local health district. The HNE local health district covers 132,000 square kilometre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559725" cy="1906535"/>
                    </a:xfrm>
                    <a:prstGeom prst="rect">
                      <a:avLst/>
                    </a:prstGeom>
                  </pic:spPr>
                </pic:pic>
              </a:graphicData>
            </a:graphic>
          </wp:inline>
        </w:drawing>
      </w:r>
    </w:p>
    <w:p w14:paraId="182E3D04" w14:textId="40E77960" w:rsidR="005F4C66" w:rsidRDefault="005F4C66" w:rsidP="00920A0B">
      <w:pPr>
        <w:divId w:val="579758760"/>
      </w:pPr>
      <w:r>
        <w:rPr>
          <w:rFonts w:eastAsia="Times New Roman"/>
          <w:noProof/>
          <w:lang w:val="en-GB"/>
        </w:rPr>
        <w:drawing>
          <wp:inline distT="0" distB="0" distL="0" distR="0" wp14:anchorId="0B283730" wp14:editId="19217C53">
            <wp:extent cx="6386169" cy="6679918"/>
            <wp:effectExtent l="0" t="0" r="0" b="6985"/>
            <wp:docPr id="5" name="Picture 5" descr="Figure 1 shows the area of Hunter New England local health district relative to the rest of NSW. It covers the coastline from Newcastle to Forster and as a band all the way up to the Queensland border. There is a section above Forster to the border that is a different local health district. The HNE local health district covers 132,000 square kilome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the area of Hunter New England local health district relative to the rest of NSW. It covers the coastline from Newcastle to Forster and as a band all the way up to the Queensland border. There is a section above Forster to the border that is a different local health district. The HNE local health district covers 132,000 square kilometres."/>
                    <pic:cNvPicPr>
                      <a:picLocks noChangeAspect="1" noChangeArrowheads="1"/>
                    </pic:cNvPicPr>
                  </pic:nvPicPr>
                  <pic:blipFill rotWithShape="1">
                    <a:blip r:embed="rId10">
                      <a:extLst>
                        <a:ext uri="{28A0092B-C50C-407E-A947-70E740481C1C}">
                          <a14:useLocalDpi xmlns:a14="http://schemas.microsoft.com/office/drawing/2010/main" val="0"/>
                        </a:ext>
                      </a:extLst>
                    </a:blip>
                    <a:srcRect l="60617" b="44693"/>
                    <a:stretch>
                      <a:fillRect/>
                    </a:stretch>
                  </pic:blipFill>
                  <pic:spPr bwMode="auto">
                    <a:xfrm>
                      <a:off x="0" y="0"/>
                      <a:ext cx="6408585" cy="6703365"/>
                    </a:xfrm>
                    <a:prstGeom prst="rect">
                      <a:avLst/>
                    </a:prstGeom>
                    <a:ln>
                      <a:noFill/>
                    </a:ln>
                    <a:extLst>
                      <a:ext uri="{53640926-AAD7-44D8-BBD7-CCE9431645EC}">
                        <a14:shadowObscured xmlns:a14="http://schemas.microsoft.com/office/drawing/2010/main"/>
                      </a:ext>
                    </a:extLst>
                  </pic:spPr>
                </pic:pic>
              </a:graphicData>
            </a:graphic>
          </wp:inline>
        </w:drawing>
      </w:r>
    </w:p>
    <w:p w14:paraId="62183848" w14:textId="0662F00A" w:rsidR="00920A0B" w:rsidRDefault="00920A0B" w:rsidP="00920A0B">
      <w:pPr>
        <w:divId w:val="579758760"/>
      </w:pPr>
      <w:r>
        <w:lastRenderedPageBreak/>
        <w:t xml:space="preserve">The first HNE coronavirus disease 2019 (COVID-19) case was </w:t>
      </w:r>
      <w:proofErr w:type="gramStart"/>
      <w:r>
        <w:t>identified</w:t>
      </w:r>
      <w:proofErr w:type="gramEnd"/>
      <w:r>
        <w:t xml:space="preserve"> on 6 March 2020. The case infected </w:t>
      </w:r>
      <w:proofErr w:type="gramStart"/>
      <w:r>
        <w:t>a number of</w:t>
      </w:r>
      <w:proofErr w:type="gramEnd"/>
      <w:r>
        <w:t xml:space="preserve"> their family members whose places of residence were spread between two LGAs: the Mid Coast LGA (coastal but classified as outer regional/remote) and Newcastle LGA (coastal but classified as inner regional) (Figure 1). It was immediately apparent that this disease would not only be focused </w:t>
      </w:r>
      <w:proofErr w:type="gramStart"/>
      <w:r>
        <w:t>in</w:t>
      </w:r>
      <w:proofErr w:type="gramEnd"/>
      <w:r>
        <w:t xml:space="preserve"> population-dense metropolitan areas. </w:t>
      </w:r>
      <w:r w:rsidR="005F4C66">
        <w:t xml:space="preserve"> </w:t>
      </w:r>
    </w:p>
    <w:p w14:paraId="799C66A5" w14:textId="23FBA36B" w:rsidR="00647502" w:rsidRDefault="00920A0B" w:rsidP="005F4C66">
      <w:pPr>
        <w:divId w:val="579758760"/>
      </w:pPr>
      <w:r>
        <w:t xml:space="preserve">Of the first </w:t>
      </w:r>
      <w:proofErr w:type="gramStart"/>
      <w:r>
        <w:t>30</w:t>
      </w:r>
      <w:proofErr w:type="gramEnd"/>
      <w:r>
        <w:t xml:space="preserve"> cases identified in HNE, 14 were in Lake Macquarie and Newcastle LGAs (inner regional) with the other 16 spread across five LGAs that were classified as outer regional or rural (Figure 2). These regional and rural LGAs are large expanses of land with </w:t>
      </w:r>
      <w:proofErr w:type="gramStart"/>
      <w:r>
        <w:t>relatively small</w:t>
      </w:r>
      <w:proofErr w:type="gramEnd"/>
      <w:r>
        <w:t xml:space="preserve"> populations. They </w:t>
      </w:r>
      <w:proofErr w:type="gramStart"/>
      <w:r>
        <w:t>are often serviced</w:t>
      </w:r>
      <w:proofErr w:type="gramEnd"/>
      <w:r>
        <w:t xml:space="preserve"> by community health services and multipurpose services rather than hospitals. </w:t>
      </w:r>
    </w:p>
    <w:p w14:paraId="001AC8AC" w14:textId="77777777" w:rsidR="00647502" w:rsidRPr="007B2B6B" w:rsidRDefault="00647502" w:rsidP="00647502">
      <w:pPr>
        <w:pStyle w:val="CDIFigures"/>
        <w:divId w:val="579758760"/>
      </w:pPr>
      <w:r w:rsidRPr="007B2B6B">
        <w:rPr>
          <w:rStyle w:val="Strong"/>
          <w:b/>
          <w:bCs w:val="0"/>
        </w:rPr>
        <w:t xml:space="preserve">Figure 2: Locations of the first </w:t>
      </w:r>
      <w:proofErr w:type="gramStart"/>
      <w:r w:rsidRPr="007B2B6B">
        <w:rPr>
          <w:rStyle w:val="Strong"/>
          <w:b/>
          <w:bCs w:val="0"/>
        </w:rPr>
        <w:t>30</w:t>
      </w:r>
      <w:proofErr w:type="gramEnd"/>
      <w:r w:rsidRPr="007B2B6B">
        <w:rPr>
          <w:rStyle w:val="Strong"/>
          <w:b/>
          <w:bCs w:val="0"/>
        </w:rPr>
        <w:t xml:space="preserve"> cases of COVID-19 in HNELHD based on local government area (LGA)</w:t>
      </w:r>
    </w:p>
    <w:p w14:paraId="1E91245C" w14:textId="77777777" w:rsidR="00647502" w:rsidRDefault="00647502" w:rsidP="00775F06">
      <w:pPr>
        <w:jc w:val="center"/>
        <w:divId w:val="579758760"/>
        <w:rPr>
          <w:rFonts w:eastAsia="Times New Roman"/>
          <w:lang w:val="en-GB"/>
        </w:rPr>
      </w:pPr>
      <w:r>
        <w:rPr>
          <w:rFonts w:eastAsia="Times New Roman"/>
          <w:noProof/>
          <w:lang w:val="en-GB"/>
        </w:rPr>
        <w:drawing>
          <wp:inline distT="0" distB="0" distL="0" distR="0" wp14:anchorId="412CA7E7" wp14:editId="34AB3459">
            <wp:extent cx="4928821" cy="5917997"/>
            <wp:effectExtent l="0" t="0" r="5715" b="6985"/>
            <wp:docPr id="2" name="Picture 2" descr="Figure 2 shows a map of Hunter New England local health district itself with the 25 LGA borders shown on the map, and with the first 30 case locations (at LGA level) identified by stippled green shading in regional LGAs towards the south and east within HNELHD. The figure also highlights, with red striped shading, two remote LGAs towards the north-east within HNELHD, which also saw COVID-19 cases within two weeks of the first HNE case detec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shows a map of Hunter New England local health district itself with the 25 LGA borders shown on the map, and with the first 30 case locations (at LGA level) identified by stippled green shading in regional LGAs towards the south and east within HNELHD. The figure also highlights, with red striped shading, two remote LGAs towards the north-east within HNELHD, which also saw COVID-19 cases within two weeks of the first HNE case detection.&#10;"/>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946080" cy="5938720"/>
                    </a:xfrm>
                    <a:prstGeom prst="rect">
                      <a:avLst/>
                    </a:prstGeom>
                  </pic:spPr>
                </pic:pic>
              </a:graphicData>
            </a:graphic>
          </wp:inline>
        </w:drawing>
      </w:r>
    </w:p>
    <w:p w14:paraId="40B2C62A" w14:textId="77777777" w:rsidR="00647502" w:rsidRDefault="00647502">
      <w:r>
        <w:br w:type="page"/>
      </w:r>
    </w:p>
    <w:p w14:paraId="2695F1EF" w14:textId="2363A4B7" w:rsidR="00920A0B" w:rsidRDefault="00920A0B" w:rsidP="00920A0B">
      <w:pPr>
        <w:divId w:val="579758760"/>
      </w:pPr>
      <w:r>
        <w:lastRenderedPageBreak/>
        <w:t xml:space="preserve">By 17 March 2020, within two weeks of the first HNE case detection, COVID-19 had reached the most northern rural LGAs (Tenterfield and Glen Innes Severn; Figure 2). </w:t>
      </w:r>
    </w:p>
    <w:p w14:paraId="616F357D" w14:textId="77777777" w:rsidR="00920A0B" w:rsidRDefault="00920A0B" w:rsidP="00920A0B">
      <w:pPr>
        <w:divId w:val="579758760"/>
      </w:pPr>
      <w:r>
        <w:t xml:space="preserve">Due to the </w:t>
      </w:r>
      <w:proofErr w:type="gramStart"/>
      <w:r>
        <w:t>large size</w:t>
      </w:r>
      <w:proofErr w:type="gramEnd"/>
      <w:r>
        <w:t xml:space="preserve"> of HNELHD and the distribution of existing health services, access to testing and treatment for COVID-19 was going to prove difficult in outer regional, rural and remote areas; as such, careful and constant surveillance of these areas was needed so resources could be moved and increased in the areas that needed them most. </w:t>
      </w:r>
    </w:p>
    <w:p w14:paraId="0263EA2F" w14:textId="77777777" w:rsidR="00920A0B" w:rsidRDefault="00920A0B" w:rsidP="00920A0B">
      <w:pPr>
        <w:divId w:val="579758760"/>
      </w:pPr>
      <w:r>
        <w:t>Team members from HNE have previously contributed to enhancing acute flaccid paralysis (AFP) surveillance in Australia, a backbone to poliomyelitis surveillance. This entailed applying the World Health Organization (WHO) AFP detection rate threshold at LGA level across Australia to identify areas that were ‘silent’ for AFP detection.</w:t>
      </w:r>
      <w:r>
        <w:rPr>
          <w:vertAlign w:val="superscript"/>
        </w:rPr>
        <w:t>1</w:t>
      </w:r>
      <w:r>
        <w:t xml:space="preserve"> It was thought that the same principle might be applied to COVID-19 surveillance and detection, as with the focus on attempting to eliminate/maximally suppress COVID-19 in NSW, it was imperative that all cases were identified early so they could be isolated and their contacts quarantined. </w:t>
      </w:r>
    </w:p>
    <w:p w14:paraId="4E1BC485" w14:textId="77777777" w:rsidR="00920A0B" w:rsidRPr="00920A0B" w:rsidRDefault="00920A0B" w:rsidP="00920A0B">
      <w:pPr>
        <w:pStyle w:val="Heading1"/>
        <w:divId w:val="579758760"/>
      </w:pPr>
      <w:r w:rsidRPr="00920A0B">
        <w:t xml:space="preserve">Methods </w:t>
      </w:r>
    </w:p>
    <w:p w14:paraId="1A4F0C0C" w14:textId="77777777" w:rsidR="00920A0B" w:rsidRDefault="00920A0B" w:rsidP="00920A0B">
      <w:pPr>
        <w:divId w:val="579758760"/>
      </w:pPr>
      <w:r>
        <w:t xml:space="preserve">Community members in HNE were encouraged to be </w:t>
      </w:r>
      <w:proofErr w:type="gramStart"/>
      <w:r>
        <w:t>tested</w:t>
      </w:r>
      <w:proofErr w:type="gramEnd"/>
      <w:r>
        <w:t xml:space="preserve"> if experiencing any COVID-19 compatible symptoms. This raised questions about access to testing in outer regional, </w:t>
      </w:r>
      <w:proofErr w:type="gramStart"/>
      <w:r>
        <w:t>rural</w:t>
      </w:r>
      <w:proofErr w:type="gramEnd"/>
      <w:r>
        <w:t xml:space="preserve"> and remote areas. The COVID-19 surveillance and detection process could not afford to miss more than </w:t>
      </w:r>
      <w:proofErr w:type="gramStart"/>
      <w:r>
        <w:t>a few</w:t>
      </w:r>
      <w:proofErr w:type="gramEnd"/>
      <w:r>
        <w:t xml:space="preserve"> cases to best suppress the transmission of SARS-CoV-2. Equitable access to medical care also relied on </w:t>
      </w:r>
      <w:proofErr w:type="gramStart"/>
      <w:r>
        <w:t>timely</w:t>
      </w:r>
      <w:proofErr w:type="gramEnd"/>
      <w:r>
        <w:t xml:space="preserve"> and complete case detection. </w:t>
      </w:r>
    </w:p>
    <w:p w14:paraId="658DD7C9" w14:textId="77777777" w:rsidR="00920A0B" w:rsidRDefault="00920A0B" w:rsidP="00920A0B">
      <w:pPr>
        <w:divId w:val="579758760"/>
      </w:pPr>
      <w:r>
        <w:t xml:space="preserve">A silent area analysis </w:t>
      </w:r>
      <w:proofErr w:type="gramStart"/>
      <w:r>
        <w:t>was introduced</w:t>
      </w:r>
      <w:proofErr w:type="gramEnd"/>
      <w:r>
        <w:t xml:space="preserve"> to evaluate testing rates in HNELHD. </w:t>
      </w:r>
    </w:p>
    <w:p w14:paraId="0D9C3967" w14:textId="2C0701B4" w:rsidR="00920A0B" w:rsidRDefault="00920A0B" w:rsidP="00920A0B">
      <w:pPr>
        <w:divId w:val="579758760"/>
      </w:pPr>
      <w:r>
        <w:t xml:space="preserve">HNE’s LGAs are administratively grouped into health service sectors for health service </w:t>
      </w:r>
      <w:proofErr w:type="gramStart"/>
      <w:r>
        <w:t>provision</w:t>
      </w:r>
      <w:proofErr w:type="gramEnd"/>
      <w:r>
        <w:t xml:space="preserve"> and this was the first resolution level for analysis (Figure 3). Within each such sector, testing rates per 100,000 population </w:t>
      </w:r>
      <w:proofErr w:type="gramStart"/>
      <w:r>
        <w:t>were compared</w:t>
      </w:r>
      <w:proofErr w:type="gramEnd"/>
      <w:r>
        <w:t xml:space="preserve"> to NSW average testing rates. Where sector testing rates fell below the NSW overall average testing rate, a more granular analysis was conducted to identify local ‘silent </w:t>
      </w:r>
      <w:proofErr w:type="gramStart"/>
      <w:r>
        <w:t>areas’</w:t>
      </w:r>
      <w:proofErr w:type="gramEnd"/>
      <w:r>
        <w:t>. Sector level in HNE was still too large a geographic and population area to pinpoint areas requiring enhanced testing efforts, hence there was a need for more granular</w:t>
      </w:r>
      <w:r w:rsidR="00EF095B">
        <w:t> </w:t>
      </w:r>
      <w:r>
        <w:t xml:space="preserve">analysis. </w:t>
      </w:r>
    </w:p>
    <w:p w14:paraId="2E03A22C" w14:textId="77777777" w:rsidR="00647502" w:rsidRDefault="00647502">
      <w:r>
        <w:br w:type="page"/>
      </w:r>
    </w:p>
    <w:p w14:paraId="5C714F1E" w14:textId="77777777" w:rsidR="00647502" w:rsidRPr="007B2B6B" w:rsidRDefault="00647502" w:rsidP="00647502">
      <w:pPr>
        <w:pStyle w:val="CDIFigures"/>
        <w:divId w:val="579758760"/>
      </w:pPr>
      <w:r w:rsidRPr="007B2B6B">
        <w:rPr>
          <w:rStyle w:val="Strong"/>
          <w:b/>
          <w:bCs w:val="0"/>
        </w:rPr>
        <w:lastRenderedPageBreak/>
        <w:t>Figure 3: Map showing division of HNELHD into health service sectors</w:t>
      </w:r>
    </w:p>
    <w:p w14:paraId="01F529A3" w14:textId="77777777" w:rsidR="00647502" w:rsidRDefault="00647502" w:rsidP="00647502">
      <w:pPr>
        <w:divId w:val="579758760"/>
        <w:rPr>
          <w:rFonts w:eastAsia="Times New Roman"/>
          <w:lang w:val="en-GB"/>
        </w:rPr>
      </w:pPr>
      <w:r>
        <w:rPr>
          <w:rFonts w:eastAsia="Times New Roman"/>
          <w:noProof/>
          <w:lang w:val="en-GB"/>
        </w:rPr>
        <w:drawing>
          <wp:inline distT="0" distB="0" distL="0" distR="0" wp14:anchorId="1BA757A6" wp14:editId="63D9DE65">
            <wp:extent cx="6511442" cy="8174973"/>
            <wp:effectExtent l="0" t="0" r="0" b="0"/>
            <wp:docPr id="3" name="Picture 3" descr="Figure 3 shows a map of HNELHD with the seven Health Services Sectors marked on it, as well as significant population centres within the L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3 shows a map of HNELHD with the seven Health Services Sectors marked on it, as well as significant population centres within the LH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515452" cy="8180007"/>
                    </a:xfrm>
                    <a:prstGeom prst="rect">
                      <a:avLst/>
                    </a:prstGeom>
                  </pic:spPr>
                </pic:pic>
              </a:graphicData>
            </a:graphic>
          </wp:inline>
        </w:drawing>
      </w:r>
    </w:p>
    <w:p w14:paraId="354B0FBB" w14:textId="77777777" w:rsidR="00647502" w:rsidRDefault="00647502" w:rsidP="00647502">
      <w:pPr>
        <w:divId w:val="579758760"/>
        <w:rPr>
          <w:rStyle w:val="Strong"/>
          <w:bCs w:val="0"/>
        </w:rPr>
      </w:pPr>
      <w:r>
        <w:rPr>
          <w:rStyle w:val="Strong"/>
          <w:b w:val="0"/>
          <w:bCs w:val="0"/>
        </w:rPr>
        <w:br w:type="page"/>
      </w:r>
    </w:p>
    <w:p w14:paraId="3D52CFCD" w14:textId="56E5192C" w:rsidR="00920A0B" w:rsidRDefault="00920A0B" w:rsidP="00920A0B">
      <w:pPr>
        <w:divId w:val="579758760"/>
      </w:pPr>
      <w:r>
        <w:lastRenderedPageBreak/>
        <w:t xml:space="preserve">Once a sector </w:t>
      </w:r>
      <w:proofErr w:type="gramStart"/>
      <w:r>
        <w:t>was identified</w:t>
      </w:r>
      <w:proofErr w:type="gramEnd"/>
      <w:r>
        <w:t xml:space="preserve"> as falling short of the NSW testing rate, the testing rates for all LGAs within that sector were calculated. Once a particular ‘silent’ LGA was </w:t>
      </w:r>
      <w:proofErr w:type="gramStart"/>
      <w:r>
        <w:t>identified</w:t>
      </w:r>
      <w:proofErr w:type="gramEnd"/>
      <w:r>
        <w:t xml:space="preserve">, then the demographics of those being tested compared to the NSW and HNE rates would be explored. Confidence in the accuracy of postcode population data was low and thus finer geographical resolution could not </w:t>
      </w:r>
      <w:proofErr w:type="gramStart"/>
      <w:r>
        <w:t>be investigated</w:t>
      </w:r>
      <w:proofErr w:type="gramEnd"/>
      <w:r>
        <w:t xml:space="preserve">. Under-representation by age-group or ethnic group prompted in-depth discussion between the local Incident Command System team, including public health, medical services, Aboriginal </w:t>
      </w:r>
      <w:proofErr w:type="gramStart"/>
      <w:r>
        <w:t>Health</w:t>
      </w:r>
      <w:proofErr w:type="gramEnd"/>
      <w:r>
        <w:t xml:space="preserve"> and communications, on how to best surge and promote local testing in the ‘silent area’ to increase representative testing. </w:t>
      </w:r>
    </w:p>
    <w:p w14:paraId="2CFACBD5" w14:textId="77777777" w:rsidR="00920A0B" w:rsidRDefault="00920A0B" w:rsidP="00920A0B">
      <w:pPr>
        <w:divId w:val="579758760"/>
      </w:pPr>
      <w:r>
        <w:t xml:space="preserve">This analysis </w:t>
      </w:r>
      <w:proofErr w:type="gramStart"/>
      <w:r>
        <w:t>was conducted</w:t>
      </w:r>
      <w:proofErr w:type="gramEnd"/>
      <w:r>
        <w:t xml:space="preserve"> routinely every Monday and Thursday throughout 2020. In 2021, it </w:t>
      </w:r>
      <w:proofErr w:type="gramStart"/>
      <w:r>
        <w:t>was continued</w:t>
      </w:r>
      <w:proofErr w:type="gramEnd"/>
      <w:r>
        <w:t xml:space="preserve"> until negative test results were no longer captured in the NSW dataset on 16 December 2021. </w:t>
      </w:r>
    </w:p>
    <w:p w14:paraId="2C6A747C" w14:textId="77777777" w:rsidR="00920A0B" w:rsidRDefault="00920A0B" w:rsidP="00920A0B">
      <w:pPr>
        <w:divId w:val="579758760"/>
      </w:pPr>
      <w:r>
        <w:t xml:space="preserve">Ethics was not </w:t>
      </w:r>
      <w:proofErr w:type="gramStart"/>
      <w:r>
        <w:t>required</w:t>
      </w:r>
      <w:proofErr w:type="gramEnd"/>
      <w:r>
        <w:t xml:space="preserve"> as this was analysis of data collected under the </w:t>
      </w:r>
      <w:r w:rsidRPr="008715ED">
        <w:rPr>
          <w:rStyle w:val="Emphasis"/>
          <w:b w:val="0"/>
          <w:bCs w:val="0"/>
        </w:rPr>
        <w:t>Public Health Act 2010</w:t>
      </w:r>
      <w:r>
        <w:t xml:space="preserve"> to help inform the public health pandemic response. </w:t>
      </w:r>
    </w:p>
    <w:p w14:paraId="0B03852D" w14:textId="77777777" w:rsidR="00920A0B" w:rsidRPr="00920A0B" w:rsidRDefault="00920A0B" w:rsidP="00920A0B">
      <w:pPr>
        <w:pStyle w:val="Heading1"/>
        <w:divId w:val="579758760"/>
      </w:pPr>
      <w:r w:rsidRPr="00920A0B">
        <w:t xml:space="preserve">Results </w:t>
      </w:r>
    </w:p>
    <w:p w14:paraId="2118D7CE" w14:textId="680BE477" w:rsidR="00920A0B" w:rsidRDefault="00920A0B" w:rsidP="00920A0B">
      <w:pPr>
        <w:divId w:val="579758760"/>
      </w:pPr>
      <w:r>
        <w:t xml:space="preserve">Between 1 February 2020 and 10 September 2020 (the period of maximal suppression/elimination focus within NSW), there was a strong correlation between testing rates and case rates (Pearson </w:t>
      </w:r>
      <w:r w:rsidRPr="008715ED">
        <w:rPr>
          <w:rStyle w:val="Emphasis"/>
          <w:b w:val="0"/>
          <w:bCs w:val="0"/>
        </w:rPr>
        <w:t>r</w:t>
      </w:r>
      <w:r>
        <w:t xml:space="preserve"> = 0.982), supporting the need to ensure </w:t>
      </w:r>
      <w:proofErr w:type="gramStart"/>
      <w:r>
        <w:t>optimal</w:t>
      </w:r>
      <w:proofErr w:type="gramEnd"/>
      <w:r>
        <w:t xml:space="preserve"> testing rates to find cases. The results presented here are illustrative of this approach and include this entire time range; but in real time, we considered weekly, </w:t>
      </w:r>
      <w:proofErr w:type="gramStart"/>
      <w:r>
        <w:t>fortnightly</w:t>
      </w:r>
      <w:proofErr w:type="gramEnd"/>
      <w:r>
        <w:t xml:space="preserve"> and monthly time frames for public health</w:t>
      </w:r>
      <w:r w:rsidR="00786A11">
        <w:t> </w:t>
      </w:r>
      <w:r>
        <w:t xml:space="preserve">action. </w:t>
      </w:r>
    </w:p>
    <w:p w14:paraId="511BC61D" w14:textId="77777777" w:rsidR="00920A0B" w:rsidRDefault="00920A0B" w:rsidP="00920A0B">
      <w:pPr>
        <w:divId w:val="579758760"/>
      </w:pPr>
      <w:r>
        <w:t xml:space="preserve">Table 1 shows that during this entire </w:t>
      </w:r>
      <w:proofErr w:type="gramStart"/>
      <w:r>
        <w:t>time period</w:t>
      </w:r>
      <w:proofErr w:type="gramEnd"/>
      <w:r>
        <w:t xml:space="preserve">, testing rates ranged between 14,000 and 28,000 per 100,000 population across the seven HNE sectors. In six of the seven sectors, testing rates were below the NSW average (highlighted in red), despite the similarity of the overall HNE rate (24,040/100,000 population) to the overall NSW rate (24,778/100,000 population). These sectors </w:t>
      </w:r>
      <w:proofErr w:type="gramStart"/>
      <w:r>
        <w:t>were then considered</w:t>
      </w:r>
      <w:proofErr w:type="gramEnd"/>
      <w:r>
        <w:t xml:space="preserve"> in finer detail. </w:t>
      </w:r>
    </w:p>
    <w:p w14:paraId="70718668" w14:textId="77777777" w:rsidR="00647502" w:rsidRPr="007B2B6B" w:rsidRDefault="00647502" w:rsidP="00647502">
      <w:pPr>
        <w:pStyle w:val="CDIFigures"/>
        <w:divId w:val="579758760"/>
      </w:pPr>
      <w:r w:rsidRPr="007B2B6B">
        <w:rPr>
          <w:rStyle w:val="Strong"/>
          <w:b/>
          <w:bCs w:val="0"/>
        </w:rPr>
        <w:t>Table 1: Example of testing rates for HNE sectors and NSW, 1 February 2020 – 10 September 2020</w:t>
      </w:r>
    </w:p>
    <w:tbl>
      <w:tblPr>
        <w:tblStyle w:val="CDI-StandardTable"/>
        <w:tblW w:w="0" w:type="auto"/>
        <w:tblLook w:val="04A0" w:firstRow="1" w:lastRow="0" w:firstColumn="1" w:lastColumn="0" w:noHBand="0" w:noVBand="1"/>
        <w:tblDescription w:val="Table of Hunter New England health service sectors and NSW as a whole showing cases, testing numbers, 2019 population, test rates, percent positivity and case rates.&#10;"/>
      </w:tblPr>
      <w:tblGrid>
        <w:gridCol w:w="2549"/>
        <w:gridCol w:w="708"/>
        <w:gridCol w:w="992"/>
        <w:gridCol w:w="992"/>
        <w:gridCol w:w="1134"/>
        <w:gridCol w:w="1549"/>
        <w:gridCol w:w="1002"/>
        <w:gridCol w:w="1534"/>
      </w:tblGrid>
      <w:tr w:rsidR="00647502" w:rsidRPr="001529AC" w14:paraId="1B127399" w14:textId="77777777" w:rsidTr="00A94F8A">
        <w:trPr>
          <w:cnfStyle w:val="100000000000" w:firstRow="1" w:lastRow="0" w:firstColumn="0" w:lastColumn="0" w:oddVBand="0" w:evenVBand="0" w:oddHBand="0" w:evenHBand="0" w:firstRowFirstColumn="0" w:firstRowLastColumn="0" w:lastRowFirstColumn="0" w:lastRowLastColumn="0"/>
          <w:divId w:val="579758760"/>
        </w:trPr>
        <w:tc>
          <w:tcPr>
            <w:tcW w:w="2552" w:type="dxa"/>
            <w:tcBorders>
              <w:top w:val="single" w:sz="2" w:space="0" w:color="auto"/>
              <w:left w:val="single" w:sz="2" w:space="0" w:color="auto"/>
            </w:tcBorders>
            <w:hideMark/>
          </w:tcPr>
          <w:p w14:paraId="4E3E3213" w14:textId="77777777" w:rsidR="00647502" w:rsidRPr="001529AC" w:rsidRDefault="00647502" w:rsidP="00F7387D">
            <w:pPr>
              <w:pStyle w:val="NormalWeb"/>
              <w:jc w:val="left"/>
              <w:rPr>
                <w:sz w:val="18"/>
                <w:szCs w:val="18"/>
                <w:lang w:val="en-GB"/>
              </w:rPr>
            </w:pPr>
            <w:r w:rsidRPr="001529AC">
              <w:rPr>
                <w:sz w:val="18"/>
                <w:szCs w:val="18"/>
                <w:lang w:val="en-GB"/>
              </w:rPr>
              <w:t>Sector</w:t>
            </w:r>
          </w:p>
        </w:tc>
        <w:tc>
          <w:tcPr>
            <w:tcW w:w="709" w:type="dxa"/>
            <w:tcBorders>
              <w:top w:val="single" w:sz="2" w:space="0" w:color="auto"/>
            </w:tcBorders>
            <w:hideMark/>
          </w:tcPr>
          <w:p w14:paraId="4313EB21" w14:textId="77777777" w:rsidR="00647502" w:rsidRPr="001529AC" w:rsidRDefault="00647502" w:rsidP="00F7387D">
            <w:pPr>
              <w:pStyle w:val="NormalWeb"/>
              <w:rPr>
                <w:sz w:val="18"/>
                <w:szCs w:val="18"/>
                <w:lang w:val="en-GB"/>
              </w:rPr>
            </w:pPr>
            <w:r w:rsidRPr="001529AC">
              <w:rPr>
                <w:sz w:val="18"/>
                <w:szCs w:val="18"/>
                <w:lang w:val="en-GB"/>
              </w:rPr>
              <w:t>Cases</w:t>
            </w:r>
          </w:p>
        </w:tc>
        <w:tc>
          <w:tcPr>
            <w:tcW w:w="992" w:type="dxa"/>
            <w:tcBorders>
              <w:top w:val="single" w:sz="2" w:space="0" w:color="auto"/>
            </w:tcBorders>
            <w:hideMark/>
          </w:tcPr>
          <w:p w14:paraId="6E301DDD" w14:textId="77777777" w:rsidR="00647502" w:rsidRPr="001529AC" w:rsidRDefault="00647502" w:rsidP="00F7387D">
            <w:pPr>
              <w:pStyle w:val="NormalWeb"/>
              <w:rPr>
                <w:sz w:val="18"/>
                <w:szCs w:val="18"/>
                <w:lang w:val="en-GB"/>
              </w:rPr>
            </w:pPr>
            <w:r w:rsidRPr="001529AC">
              <w:rPr>
                <w:sz w:val="18"/>
                <w:szCs w:val="18"/>
                <w:lang w:val="en-GB"/>
              </w:rPr>
              <w:t>Tested &amp; excluded</w:t>
            </w:r>
          </w:p>
        </w:tc>
        <w:tc>
          <w:tcPr>
            <w:tcW w:w="992" w:type="dxa"/>
            <w:tcBorders>
              <w:top w:val="single" w:sz="2" w:space="0" w:color="auto"/>
            </w:tcBorders>
            <w:hideMark/>
          </w:tcPr>
          <w:p w14:paraId="46F68F10" w14:textId="77777777" w:rsidR="00647502" w:rsidRPr="001529AC" w:rsidRDefault="00647502" w:rsidP="00F7387D">
            <w:pPr>
              <w:pStyle w:val="NormalWeb"/>
              <w:rPr>
                <w:sz w:val="18"/>
                <w:szCs w:val="18"/>
                <w:lang w:val="en-GB"/>
              </w:rPr>
            </w:pPr>
            <w:r w:rsidRPr="001529AC">
              <w:rPr>
                <w:sz w:val="18"/>
                <w:szCs w:val="18"/>
                <w:lang w:val="en-GB"/>
              </w:rPr>
              <w:t>Total tested</w:t>
            </w:r>
          </w:p>
        </w:tc>
        <w:tc>
          <w:tcPr>
            <w:tcW w:w="1134" w:type="dxa"/>
            <w:tcBorders>
              <w:top w:val="single" w:sz="2" w:space="0" w:color="auto"/>
            </w:tcBorders>
            <w:hideMark/>
          </w:tcPr>
          <w:p w14:paraId="7BDB2250" w14:textId="77777777" w:rsidR="00647502" w:rsidRPr="001529AC" w:rsidRDefault="00647502" w:rsidP="00F7387D">
            <w:pPr>
              <w:pStyle w:val="NormalWeb"/>
              <w:rPr>
                <w:sz w:val="18"/>
                <w:szCs w:val="18"/>
                <w:lang w:val="en-GB"/>
              </w:rPr>
            </w:pPr>
            <w:r w:rsidRPr="001529AC">
              <w:rPr>
                <w:sz w:val="18"/>
                <w:szCs w:val="18"/>
                <w:lang w:val="en-GB"/>
              </w:rPr>
              <w:t>2019 population</w:t>
            </w:r>
          </w:p>
        </w:tc>
        <w:tc>
          <w:tcPr>
            <w:tcW w:w="1550" w:type="dxa"/>
            <w:tcBorders>
              <w:top w:val="single" w:sz="2" w:space="0" w:color="auto"/>
            </w:tcBorders>
            <w:hideMark/>
          </w:tcPr>
          <w:p w14:paraId="20C05E89" w14:textId="77777777" w:rsidR="00647502" w:rsidRPr="001529AC" w:rsidRDefault="00647502" w:rsidP="00F7387D">
            <w:pPr>
              <w:pStyle w:val="NormalWeb"/>
              <w:rPr>
                <w:sz w:val="18"/>
                <w:szCs w:val="18"/>
                <w:lang w:val="en-GB"/>
              </w:rPr>
            </w:pPr>
            <w:r w:rsidRPr="001529AC">
              <w:rPr>
                <w:sz w:val="18"/>
                <w:szCs w:val="18"/>
                <w:lang w:val="en-GB"/>
              </w:rPr>
              <w:t>Tests per 100,000 residents</w:t>
            </w:r>
          </w:p>
        </w:tc>
        <w:tc>
          <w:tcPr>
            <w:tcW w:w="1002" w:type="dxa"/>
            <w:tcBorders>
              <w:top w:val="single" w:sz="2" w:space="0" w:color="auto"/>
            </w:tcBorders>
            <w:hideMark/>
          </w:tcPr>
          <w:p w14:paraId="0EF770D5" w14:textId="77777777" w:rsidR="00647502" w:rsidRPr="001529AC" w:rsidRDefault="00647502" w:rsidP="00F7387D">
            <w:pPr>
              <w:pStyle w:val="NormalWeb"/>
              <w:rPr>
                <w:sz w:val="18"/>
                <w:szCs w:val="18"/>
                <w:lang w:val="en-GB"/>
              </w:rPr>
            </w:pPr>
            <w:r w:rsidRPr="001529AC">
              <w:rPr>
                <w:sz w:val="18"/>
                <w:szCs w:val="18"/>
                <w:lang w:val="en-GB"/>
              </w:rPr>
              <w:t>Percent positive</w:t>
            </w:r>
          </w:p>
        </w:tc>
        <w:tc>
          <w:tcPr>
            <w:tcW w:w="1535" w:type="dxa"/>
            <w:tcBorders>
              <w:top w:val="single" w:sz="2" w:space="0" w:color="auto"/>
              <w:right w:val="single" w:sz="2" w:space="0" w:color="auto"/>
            </w:tcBorders>
            <w:hideMark/>
          </w:tcPr>
          <w:p w14:paraId="45B064A9" w14:textId="77777777" w:rsidR="00647502" w:rsidRPr="001529AC" w:rsidRDefault="00647502" w:rsidP="00F7387D">
            <w:pPr>
              <w:pStyle w:val="NormalWeb"/>
              <w:rPr>
                <w:sz w:val="18"/>
                <w:szCs w:val="18"/>
                <w:lang w:val="en-GB"/>
              </w:rPr>
            </w:pPr>
            <w:r w:rsidRPr="001529AC">
              <w:rPr>
                <w:sz w:val="18"/>
                <w:szCs w:val="18"/>
                <w:lang w:val="en-GB"/>
              </w:rPr>
              <w:t>Cases per 100,000 residents</w:t>
            </w:r>
          </w:p>
        </w:tc>
      </w:tr>
      <w:tr w:rsidR="00647502" w:rsidRPr="001529AC" w14:paraId="4C003643" w14:textId="77777777" w:rsidTr="00464F1B">
        <w:trPr>
          <w:divId w:val="579758760"/>
        </w:trPr>
        <w:tc>
          <w:tcPr>
            <w:tcW w:w="2552" w:type="dxa"/>
            <w:hideMark/>
          </w:tcPr>
          <w:p w14:paraId="2DE98402" w14:textId="77777777" w:rsidR="00647502" w:rsidRPr="001529AC" w:rsidRDefault="00647502" w:rsidP="00F7387D">
            <w:pPr>
              <w:pStyle w:val="NormalWeb"/>
              <w:jc w:val="left"/>
              <w:rPr>
                <w:sz w:val="18"/>
                <w:szCs w:val="18"/>
                <w:lang w:val="en-GB"/>
              </w:rPr>
            </w:pPr>
            <w:r w:rsidRPr="001529AC">
              <w:rPr>
                <w:sz w:val="18"/>
                <w:szCs w:val="18"/>
                <w:lang w:val="en-GB"/>
              </w:rPr>
              <w:t>Greater Newcastle</w:t>
            </w:r>
          </w:p>
        </w:tc>
        <w:tc>
          <w:tcPr>
            <w:tcW w:w="709" w:type="dxa"/>
            <w:hideMark/>
          </w:tcPr>
          <w:p w14:paraId="727A08E1" w14:textId="77777777" w:rsidR="00647502" w:rsidRPr="001529AC" w:rsidRDefault="00647502" w:rsidP="00F7387D">
            <w:pPr>
              <w:pStyle w:val="NormalWeb"/>
              <w:rPr>
                <w:sz w:val="18"/>
                <w:szCs w:val="18"/>
                <w:lang w:val="en-GB"/>
              </w:rPr>
            </w:pPr>
            <w:r w:rsidRPr="001529AC">
              <w:rPr>
                <w:sz w:val="18"/>
                <w:szCs w:val="18"/>
                <w:lang w:val="en-GB"/>
              </w:rPr>
              <w:t>161</w:t>
            </w:r>
          </w:p>
        </w:tc>
        <w:tc>
          <w:tcPr>
            <w:tcW w:w="992" w:type="dxa"/>
            <w:hideMark/>
          </w:tcPr>
          <w:p w14:paraId="4EB39CDE" w14:textId="77777777" w:rsidR="00647502" w:rsidRPr="001529AC" w:rsidRDefault="00647502" w:rsidP="00F7387D">
            <w:pPr>
              <w:pStyle w:val="NormalWeb"/>
              <w:rPr>
                <w:sz w:val="18"/>
                <w:szCs w:val="18"/>
                <w:lang w:val="en-GB"/>
              </w:rPr>
            </w:pPr>
            <w:r w:rsidRPr="001529AC">
              <w:rPr>
                <w:sz w:val="18"/>
                <w:szCs w:val="18"/>
                <w:lang w:val="en-GB"/>
              </w:rPr>
              <w:t>124,011</w:t>
            </w:r>
          </w:p>
        </w:tc>
        <w:tc>
          <w:tcPr>
            <w:tcW w:w="992" w:type="dxa"/>
            <w:hideMark/>
          </w:tcPr>
          <w:p w14:paraId="5B95D7AC" w14:textId="77777777" w:rsidR="00647502" w:rsidRPr="001529AC" w:rsidRDefault="00647502" w:rsidP="00F7387D">
            <w:pPr>
              <w:pStyle w:val="NormalWeb"/>
              <w:rPr>
                <w:sz w:val="18"/>
                <w:szCs w:val="18"/>
                <w:lang w:val="en-GB"/>
              </w:rPr>
            </w:pPr>
            <w:r w:rsidRPr="001529AC">
              <w:rPr>
                <w:sz w:val="18"/>
                <w:szCs w:val="18"/>
                <w:lang w:val="en-GB"/>
              </w:rPr>
              <w:t>124,172</w:t>
            </w:r>
          </w:p>
        </w:tc>
        <w:tc>
          <w:tcPr>
            <w:tcW w:w="1134" w:type="dxa"/>
            <w:hideMark/>
          </w:tcPr>
          <w:p w14:paraId="1E7FD853" w14:textId="77777777" w:rsidR="00647502" w:rsidRPr="001529AC" w:rsidRDefault="00647502" w:rsidP="00F7387D">
            <w:pPr>
              <w:pStyle w:val="NormalWeb"/>
              <w:rPr>
                <w:sz w:val="18"/>
                <w:szCs w:val="18"/>
                <w:lang w:val="en-GB"/>
              </w:rPr>
            </w:pPr>
            <w:r w:rsidRPr="001529AC">
              <w:rPr>
                <w:sz w:val="18"/>
                <w:szCs w:val="18"/>
                <w:lang w:val="en-GB"/>
              </w:rPr>
              <w:t>444,953</w:t>
            </w:r>
          </w:p>
        </w:tc>
        <w:tc>
          <w:tcPr>
            <w:tcW w:w="1550" w:type="dxa"/>
            <w:hideMark/>
          </w:tcPr>
          <w:p w14:paraId="299A9EC7" w14:textId="77777777" w:rsidR="00647502" w:rsidRPr="001529AC" w:rsidRDefault="00647502" w:rsidP="00F7387D">
            <w:pPr>
              <w:pStyle w:val="NormalWeb"/>
              <w:rPr>
                <w:sz w:val="18"/>
                <w:szCs w:val="18"/>
                <w:lang w:val="en-GB"/>
              </w:rPr>
            </w:pPr>
            <w:r w:rsidRPr="001529AC">
              <w:rPr>
                <w:sz w:val="18"/>
                <w:szCs w:val="18"/>
                <w:lang w:val="en-GB"/>
              </w:rPr>
              <w:t>27,907</w:t>
            </w:r>
          </w:p>
        </w:tc>
        <w:tc>
          <w:tcPr>
            <w:tcW w:w="1002" w:type="dxa"/>
            <w:hideMark/>
          </w:tcPr>
          <w:p w14:paraId="2BC9FBBB" w14:textId="77777777" w:rsidR="00647502" w:rsidRPr="001529AC" w:rsidRDefault="00647502" w:rsidP="00F7387D">
            <w:pPr>
              <w:pStyle w:val="NormalWeb"/>
              <w:rPr>
                <w:sz w:val="18"/>
                <w:szCs w:val="18"/>
                <w:lang w:val="en-GB"/>
              </w:rPr>
            </w:pPr>
            <w:r w:rsidRPr="001529AC">
              <w:rPr>
                <w:sz w:val="18"/>
                <w:szCs w:val="18"/>
                <w:lang w:val="en-GB"/>
              </w:rPr>
              <w:t>0.13%</w:t>
            </w:r>
          </w:p>
        </w:tc>
        <w:tc>
          <w:tcPr>
            <w:tcW w:w="1535" w:type="dxa"/>
            <w:hideMark/>
          </w:tcPr>
          <w:p w14:paraId="7ECAFAB0" w14:textId="77777777" w:rsidR="00647502" w:rsidRPr="001529AC" w:rsidRDefault="00647502" w:rsidP="00F7387D">
            <w:pPr>
              <w:pStyle w:val="NormalWeb"/>
              <w:rPr>
                <w:sz w:val="18"/>
                <w:szCs w:val="18"/>
                <w:lang w:val="en-GB"/>
              </w:rPr>
            </w:pPr>
            <w:r w:rsidRPr="001529AC">
              <w:rPr>
                <w:sz w:val="18"/>
                <w:szCs w:val="18"/>
                <w:lang w:val="en-GB"/>
              </w:rPr>
              <w:t>36</w:t>
            </w:r>
          </w:p>
        </w:tc>
      </w:tr>
      <w:tr w:rsidR="00647502" w:rsidRPr="001529AC" w14:paraId="5BE6ECA5" w14:textId="77777777" w:rsidTr="00464F1B">
        <w:trPr>
          <w:cnfStyle w:val="000000010000" w:firstRow="0" w:lastRow="0" w:firstColumn="0" w:lastColumn="0" w:oddVBand="0" w:evenVBand="0" w:oddHBand="0" w:evenHBand="1" w:firstRowFirstColumn="0" w:firstRowLastColumn="0" w:lastRowFirstColumn="0" w:lastRowLastColumn="0"/>
          <w:divId w:val="579758760"/>
        </w:trPr>
        <w:tc>
          <w:tcPr>
            <w:tcW w:w="2552" w:type="dxa"/>
            <w:hideMark/>
          </w:tcPr>
          <w:p w14:paraId="3F2E79CA" w14:textId="77777777" w:rsidR="00647502" w:rsidRPr="001529AC" w:rsidRDefault="00647502" w:rsidP="00F7387D">
            <w:pPr>
              <w:pStyle w:val="NormalWeb"/>
              <w:jc w:val="left"/>
              <w:rPr>
                <w:sz w:val="18"/>
                <w:szCs w:val="18"/>
                <w:lang w:val="en-GB"/>
              </w:rPr>
            </w:pPr>
            <w:r w:rsidRPr="001529AC">
              <w:rPr>
                <w:sz w:val="18"/>
                <w:szCs w:val="18"/>
                <w:lang w:val="en-GB"/>
              </w:rPr>
              <w:t>Hunter Valley</w:t>
            </w:r>
          </w:p>
        </w:tc>
        <w:tc>
          <w:tcPr>
            <w:tcW w:w="709" w:type="dxa"/>
            <w:hideMark/>
          </w:tcPr>
          <w:p w14:paraId="7502FEDD" w14:textId="77777777" w:rsidR="00647502" w:rsidRPr="001529AC" w:rsidRDefault="00647502" w:rsidP="00F7387D">
            <w:pPr>
              <w:pStyle w:val="NormalWeb"/>
              <w:rPr>
                <w:sz w:val="18"/>
                <w:szCs w:val="18"/>
                <w:lang w:val="en-GB"/>
              </w:rPr>
            </w:pPr>
            <w:r w:rsidRPr="001529AC">
              <w:rPr>
                <w:sz w:val="18"/>
                <w:szCs w:val="18"/>
                <w:lang w:val="en-GB"/>
              </w:rPr>
              <w:t>8</w:t>
            </w:r>
          </w:p>
        </w:tc>
        <w:tc>
          <w:tcPr>
            <w:tcW w:w="992" w:type="dxa"/>
            <w:hideMark/>
          </w:tcPr>
          <w:p w14:paraId="0EF8653D" w14:textId="77777777" w:rsidR="00647502" w:rsidRPr="001529AC" w:rsidRDefault="00647502" w:rsidP="00F7387D">
            <w:pPr>
              <w:pStyle w:val="NormalWeb"/>
              <w:rPr>
                <w:sz w:val="18"/>
                <w:szCs w:val="18"/>
                <w:lang w:val="en-GB"/>
              </w:rPr>
            </w:pPr>
            <w:r w:rsidRPr="001529AC">
              <w:rPr>
                <w:sz w:val="18"/>
                <w:szCs w:val="18"/>
                <w:lang w:val="en-GB"/>
              </w:rPr>
              <w:t>12,332</w:t>
            </w:r>
          </w:p>
        </w:tc>
        <w:tc>
          <w:tcPr>
            <w:tcW w:w="992" w:type="dxa"/>
            <w:hideMark/>
          </w:tcPr>
          <w:p w14:paraId="6A509FDD" w14:textId="77777777" w:rsidR="00647502" w:rsidRPr="001529AC" w:rsidRDefault="00647502" w:rsidP="00F7387D">
            <w:pPr>
              <w:pStyle w:val="NormalWeb"/>
              <w:rPr>
                <w:sz w:val="18"/>
                <w:szCs w:val="18"/>
                <w:lang w:val="en-GB"/>
              </w:rPr>
            </w:pPr>
            <w:r w:rsidRPr="001529AC">
              <w:rPr>
                <w:sz w:val="18"/>
                <w:szCs w:val="18"/>
                <w:lang w:val="en-GB"/>
              </w:rPr>
              <w:t>12,340</w:t>
            </w:r>
          </w:p>
        </w:tc>
        <w:tc>
          <w:tcPr>
            <w:tcW w:w="1134" w:type="dxa"/>
            <w:hideMark/>
          </w:tcPr>
          <w:p w14:paraId="3211BECC" w14:textId="77777777" w:rsidR="00647502" w:rsidRPr="001529AC" w:rsidRDefault="00647502" w:rsidP="00F7387D">
            <w:pPr>
              <w:pStyle w:val="NormalWeb"/>
              <w:rPr>
                <w:sz w:val="18"/>
                <w:szCs w:val="18"/>
                <w:lang w:val="en-GB"/>
              </w:rPr>
            </w:pPr>
            <w:r w:rsidRPr="001529AC">
              <w:rPr>
                <w:sz w:val="18"/>
                <w:szCs w:val="18"/>
                <w:lang w:val="en-GB"/>
              </w:rPr>
              <w:t>54,018</w:t>
            </w:r>
          </w:p>
        </w:tc>
        <w:tc>
          <w:tcPr>
            <w:tcW w:w="1550" w:type="dxa"/>
            <w:hideMark/>
          </w:tcPr>
          <w:p w14:paraId="6DD165F5" w14:textId="77777777" w:rsidR="00647502" w:rsidRPr="005F4C66" w:rsidRDefault="00647502" w:rsidP="00F7387D">
            <w:pPr>
              <w:pStyle w:val="NormalWeb"/>
              <w:rPr>
                <w:b/>
                <w:bCs/>
                <w:color w:val="FF0000"/>
                <w:sz w:val="18"/>
                <w:szCs w:val="18"/>
                <w:lang w:val="en-GB"/>
              </w:rPr>
            </w:pPr>
            <w:r w:rsidRPr="009121E5">
              <w:rPr>
                <w:b/>
                <w:bCs/>
                <w:color w:val="C00000"/>
                <w:sz w:val="18"/>
                <w:szCs w:val="18"/>
                <w:lang w:val="en-GB"/>
              </w:rPr>
              <w:t>22,844</w:t>
            </w:r>
          </w:p>
        </w:tc>
        <w:tc>
          <w:tcPr>
            <w:tcW w:w="1002" w:type="dxa"/>
            <w:hideMark/>
          </w:tcPr>
          <w:p w14:paraId="15415DA5" w14:textId="77777777" w:rsidR="00647502" w:rsidRPr="001529AC" w:rsidRDefault="00647502" w:rsidP="00F7387D">
            <w:pPr>
              <w:pStyle w:val="NormalWeb"/>
              <w:rPr>
                <w:sz w:val="18"/>
                <w:szCs w:val="18"/>
                <w:lang w:val="en-GB"/>
              </w:rPr>
            </w:pPr>
            <w:r w:rsidRPr="001529AC">
              <w:rPr>
                <w:sz w:val="18"/>
                <w:szCs w:val="18"/>
                <w:lang w:val="en-GB"/>
              </w:rPr>
              <w:t>0.06%</w:t>
            </w:r>
          </w:p>
        </w:tc>
        <w:tc>
          <w:tcPr>
            <w:tcW w:w="1535" w:type="dxa"/>
            <w:hideMark/>
          </w:tcPr>
          <w:p w14:paraId="07B23D50" w14:textId="77777777" w:rsidR="00647502" w:rsidRPr="001529AC" w:rsidRDefault="00647502" w:rsidP="00F7387D">
            <w:pPr>
              <w:pStyle w:val="NormalWeb"/>
              <w:rPr>
                <w:sz w:val="18"/>
                <w:szCs w:val="18"/>
                <w:lang w:val="en-GB"/>
              </w:rPr>
            </w:pPr>
            <w:r w:rsidRPr="001529AC">
              <w:rPr>
                <w:sz w:val="18"/>
                <w:szCs w:val="18"/>
                <w:lang w:val="en-GB"/>
              </w:rPr>
              <w:t>15</w:t>
            </w:r>
          </w:p>
        </w:tc>
      </w:tr>
      <w:tr w:rsidR="00647502" w:rsidRPr="001529AC" w14:paraId="115F2A4B" w14:textId="77777777" w:rsidTr="00464F1B">
        <w:trPr>
          <w:divId w:val="579758760"/>
        </w:trPr>
        <w:tc>
          <w:tcPr>
            <w:tcW w:w="2552" w:type="dxa"/>
            <w:hideMark/>
          </w:tcPr>
          <w:p w14:paraId="451153D4" w14:textId="77777777" w:rsidR="00647502" w:rsidRPr="001529AC" w:rsidRDefault="00647502" w:rsidP="00F7387D">
            <w:pPr>
              <w:pStyle w:val="NormalWeb"/>
              <w:jc w:val="left"/>
              <w:rPr>
                <w:sz w:val="18"/>
                <w:szCs w:val="18"/>
                <w:lang w:val="en-GB"/>
              </w:rPr>
            </w:pPr>
            <w:r w:rsidRPr="001529AC">
              <w:rPr>
                <w:sz w:val="18"/>
                <w:szCs w:val="18"/>
                <w:lang w:val="en-GB"/>
              </w:rPr>
              <w:t>Lower Hunter</w:t>
            </w:r>
          </w:p>
        </w:tc>
        <w:tc>
          <w:tcPr>
            <w:tcW w:w="709" w:type="dxa"/>
            <w:hideMark/>
          </w:tcPr>
          <w:p w14:paraId="44C9B658" w14:textId="77777777" w:rsidR="00647502" w:rsidRPr="001529AC" w:rsidRDefault="00647502" w:rsidP="00F7387D">
            <w:pPr>
              <w:pStyle w:val="NormalWeb"/>
              <w:rPr>
                <w:sz w:val="18"/>
                <w:szCs w:val="18"/>
                <w:lang w:val="en-GB"/>
              </w:rPr>
            </w:pPr>
            <w:r w:rsidRPr="001529AC">
              <w:rPr>
                <w:sz w:val="18"/>
                <w:szCs w:val="18"/>
                <w:lang w:val="en-GB"/>
              </w:rPr>
              <w:t>60</w:t>
            </w:r>
          </w:p>
        </w:tc>
        <w:tc>
          <w:tcPr>
            <w:tcW w:w="992" w:type="dxa"/>
            <w:hideMark/>
          </w:tcPr>
          <w:p w14:paraId="09652F01" w14:textId="77777777" w:rsidR="00647502" w:rsidRPr="001529AC" w:rsidRDefault="00647502" w:rsidP="00F7387D">
            <w:pPr>
              <w:pStyle w:val="NormalWeb"/>
              <w:rPr>
                <w:sz w:val="18"/>
                <w:szCs w:val="18"/>
                <w:lang w:val="en-GB"/>
              </w:rPr>
            </w:pPr>
            <w:r w:rsidRPr="001529AC">
              <w:rPr>
                <w:sz w:val="18"/>
                <w:szCs w:val="18"/>
                <w:lang w:val="en-GB"/>
              </w:rPr>
              <w:t>37,647</w:t>
            </w:r>
          </w:p>
        </w:tc>
        <w:tc>
          <w:tcPr>
            <w:tcW w:w="992" w:type="dxa"/>
            <w:hideMark/>
          </w:tcPr>
          <w:p w14:paraId="09C8F576" w14:textId="77777777" w:rsidR="00647502" w:rsidRPr="001529AC" w:rsidRDefault="00647502" w:rsidP="00F7387D">
            <w:pPr>
              <w:pStyle w:val="NormalWeb"/>
              <w:rPr>
                <w:sz w:val="18"/>
                <w:szCs w:val="18"/>
                <w:lang w:val="en-GB"/>
              </w:rPr>
            </w:pPr>
            <w:r w:rsidRPr="001529AC">
              <w:rPr>
                <w:sz w:val="18"/>
                <w:szCs w:val="18"/>
                <w:lang w:val="en-GB"/>
              </w:rPr>
              <w:t>37,707</w:t>
            </w:r>
          </w:p>
        </w:tc>
        <w:tc>
          <w:tcPr>
            <w:tcW w:w="1134" w:type="dxa"/>
            <w:hideMark/>
          </w:tcPr>
          <w:p w14:paraId="7D7D56E7" w14:textId="77777777" w:rsidR="00647502" w:rsidRPr="001529AC" w:rsidRDefault="00647502" w:rsidP="00F7387D">
            <w:pPr>
              <w:pStyle w:val="NormalWeb"/>
              <w:rPr>
                <w:sz w:val="18"/>
                <w:szCs w:val="18"/>
                <w:lang w:val="en-GB"/>
              </w:rPr>
            </w:pPr>
            <w:r w:rsidRPr="001529AC">
              <w:rPr>
                <w:sz w:val="18"/>
                <w:szCs w:val="18"/>
                <w:lang w:val="en-GB"/>
              </w:rPr>
              <w:t>154,574</w:t>
            </w:r>
          </w:p>
        </w:tc>
        <w:tc>
          <w:tcPr>
            <w:tcW w:w="1550" w:type="dxa"/>
            <w:hideMark/>
          </w:tcPr>
          <w:p w14:paraId="4C7BCE1C"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24,394</w:t>
            </w:r>
          </w:p>
        </w:tc>
        <w:tc>
          <w:tcPr>
            <w:tcW w:w="1002" w:type="dxa"/>
            <w:hideMark/>
          </w:tcPr>
          <w:p w14:paraId="449EDB1E" w14:textId="77777777" w:rsidR="00647502" w:rsidRPr="001529AC" w:rsidRDefault="00647502" w:rsidP="00F7387D">
            <w:pPr>
              <w:pStyle w:val="NormalWeb"/>
              <w:rPr>
                <w:sz w:val="18"/>
                <w:szCs w:val="18"/>
                <w:lang w:val="en-GB"/>
              </w:rPr>
            </w:pPr>
            <w:r w:rsidRPr="001529AC">
              <w:rPr>
                <w:sz w:val="18"/>
                <w:szCs w:val="18"/>
                <w:lang w:val="en-GB"/>
              </w:rPr>
              <w:t>0.16%</w:t>
            </w:r>
          </w:p>
        </w:tc>
        <w:tc>
          <w:tcPr>
            <w:tcW w:w="1535" w:type="dxa"/>
            <w:hideMark/>
          </w:tcPr>
          <w:p w14:paraId="1D48EAA9" w14:textId="77777777" w:rsidR="00647502" w:rsidRPr="001529AC" w:rsidRDefault="00647502" w:rsidP="00F7387D">
            <w:pPr>
              <w:pStyle w:val="NormalWeb"/>
              <w:rPr>
                <w:sz w:val="18"/>
                <w:szCs w:val="18"/>
                <w:lang w:val="en-GB"/>
              </w:rPr>
            </w:pPr>
            <w:r w:rsidRPr="001529AC">
              <w:rPr>
                <w:sz w:val="18"/>
                <w:szCs w:val="18"/>
                <w:lang w:val="en-GB"/>
              </w:rPr>
              <w:t>39</w:t>
            </w:r>
          </w:p>
        </w:tc>
      </w:tr>
      <w:tr w:rsidR="00647502" w:rsidRPr="001529AC" w14:paraId="462E251D" w14:textId="77777777" w:rsidTr="00464F1B">
        <w:trPr>
          <w:cnfStyle w:val="000000010000" w:firstRow="0" w:lastRow="0" w:firstColumn="0" w:lastColumn="0" w:oddVBand="0" w:evenVBand="0" w:oddHBand="0" w:evenHBand="1" w:firstRowFirstColumn="0" w:firstRowLastColumn="0" w:lastRowFirstColumn="0" w:lastRowLastColumn="0"/>
          <w:divId w:val="579758760"/>
        </w:trPr>
        <w:tc>
          <w:tcPr>
            <w:tcW w:w="2552" w:type="dxa"/>
            <w:hideMark/>
          </w:tcPr>
          <w:p w14:paraId="0AE62B02" w14:textId="77777777" w:rsidR="00647502" w:rsidRPr="001529AC" w:rsidRDefault="00647502" w:rsidP="00F7387D">
            <w:pPr>
              <w:pStyle w:val="NormalWeb"/>
              <w:jc w:val="left"/>
              <w:rPr>
                <w:sz w:val="18"/>
                <w:szCs w:val="18"/>
                <w:lang w:val="en-GB"/>
              </w:rPr>
            </w:pPr>
            <w:r w:rsidRPr="001529AC">
              <w:rPr>
                <w:sz w:val="18"/>
                <w:szCs w:val="18"/>
                <w:lang w:val="en-GB"/>
              </w:rPr>
              <w:t>Lower Mid North Coast</w:t>
            </w:r>
          </w:p>
        </w:tc>
        <w:tc>
          <w:tcPr>
            <w:tcW w:w="709" w:type="dxa"/>
            <w:hideMark/>
          </w:tcPr>
          <w:p w14:paraId="3B0CA233" w14:textId="77777777" w:rsidR="00647502" w:rsidRPr="001529AC" w:rsidRDefault="00647502" w:rsidP="00F7387D">
            <w:pPr>
              <w:pStyle w:val="NormalWeb"/>
              <w:rPr>
                <w:sz w:val="18"/>
                <w:szCs w:val="18"/>
                <w:lang w:val="en-GB"/>
              </w:rPr>
            </w:pPr>
            <w:r w:rsidRPr="001529AC">
              <w:rPr>
                <w:sz w:val="18"/>
                <w:szCs w:val="18"/>
                <w:lang w:val="en-GB"/>
              </w:rPr>
              <w:t>40</w:t>
            </w:r>
          </w:p>
        </w:tc>
        <w:tc>
          <w:tcPr>
            <w:tcW w:w="992" w:type="dxa"/>
            <w:hideMark/>
          </w:tcPr>
          <w:p w14:paraId="6EB75A63" w14:textId="77777777" w:rsidR="00647502" w:rsidRPr="001529AC" w:rsidRDefault="00647502" w:rsidP="00F7387D">
            <w:pPr>
              <w:pStyle w:val="NormalWeb"/>
              <w:rPr>
                <w:sz w:val="18"/>
                <w:szCs w:val="18"/>
                <w:lang w:val="en-GB"/>
              </w:rPr>
            </w:pPr>
            <w:r w:rsidRPr="001529AC">
              <w:rPr>
                <w:sz w:val="18"/>
                <w:szCs w:val="18"/>
                <w:lang w:val="en-GB"/>
              </w:rPr>
              <w:t>15,265</w:t>
            </w:r>
          </w:p>
        </w:tc>
        <w:tc>
          <w:tcPr>
            <w:tcW w:w="992" w:type="dxa"/>
            <w:hideMark/>
          </w:tcPr>
          <w:p w14:paraId="0B137C55" w14:textId="77777777" w:rsidR="00647502" w:rsidRPr="001529AC" w:rsidRDefault="00647502" w:rsidP="00F7387D">
            <w:pPr>
              <w:pStyle w:val="NormalWeb"/>
              <w:rPr>
                <w:sz w:val="18"/>
                <w:szCs w:val="18"/>
                <w:lang w:val="en-GB"/>
              </w:rPr>
            </w:pPr>
            <w:r w:rsidRPr="001529AC">
              <w:rPr>
                <w:sz w:val="18"/>
                <w:szCs w:val="18"/>
                <w:lang w:val="en-GB"/>
              </w:rPr>
              <w:t>15,305</w:t>
            </w:r>
          </w:p>
        </w:tc>
        <w:tc>
          <w:tcPr>
            <w:tcW w:w="1134" w:type="dxa"/>
            <w:hideMark/>
          </w:tcPr>
          <w:p w14:paraId="05957FCE" w14:textId="77777777" w:rsidR="00647502" w:rsidRPr="001529AC" w:rsidRDefault="00647502" w:rsidP="00F7387D">
            <w:pPr>
              <w:pStyle w:val="NormalWeb"/>
              <w:rPr>
                <w:sz w:val="18"/>
                <w:szCs w:val="18"/>
                <w:lang w:val="en-GB"/>
              </w:rPr>
            </w:pPr>
            <w:r w:rsidRPr="001529AC">
              <w:rPr>
                <w:sz w:val="18"/>
                <w:szCs w:val="18"/>
                <w:lang w:val="en-GB"/>
              </w:rPr>
              <w:t>93,836</w:t>
            </w:r>
          </w:p>
        </w:tc>
        <w:tc>
          <w:tcPr>
            <w:tcW w:w="1550" w:type="dxa"/>
            <w:hideMark/>
          </w:tcPr>
          <w:p w14:paraId="5354BAC8"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16,310</w:t>
            </w:r>
          </w:p>
        </w:tc>
        <w:tc>
          <w:tcPr>
            <w:tcW w:w="1002" w:type="dxa"/>
            <w:hideMark/>
          </w:tcPr>
          <w:p w14:paraId="748E664A" w14:textId="77777777" w:rsidR="00647502" w:rsidRPr="001529AC" w:rsidRDefault="00647502" w:rsidP="00F7387D">
            <w:pPr>
              <w:pStyle w:val="NormalWeb"/>
              <w:rPr>
                <w:sz w:val="18"/>
                <w:szCs w:val="18"/>
                <w:lang w:val="en-GB"/>
              </w:rPr>
            </w:pPr>
            <w:r w:rsidRPr="001529AC">
              <w:rPr>
                <w:sz w:val="18"/>
                <w:szCs w:val="18"/>
                <w:lang w:val="en-GB"/>
              </w:rPr>
              <w:t>0.26%</w:t>
            </w:r>
          </w:p>
        </w:tc>
        <w:tc>
          <w:tcPr>
            <w:tcW w:w="1535" w:type="dxa"/>
            <w:hideMark/>
          </w:tcPr>
          <w:p w14:paraId="15F72AB5" w14:textId="77777777" w:rsidR="00647502" w:rsidRPr="001529AC" w:rsidRDefault="00647502" w:rsidP="00F7387D">
            <w:pPr>
              <w:pStyle w:val="NormalWeb"/>
              <w:rPr>
                <w:sz w:val="18"/>
                <w:szCs w:val="18"/>
                <w:lang w:val="en-GB"/>
              </w:rPr>
            </w:pPr>
            <w:r w:rsidRPr="001529AC">
              <w:rPr>
                <w:sz w:val="18"/>
                <w:szCs w:val="18"/>
                <w:lang w:val="en-GB"/>
              </w:rPr>
              <w:t>43</w:t>
            </w:r>
          </w:p>
        </w:tc>
      </w:tr>
      <w:tr w:rsidR="00647502" w:rsidRPr="001529AC" w14:paraId="51AC8314" w14:textId="77777777" w:rsidTr="00464F1B">
        <w:trPr>
          <w:divId w:val="579758760"/>
        </w:trPr>
        <w:tc>
          <w:tcPr>
            <w:tcW w:w="2552" w:type="dxa"/>
            <w:hideMark/>
          </w:tcPr>
          <w:p w14:paraId="7352AEAF" w14:textId="77777777" w:rsidR="00647502" w:rsidRPr="001529AC" w:rsidRDefault="00647502" w:rsidP="00F7387D">
            <w:pPr>
              <w:pStyle w:val="NormalWeb"/>
              <w:jc w:val="left"/>
              <w:rPr>
                <w:sz w:val="18"/>
                <w:szCs w:val="18"/>
                <w:lang w:val="en-GB"/>
              </w:rPr>
            </w:pPr>
            <w:proofErr w:type="spellStart"/>
            <w:r w:rsidRPr="001529AC">
              <w:rPr>
                <w:sz w:val="18"/>
                <w:szCs w:val="18"/>
                <w:lang w:val="en-GB"/>
              </w:rPr>
              <w:t>Mehi</w:t>
            </w:r>
            <w:proofErr w:type="spellEnd"/>
          </w:p>
        </w:tc>
        <w:tc>
          <w:tcPr>
            <w:tcW w:w="709" w:type="dxa"/>
            <w:hideMark/>
          </w:tcPr>
          <w:p w14:paraId="46047805" w14:textId="77777777" w:rsidR="00647502" w:rsidRPr="001529AC" w:rsidRDefault="00647502" w:rsidP="00F7387D">
            <w:pPr>
              <w:pStyle w:val="NormalWeb"/>
              <w:rPr>
                <w:sz w:val="18"/>
                <w:szCs w:val="18"/>
                <w:lang w:val="en-GB"/>
              </w:rPr>
            </w:pPr>
            <w:r w:rsidRPr="001529AC">
              <w:rPr>
                <w:sz w:val="18"/>
                <w:szCs w:val="18"/>
                <w:lang w:val="en-GB"/>
              </w:rPr>
              <w:t>1</w:t>
            </w:r>
          </w:p>
        </w:tc>
        <w:tc>
          <w:tcPr>
            <w:tcW w:w="992" w:type="dxa"/>
            <w:hideMark/>
          </w:tcPr>
          <w:p w14:paraId="347D28D1" w14:textId="77777777" w:rsidR="00647502" w:rsidRPr="001529AC" w:rsidRDefault="00647502" w:rsidP="00F7387D">
            <w:pPr>
              <w:pStyle w:val="NormalWeb"/>
              <w:rPr>
                <w:sz w:val="18"/>
                <w:szCs w:val="18"/>
                <w:lang w:val="en-GB"/>
              </w:rPr>
            </w:pPr>
            <w:r w:rsidRPr="001529AC">
              <w:rPr>
                <w:sz w:val="18"/>
                <w:szCs w:val="18"/>
                <w:lang w:val="en-GB"/>
              </w:rPr>
              <w:t>4,499</w:t>
            </w:r>
          </w:p>
        </w:tc>
        <w:tc>
          <w:tcPr>
            <w:tcW w:w="992" w:type="dxa"/>
            <w:hideMark/>
          </w:tcPr>
          <w:p w14:paraId="40939AF7" w14:textId="77777777" w:rsidR="00647502" w:rsidRPr="001529AC" w:rsidRDefault="00647502" w:rsidP="00F7387D">
            <w:pPr>
              <w:pStyle w:val="NormalWeb"/>
              <w:rPr>
                <w:sz w:val="18"/>
                <w:szCs w:val="18"/>
                <w:lang w:val="en-GB"/>
              </w:rPr>
            </w:pPr>
            <w:r w:rsidRPr="001529AC">
              <w:rPr>
                <w:sz w:val="18"/>
                <w:szCs w:val="18"/>
                <w:lang w:val="en-GB"/>
              </w:rPr>
              <w:t>4,500</w:t>
            </w:r>
          </w:p>
        </w:tc>
        <w:tc>
          <w:tcPr>
            <w:tcW w:w="1134" w:type="dxa"/>
            <w:hideMark/>
          </w:tcPr>
          <w:p w14:paraId="79ACC2AE" w14:textId="77777777" w:rsidR="00647502" w:rsidRPr="001529AC" w:rsidRDefault="00647502" w:rsidP="00F7387D">
            <w:pPr>
              <w:pStyle w:val="NormalWeb"/>
              <w:rPr>
                <w:sz w:val="18"/>
                <w:szCs w:val="18"/>
                <w:lang w:val="en-GB"/>
              </w:rPr>
            </w:pPr>
            <w:r w:rsidRPr="001529AC">
              <w:rPr>
                <w:sz w:val="18"/>
                <w:szCs w:val="18"/>
                <w:lang w:val="en-GB"/>
              </w:rPr>
              <w:t>31,749</w:t>
            </w:r>
          </w:p>
        </w:tc>
        <w:tc>
          <w:tcPr>
            <w:tcW w:w="1550" w:type="dxa"/>
            <w:hideMark/>
          </w:tcPr>
          <w:p w14:paraId="73B57BF4"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14,174</w:t>
            </w:r>
          </w:p>
        </w:tc>
        <w:tc>
          <w:tcPr>
            <w:tcW w:w="1002" w:type="dxa"/>
            <w:hideMark/>
          </w:tcPr>
          <w:p w14:paraId="14612B77" w14:textId="77777777" w:rsidR="00647502" w:rsidRPr="001529AC" w:rsidRDefault="00647502" w:rsidP="00F7387D">
            <w:pPr>
              <w:pStyle w:val="NormalWeb"/>
              <w:rPr>
                <w:sz w:val="18"/>
                <w:szCs w:val="18"/>
                <w:lang w:val="en-GB"/>
              </w:rPr>
            </w:pPr>
            <w:r w:rsidRPr="001529AC">
              <w:rPr>
                <w:sz w:val="18"/>
                <w:szCs w:val="18"/>
                <w:lang w:val="en-GB"/>
              </w:rPr>
              <w:t>0.02%</w:t>
            </w:r>
          </w:p>
        </w:tc>
        <w:tc>
          <w:tcPr>
            <w:tcW w:w="1535" w:type="dxa"/>
            <w:hideMark/>
          </w:tcPr>
          <w:p w14:paraId="6ECD3664" w14:textId="77777777" w:rsidR="00647502" w:rsidRPr="001529AC" w:rsidRDefault="00647502" w:rsidP="00F7387D">
            <w:pPr>
              <w:pStyle w:val="NormalWeb"/>
              <w:rPr>
                <w:sz w:val="18"/>
                <w:szCs w:val="18"/>
                <w:lang w:val="en-GB"/>
              </w:rPr>
            </w:pPr>
            <w:r w:rsidRPr="001529AC">
              <w:rPr>
                <w:sz w:val="18"/>
                <w:szCs w:val="18"/>
                <w:lang w:val="en-GB"/>
              </w:rPr>
              <w:t>3</w:t>
            </w:r>
          </w:p>
        </w:tc>
      </w:tr>
      <w:tr w:rsidR="00647502" w:rsidRPr="001529AC" w14:paraId="1E109D26" w14:textId="77777777" w:rsidTr="00464F1B">
        <w:trPr>
          <w:cnfStyle w:val="000000010000" w:firstRow="0" w:lastRow="0" w:firstColumn="0" w:lastColumn="0" w:oddVBand="0" w:evenVBand="0" w:oddHBand="0" w:evenHBand="1" w:firstRowFirstColumn="0" w:firstRowLastColumn="0" w:lastRowFirstColumn="0" w:lastRowLastColumn="0"/>
          <w:divId w:val="579758760"/>
        </w:trPr>
        <w:tc>
          <w:tcPr>
            <w:tcW w:w="2552" w:type="dxa"/>
            <w:hideMark/>
          </w:tcPr>
          <w:p w14:paraId="622D6DB5" w14:textId="77777777" w:rsidR="00647502" w:rsidRPr="001529AC" w:rsidRDefault="00647502" w:rsidP="00F7387D">
            <w:pPr>
              <w:pStyle w:val="NormalWeb"/>
              <w:jc w:val="left"/>
              <w:rPr>
                <w:sz w:val="18"/>
                <w:szCs w:val="18"/>
                <w:lang w:val="en-GB"/>
              </w:rPr>
            </w:pPr>
            <w:r w:rsidRPr="001529AC">
              <w:rPr>
                <w:sz w:val="18"/>
                <w:szCs w:val="18"/>
                <w:lang w:val="en-GB"/>
              </w:rPr>
              <w:t>Peel</w:t>
            </w:r>
          </w:p>
        </w:tc>
        <w:tc>
          <w:tcPr>
            <w:tcW w:w="709" w:type="dxa"/>
            <w:hideMark/>
          </w:tcPr>
          <w:p w14:paraId="03D6919F" w14:textId="77777777" w:rsidR="00647502" w:rsidRPr="001529AC" w:rsidRDefault="00647502" w:rsidP="00F7387D">
            <w:pPr>
              <w:pStyle w:val="NormalWeb"/>
              <w:rPr>
                <w:sz w:val="18"/>
                <w:szCs w:val="18"/>
                <w:lang w:val="en-GB"/>
              </w:rPr>
            </w:pPr>
            <w:r w:rsidRPr="001529AC">
              <w:rPr>
                <w:sz w:val="18"/>
                <w:szCs w:val="18"/>
                <w:lang w:val="en-GB"/>
              </w:rPr>
              <w:t>16</w:t>
            </w:r>
          </w:p>
        </w:tc>
        <w:tc>
          <w:tcPr>
            <w:tcW w:w="992" w:type="dxa"/>
            <w:hideMark/>
          </w:tcPr>
          <w:p w14:paraId="599D4492" w14:textId="77777777" w:rsidR="00647502" w:rsidRPr="001529AC" w:rsidRDefault="00647502" w:rsidP="00F7387D">
            <w:pPr>
              <w:pStyle w:val="NormalWeb"/>
              <w:rPr>
                <w:sz w:val="18"/>
                <w:szCs w:val="18"/>
                <w:lang w:val="en-GB"/>
              </w:rPr>
            </w:pPr>
            <w:r w:rsidRPr="001529AC">
              <w:rPr>
                <w:sz w:val="18"/>
                <w:szCs w:val="18"/>
                <w:lang w:val="en-GB"/>
              </w:rPr>
              <w:t>18,579</w:t>
            </w:r>
          </w:p>
        </w:tc>
        <w:tc>
          <w:tcPr>
            <w:tcW w:w="992" w:type="dxa"/>
            <w:hideMark/>
          </w:tcPr>
          <w:p w14:paraId="015C7DA5" w14:textId="77777777" w:rsidR="00647502" w:rsidRPr="001529AC" w:rsidRDefault="00647502" w:rsidP="00F7387D">
            <w:pPr>
              <w:pStyle w:val="NormalWeb"/>
              <w:rPr>
                <w:sz w:val="18"/>
                <w:szCs w:val="18"/>
                <w:lang w:val="en-GB"/>
              </w:rPr>
            </w:pPr>
            <w:r w:rsidRPr="001529AC">
              <w:rPr>
                <w:sz w:val="18"/>
                <w:szCs w:val="18"/>
                <w:lang w:val="en-GB"/>
              </w:rPr>
              <w:t>18,595</w:t>
            </w:r>
          </w:p>
        </w:tc>
        <w:tc>
          <w:tcPr>
            <w:tcW w:w="1134" w:type="dxa"/>
            <w:hideMark/>
          </w:tcPr>
          <w:p w14:paraId="544CC5EF" w14:textId="77777777" w:rsidR="00647502" w:rsidRPr="001529AC" w:rsidRDefault="00647502" w:rsidP="00F7387D">
            <w:pPr>
              <w:pStyle w:val="NormalWeb"/>
              <w:rPr>
                <w:sz w:val="18"/>
                <w:szCs w:val="18"/>
                <w:lang w:val="en-GB"/>
              </w:rPr>
            </w:pPr>
            <w:r w:rsidRPr="001529AC">
              <w:rPr>
                <w:sz w:val="18"/>
                <w:szCs w:val="18"/>
                <w:lang w:val="en-GB"/>
              </w:rPr>
              <w:t>86,259</w:t>
            </w:r>
          </w:p>
        </w:tc>
        <w:tc>
          <w:tcPr>
            <w:tcW w:w="1550" w:type="dxa"/>
            <w:hideMark/>
          </w:tcPr>
          <w:p w14:paraId="20523500"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21,557</w:t>
            </w:r>
          </w:p>
        </w:tc>
        <w:tc>
          <w:tcPr>
            <w:tcW w:w="1002" w:type="dxa"/>
            <w:hideMark/>
          </w:tcPr>
          <w:p w14:paraId="0CC7F168" w14:textId="77777777" w:rsidR="00647502" w:rsidRPr="001529AC" w:rsidRDefault="00647502" w:rsidP="00F7387D">
            <w:pPr>
              <w:pStyle w:val="NormalWeb"/>
              <w:rPr>
                <w:sz w:val="18"/>
                <w:szCs w:val="18"/>
                <w:lang w:val="en-GB"/>
              </w:rPr>
            </w:pPr>
            <w:r w:rsidRPr="001529AC">
              <w:rPr>
                <w:sz w:val="18"/>
                <w:szCs w:val="18"/>
                <w:lang w:val="en-GB"/>
              </w:rPr>
              <w:t>0.09%</w:t>
            </w:r>
          </w:p>
        </w:tc>
        <w:tc>
          <w:tcPr>
            <w:tcW w:w="1535" w:type="dxa"/>
            <w:hideMark/>
          </w:tcPr>
          <w:p w14:paraId="6D84E34B" w14:textId="77777777" w:rsidR="00647502" w:rsidRPr="001529AC" w:rsidRDefault="00647502" w:rsidP="00F7387D">
            <w:pPr>
              <w:pStyle w:val="NormalWeb"/>
              <w:rPr>
                <w:sz w:val="18"/>
                <w:szCs w:val="18"/>
                <w:lang w:val="en-GB"/>
              </w:rPr>
            </w:pPr>
            <w:r w:rsidRPr="001529AC">
              <w:rPr>
                <w:sz w:val="18"/>
                <w:szCs w:val="18"/>
                <w:lang w:val="en-GB"/>
              </w:rPr>
              <w:t>19</w:t>
            </w:r>
          </w:p>
        </w:tc>
      </w:tr>
      <w:tr w:rsidR="00647502" w:rsidRPr="001529AC" w14:paraId="5FBFD16F" w14:textId="77777777" w:rsidTr="00464F1B">
        <w:trPr>
          <w:divId w:val="579758760"/>
        </w:trPr>
        <w:tc>
          <w:tcPr>
            <w:tcW w:w="2552" w:type="dxa"/>
            <w:hideMark/>
          </w:tcPr>
          <w:p w14:paraId="7E6979AB" w14:textId="77777777" w:rsidR="00647502" w:rsidRPr="001529AC" w:rsidRDefault="00647502" w:rsidP="00F7387D">
            <w:pPr>
              <w:pStyle w:val="NormalWeb"/>
              <w:jc w:val="left"/>
              <w:rPr>
                <w:sz w:val="18"/>
                <w:szCs w:val="18"/>
                <w:lang w:val="en-GB"/>
              </w:rPr>
            </w:pPr>
            <w:r w:rsidRPr="001529AC">
              <w:rPr>
                <w:sz w:val="18"/>
                <w:szCs w:val="18"/>
                <w:lang w:val="en-GB"/>
              </w:rPr>
              <w:t>Tablelands</w:t>
            </w:r>
          </w:p>
        </w:tc>
        <w:tc>
          <w:tcPr>
            <w:tcW w:w="709" w:type="dxa"/>
            <w:hideMark/>
          </w:tcPr>
          <w:p w14:paraId="2F6D7E2C" w14:textId="77777777" w:rsidR="00647502" w:rsidRPr="001529AC" w:rsidRDefault="00647502" w:rsidP="00F7387D">
            <w:pPr>
              <w:pStyle w:val="NormalWeb"/>
              <w:rPr>
                <w:sz w:val="18"/>
                <w:szCs w:val="18"/>
                <w:lang w:val="en-GB"/>
              </w:rPr>
            </w:pPr>
            <w:r w:rsidRPr="001529AC">
              <w:rPr>
                <w:sz w:val="18"/>
                <w:szCs w:val="18"/>
                <w:lang w:val="en-GB"/>
              </w:rPr>
              <w:t>13</w:t>
            </w:r>
          </w:p>
        </w:tc>
        <w:tc>
          <w:tcPr>
            <w:tcW w:w="992" w:type="dxa"/>
            <w:hideMark/>
          </w:tcPr>
          <w:p w14:paraId="168E2AF0" w14:textId="77777777" w:rsidR="00647502" w:rsidRPr="001529AC" w:rsidRDefault="00647502" w:rsidP="00F7387D">
            <w:pPr>
              <w:pStyle w:val="NormalWeb"/>
              <w:rPr>
                <w:sz w:val="18"/>
                <w:szCs w:val="18"/>
                <w:lang w:val="en-GB"/>
              </w:rPr>
            </w:pPr>
            <w:r w:rsidRPr="001529AC">
              <w:rPr>
                <w:sz w:val="18"/>
                <w:szCs w:val="18"/>
                <w:lang w:val="en-GB"/>
              </w:rPr>
              <w:t>12,032</w:t>
            </w:r>
          </w:p>
        </w:tc>
        <w:tc>
          <w:tcPr>
            <w:tcW w:w="992" w:type="dxa"/>
            <w:hideMark/>
          </w:tcPr>
          <w:p w14:paraId="67120191" w14:textId="77777777" w:rsidR="00647502" w:rsidRPr="001529AC" w:rsidRDefault="00647502" w:rsidP="00F7387D">
            <w:pPr>
              <w:pStyle w:val="NormalWeb"/>
              <w:rPr>
                <w:sz w:val="18"/>
                <w:szCs w:val="18"/>
                <w:lang w:val="en-GB"/>
              </w:rPr>
            </w:pPr>
            <w:r w:rsidRPr="001529AC">
              <w:rPr>
                <w:sz w:val="18"/>
                <w:szCs w:val="18"/>
                <w:lang w:val="en-GB"/>
              </w:rPr>
              <w:t>12,045</w:t>
            </w:r>
          </w:p>
        </w:tc>
        <w:tc>
          <w:tcPr>
            <w:tcW w:w="1134" w:type="dxa"/>
            <w:hideMark/>
          </w:tcPr>
          <w:p w14:paraId="38D30359" w14:textId="77777777" w:rsidR="00647502" w:rsidRPr="001529AC" w:rsidRDefault="00647502" w:rsidP="00F7387D">
            <w:pPr>
              <w:pStyle w:val="NormalWeb"/>
              <w:rPr>
                <w:sz w:val="18"/>
                <w:szCs w:val="18"/>
                <w:lang w:val="en-GB"/>
              </w:rPr>
            </w:pPr>
            <w:r w:rsidRPr="001529AC">
              <w:rPr>
                <w:sz w:val="18"/>
                <w:szCs w:val="18"/>
                <w:lang w:val="en-GB"/>
              </w:rPr>
              <w:t>69,146</w:t>
            </w:r>
          </w:p>
        </w:tc>
        <w:tc>
          <w:tcPr>
            <w:tcW w:w="1550" w:type="dxa"/>
            <w:hideMark/>
          </w:tcPr>
          <w:p w14:paraId="123447D9"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17,420</w:t>
            </w:r>
          </w:p>
        </w:tc>
        <w:tc>
          <w:tcPr>
            <w:tcW w:w="1002" w:type="dxa"/>
            <w:hideMark/>
          </w:tcPr>
          <w:p w14:paraId="7AB5137D" w14:textId="77777777" w:rsidR="00647502" w:rsidRPr="001529AC" w:rsidRDefault="00647502" w:rsidP="00F7387D">
            <w:pPr>
              <w:pStyle w:val="NormalWeb"/>
              <w:rPr>
                <w:sz w:val="18"/>
                <w:szCs w:val="18"/>
                <w:lang w:val="en-GB"/>
              </w:rPr>
            </w:pPr>
            <w:r w:rsidRPr="001529AC">
              <w:rPr>
                <w:sz w:val="18"/>
                <w:szCs w:val="18"/>
                <w:lang w:val="en-GB"/>
              </w:rPr>
              <w:t>0.11%</w:t>
            </w:r>
          </w:p>
        </w:tc>
        <w:tc>
          <w:tcPr>
            <w:tcW w:w="1535" w:type="dxa"/>
            <w:hideMark/>
          </w:tcPr>
          <w:p w14:paraId="0FB9A371" w14:textId="77777777" w:rsidR="00647502" w:rsidRPr="001529AC" w:rsidRDefault="00647502" w:rsidP="00F7387D">
            <w:pPr>
              <w:pStyle w:val="NormalWeb"/>
              <w:rPr>
                <w:sz w:val="18"/>
                <w:szCs w:val="18"/>
                <w:lang w:val="en-GB"/>
              </w:rPr>
            </w:pPr>
            <w:r w:rsidRPr="001529AC">
              <w:rPr>
                <w:sz w:val="18"/>
                <w:szCs w:val="18"/>
                <w:lang w:val="en-GB"/>
              </w:rPr>
              <w:t>19</w:t>
            </w:r>
          </w:p>
        </w:tc>
      </w:tr>
      <w:tr w:rsidR="00647502" w:rsidRPr="00775F06" w14:paraId="328CDA24" w14:textId="77777777" w:rsidTr="00464F1B">
        <w:trPr>
          <w:cnfStyle w:val="000000010000" w:firstRow="0" w:lastRow="0" w:firstColumn="0" w:lastColumn="0" w:oddVBand="0" w:evenVBand="0" w:oddHBand="0" w:evenHBand="1" w:firstRowFirstColumn="0" w:firstRowLastColumn="0" w:lastRowFirstColumn="0" w:lastRowLastColumn="0"/>
          <w:divId w:val="579758760"/>
        </w:trPr>
        <w:tc>
          <w:tcPr>
            <w:tcW w:w="2552" w:type="dxa"/>
            <w:hideMark/>
          </w:tcPr>
          <w:p w14:paraId="5CD26FAE" w14:textId="77777777" w:rsidR="00647502" w:rsidRPr="00775F06" w:rsidRDefault="00647502" w:rsidP="00F7387D">
            <w:pPr>
              <w:pStyle w:val="NormalWeb"/>
              <w:jc w:val="left"/>
              <w:rPr>
                <w:b/>
                <w:bCs/>
                <w:sz w:val="18"/>
                <w:szCs w:val="18"/>
                <w:lang w:val="en-GB"/>
              </w:rPr>
            </w:pPr>
            <w:r w:rsidRPr="00775F06">
              <w:rPr>
                <w:b/>
                <w:bCs/>
                <w:sz w:val="18"/>
                <w:szCs w:val="18"/>
                <w:lang w:val="en-GB"/>
              </w:rPr>
              <w:t>Total (all HNE sectors)</w:t>
            </w:r>
          </w:p>
        </w:tc>
        <w:tc>
          <w:tcPr>
            <w:tcW w:w="709" w:type="dxa"/>
            <w:hideMark/>
          </w:tcPr>
          <w:p w14:paraId="101356AE" w14:textId="77777777" w:rsidR="00647502" w:rsidRPr="00775F06" w:rsidRDefault="00647502" w:rsidP="00F7387D">
            <w:pPr>
              <w:pStyle w:val="NormalWeb"/>
              <w:rPr>
                <w:b/>
                <w:bCs/>
                <w:sz w:val="18"/>
                <w:szCs w:val="18"/>
                <w:lang w:val="en-GB"/>
              </w:rPr>
            </w:pPr>
            <w:r w:rsidRPr="00775F06">
              <w:rPr>
                <w:b/>
                <w:bCs/>
                <w:sz w:val="18"/>
                <w:szCs w:val="18"/>
                <w:lang w:val="en-GB"/>
              </w:rPr>
              <w:t>299</w:t>
            </w:r>
          </w:p>
        </w:tc>
        <w:tc>
          <w:tcPr>
            <w:tcW w:w="992" w:type="dxa"/>
            <w:hideMark/>
          </w:tcPr>
          <w:p w14:paraId="50F11D56" w14:textId="77777777" w:rsidR="00647502" w:rsidRPr="00775F06" w:rsidRDefault="00647502" w:rsidP="00F7387D">
            <w:pPr>
              <w:pStyle w:val="NormalWeb"/>
              <w:rPr>
                <w:b/>
                <w:bCs/>
                <w:sz w:val="18"/>
                <w:szCs w:val="18"/>
                <w:lang w:val="en-GB"/>
              </w:rPr>
            </w:pPr>
            <w:r w:rsidRPr="00775F06">
              <w:rPr>
                <w:b/>
                <w:bCs/>
                <w:sz w:val="18"/>
                <w:szCs w:val="18"/>
                <w:lang w:val="en-GB"/>
              </w:rPr>
              <w:t>224,365</w:t>
            </w:r>
          </w:p>
        </w:tc>
        <w:tc>
          <w:tcPr>
            <w:tcW w:w="992" w:type="dxa"/>
            <w:hideMark/>
          </w:tcPr>
          <w:p w14:paraId="4CFF5B10" w14:textId="77777777" w:rsidR="00647502" w:rsidRPr="00775F06" w:rsidRDefault="00647502" w:rsidP="00F7387D">
            <w:pPr>
              <w:pStyle w:val="NormalWeb"/>
              <w:rPr>
                <w:b/>
                <w:bCs/>
                <w:sz w:val="18"/>
                <w:szCs w:val="18"/>
                <w:lang w:val="en-GB"/>
              </w:rPr>
            </w:pPr>
            <w:r w:rsidRPr="00775F06">
              <w:rPr>
                <w:b/>
                <w:bCs/>
                <w:sz w:val="18"/>
                <w:szCs w:val="18"/>
                <w:lang w:val="en-GB"/>
              </w:rPr>
              <w:t>224,664</w:t>
            </w:r>
          </w:p>
        </w:tc>
        <w:tc>
          <w:tcPr>
            <w:tcW w:w="1134" w:type="dxa"/>
            <w:hideMark/>
          </w:tcPr>
          <w:p w14:paraId="7B554116" w14:textId="77777777" w:rsidR="00647502" w:rsidRPr="00775F06" w:rsidRDefault="00647502" w:rsidP="00F7387D">
            <w:pPr>
              <w:pStyle w:val="NormalWeb"/>
              <w:rPr>
                <w:b/>
                <w:bCs/>
                <w:sz w:val="18"/>
                <w:szCs w:val="18"/>
                <w:lang w:val="en-GB"/>
              </w:rPr>
            </w:pPr>
            <w:r w:rsidRPr="00775F06">
              <w:rPr>
                <w:b/>
                <w:bCs/>
                <w:sz w:val="18"/>
                <w:szCs w:val="18"/>
                <w:lang w:val="en-GB"/>
              </w:rPr>
              <w:t>934,535</w:t>
            </w:r>
          </w:p>
        </w:tc>
        <w:tc>
          <w:tcPr>
            <w:tcW w:w="1550" w:type="dxa"/>
            <w:hideMark/>
          </w:tcPr>
          <w:p w14:paraId="10AEE5C0" w14:textId="77777777" w:rsidR="00647502" w:rsidRPr="00775F06" w:rsidRDefault="00647502" w:rsidP="00F7387D">
            <w:pPr>
              <w:pStyle w:val="NormalWeb"/>
              <w:rPr>
                <w:b/>
                <w:bCs/>
                <w:sz w:val="18"/>
                <w:szCs w:val="18"/>
                <w:lang w:val="en-GB"/>
              </w:rPr>
            </w:pPr>
            <w:r w:rsidRPr="00775F06">
              <w:rPr>
                <w:b/>
                <w:bCs/>
                <w:sz w:val="18"/>
                <w:szCs w:val="18"/>
                <w:lang w:val="en-GB"/>
              </w:rPr>
              <w:t>24,040</w:t>
            </w:r>
          </w:p>
        </w:tc>
        <w:tc>
          <w:tcPr>
            <w:tcW w:w="1002" w:type="dxa"/>
            <w:hideMark/>
          </w:tcPr>
          <w:p w14:paraId="20B0BADD" w14:textId="77777777" w:rsidR="00647502" w:rsidRPr="00775F06" w:rsidRDefault="00647502" w:rsidP="00F7387D">
            <w:pPr>
              <w:pStyle w:val="NormalWeb"/>
              <w:rPr>
                <w:b/>
                <w:bCs/>
                <w:sz w:val="18"/>
                <w:szCs w:val="18"/>
                <w:lang w:val="en-GB"/>
              </w:rPr>
            </w:pPr>
            <w:r w:rsidRPr="00775F06">
              <w:rPr>
                <w:b/>
                <w:bCs/>
                <w:sz w:val="18"/>
                <w:szCs w:val="18"/>
                <w:lang w:val="en-GB"/>
              </w:rPr>
              <w:t>0.13%</w:t>
            </w:r>
          </w:p>
        </w:tc>
        <w:tc>
          <w:tcPr>
            <w:tcW w:w="1535" w:type="dxa"/>
            <w:hideMark/>
          </w:tcPr>
          <w:p w14:paraId="36FD6808" w14:textId="77777777" w:rsidR="00647502" w:rsidRPr="00775F06" w:rsidRDefault="00647502" w:rsidP="00F7387D">
            <w:pPr>
              <w:pStyle w:val="NormalWeb"/>
              <w:rPr>
                <w:b/>
                <w:bCs/>
                <w:sz w:val="18"/>
                <w:szCs w:val="18"/>
                <w:lang w:val="en-GB"/>
              </w:rPr>
            </w:pPr>
            <w:r w:rsidRPr="00775F06">
              <w:rPr>
                <w:b/>
                <w:bCs/>
                <w:sz w:val="18"/>
                <w:szCs w:val="18"/>
                <w:lang w:val="en-GB"/>
              </w:rPr>
              <w:t>32</w:t>
            </w:r>
          </w:p>
        </w:tc>
      </w:tr>
      <w:tr w:rsidR="00647502" w:rsidRPr="0056489D" w14:paraId="4B7A202B" w14:textId="77777777" w:rsidTr="00464F1B">
        <w:trPr>
          <w:divId w:val="579758760"/>
        </w:trPr>
        <w:tc>
          <w:tcPr>
            <w:tcW w:w="2552" w:type="dxa"/>
            <w:shd w:val="clear" w:color="auto" w:fill="F7ECDD"/>
            <w:hideMark/>
          </w:tcPr>
          <w:p w14:paraId="60996BBF" w14:textId="77777777" w:rsidR="00647502" w:rsidRPr="0056489D" w:rsidRDefault="00647502" w:rsidP="00F7387D">
            <w:pPr>
              <w:pStyle w:val="NormalWeb"/>
              <w:jc w:val="left"/>
              <w:rPr>
                <w:b/>
                <w:bCs/>
                <w:sz w:val="18"/>
                <w:szCs w:val="18"/>
                <w:lang w:val="en-GB"/>
              </w:rPr>
            </w:pPr>
            <w:r w:rsidRPr="0056489D">
              <w:rPr>
                <w:b/>
                <w:bCs/>
                <w:sz w:val="18"/>
                <w:szCs w:val="18"/>
                <w:lang w:val="en-GB"/>
              </w:rPr>
              <w:t>Total (all NSW LGAs)</w:t>
            </w:r>
          </w:p>
        </w:tc>
        <w:tc>
          <w:tcPr>
            <w:tcW w:w="709" w:type="dxa"/>
            <w:shd w:val="clear" w:color="auto" w:fill="F7ECDD"/>
            <w:hideMark/>
          </w:tcPr>
          <w:p w14:paraId="78C761F7" w14:textId="77777777" w:rsidR="00647502" w:rsidRPr="0056489D" w:rsidRDefault="00647502" w:rsidP="00F7387D">
            <w:pPr>
              <w:pStyle w:val="NormalWeb"/>
              <w:rPr>
                <w:b/>
                <w:bCs/>
                <w:sz w:val="18"/>
                <w:szCs w:val="18"/>
                <w:lang w:val="en-GB"/>
              </w:rPr>
            </w:pPr>
            <w:r w:rsidRPr="0056489D">
              <w:rPr>
                <w:b/>
                <w:bCs/>
                <w:sz w:val="18"/>
                <w:szCs w:val="18"/>
                <w:lang w:val="en-GB"/>
              </w:rPr>
              <w:t>3,999</w:t>
            </w:r>
          </w:p>
        </w:tc>
        <w:tc>
          <w:tcPr>
            <w:tcW w:w="992" w:type="dxa"/>
            <w:shd w:val="clear" w:color="auto" w:fill="F7ECDD"/>
            <w:hideMark/>
          </w:tcPr>
          <w:p w14:paraId="140629EF" w14:textId="77777777" w:rsidR="00647502" w:rsidRPr="0056489D" w:rsidRDefault="00647502" w:rsidP="00F7387D">
            <w:pPr>
              <w:pStyle w:val="NormalWeb"/>
              <w:rPr>
                <w:b/>
                <w:bCs/>
                <w:sz w:val="18"/>
                <w:szCs w:val="18"/>
                <w:lang w:val="en-GB"/>
              </w:rPr>
            </w:pPr>
            <w:r w:rsidRPr="0056489D">
              <w:rPr>
                <w:b/>
                <w:bCs/>
                <w:sz w:val="18"/>
                <w:szCs w:val="18"/>
                <w:lang w:val="en-GB"/>
              </w:rPr>
              <w:t>2,000,828</w:t>
            </w:r>
          </w:p>
        </w:tc>
        <w:tc>
          <w:tcPr>
            <w:tcW w:w="992" w:type="dxa"/>
            <w:shd w:val="clear" w:color="auto" w:fill="F7ECDD"/>
            <w:hideMark/>
          </w:tcPr>
          <w:p w14:paraId="4B836A33" w14:textId="77777777" w:rsidR="00647502" w:rsidRPr="0056489D" w:rsidRDefault="00647502" w:rsidP="00F7387D">
            <w:pPr>
              <w:pStyle w:val="NormalWeb"/>
              <w:rPr>
                <w:b/>
                <w:bCs/>
                <w:sz w:val="18"/>
                <w:szCs w:val="18"/>
                <w:lang w:val="en-GB"/>
              </w:rPr>
            </w:pPr>
            <w:r w:rsidRPr="0056489D">
              <w:rPr>
                <w:b/>
                <w:bCs/>
                <w:sz w:val="18"/>
                <w:szCs w:val="18"/>
                <w:lang w:val="en-GB"/>
              </w:rPr>
              <w:t>2,004,281</w:t>
            </w:r>
          </w:p>
        </w:tc>
        <w:tc>
          <w:tcPr>
            <w:tcW w:w="1134" w:type="dxa"/>
            <w:shd w:val="clear" w:color="auto" w:fill="F7ECDD"/>
            <w:hideMark/>
          </w:tcPr>
          <w:p w14:paraId="0B8DFF19" w14:textId="77777777" w:rsidR="00647502" w:rsidRPr="0056489D" w:rsidRDefault="00647502" w:rsidP="00F7387D">
            <w:pPr>
              <w:pStyle w:val="NormalWeb"/>
              <w:rPr>
                <w:b/>
                <w:bCs/>
                <w:sz w:val="18"/>
                <w:szCs w:val="18"/>
                <w:lang w:val="en-GB"/>
              </w:rPr>
            </w:pPr>
            <w:r w:rsidRPr="0056489D">
              <w:rPr>
                <w:b/>
                <w:bCs/>
                <w:sz w:val="18"/>
                <w:szCs w:val="18"/>
                <w:lang w:val="en-GB"/>
              </w:rPr>
              <w:t>8,088,791</w:t>
            </w:r>
          </w:p>
        </w:tc>
        <w:tc>
          <w:tcPr>
            <w:tcW w:w="1550" w:type="dxa"/>
            <w:shd w:val="clear" w:color="auto" w:fill="F7ECDD"/>
            <w:hideMark/>
          </w:tcPr>
          <w:p w14:paraId="61800A04" w14:textId="77777777" w:rsidR="00647502" w:rsidRPr="005F4C66" w:rsidRDefault="00647502" w:rsidP="00F7387D">
            <w:pPr>
              <w:pStyle w:val="NormalWeb"/>
              <w:rPr>
                <w:b/>
                <w:bCs/>
                <w:sz w:val="18"/>
                <w:szCs w:val="18"/>
                <w:lang w:val="en-GB"/>
              </w:rPr>
            </w:pPr>
            <w:r w:rsidRPr="005F4C66">
              <w:rPr>
                <w:b/>
                <w:bCs/>
                <w:sz w:val="18"/>
                <w:szCs w:val="18"/>
                <w:lang w:val="en-GB"/>
              </w:rPr>
              <w:t>24,778</w:t>
            </w:r>
          </w:p>
        </w:tc>
        <w:tc>
          <w:tcPr>
            <w:tcW w:w="1002" w:type="dxa"/>
            <w:shd w:val="clear" w:color="auto" w:fill="F7ECDD"/>
            <w:hideMark/>
          </w:tcPr>
          <w:p w14:paraId="080D348A" w14:textId="77777777" w:rsidR="00647502" w:rsidRPr="0056489D" w:rsidRDefault="00647502" w:rsidP="00F7387D">
            <w:pPr>
              <w:pStyle w:val="NormalWeb"/>
              <w:rPr>
                <w:b/>
                <w:bCs/>
                <w:sz w:val="18"/>
                <w:szCs w:val="18"/>
                <w:lang w:val="en-GB"/>
              </w:rPr>
            </w:pPr>
            <w:r w:rsidRPr="0056489D">
              <w:rPr>
                <w:b/>
                <w:bCs/>
                <w:sz w:val="18"/>
                <w:szCs w:val="18"/>
                <w:lang w:val="en-GB"/>
              </w:rPr>
              <w:t>0.20%</w:t>
            </w:r>
          </w:p>
        </w:tc>
        <w:tc>
          <w:tcPr>
            <w:tcW w:w="1535" w:type="dxa"/>
            <w:shd w:val="clear" w:color="auto" w:fill="F7ECDD"/>
            <w:hideMark/>
          </w:tcPr>
          <w:p w14:paraId="7DA559FC" w14:textId="77777777" w:rsidR="00647502" w:rsidRPr="0056489D" w:rsidRDefault="00647502" w:rsidP="00F7387D">
            <w:pPr>
              <w:pStyle w:val="NormalWeb"/>
              <w:rPr>
                <w:b/>
                <w:bCs/>
                <w:sz w:val="18"/>
                <w:szCs w:val="18"/>
                <w:lang w:val="en-GB"/>
              </w:rPr>
            </w:pPr>
            <w:r w:rsidRPr="0056489D">
              <w:rPr>
                <w:b/>
                <w:bCs/>
                <w:sz w:val="18"/>
                <w:szCs w:val="18"/>
                <w:lang w:val="en-GB"/>
              </w:rPr>
              <w:t>49</w:t>
            </w:r>
          </w:p>
        </w:tc>
      </w:tr>
    </w:tbl>
    <w:p w14:paraId="6DC3AD62" w14:textId="77777777" w:rsidR="00647502" w:rsidRDefault="00647502" w:rsidP="00920A0B">
      <w:pPr>
        <w:divId w:val="579758760"/>
      </w:pPr>
    </w:p>
    <w:p w14:paraId="318C1CEE" w14:textId="3C358F35" w:rsidR="00920A0B" w:rsidRDefault="00920A0B" w:rsidP="00920A0B">
      <w:pPr>
        <w:divId w:val="579758760"/>
      </w:pPr>
      <w:r>
        <w:t xml:space="preserve">Using Hunter Valley sector, with a testing rate of 22,844/100,000 residents as an example, we considered the rates in the three LGAs making up this sector (Table 2). </w:t>
      </w:r>
    </w:p>
    <w:p w14:paraId="2AC8F631" w14:textId="77777777" w:rsidR="00647502" w:rsidRDefault="00647502">
      <w:r>
        <w:br w:type="page"/>
      </w:r>
    </w:p>
    <w:p w14:paraId="7A9982E6" w14:textId="77777777" w:rsidR="00647502" w:rsidRDefault="00647502" w:rsidP="00647502">
      <w:pPr>
        <w:pStyle w:val="NormalWeb"/>
        <w:divId w:val="579758760"/>
        <w:rPr>
          <w:lang w:val="en-GB"/>
        </w:rPr>
      </w:pPr>
      <w:r>
        <w:rPr>
          <w:rStyle w:val="Strong"/>
          <w:lang w:val="en-GB"/>
        </w:rPr>
        <w:lastRenderedPageBreak/>
        <w:t>Table 2: Example of testing rates for local government areas (LGAs) in the Hunter Valley sector and NSW, 1 February 2020 – 10 September 2020</w:t>
      </w:r>
    </w:p>
    <w:tbl>
      <w:tblPr>
        <w:tblStyle w:val="CDI-StandardTable"/>
        <w:tblW w:w="0" w:type="auto"/>
        <w:tblLook w:val="04A0" w:firstRow="1" w:lastRow="0" w:firstColumn="1" w:lastColumn="0" w:noHBand="0" w:noVBand="1"/>
        <w:tblDescription w:val="Table of one health service sector (Hunter Valley) in Hunter New England and further showing the Local Government areas that make up that sector as well as NSW as a whole showing cases, testing numbers, 2019 population, test rates, percent positivity and case rates.&#10;"/>
      </w:tblPr>
      <w:tblGrid>
        <w:gridCol w:w="1701"/>
        <w:gridCol w:w="1559"/>
        <w:gridCol w:w="567"/>
        <w:gridCol w:w="989"/>
        <w:gridCol w:w="853"/>
        <w:gridCol w:w="994"/>
        <w:gridCol w:w="1559"/>
        <w:gridCol w:w="739"/>
        <w:gridCol w:w="1499"/>
      </w:tblGrid>
      <w:tr w:rsidR="00647502" w:rsidRPr="0056489D" w14:paraId="3307AF22" w14:textId="77777777" w:rsidTr="00A94F8A">
        <w:trPr>
          <w:cnfStyle w:val="100000000000" w:firstRow="1" w:lastRow="0" w:firstColumn="0" w:lastColumn="0" w:oddVBand="0" w:evenVBand="0" w:oddHBand="0" w:evenHBand="0" w:firstRowFirstColumn="0" w:firstRowLastColumn="0" w:lastRowFirstColumn="0" w:lastRowLastColumn="0"/>
          <w:divId w:val="579758760"/>
        </w:trPr>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tcBorders>
            <w:hideMark/>
          </w:tcPr>
          <w:p w14:paraId="6E3FAE3C" w14:textId="77777777" w:rsidR="00647502" w:rsidRPr="0056489D" w:rsidRDefault="00647502" w:rsidP="00F7387D">
            <w:pPr>
              <w:pStyle w:val="NormalWeb"/>
              <w:jc w:val="left"/>
              <w:rPr>
                <w:sz w:val="18"/>
                <w:szCs w:val="18"/>
                <w:lang w:val="en-GB"/>
              </w:rPr>
            </w:pPr>
            <w:r w:rsidRPr="0056489D">
              <w:rPr>
                <w:sz w:val="18"/>
                <w:szCs w:val="18"/>
                <w:lang w:val="en-GB"/>
              </w:rPr>
              <w:t>Sector</w:t>
            </w:r>
          </w:p>
        </w:tc>
        <w:tc>
          <w:tcPr>
            <w:tcW w:w="1559" w:type="dxa"/>
            <w:tcBorders>
              <w:top w:val="single" w:sz="2" w:space="0" w:color="808080" w:themeColor="background1" w:themeShade="80"/>
              <w:bottom w:val="single" w:sz="2" w:space="0" w:color="808080" w:themeColor="background1" w:themeShade="80"/>
            </w:tcBorders>
            <w:hideMark/>
          </w:tcPr>
          <w:p w14:paraId="1C0C173B" w14:textId="77777777" w:rsidR="00647502" w:rsidRPr="0056489D" w:rsidRDefault="00647502" w:rsidP="00F7387D">
            <w:pPr>
              <w:pStyle w:val="NormalWeb"/>
              <w:rPr>
                <w:sz w:val="18"/>
                <w:szCs w:val="18"/>
                <w:lang w:val="en-GB"/>
              </w:rPr>
            </w:pPr>
            <w:r w:rsidRPr="0056489D">
              <w:rPr>
                <w:sz w:val="18"/>
                <w:szCs w:val="18"/>
                <w:lang w:val="en-GB"/>
              </w:rPr>
              <w:t>Local government area</w:t>
            </w:r>
          </w:p>
        </w:tc>
        <w:tc>
          <w:tcPr>
            <w:tcW w:w="567" w:type="dxa"/>
            <w:tcBorders>
              <w:top w:val="single" w:sz="2" w:space="0" w:color="808080" w:themeColor="background1" w:themeShade="80"/>
              <w:bottom w:val="single" w:sz="2" w:space="0" w:color="808080" w:themeColor="background1" w:themeShade="80"/>
            </w:tcBorders>
            <w:hideMark/>
          </w:tcPr>
          <w:p w14:paraId="16E3E769" w14:textId="77777777" w:rsidR="00647502" w:rsidRPr="0056489D" w:rsidRDefault="00647502" w:rsidP="00F7387D">
            <w:pPr>
              <w:pStyle w:val="NormalWeb"/>
              <w:rPr>
                <w:sz w:val="18"/>
                <w:szCs w:val="18"/>
                <w:lang w:val="en-GB"/>
              </w:rPr>
            </w:pPr>
            <w:r w:rsidRPr="0056489D">
              <w:rPr>
                <w:sz w:val="18"/>
                <w:szCs w:val="18"/>
                <w:lang w:val="en-GB"/>
              </w:rPr>
              <w:t>Cases</w:t>
            </w:r>
          </w:p>
        </w:tc>
        <w:tc>
          <w:tcPr>
            <w:tcW w:w="989" w:type="dxa"/>
            <w:tcBorders>
              <w:top w:val="single" w:sz="2" w:space="0" w:color="808080" w:themeColor="background1" w:themeShade="80"/>
              <w:bottom w:val="single" w:sz="2" w:space="0" w:color="808080" w:themeColor="background1" w:themeShade="80"/>
            </w:tcBorders>
            <w:hideMark/>
          </w:tcPr>
          <w:p w14:paraId="40316ABB" w14:textId="77777777" w:rsidR="00647502" w:rsidRPr="0056489D" w:rsidRDefault="00647502" w:rsidP="00F7387D">
            <w:pPr>
              <w:pStyle w:val="NormalWeb"/>
              <w:rPr>
                <w:sz w:val="18"/>
                <w:szCs w:val="18"/>
                <w:lang w:val="en-GB"/>
              </w:rPr>
            </w:pPr>
            <w:r w:rsidRPr="0056489D">
              <w:rPr>
                <w:sz w:val="18"/>
                <w:szCs w:val="18"/>
                <w:lang w:val="en-GB"/>
              </w:rPr>
              <w:t>Tested &amp; excluded</w:t>
            </w:r>
          </w:p>
        </w:tc>
        <w:tc>
          <w:tcPr>
            <w:tcW w:w="853" w:type="dxa"/>
            <w:tcBorders>
              <w:top w:val="single" w:sz="2" w:space="0" w:color="808080" w:themeColor="background1" w:themeShade="80"/>
              <w:bottom w:val="single" w:sz="2" w:space="0" w:color="808080" w:themeColor="background1" w:themeShade="80"/>
            </w:tcBorders>
            <w:hideMark/>
          </w:tcPr>
          <w:p w14:paraId="42D85BA1" w14:textId="77777777" w:rsidR="00647502" w:rsidRPr="0056489D" w:rsidRDefault="00647502" w:rsidP="00F7387D">
            <w:pPr>
              <w:pStyle w:val="NormalWeb"/>
              <w:rPr>
                <w:sz w:val="18"/>
                <w:szCs w:val="18"/>
                <w:lang w:val="en-GB"/>
              </w:rPr>
            </w:pPr>
            <w:r w:rsidRPr="0056489D">
              <w:rPr>
                <w:sz w:val="18"/>
                <w:szCs w:val="18"/>
                <w:lang w:val="en-GB"/>
              </w:rPr>
              <w:t>Total tested</w:t>
            </w:r>
          </w:p>
        </w:tc>
        <w:tc>
          <w:tcPr>
            <w:tcW w:w="994" w:type="dxa"/>
            <w:tcBorders>
              <w:top w:val="single" w:sz="2" w:space="0" w:color="808080" w:themeColor="background1" w:themeShade="80"/>
              <w:bottom w:val="single" w:sz="2" w:space="0" w:color="808080" w:themeColor="background1" w:themeShade="80"/>
            </w:tcBorders>
            <w:hideMark/>
          </w:tcPr>
          <w:p w14:paraId="01400536" w14:textId="77777777" w:rsidR="00647502" w:rsidRPr="0056489D" w:rsidRDefault="00647502" w:rsidP="00F7387D">
            <w:pPr>
              <w:pStyle w:val="NormalWeb"/>
              <w:rPr>
                <w:sz w:val="18"/>
                <w:szCs w:val="18"/>
                <w:lang w:val="en-GB"/>
              </w:rPr>
            </w:pPr>
            <w:r w:rsidRPr="0056489D">
              <w:rPr>
                <w:sz w:val="18"/>
                <w:szCs w:val="18"/>
                <w:lang w:val="en-GB"/>
              </w:rPr>
              <w:t>2019 population</w:t>
            </w:r>
          </w:p>
        </w:tc>
        <w:tc>
          <w:tcPr>
            <w:tcW w:w="1559" w:type="dxa"/>
            <w:tcBorders>
              <w:top w:val="single" w:sz="2" w:space="0" w:color="808080" w:themeColor="background1" w:themeShade="80"/>
              <w:bottom w:val="single" w:sz="2" w:space="0" w:color="808080" w:themeColor="background1" w:themeShade="80"/>
            </w:tcBorders>
            <w:hideMark/>
          </w:tcPr>
          <w:p w14:paraId="1014944E" w14:textId="77777777" w:rsidR="00647502" w:rsidRPr="0056489D" w:rsidRDefault="00647502" w:rsidP="00F7387D">
            <w:pPr>
              <w:pStyle w:val="NormalWeb"/>
              <w:rPr>
                <w:sz w:val="18"/>
                <w:szCs w:val="18"/>
                <w:lang w:val="en-GB"/>
              </w:rPr>
            </w:pPr>
            <w:r w:rsidRPr="0056489D">
              <w:rPr>
                <w:sz w:val="18"/>
                <w:szCs w:val="18"/>
                <w:lang w:val="en-GB"/>
              </w:rPr>
              <w:t>Tests per 100,000 residents</w:t>
            </w:r>
          </w:p>
        </w:tc>
        <w:tc>
          <w:tcPr>
            <w:tcW w:w="739" w:type="dxa"/>
            <w:tcBorders>
              <w:top w:val="single" w:sz="2" w:space="0" w:color="808080" w:themeColor="background1" w:themeShade="80"/>
              <w:bottom w:val="single" w:sz="2" w:space="0" w:color="808080" w:themeColor="background1" w:themeShade="80"/>
            </w:tcBorders>
            <w:hideMark/>
          </w:tcPr>
          <w:p w14:paraId="008A23D9" w14:textId="77777777" w:rsidR="00647502" w:rsidRPr="0056489D" w:rsidRDefault="00647502" w:rsidP="00F7387D">
            <w:pPr>
              <w:pStyle w:val="NormalWeb"/>
              <w:rPr>
                <w:sz w:val="18"/>
                <w:szCs w:val="18"/>
                <w:lang w:val="en-GB"/>
              </w:rPr>
            </w:pPr>
            <w:r w:rsidRPr="0056489D">
              <w:rPr>
                <w:sz w:val="18"/>
                <w:szCs w:val="18"/>
                <w:lang w:val="en-GB"/>
              </w:rPr>
              <w:t>Percent positive</w:t>
            </w:r>
          </w:p>
        </w:tc>
        <w:tc>
          <w:tcPr>
            <w:tcW w:w="0" w:type="auto"/>
            <w:tcBorders>
              <w:top w:val="single" w:sz="2" w:space="0" w:color="808080" w:themeColor="background1" w:themeShade="80"/>
              <w:bottom w:val="single" w:sz="2" w:space="0" w:color="808080" w:themeColor="background1" w:themeShade="80"/>
              <w:right w:val="single" w:sz="2" w:space="0" w:color="808080" w:themeColor="background1" w:themeShade="80"/>
            </w:tcBorders>
            <w:hideMark/>
          </w:tcPr>
          <w:p w14:paraId="4E8DDA97" w14:textId="77777777" w:rsidR="00647502" w:rsidRPr="0056489D" w:rsidRDefault="00647502" w:rsidP="00F7387D">
            <w:pPr>
              <w:pStyle w:val="NormalWeb"/>
              <w:rPr>
                <w:sz w:val="18"/>
                <w:szCs w:val="18"/>
                <w:lang w:val="en-GB"/>
              </w:rPr>
            </w:pPr>
            <w:r w:rsidRPr="0056489D">
              <w:rPr>
                <w:sz w:val="18"/>
                <w:szCs w:val="18"/>
                <w:lang w:val="en-GB"/>
              </w:rPr>
              <w:t>Cases per 100,000 residents</w:t>
            </w:r>
          </w:p>
        </w:tc>
      </w:tr>
      <w:tr w:rsidR="00647502" w:rsidRPr="0056489D" w14:paraId="0748B79E" w14:textId="77777777" w:rsidTr="00F0075F">
        <w:trPr>
          <w:divId w:val="579758760"/>
        </w:trPr>
        <w:tc>
          <w:tcPr>
            <w:tcW w:w="1701"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D671A2" w14:textId="77777777" w:rsidR="00647502" w:rsidRPr="0056489D" w:rsidRDefault="00647502" w:rsidP="00F7387D">
            <w:pPr>
              <w:pStyle w:val="NormalWeb"/>
              <w:jc w:val="left"/>
              <w:rPr>
                <w:sz w:val="18"/>
                <w:szCs w:val="18"/>
                <w:lang w:val="en-GB"/>
              </w:rPr>
            </w:pPr>
            <w:r w:rsidRPr="0056489D">
              <w:rPr>
                <w:sz w:val="18"/>
                <w:szCs w:val="18"/>
                <w:lang w:val="en-GB"/>
              </w:rPr>
              <w:t>Hunter Valley</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5D23C3A" w14:textId="77777777" w:rsidR="00647502" w:rsidRPr="0056489D" w:rsidRDefault="00647502" w:rsidP="00F7387D">
            <w:pPr>
              <w:pStyle w:val="NormalWeb"/>
              <w:rPr>
                <w:sz w:val="18"/>
                <w:szCs w:val="18"/>
                <w:lang w:val="en-GB"/>
              </w:rPr>
            </w:pPr>
            <w:proofErr w:type="spellStart"/>
            <w:r w:rsidRPr="0056489D">
              <w:rPr>
                <w:sz w:val="18"/>
                <w:szCs w:val="18"/>
                <w:lang w:val="en-GB"/>
              </w:rPr>
              <w:t>Muswellbrook</w:t>
            </w:r>
            <w:proofErr w:type="spellEnd"/>
            <w:r w:rsidRPr="0056489D">
              <w:rPr>
                <w:sz w:val="18"/>
                <w:szCs w:val="18"/>
                <w:lang w:val="en-GB"/>
              </w:rPr>
              <w:t xml:space="preserve"> (A)</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5D57E2" w14:textId="77777777" w:rsidR="00647502" w:rsidRPr="0056489D" w:rsidRDefault="00647502" w:rsidP="00F7387D">
            <w:pPr>
              <w:pStyle w:val="NormalWeb"/>
              <w:rPr>
                <w:sz w:val="18"/>
                <w:szCs w:val="18"/>
                <w:lang w:val="en-GB"/>
              </w:rPr>
            </w:pPr>
            <w:r w:rsidRPr="0056489D">
              <w:rPr>
                <w:sz w:val="18"/>
                <w:szCs w:val="18"/>
                <w:lang w:val="en-GB"/>
              </w:rPr>
              <w:t>1</w:t>
            </w:r>
          </w:p>
        </w:tc>
        <w:tc>
          <w:tcPr>
            <w:tcW w:w="9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0158A3" w14:textId="77777777" w:rsidR="00647502" w:rsidRPr="0056489D" w:rsidRDefault="00647502" w:rsidP="00F7387D">
            <w:pPr>
              <w:pStyle w:val="NormalWeb"/>
              <w:rPr>
                <w:sz w:val="18"/>
                <w:szCs w:val="18"/>
                <w:lang w:val="en-GB"/>
              </w:rPr>
            </w:pPr>
            <w:r w:rsidRPr="0056489D">
              <w:rPr>
                <w:sz w:val="18"/>
                <w:szCs w:val="18"/>
                <w:lang w:val="en-GB"/>
              </w:rPr>
              <w:t>3,189</w:t>
            </w:r>
          </w:p>
        </w:tc>
        <w:tc>
          <w:tcPr>
            <w:tcW w:w="8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B22F64" w14:textId="77777777" w:rsidR="00647502" w:rsidRPr="0056489D" w:rsidRDefault="00647502" w:rsidP="00F7387D">
            <w:pPr>
              <w:pStyle w:val="NormalWeb"/>
              <w:rPr>
                <w:sz w:val="18"/>
                <w:szCs w:val="18"/>
                <w:lang w:val="en-GB"/>
              </w:rPr>
            </w:pPr>
            <w:r w:rsidRPr="0056489D">
              <w:rPr>
                <w:sz w:val="18"/>
                <w:szCs w:val="18"/>
                <w:lang w:val="en-GB"/>
              </w:rPr>
              <w:t>3,190</w:t>
            </w:r>
          </w:p>
        </w:tc>
        <w:tc>
          <w:tcPr>
            <w:tcW w:w="9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DD108C9" w14:textId="77777777" w:rsidR="00647502" w:rsidRPr="0056489D" w:rsidRDefault="00647502" w:rsidP="00F7387D">
            <w:pPr>
              <w:pStyle w:val="NormalWeb"/>
              <w:rPr>
                <w:sz w:val="18"/>
                <w:szCs w:val="18"/>
                <w:lang w:val="en-GB"/>
              </w:rPr>
            </w:pPr>
            <w:r w:rsidRPr="0056489D">
              <w:rPr>
                <w:sz w:val="18"/>
                <w:szCs w:val="18"/>
                <w:lang w:val="en-GB"/>
              </w:rPr>
              <w:t>16,377</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74AF1CB" w14:textId="77777777" w:rsidR="00647502" w:rsidRPr="00775F06" w:rsidRDefault="00647502" w:rsidP="00F7387D">
            <w:pPr>
              <w:pStyle w:val="NormalWeb"/>
              <w:rPr>
                <w:b/>
                <w:bCs/>
                <w:color w:val="FF0000"/>
                <w:sz w:val="18"/>
                <w:szCs w:val="18"/>
                <w:lang w:val="en-GB"/>
              </w:rPr>
            </w:pPr>
            <w:r w:rsidRPr="009121E5">
              <w:rPr>
                <w:b/>
                <w:bCs/>
                <w:color w:val="C00000"/>
                <w:sz w:val="18"/>
                <w:szCs w:val="18"/>
                <w:lang w:val="en-GB"/>
              </w:rPr>
              <w:t>19,479</w:t>
            </w:r>
          </w:p>
        </w:tc>
        <w:tc>
          <w:tcPr>
            <w:tcW w:w="7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2ACC70" w14:textId="77777777" w:rsidR="00647502" w:rsidRPr="0056489D" w:rsidRDefault="00647502" w:rsidP="00F7387D">
            <w:pPr>
              <w:pStyle w:val="NormalWeb"/>
              <w:rPr>
                <w:sz w:val="18"/>
                <w:szCs w:val="18"/>
                <w:lang w:val="en-GB"/>
              </w:rPr>
            </w:pPr>
            <w:r w:rsidRPr="0056489D">
              <w:rPr>
                <w:sz w:val="18"/>
                <w:szCs w:val="18"/>
                <w:lang w:val="en-GB"/>
              </w:rPr>
              <w:t>0.03%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1F1E0C6" w14:textId="77777777" w:rsidR="00647502" w:rsidRPr="0056489D" w:rsidRDefault="00647502" w:rsidP="00F7387D">
            <w:pPr>
              <w:pStyle w:val="NormalWeb"/>
              <w:rPr>
                <w:sz w:val="18"/>
                <w:szCs w:val="18"/>
                <w:lang w:val="en-GB"/>
              </w:rPr>
            </w:pPr>
            <w:r w:rsidRPr="0056489D">
              <w:rPr>
                <w:sz w:val="18"/>
                <w:szCs w:val="18"/>
                <w:lang w:val="en-GB"/>
              </w:rPr>
              <w:t>6</w:t>
            </w:r>
          </w:p>
        </w:tc>
      </w:tr>
      <w:tr w:rsidR="00F0075F" w:rsidRPr="0056489D" w14:paraId="780D5BDA" w14:textId="77777777" w:rsidTr="00F0075F">
        <w:trPr>
          <w:cnfStyle w:val="000000010000" w:firstRow="0" w:lastRow="0" w:firstColumn="0" w:lastColumn="0" w:oddVBand="0" w:evenVBand="0" w:oddHBand="0" w:evenHBand="1" w:firstRowFirstColumn="0" w:firstRowLastColumn="0" w:lastRowFirstColumn="0" w:lastRowLastColumn="0"/>
          <w:divId w:val="579758760"/>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BB8D7E8" w14:textId="77777777" w:rsidR="00647502" w:rsidRPr="0056489D" w:rsidRDefault="00647502" w:rsidP="00F7387D">
            <w:pPr>
              <w:jc w:val="left"/>
              <w:rPr>
                <w:sz w:val="18"/>
                <w:szCs w:val="18"/>
                <w:lang w:val="en-GB"/>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D3F98E7" w14:textId="77777777" w:rsidR="00647502" w:rsidRPr="0056489D" w:rsidRDefault="00647502" w:rsidP="00F7387D">
            <w:pPr>
              <w:pStyle w:val="NormalWeb"/>
              <w:rPr>
                <w:sz w:val="18"/>
                <w:szCs w:val="18"/>
                <w:lang w:val="en-GB"/>
              </w:rPr>
            </w:pPr>
            <w:r w:rsidRPr="0056489D">
              <w:rPr>
                <w:sz w:val="18"/>
                <w:szCs w:val="18"/>
                <w:lang w:val="en-GB"/>
              </w:rPr>
              <w:t>Singleton (A)</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BD9A38C" w14:textId="77777777" w:rsidR="00647502" w:rsidRPr="0056489D" w:rsidRDefault="00647502" w:rsidP="00F7387D">
            <w:pPr>
              <w:pStyle w:val="NormalWeb"/>
              <w:rPr>
                <w:sz w:val="18"/>
                <w:szCs w:val="18"/>
                <w:lang w:val="en-GB"/>
              </w:rPr>
            </w:pPr>
            <w:r w:rsidRPr="0056489D">
              <w:rPr>
                <w:sz w:val="18"/>
                <w:szCs w:val="18"/>
                <w:lang w:val="en-GB"/>
              </w:rPr>
              <w:t>5</w:t>
            </w:r>
          </w:p>
        </w:tc>
        <w:tc>
          <w:tcPr>
            <w:tcW w:w="9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763EC3B" w14:textId="77777777" w:rsidR="00647502" w:rsidRPr="0056489D" w:rsidRDefault="00647502" w:rsidP="00F7387D">
            <w:pPr>
              <w:pStyle w:val="NormalWeb"/>
              <w:rPr>
                <w:sz w:val="18"/>
                <w:szCs w:val="18"/>
                <w:lang w:val="en-GB"/>
              </w:rPr>
            </w:pPr>
            <w:r w:rsidRPr="0056489D">
              <w:rPr>
                <w:sz w:val="18"/>
                <w:szCs w:val="18"/>
                <w:lang w:val="en-GB"/>
              </w:rPr>
              <w:t>6,360</w:t>
            </w:r>
          </w:p>
        </w:tc>
        <w:tc>
          <w:tcPr>
            <w:tcW w:w="8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F6A5A05" w14:textId="77777777" w:rsidR="00647502" w:rsidRPr="0056489D" w:rsidRDefault="00647502" w:rsidP="00F7387D">
            <w:pPr>
              <w:pStyle w:val="NormalWeb"/>
              <w:rPr>
                <w:sz w:val="18"/>
                <w:szCs w:val="18"/>
                <w:lang w:val="en-GB"/>
              </w:rPr>
            </w:pPr>
            <w:r w:rsidRPr="0056489D">
              <w:rPr>
                <w:sz w:val="18"/>
                <w:szCs w:val="18"/>
                <w:lang w:val="en-GB"/>
              </w:rPr>
              <w:t>6,365</w:t>
            </w:r>
          </w:p>
        </w:tc>
        <w:tc>
          <w:tcPr>
            <w:tcW w:w="9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0C2956" w14:textId="77777777" w:rsidR="00647502" w:rsidRPr="0056489D" w:rsidRDefault="00647502" w:rsidP="00F7387D">
            <w:pPr>
              <w:pStyle w:val="NormalWeb"/>
              <w:rPr>
                <w:sz w:val="18"/>
                <w:szCs w:val="18"/>
                <w:lang w:val="en-GB"/>
              </w:rPr>
            </w:pPr>
            <w:r w:rsidRPr="0056489D">
              <w:rPr>
                <w:sz w:val="18"/>
                <w:szCs w:val="18"/>
                <w:lang w:val="en-GB"/>
              </w:rPr>
              <w:t>23,461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9AB8EF" w14:textId="77777777" w:rsidR="00647502" w:rsidRPr="0056489D" w:rsidRDefault="00647502" w:rsidP="00F7387D">
            <w:pPr>
              <w:pStyle w:val="NormalWeb"/>
              <w:rPr>
                <w:sz w:val="18"/>
                <w:szCs w:val="18"/>
                <w:lang w:val="en-GB"/>
              </w:rPr>
            </w:pPr>
            <w:r w:rsidRPr="0056489D">
              <w:rPr>
                <w:sz w:val="18"/>
                <w:szCs w:val="18"/>
                <w:lang w:val="en-GB"/>
              </w:rPr>
              <w:t>27,130</w:t>
            </w:r>
          </w:p>
        </w:tc>
        <w:tc>
          <w:tcPr>
            <w:tcW w:w="7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1B589DC" w14:textId="77777777" w:rsidR="00647502" w:rsidRPr="0056489D" w:rsidRDefault="00647502" w:rsidP="00F7387D">
            <w:pPr>
              <w:pStyle w:val="NormalWeb"/>
              <w:rPr>
                <w:sz w:val="18"/>
                <w:szCs w:val="18"/>
                <w:lang w:val="en-GB"/>
              </w:rPr>
            </w:pPr>
            <w:r w:rsidRPr="0056489D">
              <w:rPr>
                <w:sz w:val="18"/>
                <w:szCs w:val="18"/>
                <w:lang w:val="en-GB"/>
              </w:rPr>
              <w:t>0.08%</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767904" w14:textId="77777777" w:rsidR="00647502" w:rsidRPr="0056489D" w:rsidRDefault="00647502" w:rsidP="00F7387D">
            <w:pPr>
              <w:pStyle w:val="NormalWeb"/>
              <w:rPr>
                <w:sz w:val="18"/>
                <w:szCs w:val="18"/>
                <w:lang w:val="en-GB"/>
              </w:rPr>
            </w:pPr>
            <w:r w:rsidRPr="0056489D">
              <w:rPr>
                <w:sz w:val="18"/>
                <w:szCs w:val="18"/>
                <w:lang w:val="en-GB"/>
              </w:rPr>
              <w:t>21</w:t>
            </w:r>
          </w:p>
        </w:tc>
      </w:tr>
      <w:tr w:rsidR="00647502" w:rsidRPr="0056489D" w14:paraId="4165A5DB" w14:textId="77777777" w:rsidTr="00F0075F">
        <w:trPr>
          <w:divId w:val="579758760"/>
        </w:trPr>
        <w:tc>
          <w:tcPr>
            <w:tcW w:w="1701"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389AC63" w14:textId="77777777" w:rsidR="00647502" w:rsidRPr="0056489D" w:rsidRDefault="00647502" w:rsidP="00F7387D">
            <w:pPr>
              <w:jc w:val="left"/>
              <w:rPr>
                <w:sz w:val="18"/>
                <w:szCs w:val="18"/>
                <w:lang w:val="en-GB"/>
              </w:rPr>
            </w:pP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3A724E9" w14:textId="77777777" w:rsidR="00647502" w:rsidRPr="0056489D" w:rsidRDefault="00647502" w:rsidP="00F7387D">
            <w:pPr>
              <w:pStyle w:val="NormalWeb"/>
              <w:rPr>
                <w:sz w:val="18"/>
                <w:szCs w:val="18"/>
                <w:lang w:val="en-GB"/>
              </w:rPr>
            </w:pPr>
            <w:r w:rsidRPr="0056489D">
              <w:rPr>
                <w:sz w:val="18"/>
                <w:szCs w:val="18"/>
                <w:lang w:val="en-GB"/>
              </w:rPr>
              <w:t>Upper Hunter Shire (A)</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E3FDB67" w14:textId="77777777" w:rsidR="00647502" w:rsidRPr="0056489D" w:rsidRDefault="00647502" w:rsidP="00F7387D">
            <w:pPr>
              <w:pStyle w:val="NormalWeb"/>
              <w:rPr>
                <w:sz w:val="18"/>
                <w:szCs w:val="18"/>
                <w:lang w:val="en-GB"/>
              </w:rPr>
            </w:pPr>
            <w:r w:rsidRPr="0056489D">
              <w:rPr>
                <w:sz w:val="18"/>
                <w:szCs w:val="18"/>
                <w:lang w:val="en-GB"/>
              </w:rPr>
              <w:t>2</w:t>
            </w:r>
          </w:p>
        </w:tc>
        <w:tc>
          <w:tcPr>
            <w:tcW w:w="9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D0F9AC" w14:textId="77777777" w:rsidR="00647502" w:rsidRPr="0056489D" w:rsidRDefault="00647502" w:rsidP="00F7387D">
            <w:pPr>
              <w:pStyle w:val="NormalWeb"/>
              <w:rPr>
                <w:sz w:val="18"/>
                <w:szCs w:val="18"/>
                <w:lang w:val="en-GB"/>
              </w:rPr>
            </w:pPr>
            <w:r w:rsidRPr="0056489D">
              <w:rPr>
                <w:sz w:val="18"/>
                <w:szCs w:val="18"/>
                <w:lang w:val="en-GB"/>
              </w:rPr>
              <w:t>2,783</w:t>
            </w:r>
          </w:p>
        </w:tc>
        <w:tc>
          <w:tcPr>
            <w:tcW w:w="8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607340B" w14:textId="77777777" w:rsidR="00647502" w:rsidRPr="0056489D" w:rsidRDefault="00647502" w:rsidP="00F7387D">
            <w:pPr>
              <w:pStyle w:val="NormalWeb"/>
              <w:rPr>
                <w:sz w:val="18"/>
                <w:szCs w:val="18"/>
                <w:lang w:val="en-GB"/>
              </w:rPr>
            </w:pPr>
            <w:r w:rsidRPr="0056489D">
              <w:rPr>
                <w:sz w:val="18"/>
                <w:szCs w:val="18"/>
                <w:lang w:val="en-GB"/>
              </w:rPr>
              <w:t>2,785</w:t>
            </w:r>
          </w:p>
        </w:tc>
        <w:tc>
          <w:tcPr>
            <w:tcW w:w="9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646DE0" w14:textId="77777777" w:rsidR="00647502" w:rsidRPr="0056489D" w:rsidRDefault="00647502" w:rsidP="00F7387D">
            <w:pPr>
              <w:pStyle w:val="NormalWeb"/>
              <w:rPr>
                <w:sz w:val="18"/>
                <w:szCs w:val="18"/>
                <w:lang w:val="en-GB"/>
              </w:rPr>
            </w:pPr>
            <w:r w:rsidRPr="0056489D">
              <w:rPr>
                <w:sz w:val="18"/>
                <w:szCs w:val="18"/>
                <w:lang w:val="en-GB"/>
              </w:rPr>
              <w:t>14,180</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0D80916"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19,640</w:t>
            </w:r>
          </w:p>
        </w:tc>
        <w:tc>
          <w:tcPr>
            <w:tcW w:w="7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E15B3F" w14:textId="77777777" w:rsidR="00647502" w:rsidRPr="0056489D" w:rsidRDefault="00647502" w:rsidP="00F7387D">
            <w:pPr>
              <w:pStyle w:val="NormalWeb"/>
              <w:rPr>
                <w:sz w:val="18"/>
                <w:szCs w:val="18"/>
                <w:lang w:val="en-GB"/>
              </w:rPr>
            </w:pPr>
            <w:r w:rsidRPr="0056489D">
              <w:rPr>
                <w:sz w:val="18"/>
                <w:szCs w:val="18"/>
                <w:lang w:val="en-GB"/>
              </w:rPr>
              <w:t>0.07%</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7659F3" w14:textId="77777777" w:rsidR="00647502" w:rsidRPr="0056489D" w:rsidRDefault="00647502" w:rsidP="00F7387D">
            <w:pPr>
              <w:pStyle w:val="NormalWeb"/>
              <w:rPr>
                <w:sz w:val="18"/>
                <w:szCs w:val="18"/>
                <w:lang w:val="en-GB"/>
              </w:rPr>
            </w:pPr>
            <w:r w:rsidRPr="0056489D">
              <w:rPr>
                <w:sz w:val="18"/>
                <w:szCs w:val="18"/>
                <w:lang w:val="en-GB"/>
              </w:rPr>
              <w:t>14</w:t>
            </w:r>
          </w:p>
        </w:tc>
      </w:tr>
      <w:tr w:rsidR="00F0075F" w:rsidRPr="00754E90" w14:paraId="276B79AA" w14:textId="77777777" w:rsidTr="00F0075F">
        <w:trPr>
          <w:cnfStyle w:val="000000010000" w:firstRow="0" w:lastRow="0" w:firstColumn="0" w:lastColumn="0" w:oddVBand="0" w:evenVBand="0" w:oddHBand="0" w:evenHBand="1" w:firstRowFirstColumn="0" w:firstRowLastColumn="0" w:lastRowFirstColumn="0" w:lastRowLastColumn="0"/>
          <w:divId w:val="579758760"/>
        </w:trPr>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988FA8" w14:textId="77777777" w:rsidR="00647502" w:rsidRPr="00754E90" w:rsidRDefault="00647502" w:rsidP="00F7387D">
            <w:pPr>
              <w:pStyle w:val="NormalWeb"/>
              <w:jc w:val="left"/>
              <w:rPr>
                <w:b/>
                <w:bCs/>
                <w:sz w:val="18"/>
                <w:szCs w:val="18"/>
                <w:lang w:val="en-GB"/>
              </w:rPr>
            </w:pPr>
            <w:r w:rsidRPr="00754E90">
              <w:rPr>
                <w:b/>
                <w:bCs/>
                <w:sz w:val="18"/>
                <w:szCs w:val="18"/>
                <w:lang w:val="en-GB"/>
              </w:rPr>
              <w:t>Total</w:t>
            </w:r>
            <w:r w:rsidRPr="00754E90">
              <w:rPr>
                <w:b/>
                <w:bCs/>
                <w:sz w:val="18"/>
                <w:szCs w:val="18"/>
                <w:lang w:val="en-GB"/>
              </w:rPr>
              <w:br/>
              <w:t>(all HNE sectors)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CC1CB6" w14:textId="77777777" w:rsidR="00647502" w:rsidRPr="00754E90" w:rsidRDefault="00647502" w:rsidP="00F7387D">
            <w:pPr>
              <w:rPr>
                <w:b/>
                <w:bCs/>
                <w:sz w:val="18"/>
                <w:szCs w:val="18"/>
                <w:lang w:val="en-GB"/>
              </w:rPr>
            </w:pP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776558C" w14:textId="77777777" w:rsidR="00647502" w:rsidRPr="00754E90" w:rsidRDefault="00647502" w:rsidP="00F7387D">
            <w:pPr>
              <w:pStyle w:val="NormalWeb"/>
              <w:rPr>
                <w:b/>
                <w:bCs/>
                <w:sz w:val="18"/>
                <w:szCs w:val="18"/>
                <w:lang w:val="en-GB"/>
              </w:rPr>
            </w:pPr>
            <w:r w:rsidRPr="00754E90">
              <w:rPr>
                <w:b/>
                <w:bCs/>
                <w:sz w:val="18"/>
                <w:szCs w:val="18"/>
                <w:lang w:val="en-GB"/>
              </w:rPr>
              <w:t>299</w:t>
            </w:r>
          </w:p>
        </w:tc>
        <w:tc>
          <w:tcPr>
            <w:tcW w:w="9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1BCB71F" w14:textId="77777777" w:rsidR="00647502" w:rsidRPr="00754E90" w:rsidRDefault="00647502" w:rsidP="00F7387D">
            <w:pPr>
              <w:pStyle w:val="NormalWeb"/>
              <w:rPr>
                <w:b/>
                <w:bCs/>
                <w:sz w:val="18"/>
                <w:szCs w:val="18"/>
                <w:lang w:val="en-GB"/>
              </w:rPr>
            </w:pPr>
            <w:r w:rsidRPr="00754E90">
              <w:rPr>
                <w:b/>
                <w:bCs/>
                <w:sz w:val="18"/>
                <w:szCs w:val="18"/>
                <w:lang w:val="en-GB"/>
              </w:rPr>
              <w:t>224,365</w:t>
            </w:r>
          </w:p>
        </w:tc>
        <w:tc>
          <w:tcPr>
            <w:tcW w:w="8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FCA033E" w14:textId="77777777" w:rsidR="00647502" w:rsidRPr="00754E90" w:rsidRDefault="00647502" w:rsidP="00F7387D">
            <w:pPr>
              <w:pStyle w:val="NormalWeb"/>
              <w:rPr>
                <w:b/>
                <w:bCs/>
                <w:sz w:val="18"/>
                <w:szCs w:val="18"/>
                <w:lang w:val="en-GB"/>
              </w:rPr>
            </w:pPr>
            <w:r w:rsidRPr="00754E90">
              <w:rPr>
                <w:b/>
                <w:bCs/>
                <w:sz w:val="18"/>
                <w:szCs w:val="18"/>
                <w:lang w:val="en-GB"/>
              </w:rPr>
              <w:t>224,664</w:t>
            </w:r>
          </w:p>
        </w:tc>
        <w:tc>
          <w:tcPr>
            <w:tcW w:w="9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3EB3958" w14:textId="77777777" w:rsidR="00647502" w:rsidRPr="00754E90" w:rsidRDefault="00647502" w:rsidP="00F7387D">
            <w:pPr>
              <w:pStyle w:val="NormalWeb"/>
              <w:rPr>
                <w:b/>
                <w:bCs/>
                <w:sz w:val="18"/>
                <w:szCs w:val="18"/>
                <w:lang w:val="en-GB"/>
              </w:rPr>
            </w:pPr>
            <w:r w:rsidRPr="00754E90">
              <w:rPr>
                <w:b/>
                <w:bCs/>
                <w:sz w:val="18"/>
                <w:szCs w:val="18"/>
                <w:lang w:val="en-GB"/>
              </w:rPr>
              <w:t>934,535</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0393F3" w14:textId="77777777" w:rsidR="00647502" w:rsidRPr="00754E90" w:rsidRDefault="00647502" w:rsidP="00F7387D">
            <w:pPr>
              <w:pStyle w:val="NormalWeb"/>
              <w:rPr>
                <w:b/>
                <w:bCs/>
                <w:sz w:val="18"/>
                <w:szCs w:val="18"/>
                <w:lang w:val="en-GB"/>
              </w:rPr>
            </w:pPr>
            <w:r w:rsidRPr="00754E90">
              <w:rPr>
                <w:b/>
                <w:bCs/>
                <w:sz w:val="18"/>
                <w:szCs w:val="18"/>
                <w:lang w:val="en-GB"/>
              </w:rPr>
              <w:t>24,040</w:t>
            </w:r>
          </w:p>
        </w:tc>
        <w:tc>
          <w:tcPr>
            <w:tcW w:w="7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1E4FA6D9" w14:textId="77777777" w:rsidR="00647502" w:rsidRPr="00754E90" w:rsidRDefault="00647502" w:rsidP="00F7387D">
            <w:pPr>
              <w:pStyle w:val="NormalWeb"/>
              <w:rPr>
                <w:b/>
                <w:bCs/>
                <w:sz w:val="18"/>
                <w:szCs w:val="18"/>
                <w:lang w:val="en-GB"/>
              </w:rPr>
            </w:pPr>
            <w:r w:rsidRPr="00754E90">
              <w:rPr>
                <w:b/>
                <w:bCs/>
                <w:sz w:val="18"/>
                <w:szCs w:val="18"/>
                <w:lang w:val="en-GB"/>
              </w:rPr>
              <w:t>0.13%</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0C096F0" w14:textId="77777777" w:rsidR="00647502" w:rsidRPr="00754E90" w:rsidRDefault="00647502" w:rsidP="00F7387D">
            <w:pPr>
              <w:pStyle w:val="NormalWeb"/>
              <w:rPr>
                <w:b/>
                <w:bCs/>
                <w:sz w:val="18"/>
                <w:szCs w:val="18"/>
                <w:lang w:val="en-GB"/>
              </w:rPr>
            </w:pPr>
            <w:r w:rsidRPr="00754E90">
              <w:rPr>
                <w:b/>
                <w:bCs/>
                <w:sz w:val="18"/>
                <w:szCs w:val="18"/>
                <w:lang w:val="en-GB"/>
              </w:rPr>
              <w:t>32</w:t>
            </w:r>
          </w:p>
        </w:tc>
      </w:tr>
      <w:tr w:rsidR="00F0075F" w:rsidRPr="0056489D" w14:paraId="71F32E33" w14:textId="77777777" w:rsidTr="00F0075F">
        <w:trPr>
          <w:divId w:val="579758760"/>
        </w:trPr>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12727A0" w14:textId="77777777" w:rsidR="00647502" w:rsidRPr="0056489D" w:rsidRDefault="00647502" w:rsidP="00F7387D">
            <w:pPr>
              <w:pStyle w:val="NormalWeb"/>
              <w:jc w:val="left"/>
              <w:rPr>
                <w:b/>
                <w:bCs/>
                <w:sz w:val="18"/>
                <w:szCs w:val="18"/>
                <w:lang w:val="en-GB"/>
              </w:rPr>
            </w:pPr>
            <w:r w:rsidRPr="0056489D">
              <w:rPr>
                <w:b/>
                <w:bCs/>
                <w:sz w:val="18"/>
                <w:szCs w:val="18"/>
                <w:lang w:val="en-GB"/>
              </w:rPr>
              <w:t>Total (all NSW LGAs)</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6282028" w14:textId="77777777" w:rsidR="00647502" w:rsidRPr="0056489D" w:rsidRDefault="00647502" w:rsidP="00F7387D">
            <w:pPr>
              <w:rPr>
                <w:b/>
                <w:bCs/>
                <w:sz w:val="18"/>
                <w:szCs w:val="18"/>
                <w:lang w:val="en-GB"/>
              </w:rPr>
            </w:pP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66821D" w14:textId="77777777" w:rsidR="00647502" w:rsidRPr="0056489D" w:rsidRDefault="00647502" w:rsidP="00F7387D">
            <w:pPr>
              <w:pStyle w:val="NormalWeb"/>
              <w:rPr>
                <w:b/>
                <w:bCs/>
                <w:sz w:val="18"/>
                <w:szCs w:val="18"/>
                <w:lang w:val="en-GB"/>
              </w:rPr>
            </w:pPr>
            <w:r w:rsidRPr="0056489D">
              <w:rPr>
                <w:b/>
                <w:bCs/>
                <w:sz w:val="18"/>
                <w:szCs w:val="18"/>
                <w:lang w:val="en-GB"/>
              </w:rPr>
              <w:t>3,999</w:t>
            </w:r>
          </w:p>
        </w:tc>
        <w:tc>
          <w:tcPr>
            <w:tcW w:w="98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439A555F" w14:textId="77777777" w:rsidR="00647502" w:rsidRPr="0056489D" w:rsidRDefault="00647502" w:rsidP="00F7387D">
            <w:pPr>
              <w:pStyle w:val="NormalWeb"/>
              <w:rPr>
                <w:b/>
                <w:bCs/>
                <w:sz w:val="18"/>
                <w:szCs w:val="18"/>
                <w:lang w:val="en-GB"/>
              </w:rPr>
            </w:pPr>
            <w:r w:rsidRPr="0056489D">
              <w:rPr>
                <w:b/>
                <w:bCs/>
                <w:sz w:val="18"/>
                <w:szCs w:val="18"/>
                <w:lang w:val="en-GB"/>
              </w:rPr>
              <w:t>2,000,828</w:t>
            </w:r>
          </w:p>
        </w:tc>
        <w:tc>
          <w:tcPr>
            <w:tcW w:w="85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2C9F841" w14:textId="77777777" w:rsidR="00647502" w:rsidRPr="0056489D" w:rsidRDefault="00647502" w:rsidP="00F7387D">
            <w:pPr>
              <w:pStyle w:val="NormalWeb"/>
              <w:rPr>
                <w:b/>
                <w:bCs/>
                <w:sz w:val="18"/>
                <w:szCs w:val="18"/>
                <w:lang w:val="en-GB"/>
              </w:rPr>
            </w:pPr>
            <w:r w:rsidRPr="0056489D">
              <w:rPr>
                <w:b/>
                <w:bCs/>
                <w:sz w:val="18"/>
                <w:szCs w:val="18"/>
                <w:lang w:val="en-GB"/>
              </w:rPr>
              <w:t>2,004,281</w:t>
            </w:r>
          </w:p>
        </w:tc>
        <w:tc>
          <w:tcPr>
            <w:tcW w:w="9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94587D0" w14:textId="77777777" w:rsidR="00647502" w:rsidRPr="0056489D" w:rsidRDefault="00647502" w:rsidP="00F7387D">
            <w:pPr>
              <w:pStyle w:val="NormalWeb"/>
              <w:rPr>
                <w:b/>
                <w:bCs/>
                <w:sz w:val="18"/>
                <w:szCs w:val="18"/>
                <w:lang w:val="en-GB"/>
              </w:rPr>
            </w:pPr>
            <w:r w:rsidRPr="0056489D">
              <w:rPr>
                <w:b/>
                <w:bCs/>
                <w:sz w:val="18"/>
                <w:szCs w:val="18"/>
                <w:lang w:val="en-GB"/>
              </w:rPr>
              <w:t>8,088,791</w:t>
            </w:r>
          </w:p>
        </w:tc>
        <w:tc>
          <w:tcPr>
            <w:tcW w:w="155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B782B3A" w14:textId="77777777" w:rsidR="00647502" w:rsidRPr="0056489D" w:rsidRDefault="00647502" w:rsidP="00F7387D">
            <w:pPr>
              <w:pStyle w:val="NormalWeb"/>
              <w:rPr>
                <w:b/>
                <w:bCs/>
                <w:sz w:val="18"/>
                <w:szCs w:val="18"/>
                <w:lang w:val="en-GB"/>
              </w:rPr>
            </w:pPr>
            <w:r w:rsidRPr="0056489D">
              <w:rPr>
                <w:b/>
                <w:bCs/>
                <w:sz w:val="18"/>
                <w:szCs w:val="18"/>
                <w:lang w:val="en-GB"/>
              </w:rPr>
              <w:t>24,778</w:t>
            </w:r>
          </w:p>
        </w:tc>
        <w:tc>
          <w:tcPr>
            <w:tcW w:w="73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C1F22CB" w14:textId="77777777" w:rsidR="00647502" w:rsidRPr="0056489D" w:rsidRDefault="00647502" w:rsidP="00F7387D">
            <w:pPr>
              <w:pStyle w:val="NormalWeb"/>
              <w:rPr>
                <w:b/>
                <w:bCs/>
                <w:sz w:val="18"/>
                <w:szCs w:val="18"/>
                <w:lang w:val="en-GB"/>
              </w:rPr>
            </w:pPr>
            <w:r w:rsidRPr="0056489D">
              <w:rPr>
                <w:b/>
                <w:bCs/>
                <w:sz w:val="18"/>
                <w:szCs w:val="18"/>
                <w:lang w:val="en-GB"/>
              </w:rPr>
              <w:t>0.20%</w:t>
            </w:r>
          </w:p>
        </w:tc>
        <w:tc>
          <w:tcPr>
            <w:tcW w:w="0" w:type="auto"/>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1868D9B" w14:textId="77777777" w:rsidR="00647502" w:rsidRPr="0056489D" w:rsidRDefault="00647502" w:rsidP="00F7387D">
            <w:pPr>
              <w:pStyle w:val="NormalWeb"/>
              <w:rPr>
                <w:b/>
                <w:bCs/>
                <w:sz w:val="18"/>
                <w:szCs w:val="18"/>
                <w:lang w:val="en-GB"/>
              </w:rPr>
            </w:pPr>
            <w:r w:rsidRPr="0056489D">
              <w:rPr>
                <w:b/>
                <w:bCs/>
                <w:sz w:val="18"/>
                <w:szCs w:val="18"/>
                <w:lang w:val="en-GB"/>
              </w:rPr>
              <w:t>49</w:t>
            </w:r>
          </w:p>
        </w:tc>
      </w:tr>
    </w:tbl>
    <w:p w14:paraId="108B8B38" w14:textId="77777777" w:rsidR="00647502" w:rsidRDefault="00647502" w:rsidP="00920A0B">
      <w:pPr>
        <w:divId w:val="579758760"/>
      </w:pPr>
    </w:p>
    <w:p w14:paraId="673E9A7E" w14:textId="3A1D405E" w:rsidR="00920A0B" w:rsidRDefault="00920A0B" w:rsidP="00920A0B">
      <w:pPr>
        <w:divId w:val="579758760"/>
      </w:pPr>
      <w:r>
        <w:t xml:space="preserve">The LGA-level analysis showed that the LGA with the largest population in the Hunter Valley sector was testing above the NSW average rate while the two less-populous LGAs </w:t>
      </w:r>
      <w:proofErr w:type="gramStart"/>
      <w:r>
        <w:t>tested</w:t>
      </w:r>
      <w:proofErr w:type="gramEnd"/>
      <w:r>
        <w:t xml:space="preserve"> below the NSW average rate. The ABS remoteness classification</w:t>
      </w:r>
      <w:r>
        <w:rPr>
          <w:vertAlign w:val="superscript"/>
        </w:rPr>
        <w:t>2</w:t>
      </w:r>
      <w:r>
        <w:t xml:space="preserve"> indicated that Singleton was primarily ‘inner regional’, with both Muswellbrook and Upper Hunter Shire primarily ‘outer regional’. Similarly in the Lower Hunter sector, testing rates were minimally lower than NSW despite a </w:t>
      </w:r>
      <w:proofErr w:type="gramStart"/>
      <w:r>
        <w:t>relatively high</w:t>
      </w:r>
      <w:proofErr w:type="gramEnd"/>
      <w:r>
        <w:t xml:space="preserve"> case rate in comparison to the rest of HNE, which usually prompts greater testing. Once again one LGA, Maitland, concealed </w:t>
      </w:r>
      <w:proofErr w:type="gramStart"/>
      <w:r>
        <w:t>much</w:t>
      </w:r>
      <w:proofErr w:type="gramEnd"/>
      <w:r>
        <w:t xml:space="preserve"> lower testing rates in other local LGAs in the sector (Table 3). </w:t>
      </w:r>
    </w:p>
    <w:p w14:paraId="6B1780D1" w14:textId="77777777" w:rsidR="00647502" w:rsidRDefault="00647502" w:rsidP="00647502">
      <w:pPr>
        <w:pStyle w:val="NormalWeb"/>
        <w:divId w:val="579758760"/>
        <w:rPr>
          <w:lang w:val="en-GB"/>
        </w:rPr>
      </w:pPr>
      <w:r>
        <w:rPr>
          <w:rStyle w:val="Strong"/>
          <w:lang w:val="en-GB"/>
        </w:rPr>
        <w:t>Table 3: Example of testing rates for local government areas (LGAs) in the Lower Hunter Sector, 1 February 2020 – 10 September 2020</w:t>
      </w:r>
      <w:r>
        <w:rPr>
          <w:lang w:val="en-GB"/>
        </w:rPr>
        <w:t xml:space="preserve"> </w:t>
      </w:r>
    </w:p>
    <w:tbl>
      <w:tblPr>
        <w:tblStyle w:val="CDI-StandardTable"/>
        <w:tblW w:w="0" w:type="auto"/>
        <w:tblLook w:val="04A0" w:firstRow="1" w:lastRow="0" w:firstColumn="1" w:lastColumn="0" w:noHBand="0" w:noVBand="1"/>
        <w:tblDescription w:val="Table of one health service sector (Lower Hunter) in Hunter New England and further showing the Local Government areas that make up that sector as well as NSW as a whole showing cases, testing numbers, 2019 population, test rates, percent positivity and case rates."/>
      </w:tblPr>
      <w:tblGrid>
        <w:gridCol w:w="1982"/>
        <w:gridCol w:w="1416"/>
        <w:gridCol w:w="567"/>
        <w:gridCol w:w="993"/>
        <w:gridCol w:w="850"/>
        <w:gridCol w:w="992"/>
        <w:gridCol w:w="1417"/>
        <w:gridCol w:w="850"/>
        <w:gridCol w:w="1393"/>
      </w:tblGrid>
      <w:tr w:rsidR="00647502" w:rsidRPr="00D13BEB" w14:paraId="6DE36A76" w14:textId="77777777" w:rsidTr="00BF6278">
        <w:trPr>
          <w:cnfStyle w:val="100000000000" w:firstRow="1" w:lastRow="0" w:firstColumn="0" w:lastColumn="0" w:oddVBand="0" w:evenVBand="0" w:oddHBand="0" w:evenHBand="0" w:firstRowFirstColumn="0" w:firstRowLastColumn="0" w:lastRowFirstColumn="0" w:lastRowLastColumn="0"/>
          <w:divId w:val="579758760"/>
        </w:trPr>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tcBorders>
            <w:hideMark/>
          </w:tcPr>
          <w:p w14:paraId="7FB5B0EE" w14:textId="77777777" w:rsidR="00647502" w:rsidRPr="00D13BEB" w:rsidRDefault="00647502" w:rsidP="00F7387D">
            <w:pPr>
              <w:pStyle w:val="NormalWeb"/>
              <w:jc w:val="left"/>
              <w:rPr>
                <w:sz w:val="18"/>
                <w:szCs w:val="18"/>
                <w:lang w:val="en-GB"/>
              </w:rPr>
            </w:pPr>
            <w:r w:rsidRPr="00D13BEB">
              <w:rPr>
                <w:sz w:val="18"/>
                <w:szCs w:val="18"/>
                <w:lang w:val="en-GB"/>
              </w:rPr>
              <w:t>Sector</w:t>
            </w:r>
          </w:p>
        </w:tc>
        <w:tc>
          <w:tcPr>
            <w:tcW w:w="1417" w:type="dxa"/>
            <w:tcBorders>
              <w:top w:val="single" w:sz="2" w:space="0" w:color="808080" w:themeColor="background1" w:themeShade="80"/>
              <w:bottom w:val="single" w:sz="2" w:space="0" w:color="808080" w:themeColor="background1" w:themeShade="80"/>
            </w:tcBorders>
            <w:hideMark/>
          </w:tcPr>
          <w:p w14:paraId="7851A6F3" w14:textId="77777777" w:rsidR="00647502" w:rsidRPr="00D13BEB" w:rsidRDefault="00647502" w:rsidP="00F7387D">
            <w:pPr>
              <w:pStyle w:val="NormalWeb"/>
              <w:rPr>
                <w:sz w:val="18"/>
                <w:szCs w:val="18"/>
                <w:lang w:val="en-GB"/>
              </w:rPr>
            </w:pPr>
            <w:r w:rsidRPr="00D13BEB">
              <w:rPr>
                <w:sz w:val="18"/>
                <w:szCs w:val="18"/>
                <w:lang w:val="en-GB"/>
              </w:rPr>
              <w:t>Local government area</w:t>
            </w:r>
          </w:p>
        </w:tc>
        <w:tc>
          <w:tcPr>
            <w:tcW w:w="567" w:type="dxa"/>
            <w:tcBorders>
              <w:top w:val="single" w:sz="2" w:space="0" w:color="808080" w:themeColor="background1" w:themeShade="80"/>
              <w:bottom w:val="single" w:sz="2" w:space="0" w:color="808080" w:themeColor="background1" w:themeShade="80"/>
            </w:tcBorders>
            <w:hideMark/>
          </w:tcPr>
          <w:p w14:paraId="6F7EA84B" w14:textId="77777777" w:rsidR="00647502" w:rsidRPr="00D13BEB" w:rsidRDefault="00647502" w:rsidP="00F7387D">
            <w:pPr>
              <w:pStyle w:val="NormalWeb"/>
              <w:rPr>
                <w:sz w:val="18"/>
                <w:szCs w:val="18"/>
                <w:lang w:val="en-GB"/>
              </w:rPr>
            </w:pPr>
            <w:r w:rsidRPr="00D13BEB">
              <w:rPr>
                <w:sz w:val="18"/>
                <w:szCs w:val="18"/>
                <w:lang w:val="en-GB"/>
              </w:rPr>
              <w:t>Cases</w:t>
            </w:r>
          </w:p>
        </w:tc>
        <w:tc>
          <w:tcPr>
            <w:tcW w:w="993" w:type="dxa"/>
            <w:tcBorders>
              <w:top w:val="single" w:sz="2" w:space="0" w:color="808080" w:themeColor="background1" w:themeShade="80"/>
              <w:bottom w:val="single" w:sz="2" w:space="0" w:color="808080" w:themeColor="background1" w:themeShade="80"/>
            </w:tcBorders>
            <w:hideMark/>
          </w:tcPr>
          <w:p w14:paraId="690B345D" w14:textId="77777777" w:rsidR="00647502" w:rsidRPr="00D13BEB" w:rsidRDefault="00647502" w:rsidP="00F7387D">
            <w:pPr>
              <w:pStyle w:val="NormalWeb"/>
              <w:rPr>
                <w:sz w:val="18"/>
                <w:szCs w:val="18"/>
                <w:lang w:val="en-GB"/>
              </w:rPr>
            </w:pPr>
            <w:r w:rsidRPr="00D13BEB">
              <w:rPr>
                <w:sz w:val="18"/>
                <w:szCs w:val="18"/>
                <w:lang w:val="en-GB"/>
              </w:rPr>
              <w:t>Tested &amp; excluded</w:t>
            </w:r>
          </w:p>
        </w:tc>
        <w:tc>
          <w:tcPr>
            <w:tcW w:w="850" w:type="dxa"/>
            <w:tcBorders>
              <w:top w:val="single" w:sz="2" w:space="0" w:color="808080" w:themeColor="background1" w:themeShade="80"/>
              <w:bottom w:val="single" w:sz="2" w:space="0" w:color="808080" w:themeColor="background1" w:themeShade="80"/>
            </w:tcBorders>
            <w:hideMark/>
          </w:tcPr>
          <w:p w14:paraId="6DE4BC02" w14:textId="77777777" w:rsidR="00647502" w:rsidRPr="00D13BEB" w:rsidRDefault="00647502" w:rsidP="00F7387D">
            <w:pPr>
              <w:pStyle w:val="NormalWeb"/>
              <w:rPr>
                <w:sz w:val="18"/>
                <w:szCs w:val="18"/>
                <w:lang w:val="en-GB"/>
              </w:rPr>
            </w:pPr>
            <w:r w:rsidRPr="00D13BEB">
              <w:rPr>
                <w:sz w:val="18"/>
                <w:szCs w:val="18"/>
                <w:lang w:val="en-GB"/>
              </w:rPr>
              <w:t>Total tested</w:t>
            </w:r>
          </w:p>
        </w:tc>
        <w:tc>
          <w:tcPr>
            <w:tcW w:w="992" w:type="dxa"/>
            <w:tcBorders>
              <w:top w:val="single" w:sz="2" w:space="0" w:color="808080" w:themeColor="background1" w:themeShade="80"/>
              <w:bottom w:val="single" w:sz="2" w:space="0" w:color="808080" w:themeColor="background1" w:themeShade="80"/>
            </w:tcBorders>
            <w:hideMark/>
          </w:tcPr>
          <w:p w14:paraId="7B0D8BF7" w14:textId="77777777" w:rsidR="00647502" w:rsidRPr="00D13BEB" w:rsidRDefault="00647502" w:rsidP="00F7387D">
            <w:pPr>
              <w:pStyle w:val="NormalWeb"/>
              <w:rPr>
                <w:sz w:val="18"/>
                <w:szCs w:val="18"/>
                <w:lang w:val="en-GB"/>
              </w:rPr>
            </w:pPr>
            <w:r w:rsidRPr="00D13BEB">
              <w:rPr>
                <w:sz w:val="18"/>
                <w:szCs w:val="18"/>
                <w:lang w:val="en-GB"/>
              </w:rPr>
              <w:t>2019 population</w:t>
            </w:r>
          </w:p>
        </w:tc>
        <w:tc>
          <w:tcPr>
            <w:tcW w:w="1418" w:type="dxa"/>
            <w:tcBorders>
              <w:top w:val="single" w:sz="2" w:space="0" w:color="808080" w:themeColor="background1" w:themeShade="80"/>
              <w:bottom w:val="single" w:sz="2" w:space="0" w:color="808080" w:themeColor="background1" w:themeShade="80"/>
            </w:tcBorders>
            <w:hideMark/>
          </w:tcPr>
          <w:p w14:paraId="51BF6AA8" w14:textId="77777777" w:rsidR="00647502" w:rsidRPr="00D13BEB" w:rsidRDefault="00647502" w:rsidP="00F7387D">
            <w:pPr>
              <w:pStyle w:val="NormalWeb"/>
              <w:rPr>
                <w:sz w:val="18"/>
                <w:szCs w:val="18"/>
                <w:lang w:val="en-GB"/>
              </w:rPr>
            </w:pPr>
            <w:r w:rsidRPr="00D13BEB">
              <w:rPr>
                <w:sz w:val="18"/>
                <w:szCs w:val="18"/>
                <w:lang w:val="en-GB"/>
              </w:rPr>
              <w:t>Tests per 100,000 residents</w:t>
            </w:r>
          </w:p>
        </w:tc>
        <w:tc>
          <w:tcPr>
            <w:tcW w:w="850" w:type="dxa"/>
            <w:tcBorders>
              <w:top w:val="single" w:sz="2" w:space="0" w:color="808080" w:themeColor="background1" w:themeShade="80"/>
              <w:bottom w:val="single" w:sz="2" w:space="0" w:color="808080" w:themeColor="background1" w:themeShade="80"/>
            </w:tcBorders>
            <w:hideMark/>
          </w:tcPr>
          <w:p w14:paraId="376B8679" w14:textId="77777777" w:rsidR="00647502" w:rsidRPr="00D13BEB" w:rsidRDefault="00647502" w:rsidP="00F7387D">
            <w:pPr>
              <w:pStyle w:val="NormalWeb"/>
              <w:rPr>
                <w:sz w:val="18"/>
                <w:szCs w:val="18"/>
                <w:lang w:val="en-GB"/>
              </w:rPr>
            </w:pPr>
            <w:r w:rsidRPr="00D13BEB">
              <w:rPr>
                <w:sz w:val="18"/>
                <w:szCs w:val="18"/>
                <w:lang w:val="en-GB"/>
              </w:rPr>
              <w:t>Percent positive</w:t>
            </w:r>
          </w:p>
        </w:tc>
        <w:tc>
          <w:tcPr>
            <w:tcW w:w="1394" w:type="dxa"/>
            <w:tcBorders>
              <w:top w:val="single" w:sz="2" w:space="0" w:color="808080" w:themeColor="background1" w:themeShade="80"/>
              <w:bottom w:val="single" w:sz="2" w:space="0" w:color="808080" w:themeColor="background1" w:themeShade="80"/>
              <w:right w:val="single" w:sz="2" w:space="0" w:color="808080" w:themeColor="background1" w:themeShade="80"/>
            </w:tcBorders>
            <w:hideMark/>
          </w:tcPr>
          <w:p w14:paraId="3312A8D3" w14:textId="77777777" w:rsidR="00647502" w:rsidRPr="00D13BEB" w:rsidRDefault="00647502" w:rsidP="00F7387D">
            <w:pPr>
              <w:pStyle w:val="NormalWeb"/>
              <w:rPr>
                <w:sz w:val="18"/>
                <w:szCs w:val="18"/>
                <w:lang w:val="en-GB"/>
              </w:rPr>
            </w:pPr>
            <w:r w:rsidRPr="00D13BEB">
              <w:rPr>
                <w:sz w:val="18"/>
                <w:szCs w:val="18"/>
                <w:lang w:val="en-GB"/>
              </w:rPr>
              <w:t>Cases per 100,000 residents</w:t>
            </w:r>
          </w:p>
        </w:tc>
      </w:tr>
      <w:tr w:rsidR="00647502" w:rsidRPr="00D13BEB" w14:paraId="39C260B6" w14:textId="77777777" w:rsidTr="0013181D">
        <w:trPr>
          <w:divId w:val="579758760"/>
        </w:trPr>
        <w:tc>
          <w:tcPr>
            <w:tcW w:w="198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8781978" w14:textId="77777777" w:rsidR="00647502" w:rsidRPr="00D13BEB" w:rsidRDefault="00647502" w:rsidP="00F7387D">
            <w:pPr>
              <w:pStyle w:val="NormalWeb"/>
              <w:jc w:val="left"/>
              <w:rPr>
                <w:sz w:val="18"/>
                <w:szCs w:val="18"/>
                <w:lang w:val="en-GB"/>
              </w:rPr>
            </w:pPr>
            <w:r w:rsidRPr="00D13BEB">
              <w:rPr>
                <w:sz w:val="18"/>
                <w:szCs w:val="18"/>
                <w:lang w:val="en-GB"/>
              </w:rPr>
              <w:t>Lower Hunter</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275D9F3" w14:textId="77777777" w:rsidR="00647502" w:rsidRPr="00D13BEB" w:rsidRDefault="00647502" w:rsidP="00F7387D">
            <w:pPr>
              <w:pStyle w:val="NormalWeb"/>
              <w:rPr>
                <w:sz w:val="18"/>
                <w:szCs w:val="18"/>
                <w:lang w:val="en-GB"/>
              </w:rPr>
            </w:pPr>
            <w:r w:rsidRPr="00D13BEB">
              <w:rPr>
                <w:sz w:val="18"/>
                <w:szCs w:val="18"/>
                <w:lang w:val="en-GB"/>
              </w:rPr>
              <w:t>Cessnock (C)</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E371273" w14:textId="77777777" w:rsidR="00647502" w:rsidRPr="00D13BEB" w:rsidRDefault="00647502" w:rsidP="00F7387D">
            <w:pPr>
              <w:pStyle w:val="NormalWeb"/>
              <w:rPr>
                <w:sz w:val="18"/>
                <w:szCs w:val="18"/>
                <w:lang w:val="en-GB"/>
              </w:rPr>
            </w:pPr>
            <w:r w:rsidRPr="00D13BEB">
              <w:rPr>
                <w:sz w:val="18"/>
                <w:szCs w:val="18"/>
                <w:lang w:val="en-GB"/>
              </w:rPr>
              <w:t>24</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1CB9114" w14:textId="77777777" w:rsidR="00647502" w:rsidRPr="00D13BEB" w:rsidRDefault="00647502" w:rsidP="00F7387D">
            <w:pPr>
              <w:pStyle w:val="NormalWeb"/>
              <w:rPr>
                <w:sz w:val="18"/>
                <w:szCs w:val="18"/>
                <w:lang w:val="en-GB"/>
              </w:rPr>
            </w:pPr>
            <w:r w:rsidRPr="00D13BEB">
              <w:rPr>
                <w:sz w:val="18"/>
                <w:szCs w:val="18"/>
                <w:lang w:val="en-GB"/>
              </w:rPr>
              <w:t>10,602</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59899B29" w14:textId="77777777" w:rsidR="00647502" w:rsidRPr="00D13BEB" w:rsidRDefault="00647502" w:rsidP="00F7387D">
            <w:pPr>
              <w:pStyle w:val="NormalWeb"/>
              <w:rPr>
                <w:sz w:val="18"/>
                <w:szCs w:val="18"/>
                <w:lang w:val="en-GB"/>
              </w:rPr>
            </w:pPr>
            <w:r w:rsidRPr="00D13BEB">
              <w:rPr>
                <w:sz w:val="18"/>
                <w:szCs w:val="18"/>
                <w:lang w:val="en-GB"/>
              </w:rPr>
              <w:t>10,262</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124725" w14:textId="77777777" w:rsidR="00647502" w:rsidRPr="00D13BEB" w:rsidRDefault="00647502" w:rsidP="00F7387D">
            <w:pPr>
              <w:pStyle w:val="NormalWeb"/>
              <w:rPr>
                <w:sz w:val="18"/>
                <w:szCs w:val="18"/>
                <w:lang w:val="en-GB"/>
              </w:rPr>
            </w:pPr>
            <w:r w:rsidRPr="00D13BEB">
              <w:rPr>
                <w:sz w:val="18"/>
                <w:szCs w:val="18"/>
                <w:lang w:val="en-GB"/>
              </w:rPr>
              <w:t>59,985</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B400259"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17,108</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A6FB1A" w14:textId="77777777" w:rsidR="00647502" w:rsidRPr="00D13BEB" w:rsidRDefault="00647502" w:rsidP="00F7387D">
            <w:pPr>
              <w:pStyle w:val="NormalWeb"/>
              <w:rPr>
                <w:sz w:val="18"/>
                <w:szCs w:val="18"/>
                <w:lang w:val="en-GB"/>
              </w:rPr>
            </w:pPr>
            <w:r w:rsidRPr="00D13BEB">
              <w:rPr>
                <w:sz w:val="18"/>
                <w:szCs w:val="18"/>
                <w:lang w:val="en-GB"/>
              </w:rPr>
              <w:t>0.23%</w:t>
            </w:r>
          </w:p>
        </w:tc>
        <w:tc>
          <w:tcPr>
            <w:tcW w:w="1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DFC0E6E" w14:textId="77777777" w:rsidR="00647502" w:rsidRPr="00D13BEB" w:rsidRDefault="00647502" w:rsidP="00F7387D">
            <w:pPr>
              <w:pStyle w:val="NormalWeb"/>
              <w:rPr>
                <w:sz w:val="18"/>
                <w:szCs w:val="18"/>
                <w:lang w:val="en-GB"/>
              </w:rPr>
            </w:pPr>
            <w:r w:rsidRPr="00D13BEB">
              <w:rPr>
                <w:sz w:val="18"/>
                <w:szCs w:val="18"/>
                <w:lang w:val="en-GB"/>
              </w:rPr>
              <w:t>40</w:t>
            </w:r>
          </w:p>
        </w:tc>
      </w:tr>
      <w:tr w:rsidR="00647502" w:rsidRPr="00D13BEB" w14:paraId="7E148B62" w14:textId="77777777" w:rsidTr="0013181D">
        <w:trPr>
          <w:cnfStyle w:val="000000010000" w:firstRow="0" w:lastRow="0" w:firstColumn="0" w:lastColumn="0" w:oddVBand="0" w:evenVBand="0" w:oddHBand="0" w:evenHBand="1" w:firstRowFirstColumn="0" w:firstRowLastColumn="0" w:lastRowFirstColumn="0" w:lastRowLastColumn="0"/>
          <w:divId w:val="57975876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104FC48" w14:textId="77777777" w:rsidR="00647502" w:rsidRPr="00D13BEB" w:rsidRDefault="00647502" w:rsidP="00F7387D">
            <w:pPr>
              <w:jc w:val="left"/>
              <w:rPr>
                <w:sz w:val="18"/>
                <w:szCs w:val="18"/>
                <w:lang w:val="en-GB"/>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74F5203" w14:textId="77777777" w:rsidR="00647502" w:rsidRPr="00D13BEB" w:rsidRDefault="00647502" w:rsidP="00F7387D">
            <w:pPr>
              <w:pStyle w:val="NormalWeb"/>
              <w:rPr>
                <w:sz w:val="18"/>
                <w:szCs w:val="18"/>
                <w:lang w:val="en-GB"/>
              </w:rPr>
            </w:pPr>
            <w:proofErr w:type="spellStart"/>
            <w:r w:rsidRPr="00D13BEB">
              <w:rPr>
                <w:sz w:val="18"/>
                <w:szCs w:val="18"/>
                <w:lang w:val="en-GB"/>
              </w:rPr>
              <w:t>Dungog</w:t>
            </w:r>
            <w:proofErr w:type="spellEnd"/>
            <w:r w:rsidRPr="00D13BEB">
              <w:rPr>
                <w:sz w:val="18"/>
                <w:szCs w:val="18"/>
                <w:lang w:val="en-GB"/>
              </w:rPr>
              <w:t xml:space="preserve"> (A)</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0A20AB" w14:textId="77777777" w:rsidR="00647502" w:rsidRPr="00D13BEB" w:rsidRDefault="00647502" w:rsidP="00F7387D">
            <w:pPr>
              <w:pStyle w:val="NormalWeb"/>
              <w:rPr>
                <w:sz w:val="18"/>
                <w:szCs w:val="18"/>
                <w:lang w:val="en-GB"/>
              </w:rPr>
            </w:pPr>
            <w:r w:rsidRPr="00D13BEB">
              <w:rPr>
                <w:sz w:val="18"/>
                <w:szCs w:val="18"/>
                <w:lang w:val="en-GB"/>
              </w:rPr>
              <w:t>5</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4942952" w14:textId="77777777" w:rsidR="00647502" w:rsidRPr="00D13BEB" w:rsidRDefault="00647502" w:rsidP="00F7387D">
            <w:pPr>
              <w:pStyle w:val="NormalWeb"/>
              <w:rPr>
                <w:sz w:val="18"/>
                <w:szCs w:val="18"/>
                <w:lang w:val="en-GB"/>
              </w:rPr>
            </w:pPr>
            <w:r w:rsidRPr="00D13BEB">
              <w:rPr>
                <w:sz w:val="18"/>
                <w:szCs w:val="18"/>
                <w:lang w:val="en-GB"/>
              </w:rPr>
              <w:t>1,546</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3020988" w14:textId="77777777" w:rsidR="00647502" w:rsidRPr="00D13BEB" w:rsidRDefault="00647502" w:rsidP="00F7387D">
            <w:pPr>
              <w:pStyle w:val="NormalWeb"/>
              <w:rPr>
                <w:sz w:val="18"/>
                <w:szCs w:val="18"/>
                <w:lang w:val="en-GB"/>
              </w:rPr>
            </w:pPr>
            <w:r w:rsidRPr="00D13BEB">
              <w:rPr>
                <w:sz w:val="18"/>
                <w:szCs w:val="18"/>
                <w:lang w:val="en-GB"/>
              </w:rPr>
              <w:t>1,551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034589D" w14:textId="77777777" w:rsidR="00647502" w:rsidRPr="00D13BEB" w:rsidRDefault="00647502" w:rsidP="00F7387D">
            <w:pPr>
              <w:pStyle w:val="NormalWeb"/>
              <w:rPr>
                <w:sz w:val="18"/>
                <w:szCs w:val="18"/>
                <w:lang w:val="en-GB"/>
              </w:rPr>
            </w:pPr>
            <w:r w:rsidRPr="00D13BEB">
              <w:rPr>
                <w:sz w:val="18"/>
                <w:szCs w:val="18"/>
                <w:lang w:val="en-GB"/>
              </w:rPr>
              <w:t>9,423</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33826F9" w14:textId="77777777" w:rsidR="00647502" w:rsidRPr="009121E5" w:rsidRDefault="00647502" w:rsidP="00F7387D">
            <w:pPr>
              <w:pStyle w:val="NormalWeb"/>
              <w:rPr>
                <w:b/>
                <w:bCs/>
                <w:color w:val="C00000"/>
                <w:sz w:val="18"/>
                <w:szCs w:val="18"/>
                <w:lang w:val="en-GB"/>
              </w:rPr>
            </w:pPr>
            <w:r w:rsidRPr="009121E5">
              <w:rPr>
                <w:b/>
                <w:bCs/>
                <w:color w:val="C00000"/>
                <w:sz w:val="18"/>
                <w:szCs w:val="18"/>
                <w:lang w:val="en-GB"/>
              </w:rPr>
              <w:t>16,460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C3C082D" w14:textId="77777777" w:rsidR="00647502" w:rsidRPr="00D13BEB" w:rsidRDefault="00647502" w:rsidP="00F7387D">
            <w:pPr>
              <w:pStyle w:val="NormalWeb"/>
              <w:rPr>
                <w:sz w:val="18"/>
                <w:szCs w:val="18"/>
                <w:lang w:val="en-GB"/>
              </w:rPr>
            </w:pPr>
            <w:r w:rsidRPr="00D13BEB">
              <w:rPr>
                <w:sz w:val="18"/>
                <w:szCs w:val="18"/>
                <w:lang w:val="en-GB"/>
              </w:rPr>
              <w:t>0.32%</w:t>
            </w:r>
          </w:p>
        </w:tc>
        <w:tc>
          <w:tcPr>
            <w:tcW w:w="1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6127B64" w14:textId="77777777" w:rsidR="00647502" w:rsidRPr="00D13BEB" w:rsidRDefault="00647502" w:rsidP="00F7387D">
            <w:pPr>
              <w:pStyle w:val="NormalWeb"/>
              <w:rPr>
                <w:sz w:val="18"/>
                <w:szCs w:val="18"/>
                <w:lang w:val="en-GB"/>
              </w:rPr>
            </w:pPr>
            <w:r w:rsidRPr="00D13BEB">
              <w:rPr>
                <w:sz w:val="18"/>
                <w:szCs w:val="18"/>
                <w:lang w:val="en-GB"/>
              </w:rPr>
              <w:t>53</w:t>
            </w:r>
          </w:p>
        </w:tc>
      </w:tr>
      <w:tr w:rsidR="00647502" w:rsidRPr="00D13BEB" w14:paraId="46809C05" w14:textId="77777777" w:rsidTr="0013181D">
        <w:trPr>
          <w:divId w:val="579758760"/>
        </w:trPr>
        <w:tc>
          <w:tcPr>
            <w:tcW w:w="198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534298E" w14:textId="77777777" w:rsidR="00647502" w:rsidRPr="00D13BEB" w:rsidRDefault="00647502" w:rsidP="00F7387D">
            <w:pPr>
              <w:jc w:val="left"/>
              <w:rPr>
                <w:sz w:val="18"/>
                <w:szCs w:val="18"/>
                <w:lang w:val="en-GB"/>
              </w:rPr>
            </w:pP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D2B2FA2" w14:textId="77777777" w:rsidR="00647502" w:rsidRPr="00D13BEB" w:rsidRDefault="00647502" w:rsidP="00F7387D">
            <w:pPr>
              <w:pStyle w:val="NormalWeb"/>
              <w:rPr>
                <w:sz w:val="18"/>
                <w:szCs w:val="18"/>
                <w:lang w:val="en-GB"/>
              </w:rPr>
            </w:pPr>
            <w:r w:rsidRPr="00D13BEB">
              <w:rPr>
                <w:sz w:val="18"/>
                <w:szCs w:val="18"/>
                <w:lang w:val="en-GB"/>
              </w:rPr>
              <w:t>Maitland (C)</w:t>
            </w: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CCF4E37" w14:textId="77777777" w:rsidR="00647502" w:rsidRPr="00D13BEB" w:rsidRDefault="00647502" w:rsidP="00F7387D">
            <w:pPr>
              <w:pStyle w:val="NormalWeb"/>
              <w:rPr>
                <w:sz w:val="18"/>
                <w:szCs w:val="18"/>
                <w:lang w:val="en-GB"/>
              </w:rPr>
            </w:pPr>
            <w:r w:rsidRPr="00D13BEB">
              <w:rPr>
                <w:sz w:val="18"/>
                <w:szCs w:val="18"/>
                <w:lang w:val="en-GB"/>
              </w:rPr>
              <w:t>31</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F87145" w14:textId="77777777" w:rsidR="00647502" w:rsidRPr="00D13BEB" w:rsidRDefault="00647502" w:rsidP="00F7387D">
            <w:pPr>
              <w:pStyle w:val="NormalWeb"/>
              <w:rPr>
                <w:sz w:val="18"/>
                <w:szCs w:val="18"/>
                <w:lang w:val="en-GB"/>
              </w:rPr>
            </w:pPr>
            <w:r w:rsidRPr="00D13BEB">
              <w:rPr>
                <w:sz w:val="18"/>
                <w:szCs w:val="18"/>
                <w:lang w:val="en-GB"/>
              </w:rPr>
              <w:t>25,499</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11E1D04" w14:textId="77777777" w:rsidR="00647502" w:rsidRPr="00D13BEB" w:rsidRDefault="00647502" w:rsidP="00F7387D">
            <w:pPr>
              <w:pStyle w:val="NormalWeb"/>
              <w:rPr>
                <w:sz w:val="18"/>
                <w:szCs w:val="18"/>
                <w:lang w:val="en-GB"/>
              </w:rPr>
            </w:pPr>
            <w:r w:rsidRPr="00D13BEB">
              <w:rPr>
                <w:sz w:val="18"/>
                <w:szCs w:val="18"/>
                <w:lang w:val="en-GB"/>
              </w:rPr>
              <w:t>25,530</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B4BD7B9" w14:textId="77777777" w:rsidR="00647502" w:rsidRPr="00D13BEB" w:rsidRDefault="00647502" w:rsidP="00F7387D">
            <w:pPr>
              <w:pStyle w:val="NormalWeb"/>
              <w:rPr>
                <w:sz w:val="18"/>
                <w:szCs w:val="18"/>
                <w:lang w:val="en-GB"/>
              </w:rPr>
            </w:pPr>
            <w:r w:rsidRPr="00D13BEB">
              <w:rPr>
                <w:sz w:val="18"/>
                <w:szCs w:val="18"/>
                <w:lang w:val="en-GB"/>
              </w:rPr>
              <w:t>85,166</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9FDA08" w14:textId="77777777" w:rsidR="00647502" w:rsidRPr="00D13BEB" w:rsidRDefault="00647502" w:rsidP="00F7387D">
            <w:pPr>
              <w:pStyle w:val="NormalWeb"/>
              <w:rPr>
                <w:sz w:val="18"/>
                <w:szCs w:val="18"/>
                <w:lang w:val="en-GB"/>
              </w:rPr>
            </w:pPr>
            <w:r w:rsidRPr="00D13BEB">
              <w:rPr>
                <w:sz w:val="18"/>
                <w:szCs w:val="18"/>
                <w:lang w:val="en-GB"/>
              </w:rPr>
              <w:t>29,977</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3A7C33A8" w14:textId="77777777" w:rsidR="00647502" w:rsidRPr="00D13BEB" w:rsidRDefault="00647502" w:rsidP="00F7387D">
            <w:pPr>
              <w:pStyle w:val="NormalWeb"/>
              <w:rPr>
                <w:sz w:val="18"/>
                <w:szCs w:val="18"/>
                <w:lang w:val="en-GB"/>
              </w:rPr>
            </w:pPr>
            <w:r w:rsidRPr="00D13BEB">
              <w:rPr>
                <w:sz w:val="18"/>
                <w:szCs w:val="18"/>
                <w:lang w:val="en-GB"/>
              </w:rPr>
              <w:t>0.12%</w:t>
            </w:r>
          </w:p>
        </w:tc>
        <w:tc>
          <w:tcPr>
            <w:tcW w:w="1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9D68A33" w14:textId="77777777" w:rsidR="00647502" w:rsidRPr="00D13BEB" w:rsidRDefault="00647502" w:rsidP="00F7387D">
            <w:pPr>
              <w:pStyle w:val="NormalWeb"/>
              <w:rPr>
                <w:sz w:val="18"/>
                <w:szCs w:val="18"/>
                <w:lang w:val="en-GB"/>
              </w:rPr>
            </w:pPr>
            <w:r w:rsidRPr="00D13BEB">
              <w:rPr>
                <w:sz w:val="18"/>
                <w:szCs w:val="18"/>
                <w:lang w:val="en-GB"/>
              </w:rPr>
              <w:t>36</w:t>
            </w:r>
          </w:p>
        </w:tc>
      </w:tr>
      <w:tr w:rsidR="00647502" w:rsidRPr="00996DAF" w14:paraId="67CC2108" w14:textId="77777777" w:rsidTr="0013181D">
        <w:trPr>
          <w:cnfStyle w:val="000000010000" w:firstRow="0" w:lastRow="0" w:firstColumn="0" w:lastColumn="0" w:oddVBand="0" w:evenVBand="0" w:oddHBand="0" w:evenHBand="1" w:firstRowFirstColumn="0" w:firstRowLastColumn="0" w:lastRowFirstColumn="0" w:lastRowLastColumn="0"/>
          <w:divId w:val="579758760"/>
        </w:trPr>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4EEE4F52" w14:textId="77777777" w:rsidR="00647502" w:rsidRPr="00996DAF" w:rsidRDefault="00647502" w:rsidP="00F7387D">
            <w:pPr>
              <w:pStyle w:val="NormalWeb"/>
              <w:jc w:val="left"/>
              <w:rPr>
                <w:b/>
                <w:bCs/>
                <w:sz w:val="18"/>
                <w:szCs w:val="18"/>
                <w:lang w:val="en-GB"/>
              </w:rPr>
            </w:pPr>
            <w:r w:rsidRPr="00996DAF">
              <w:rPr>
                <w:b/>
                <w:bCs/>
                <w:sz w:val="18"/>
                <w:szCs w:val="18"/>
                <w:lang w:val="en-GB"/>
              </w:rPr>
              <w:t>Total</w:t>
            </w:r>
            <w:r w:rsidRPr="00996DAF">
              <w:rPr>
                <w:b/>
                <w:bCs/>
                <w:sz w:val="18"/>
                <w:szCs w:val="18"/>
                <w:lang w:val="en-GB"/>
              </w:rPr>
              <w:br/>
              <w:t>(all HNE sectors)</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2765DF06" w14:textId="77777777" w:rsidR="00647502" w:rsidRPr="00996DAF" w:rsidRDefault="00647502" w:rsidP="00F7387D">
            <w:pPr>
              <w:rPr>
                <w:b/>
                <w:bCs/>
                <w:sz w:val="18"/>
                <w:szCs w:val="18"/>
                <w:lang w:val="en-GB"/>
              </w:rPr>
            </w:pP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A29A1AE" w14:textId="77777777" w:rsidR="00647502" w:rsidRPr="00996DAF" w:rsidRDefault="00647502" w:rsidP="00F7387D">
            <w:pPr>
              <w:pStyle w:val="NormalWeb"/>
              <w:rPr>
                <w:b/>
                <w:bCs/>
                <w:sz w:val="18"/>
                <w:szCs w:val="18"/>
                <w:lang w:val="en-GB"/>
              </w:rPr>
            </w:pPr>
            <w:r w:rsidRPr="00996DAF">
              <w:rPr>
                <w:b/>
                <w:bCs/>
                <w:sz w:val="18"/>
                <w:szCs w:val="18"/>
                <w:lang w:val="en-GB"/>
              </w:rPr>
              <w:t>299</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A2C4209" w14:textId="77777777" w:rsidR="00647502" w:rsidRPr="00996DAF" w:rsidRDefault="00647502" w:rsidP="00F7387D">
            <w:pPr>
              <w:pStyle w:val="NormalWeb"/>
              <w:rPr>
                <w:b/>
                <w:bCs/>
                <w:sz w:val="18"/>
                <w:szCs w:val="18"/>
                <w:lang w:val="en-GB"/>
              </w:rPr>
            </w:pPr>
            <w:r w:rsidRPr="00996DAF">
              <w:rPr>
                <w:b/>
                <w:bCs/>
                <w:sz w:val="18"/>
                <w:szCs w:val="18"/>
                <w:lang w:val="en-GB"/>
              </w:rPr>
              <w:t>224,365</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EEE4B75" w14:textId="77777777" w:rsidR="00647502" w:rsidRPr="00996DAF" w:rsidRDefault="00647502" w:rsidP="00F7387D">
            <w:pPr>
              <w:pStyle w:val="NormalWeb"/>
              <w:rPr>
                <w:b/>
                <w:bCs/>
                <w:sz w:val="18"/>
                <w:szCs w:val="18"/>
                <w:lang w:val="en-GB"/>
              </w:rPr>
            </w:pPr>
            <w:r w:rsidRPr="00996DAF">
              <w:rPr>
                <w:b/>
                <w:bCs/>
                <w:sz w:val="18"/>
                <w:szCs w:val="18"/>
                <w:lang w:val="en-GB"/>
              </w:rPr>
              <w:t>224,664</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6D18877" w14:textId="77777777" w:rsidR="00647502" w:rsidRPr="00996DAF" w:rsidRDefault="00647502" w:rsidP="00F7387D">
            <w:pPr>
              <w:pStyle w:val="NormalWeb"/>
              <w:rPr>
                <w:b/>
                <w:bCs/>
                <w:sz w:val="18"/>
                <w:szCs w:val="18"/>
                <w:lang w:val="en-GB"/>
              </w:rPr>
            </w:pPr>
            <w:r w:rsidRPr="00996DAF">
              <w:rPr>
                <w:b/>
                <w:bCs/>
                <w:sz w:val="18"/>
                <w:szCs w:val="18"/>
                <w:lang w:val="en-GB"/>
              </w:rPr>
              <w:t>934,535</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0F6D2994" w14:textId="77777777" w:rsidR="00647502" w:rsidRPr="00996DAF" w:rsidRDefault="00647502" w:rsidP="00F7387D">
            <w:pPr>
              <w:pStyle w:val="NormalWeb"/>
              <w:rPr>
                <w:b/>
                <w:bCs/>
                <w:sz w:val="18"/>
                <w:szCs w:val="18"/>
                <w:lang w:val="en-GB"/>
              </w:rPr>
            </w:pPr>
            <w:r w:rsidRPr="00996DAF">
              <w:rPr>
                <w:b/>
                <w:bCs/>
                <w:sz w:val="18"/>
                <w:szCs w:val="18"/>
                <w:lang w:val="en-GB"/>
              </w:rPr>
              <w:t>24,040</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69E0DF44" w14:textId="77777777" w:rsidR="00647502" w:rsidRPr="00996DAF" w:rsidRDefault="00647502" w:rsidP="00F7387D">
            <w:pPr>
              <w:pStyle w:val="NormalWeb"/>
              <w:rPr>
                <w:b/>
                <w:bCs/>
                <w:sz w:val="18"/>
                <w:szCs w:val="18"/>
                <w:lang w:val="en-GB"/>
              </w:rPr>
            </w:pPr>
            <w:r w:rsidRPr="00996DAF">
              <w:rPr>
                <w:b/>
                <w:bCs/>
                <w:sz w:val="18"/>
                <w:szCs w:val="18"/>
                <w:lang w:val="en-GB"/>
              </w:rPr>
              <w:t>0.13%</w:t>
            </w:r>
          </w:p>
        </w:tc>
        <w:tc>
          <w:tcPr>
            <w:tcW w:w="1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hideMark/>
          </w:tcPr>
          <w:p w14:paraId="72E21EFF" w14:textId="77777777" w:rsidR="00647502" w:rsidRPr="00996DAF" w:rsidRDefault="00647502" w:rsidP="00F7387D">
            <w:pPr>
              <w:pStyle w:val="NormalWeb"/>
              <w:rPr>
                <w:b/>
                <w:bCs/>
                <w:sz w:val="18"/>
                <w:szCs w:val="18"/>
                <w:lang w:val="en-GB"/>
              </w:rPr>
            </w:pPr>
            <w:r w:rsidRPr="00996DAF">
              <w:rPr>
                <w:b/>
                <w:bCs/>
                <w:sz w:val="18"/>
                <w:szCs w:val="18"/>
                <w:lang w:val="en-GB"/>
              </w:rPr>
              <w:t>32</w:t>
            </w:r>
          </w:p>
        </w:tc>
      </w:tr>
      <w:tr w:rsidR="00647502" w:rsidRPr="00D13BEB" w14:paraId="367A78D7" w14:textId="77777777" w:rsidTr="0013181D">
        <w:trPr>
          <w:divId w:val="579758760"/>
        </w:trPr>
        <w:tc>
          <w:tcPr>
            <w:tcW w:w="198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D1C2E9D" w14:textId="77777777" w:rsidR="00647502" w:rsidRPr="00D13BEB" w:rsidRDefault="00647502" w:rsidP="00F7387D">
            <w:pPr>
              <w:pStyle w:val="NormalWeb"/>
              <w:jc w:val="left"/>
              <w:rPr>
                <w:b/>
                <w:bCs/>
                <w:sz w:val="18"/>
                <w:szCs w:val="18"/>
                <w:lang w:val="en-GB"/>
              </w:rPr>
            </w:pPr>
            <w:r w:rsidRPr="00D13BEB">
              <w:rPr>
                <w:b/>
                <w:bCs/>
                <w:sz w:val="18"/>
                <w:szCs w:val="18"/>
                <w:lang w:val="en-GB"/>
              </w:rPr>
              <w:t>Total (all NSW LGAs)</w:t>
            </w:r>
          </w:p>
        </w:tc>
        <w:tc>
          <w:tcPr>
            <w:tcW w:w="141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D34F66E" w14:textId="77777777" w:rsidR="00647502" w:rsidRPr="00D13BEB" w:rsidRDefault="00647502" w:rsidP="00F7387D">
            <w:pPr>
              <w:rPr>
                <w:b/>
                <w:bCs/>
                <w:sz w:val="18"/>
                <w:szCs w:val="18"/>
                <w:lang w:val="en-GB"/>
              </w:rPr>
            </w:pPr>
          </w:p>
        </w:tc>
        <w:tc>
          <w:tcPr>
            <w:tcW w:w="5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53DEB90B" w14:textId="77777777" w:rsidR="00647502" w:rsidRPr="00D13BEB" w:rsidRDefault="00647502" w:rsidP="00F7387D">
            <w:pPr>
              <w:pStyle w:val="NormalWeb"/>
              <w:rPr>
                <w:b/>
                <w:bCs/>
                <w:sz w:val="18"/>
                <w:szCs w:val="18"/>
                <w:lang w:val="en-GB"/>
              </w:rPr>
            </w:pPr>
            <w:r w:rsidRPr="00D13BEB">
              <w:rPr>
                <w:b/>
                <w:bCs/>
                <w:sz w:val="18"/>
                <w:szCs w:val="18"/>
                <w:lang w:val="en-GB"/>
              </w:rPr>
              <w:t>3,999</w:t>
            </w:r>
          </w:p>
        </w:tc>
        <w:tc>
          <w:tcPr>
            <w:tcW w:w="993"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26DC818" w14:textId="77777777" w:rsidR="00647502" w:rsidRPr="00D13BEB" w:rsidRDefault="00647502" w:rsidP="00F7387D">
            <w:pPr>
              <w:pStyle w:val="NormalWeb"/>
              <w:rPr>
                <w:b/>
                <w:bCs/>
                <w:sz w:val="18"/>
                <w:szCs w:val="18"/>
                <w:lang w:val="en-GB"/>
              </w:rPr>
            </w:pPr>
            <w:r w:rsidRPr="00D13BEB">
              <w:rPr>
                <w:b/>
                <w:bCs/>
                <w:sz w:val="18"/>
                <w:szCs w:val="18"/>
                <w:lang w:val="en-GB"/>
              </w:rPr>
              <w:t>2,000,828</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68A2062D" w14:textId="77777777" w:rsidR="00647502" w:rsidRPr="00D13BEB" w:rsidRDefault="00647502" w:rsidP="00F7387D">
            <w:pPr>
              <w:pStyle w:val="NormalWeb"/>
              <w:rPr>
                <w:b/>
                <w:bCs/>
                <w:sz w:val="18"/>
                <w:szCs w:val="18"/>
                <w:lang w:val="en-GB"/>
              </w:rPr>
            </w:pPr>
            <w:r w:rsidRPr="00D13BEB">
              <w:rPr>
                <w:b/>
                <w:bCs/>
                <w:sz w:val="18"/>
                <w:szCs w:val="18"/>
                <w:lang w:val="en-GB"/>
              </w:rPr>
              <w:t>2,004,281</w:t>
            </w:r>
          </w:p>
        </w:tc>
        <w:tc>
          <w:tcPr>
            <w:tcW w:w="9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2AD3D4CD" w14:textId="77777777" w:rsidR="00647502" w:rsidRPr="00D13BEB" w:rsidRDefault="00647502" w:rsidP="00F7387D">
            <w:pPr>
              <w:pStyle w:val="NormalWeb"/>
              <w:rPr>
                <w:b/>
                <w:bCs/>
                <w:sz w:val="18"/>
                <w:szCs w:val="18"/>
                <w:lang w:val="en-GB"/>
              </w:rPr>
            </w:pPr>
            <w:r w:rsidRPr="00D13BEB">
              <w:rPr>
                <w:b/>
                <w:bCs/>
                <w:sz w:val="18"/>
                <w:szCs w:val="18"/>
                <w:lang w:val="en-GB"/>
              </w:rPr>
              <w:t>8,088,791</w:t>
            </w:r>
          </w:p>
        </w:tc>
        <w:tc>
          <w:tcPr>
            <w:tcW w:w="141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B9777E5" w14:textId="77777777" w:rsidR="00647502" w:rsidRPr="00D13BEB" w:rsidRDefault="00647502" w:rsidP="00F7387D">
            <w:pPr>
              <w:pStyle w:val="NormalWeb"/>
              <w:rPr>
                <w:b/>
                <w:bCs/>
                <w:sz w:val="18"/>
                <w:szCs w:val="18"/>
                <w:lang w:val="en-GB"/>
              </w:rPr>
            </w:pPr>
            <w:r w:rsidRPr="00D13BEB">
              <w:rPr>
                <w:b/>
                <w:bCs/>
                <w:sz w:val="18"/>
                <w:szCs w:val="18"/>
                <w:lang w:val="en-GB"/>
              </w:rPr>
              <w:t>24,778</w:t>
            </w:r>
          </w:p>
        </w:tc>
        <w:tc>
          <w:tcPr>
            <w:tcW w:w="85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1CDF413E" w14:textId="77777777" w:rsidR="00647502" w:rsidRPr="00D13BEB" w:rsidRDefault="00647502" w:rsidP="00F7387D">
            <w:pPr>
              <w:pStyle w:val="NormalWeb"/>
              <w:rPr>
                <w:b/>
                <w:bCs/>
                <w:sz w:val="18"/>
                <w:szCs w:val="18"/>
                <w:lang w:val="en-GB"/>
              </w:rPr>
            </w:pPr>
            <w:r w:rsidRPr="00D13BEB">
              <w:rPr>
                <w:b/>
                <w:bCs/>
                <w:sz w:val="18"/>
                <w:szCs w:val="18"/>
                <w:lang w:val="en-GB"/>
              </w:rPr>
              <w:t>0.20%</w:t>
            </w:r>
          </w:p>
        </w:tc>
        <w:tc>
          <w:tcPr>
            <w:tcW w:w="1394"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7ECDD"/>
            <w:hideMark/>
          </w:tcPr>
          <w:p w14:paraId="3BD6B214" w14:textId="77777777" w:rsidR="00647502" w:rsidRPr="00D13BEB" w:rsidRDefault="00647502" w:rsidP="00F7387D">
            <w:pPr>
              <w:pStyle w:val="NormalWeb"/>
              <w:rPr>
                <w:b/>
                <w:bCs/>
                <w:sz w:val="18"/>
                <w:szCs w:val="18"/>
                <w:lang w:val="en-GB"/>
              </w:rPr>
            </w:pPr>
            <w:r w:rsidRPr="00D13BEB">
              <w:rPr>
                <w:b/>
                <w:bCs/>
                <w:sz w:val="18"/>
                <w:szCs w:val="18"/>
                <w:lang w:val="en-GB"/>
              </w:rPr>
              <w:t>49</w:t>
            </w:r>
          </w:p>
        </w:tc>
      </w:tr>
    </w:tbl>
    <w:p w14:paraId="67B9D147" w14:textId="77777777" w:rsidR="00920A0B" w:rsidRPr="00920A0B" w:rsidRDefault="00920A0B" w:rsidP="00920A0B">
      <w:pPr>
        <w:pStyle w:val="Heading1"/>
        <w:divId w:val="579758760"/>
      </w:pPr>
      <w:r w:rsidRPr="00920A0B">
        <w:t xml:space="preserve">Discussion </w:t>
      </w:r>
    </w:p>
    <w:p w14:paraId="5E9E7425" w14:textId="77777777" w:rsidR="00920A0B" w:rsidRDefault="00920A0B" w:rsidP="00920A0B">
      <w:pPr>
        <w:divId w:val="579758760"/>
      </w:pPr>
      <w:r>
        <w:t>Maps have proven vital for visualizing the COVID-19 pandemic, from identifying local disease and vaccination patterns to understanding global trends.</w:t>
      </w:r>
      <w:r>
        <w:rPr>
          <w:vertAlign w:val="superscript"/>
        </w:rPr>
        <w:t>3</w:t>
      </w:r>
      <w:r>
        <w:t xml:space="preserve"> At local level, their utility for public communication and directing clinical surge has also been recognised.</w:t>
      </w:r>
      <w:r>
        <w:rPr>
          <w:vertAlign w:val="superscript"/>
        </w:rPr>
        <w:t>4</w:t>
      </w:r>
      <w:r>
        <w:t xml:space="preserve"> In HNE, when local under-testing (‘silent’) areas were identified, engagement with private pathology providers resulted in prompt deployment of further testing options and prompted active community testing messages targeted to promote existing and new testing services. </w:t>
      </w:r>
    </w:p>
    <w:p w14:paraId="7FDAAA18" w14:textId="77777777" w:rsidR="00920A0B" w:rsidRDefault="00920A0B" w:rsidP="00920A0B">
      <w:pPr>
        <w:divId w:val="579758760"/>
      </w:pPr>
      <w:r>
        <w:t xml:space="preserve">The data used in this analysis was not probability-based with carefully designed statistical analysis. Instead, the analysis was a regular data-driven process from routinely available data that helped inform decisions on when and where to add testing facilities (hospital, pop-up clinics, mobile testing), with these decisions able to </w:t>
      </w:r>
      <w:proofErr w:type="gramStart"/>
      <w:r>
        <w:t>be defended</w:t>
      </w:r>
      <w:proofErr w:type="gramEnd"/>
      <w:r>
        <w:t xml:space="preserve"> if questioned. It </w:t>
      </w:r>
      <w:proofErr w:type="gramStart"/>
      <w:r>
        <w:t>facilitated</w:t>
      </w:r>
      <w:proofErr w:type="gramEnd"/>
      <w:r>
        <w:t xml:space="preserve"> delving into the attributes of smaller area population testing rates and permitted crafting of the appropriate messaging and selection of message bearers or media forms for promoting testing. </w:t>
      </w:r>
    </w:p>
    <w:p w14:paraId="02BC6830" w14:textId="3644D862" w:rsidR="00920A0B" w:rsidRDefault="00920A0B" w:rsidP="00920A0B">
      <w:pPr>
        <w:divId w:val="579758760"/>
      </w:pPr>
      <w:r>
        <w:lastRenderedPageBreak/>
        <w:t xml:space="preserve">Our application of this practical tool at local level ensured that lower testing rates in smaller populations were not ‘hidden’ by larger population centres, while its simplicity </w:t>
      </w:r>
      <w:proofErr w:type="gramStart"/>
      <w:r>
        <w:t>facilitated</w:t>
      </w:r>
      <w:proofErr w:type="gramEnd"/>
      <w:r>
        <w:t xml:space="preserve"> communication and an immediate public health</w:t>
      </w:r>
      <w:r w:rsidR="00B123C6">
        <w:t> </w:t>
      </w:r>
      <w:r>
        <w:t xml:space="preserve">response. </w:t>
      </w:r>
    </w:p>
    <w:p w14:paraId="10F5AA85" w14:textId="77777777" w:rsidR="00920A0B" w:rsidRPr="00920A0B" w:rsidRDefault="00920A0B" w:rsidP="00920A0B">
      <w:pPr>
        <w:pStyle w:val="Heading1"/>
        <w:divId w:val="579758760"/>
      </w:pPr>
      <w:r w:rsidRPr="00920A0B">
        <w:t xml:space="preserve">Author details </w:t>
      </w:r>
    </w:p>
    <w:p w14:paraId="3B9B62D2" w14:textId="77777777" w:rsidR="00920A0B" w:rsidRDefault="00920A0B" w:rsidP="00920A0B">
      <w:pPr>
        <w:divId w:val="579758760"/>
      </w:pPr>
      <w:r>
        <w:t>Michelle Butler</w:t>
      </w:r>
      <w:r>
        <w:rPr>
          <w:vertAlign w:val="superscript"/>
        </w:rPr>
        <w:t xml:space="preserve">1 </w:t>
      </w:r>
      <w:proofErr w:type="spellStart"/>
      <w:r>
        <w:t>GradDipMedStat</w:t>
      </w:r>
      <w:proofErr w:type="spellEnd"/>
      <w:r>
        <w:t xml:space="preserve">, BSc (statistics) </w:t>
      </w:r>
    </w:p>
    <w:p w14:paraId="532AED1A" w14:textId="77777777" w:rsidR="00920A0B" w:rsidRDefault="00920A0B" w:rsidP="00920A0B">
      <w:pPr>
        <w:divId w:val="579758760"/>
      </w:pPr>
      <w:r>
        <w:t>Benjamin Elton</w:t>
      </w:r>
      <w:r>
        <w:rPr>
          <w:vertAlign w:val="superscript"/>
        </w:rPr>
        <w:t>1</w:t>
      </w:r>
      <w:r>
        <w:t xml:space="preserve"> </w:t>
      </w:r>
      <w:proofErr w:type="spellStart"/>
      <w:r>
        <w:t>GradCertAnalytics</w:t>
      </w:r>
      <w:proofErr w:type="spellEnd"/>
      <w:r>
        <w:t xml:space="preserve">, </w:t>
      </w:r>
      <w:proofErr w:type="spellStart"/>
      <w:r>
        <w:t>BPsych</w:t>
      </w:r>
      <w:proofErr w:type="spellEnd"/>
      <w:r>
        <w:t xml:space="preserve"> (Hons) </w:t>
      </w:r>
    </w:p>
    <w:p w14:paraId="30D6DDFB" w14:textId="77777777" w:rsidR="00920A0B" w:rsidRDefault="00920A0B" w:rsidP="00920A0B">
      <w:pPr>
        <w:divId w:val="579758760"/>
      </w:pPr>
      <w:r>
        <w:t>Dr David Durrheim</w:t>
      </w:r>
      <w:r>
        <w:rPr>
          <w:vertAlign w:val="superscript"/>
        </w:rPr>
        <w:t>1,2</w:t>
      </w:r>
      <w:r>
        <w:t xml:space="preserve"> DrPH, MPH&amp;TM, MBChB, FACTM, FAFPHM, FAAHMS </w:t>
      </w:r>
    </w:p>
    <w:p w14:paraId="3E0EB05D" w14:textId="77777777" w:rsidR="00920A0B" w:rsidRPr="00920A0B" w:rsidRDefault="00920A0B" w:rsidP="00920A0B">
      <w:pPr>
        <w:pStyle w:val="ListParagraph"/>
        <w:numPr>
          <w:ilvl w:val="0"/>
          <w:numId w:val="9"/>
        </w:numPr>
        <w:divId w:val="579758760"/>
        <w:rPr>
          <w:rFonts w:eastAsia="Times New Roman"/>
        </w:rPr>
      </w:pPr>
      <w:r w:rsidRPr="00920A0B">
        <w:rPr>
          <w:rFonts w:eastAsia="Times New Roman"/>
        </w:rPr>
        <w:t xml:space="preserve">Population Health, Hunter New England Local Health District </w:t>
      </w:r>
    </w:p>
    <w:p w14:paraId="5490B2E1" w14:textId="77777777" w:rsidR="00920A0B" w:rsidRPr="00920A0B" w:rsidRDefault="00920A0B" w:rsidP="00920A0B">
      <w:pPr>
        <w:pStyle w:val="ListParagraph"/>
        <w:numPr>
          <w:ilvl w:val="0"/>
          <w:numId w:val="9"/>
        </w:numPr>
        <w:divId w:val="579758760"/>
        <w:rPr>
          <w:rFonts w:eastAsia="Times New Roman"/>
        </w:rPr>
      </w:pPr>
      <w:r w:rsidRPr="00920A0B">
        <w:rPr>
          <w:rFonts w:eastAsia="Times New Roman"/>
        </w:rPr>
        <w:t xml:space="preserve">Newcastle University, Newcastle </w:t>
      </w:r>
    </w:p>
    <w:p w14:paraId="4E2B4C70" w14:textId="77777777" w:rsidR="00920A0B" w:rsidRPr="00920A0B" w:rsidRDefault="00920A0B" w:rsidP="003E0593">
      <w:pPr>
        <w:pStyle w:val="Heading2"/>
        <w:spacing w:after="200"/>
        <w:divId w:val="579758760"/>
      </w:pPr>
      <w:r w:rsidRPr="00920A0B">
        <w:t xml:space="preserve">Corresponding author </w:t>
      </w:r>
    </w:p>
    <w:p w14:paraId="6E203156" w14:textId="77777777" w:rsidR="00920A0B" w:rsidRDefault="00920A0B" w:rsidP="00920A0B">
      <w:pPr>
        <w:divId w:val="579758760"/>
      </w:pPr>
      <w:r>
        <w:t xml:space="preserve">Michelle Butler </w:t>
      </w:r>
    </w:p>
    <w:p w14:paraId="6411A979" w14:textId="77777777" w:rsidR="00920A0B" w:rsidRDefault="00920A0B" w:rsidP="00920A0B">
      <w:pPr>
        <w:divId w:val="579758760"/>
      </w:pPr>
      <w:r>
        <w:t xml:space="preserve">Health Protection, Population Health, Hunter New England Local Health District, Wallsend 2287, New South Wales, Australia </w:t>
      </w:r>
    </w:p>
    <w:p w14:paraId="149F8344" w14:textId="77777777" w:rsidR="00920A0B" w:rsidRDefault="00920A0B" w:rsidP="00920A0B">
      <w:pPr>
        <w:divId w:val="579758760"/>
      </w:pPr>
      <w:r>
        <w:t xml:space="preserve">Phone: 0404 020 081 </w:t>
      </w:r>
    </w:p>
    <w:p w14:paraId="467B884B" w14:textId="77777777" w:rsidR="00920A0B" w:rsidRDefault="00920A0B" w:rsidP="00920A0B">
      <w:pPr>
        <w:divId w:val="579758760"/>
      </w:pPr>
      <w:r>
        <w:t>Email: michelle.butler@health.nsw.gov.au</w:t>
      </w:r>
    </w:p>
    <w:p w14:paraId="0C286EC1" w14:textId="77777777" w:rsidR="00920A0B" w:rsidRPr="00920A0B" w:rsidRDefault="00920A0B" w:rsidP="00920A0B">
      <w:pPr>
        <w:pStyle w:val="Heading1"/>
        <w:divId w:val="579758760"/>
      </w:pPr>
      <w:r w:rsidRPr="00920A0B">
        <w:t xml:space="preserve">References </w:t>
      </w:r>
    </w:p>
    <w:p w14:paraId="062D9CDC" w14:textId="77777777" w:rsidR="00920A0B" w:rsidRPr="00920A0B" w:rsidRDefault="00920A0B" w:rsidP="00920A0B">
      <w:pPr>
        <w:pStyle w:val="ListParagraph"/>
        <w:numPr>
          <w:ilvl w:val="0"/>
          <w:numId w:val="10"/>
        </w:numPr>
        <w:divId w:val="579758760"/>
        <w:rPr>
          <w:rFonts w:eastAsia="Times New Roman"/>
        </w:rPr>
      </w:pPr>
      <w:r w:rsidRPr="00920A0B">
        <w:rPr>
          <w:rFonts w:eastAsia="Times New Roman"/>
        </w:rPr>
        <w:t xml:space="preserve">Butler M, Paterson BJ, Martin N, Hobday L, Thorley B, </w:t>
      </w:r>
      <w:proofErr w:type="spellStart"/>
      <w:r w:rsidRPr="00920A0B">
        <w:rPr>
          <w:rFonts w:eastAsia="Times New Roman"/>
        </w:rPr>
        <w:t>Durrheim</w:t>
      </w:r>
      <w:proofErr w:type="spellEnd"/>
      <w:r w:rsidRPr="00920A0B">
        <w:rPr>
          <w:rFonts w:eastAsia="Times New Roman"/>
        </w:rPr>
        <w:t xml:space="preserve"> DN. ‘Silent’ and ‘noisy’ areas: acute flaccid paralysis surveillance at subnational level, Australia, 2001-2015. </w:t>
      </w:r>
      <w:r w:rsidRPr="008715ED">
        <w:rPr>
          <w:rStyle w:val="Emphasis"/>
          <w:rFonts w:eastAsia="Times New Roman"/>
          <w:b w:val="0"/>
          <w:bCs w:val="0"/>
        </w:rPr>
        <w:t>Int Health</w:t>
      </w:r>
      <w:r w:rsidRPr="00920A0B">
        <w:rPr>
          <w:rFonts w:eastAsia="Times New Roman"/>
        </w:rPr>
        <w:t xml:space="preserve">. 2017;9(3):1904. </w:t>
      </w:r>
      <w:proofErr w:type="spellStart"/>
      <w:r w:rsidRPr="00920A0B">
        <w:rPr>
          <w:rFonts w:eastAsia="Times New Roman"/>
        </w:rPr>
        <w:t>doi</w:t>
      </w:r>
      <w:proofErr w:type="spellEnd"/>
      <w:r w:rsidRPr="00920A0B">
        <w:rPr>
          <w:rFonts w:eastAsia="Times New Roman"/>
        </w:rPr>
        <w:t xml:space="preserve">: https://doi.org/10.1093/inthealth/ihx007. </w:t>
      </w:r>
    </w:p>
    <w:p w14:paraId="1EE766FC" w14:textId="77777777" w:rsidR="00920A0B" w:rsidRPr="00920A0B" w:rsidRDefault="00920A0B" w:rsidP="00920A0B">
      <w:pPr>
        <w:pStyle w:val="ListParagraph"/>
        <w:numPr>
          <w:ilvl w:val="0"/>
          <w:numId w:val="10"/>
        </w:numPr>
        <w:divId w:val="579758760"/>
        <w:rPr>
          <w:rFonts w:eastAsia="Times New Roman"/>
        </w:rPr>
      </w:pPr>
      <w:r w:rsidRPr="00920A0B">
        <w:rPr>
          <w:rFonts w:eastAsia="Times New Roman"/>
        </w:rPr>
        <w:t xml:space="preserve">Australian Bureau of Statistics (ABS). 1270.0.55.005 – Australian Statistical Geography Standard (ASGC): Volume 5 – Remoteness Structure, July 2016. [Webpage.] Canberra: ABS; 16 March 2018. [Accessed on 24 November 2022.] Available from: https://www.abs.gov.au/AUSSTATS/abs@.nsf/Lookup/1270.0.55.005Main+Features1July%202016. </w:t>
      </w:r>
    </w:p>
    <w:p w14:paraId="2E669AD4" w14:textId="77777777" w:rsidR="00920A0B" w:rsidRPr="00920A0B" w:rsidRDefault="00920A0B" w:rsidP="00920A0B">
      <w:pPr>
        <w:pStyle w:val="ListParagraph"/>
        <w:numPr>
          <w:ilvl w:val="0"/>
          <w:numId w:val="10"/>
        </w:numPr>
        <w:divId w:val="579758760"/>
        <w:rPr>
          <w:rFonts w:eastAsia="Times New Roman"/>
        </w:rPr>
      </w:pPr>
      <w:r w:rsidRPr="00920A0B">
        <w:rPr>
          <w:rFonts w:eastAsia="Times New Roman"/>
        </w:rPr>
        <w:t xml:space="preserve">Curtis AJ, </w:t>
      </w:r>
      <w:proofErr w:type="spellStart"/>
      <w:r w:rsidRPr="00920A0B">
        <w:rPr>
          <w:rFonts w:eastAsia="Times New Roman"/>
        </w:rPr>
        <w:t>Ajayakumar</w:t>
      </w:r>
      <w:proofErr w:type="spellEnd"/>
      <w:r w:rsidRPr="00920A0B">
        <w:rPr>
          <w:rFonts w:eastAsia="Times New Roman"/>
        </w:rPr>
        <w:t xml:space="preserve"> J, Curtis J, Brown S. Spatial syndromic </w:t>
      </w:r>
      <w:proofErr w:type="gramStart"/>
      <w:r w:rsidRPr="00920A0B">
        <w:rPr>
          <w:rFonts w:eastAsia="Times New Roman"/>
        </w:rPr>
        <w:t>surveillance</w:t>
      </w:r>
      <w:proofErr w:type="gramEnd"/>
      <w:r w:rsidRPr="00920A0B">
        <w:rPr>
          <w:rFonts w:eastAsia="Times New Roman"/>
        </w:rPr>
        <w:t xml:space="preserve"> and COVID-19 in the U.S.: local cluster mapping for pandemic preparedness. </w:t>
      </w:r>
      <w:r w:rsidRPr="008715ED">
        <w:rPr>
          <w:rStyle w:val="Emphasis"/>
          <w:rFonts w:eastAsia="Times New Roman"/>
          <w:b w:val="0"/>
          <w:bCs w:val="0"/>
        </w:rPr>
        <w:t>Int J Environ Res Public Health</w:t>
      </w:r>
      <w:r w:rsidRPr="00920A0B">
        <w:rPr>
          <w:rFonts w:eastAsia="Times New Roman"/>
        </w:rPr>
        <w:t xml:space="preserve">. 2022;19(15):8931. </w:t>
      </w:r>
      <w:proofErr w:type="spellStart"/>
      <w:r w:rsidRPr="00920A0B">
        <w:rPr>
          <w:rFonts w:eastAsia="Times New Roman"/>
        </w:rPr>
        <w:t>doi</w:t>
      </w:r>
      <w:proofErr w:type="spellEnd"/>
      <w:r w:rsidRPr="00920A0B">
        <w:rPr>
          <w:rFonts w:eastAsia="Times New Roman"/>
        </w:rPr>
        <w:t xml:space="preserve">: https://doi.org/10.3390/ijerph19158931. </w:t>
      </w:r>
    </w:p>
    <w:p w14:paraId="28BFB941" w14:textId="49700755" w:rsidR="008B5348" w:rsidRPr="00647502" w:rsidRDefault="00920A0B" w:rsidP="00B50D8D">
      <w:pPr>
        <w:pStyle w:val="ListParagraph"/>
        <w:numPr>
          <w:ilvl w:val="0"/>
          <w:numId w:val="10"/>
        </w:numPr>
        <w:divId w:val="579758760"/>
        <w:rPr>
          <w:rStyle w:val="A10"/>
          <w:rFonts w:eastAsia="Times New Roman" w:cstheme="minorBidi"/>
          <w:color w:val="auto"/>
        </w:rPr>
      </w:pPr>
      <w:proofErr w:type="spellStart"/>
      <w:r w:rsidRPr="00920A0B">
        <w:rPr>
          <w:rFonts w:eastAsia="Times New Roman"/>
        </w:rPr>
        <w:t>Hertelendy</w:t>
      </w:r>
      <w:proofErr w:type="spellEnd"/>
      <w:r w:rsidRPr="00920A0B">
        <w:rPr>
          <w:rFonts w:eastAsia="Times New Roman"/>
        </w:rPr>
        <w:t xml:space="preserve"> AJ, </w:t>
      </w:r>
      <w:proofErr w:type="spellStart"/>
      <w:r w:rsidRPr="00920A0B">
        <w:rPr>
          <w:rFonts w:eastAsia="Times New Roman"/>
        </w:rPr>
        <w:t>Goniewicz</w:t>
      </w:r>
      <w:proofErr w:type="spellEnd"/>
      <w:r w:rsidRPr="00920A0B">
        <w:rPr>
          <w:rFonts w:eastAsia="Times New Roman"/>
        </w:rPr>
        <w:t xml:space="preserve"> K, </w:t>
      </w:r>
      <w:proofErr w:type="spellStart"/>
      <w:r w:rsidRPr="00920A0B">
        <w:rPr>
          <w:rFonts w:eastAsia="Times New Roman"/>
        </w:rPr>
        <w:t>Khorram-Manesh</w:t>
      </w:r>
      <w:proofErr w:type="spellEnd"/>
      <w:r w:rsidRPr="00920A0B">
        <w:rPr>
          <w:rFonts w:eastAsia="Times New Roman"/>
        </w:rPr>
        <w:t xml:space="preserve"> A. The COVID-19 pandemic: how predictive analysis, artificial intelligence and GIS can </w:t>
      </w:r>
      <w:proofErr w:type="gramStart"/>
      <w:r w:rsidRPr="00920A0B">
        <w:rPr>
          <w:rFonts w:eastAsia="Times New Roman"/>
        </w:rPr>
        <w:t>be integrated</w:t>
      </w:r>
      <w:proofErr w:type="gramEnd"/>
      <w:r w:rsidRPr="00920A0B">
        <w:rPr>
          <w:rFonts w:eastAsia="Times New Roman"/>
        </w:rPr>
        <w:t xml:space="preserve"> into a clinical command system to improve disaster response and preparedness. </w:t>
      </w:r>
      <w:r w:rsidRPr="008715ED">
        <w:rPr>
          <w:rStyle w:val="Emphasis"/>
          <w:rFonts w:eastAsia="Times New Roman"/>
          <w:b w:val="0"/>
          <w:bCs w:val="0"/>
        </w:rPr>
        <w:t xml:space="preserve">Am J </w:t>
      </w:r>
      <w:proofErr w:type="spellStart"/>
      <w:r w:rsidRPr="008715ED">
        <w:rPr>
          <w:rStyle w:val="Emphasis"/>
          <w:rFonts w:eastAsia="Times New Roman"/>
          <w:b w:val="0"/>
          <w:bCs w:val="0"/>
        </w:rPr>
        <w:t>Emerg</w:t>
      </w:r>
      <w:proofErr w:type="spellEnd"/>
      <w:r w:rsidRPr="008715ED">
        <w:rPr>
          <w:rStyle w:val="Emphasis"/>
          <w:rFonts w:eastAsia="Times New Roman"/>
          <w:b w:val="0"/>
          <w:bCs w:val="0"/>
        </w:rPr>
        <w:t xml:space="preserve"> Med</w:t>
      </w:r>
      <w:r w:rsidRPr="00920A0B">
        <w:rPr>
          <w:rFonts w:eastAsia="Times New Roman"/>
        </w:rPr>
        <w:t xml:space="preserve">. </w:t>
      </w:r>
      <w:proofErr w:type="gramStart"/>
      <w:r w:rsidRPr="00920A0B">
        <w:rPr>
          <w:rFonts w:eastAsia="Times New Roman"/>
        </w:rPr>
        <w:t>2021;45:671</w:t>
      </w:r>
      <w:proofErr w:type="gramEnd"/>
      <w:r w:rsidRPr="00920A0B">
        <w:rPr>
          <w:rFonts w:eastAsia="Times New Roman"/>
        </w:rPr>
        <w:t xml:space="preserve">–2. </w:t>
      </w:r>
      <w:proofErr w:type="spellStart"/>
      <w:r w:rsidRPr="00920A0B">
        <w:rPr>
          <w:rFonts w:eastAsia="Times New Roman"/>
        </w:rPr>
        <w:t>doi</w:t>
      </w:r>
      <w:proofErr w:type="spellEnd"/>
      <w:r w:rsidRPr="00920A0B">
        <w:rPr>
          <w:rFonts w:eastAsia="Times New Roman"/>
        </w:rPr>
        <w:t>: https://doi.org/10.1016/j.ajem.2020.10.049.</w:t>
      </w:r>
    </w:p>
    <w:p w14:paraId="5A7ED67B" w14:textId="77777777" w:rsidR="008B5348" w:rsidRDefault="008B5348">
      <w:pPr>
        <w:rPr>
          <w:rStyle w:val="A10"/>
        </w:rPr>
        <w:sectPr w:rsidR="008B5348" w:rsidSect="00A30C37">
          <w:headerReference w:type="default" r:id="rId13"/>
          <w:footerReference w:type="default" r:id="rId14"/>
          <w:footerReference w:type="first" r:id="rId15"/>
          <w:pgSz w:w="11906" w:h="16838"/>
          <w:pgMar w:top="720" w:right="720" w:bottom="1134" w:left="720" w:header="709" w:footer="284" w:gutter="0"/>
          <w:cols w:space="708"/>
          <w:titlePg/>
          <w:docGrid w:linePitch="360"/>
        </w:sectPr>
      </w:pPr>
    </w:p>
    <w:p w14:paraId="4EF70AA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6602D3C"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2B45A12" w14:textId="77777777" w:rsidR="000A5F42" w:rsidRPr="000606CC" w:rsidRDefault="000A5F42" w:rsidP="000A5F42">
      <w:pPr>
        <w:pStyle w:val="NoSpacing"/>
        <w:rPr>
          <w:rStyle w:val="URI"/>
          <w:rFonts w:cstheme="minorHAnsi"/>
          <w:sz w:val="20"/>
          <w:szCs w:val="18"/>
        </w:rPr>
      </w:pPr>
    </w:p>
    <w:p w14:paraId="3BF0475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0BEED165" w14:textId="77777777" w:rsidR="000A5F42" w:rsidRPr="000606CC" w:rsidRDefault="000A5F42" w:rsidP="000A5F42">
      <w:pPr>
        <w:pStyle w:val="NoSpacing"/>
        <w:rPr>
          <w:rStyle w:val="Strong"/>
          <w:rFonts w:cstheme="minorHAnsi"/>
          <w:sz w:val="20"/>
          <w:szCs w:val="18"/>
        </w:rPr>
      </w:pPr>
    </w:p>
    <w:p w14:paraId="63E3C6E9" w14:textId="1373C5C5"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A75851">
        <w:rPr>
          <w:rFonts w:cstheme="minorHAnsi"/>
          <w:sz w:val="20"/>
          <w:szCs w:val="18"/>
        </w:rPr>
        <w:t>Emily Harper</w:t>
      </w:r>
    </w:p>
    <w:p w14:paraId="3452D3D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895372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F724D94"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w:t>
      </w:r>
      <w:proofErr w:type="spellStart"/>
      <w:r w:rsidR="00CF75DF" w:rsidRPr="00CF75DF">
        <w:rPr>
          <w:rFonts w:cstheme="minorHAnsi"/>
          <w:sz w:val="20"/>
          <w:szCs w:val="18"/>
        </w:rPr>
        <w:t>Durrheim</w:t>
      </w:r>
      <w:proofErr w:type="spellEnd"/>
      <w:r w:rsidR="00CF75DF" w:rsidRPr="00CF75DF">
        <w:rPr>
          <w:rFonts w:cstheme="minorHAnsi"/>
          <w:sz w:val="20"/>
          <w:szCs w:val="18"/>
        </w:rPr>
        <w:t xml:space="preserve">,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1F170241" w14:textId="77777777" w:rsidR="000A5F42" w:rsidRPr="000606CC" w:rsidRDefault="000A5F42" w:rsidP="000A5F42">
      <w:pPr>
        <w:pStyle w:val="NoSpacing"/>
        <w:rPr>
          <w:rStyle w:val="Strong"/>
          <w:rFonts w:cstheme="minorHAnsi"/>
          <w:sz w:val="20"/>
          <w:szCs w:val="18"/>
        </w:rPr>
      </w:pPr>
    </w:p>
    <w:p w14:paraId="50BE4922" w14:textId="63E6887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6"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F088F2B" w14:textId="77777777" w:rsidR="000A5F42" w:rsidRPr="000606CC" w:rsidRDefault="000A5F42" w:rsidP="000A5F42">
      <w:pPr>
        <w:pStyle w:val="NoSpacing"/>
        <w:rPr>
          <w:rStyle w:val="Strong"/>
          <w:rFonts w:cstheme="minorHAnsi"/>
          <w:sz w:val="20"/>
          <w:szCs w:val="18"/>
        </w:rPr>
      </w:pPr>
    </w:p>
    <w:p w14:paraId="76693B16"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3E0CAC5C" w14:textId="77777777" w:rsidR="000A5F42" w:rsidRPr="000606CC" w:rsidRDefault="000A5F42" w:rsidP="000A5F42">
      <w:pPr>
        <w:pStyle w:val="NoSpacing"/>
        <w:rPr>
          <w:rStyle w:val="Strong"/>
          <w:rFonts w:cstheme="minorHAnsi"/>
          <w:sz w:val="20"/>
          <w:szCs w:val="18"/>
        </w:rPr>
      </w:pPr>
    </w:p>
    <w:p w14:paraId="073D1885" w14:textId="3110870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7"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DE26AA7" w14:textId="77777777" w:rsidR="000A5F42" w:rsidRPr="000606CC" w:rsidRDefault="000A5F42" w:rsidP="000A5F42">
      <w:pPr>
        <w:pStyle w:val="NoSpacing"/>
        <w:rPr>
          <w:rStyle w:val="Strong"/>
          <w:rFonts w:cstheme="minorHAnsi"/>
          <w:sz w:val="20"/>
          <w:szCs w:val="18"/>
        </w:rPr>
      </w:pPr>
    </w:p>
    <w:p w14:paraId="02225553" w14:textId="0A675D5F"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8"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7A2FFDA8" w14:textId="0C85A1A1"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9" w:history="1">
        <w:r w:rsidRPr="000606CC">
          <w:rPr>
            <w:rStyle w:val="Hyperlink"/>
            <w:rFonts w:cstheme="minorHAnsi"/>
            <w:sz w:val="20"/>
            <w:szCs w:val="18"/>
          </w:rPr>
          <w:t>cdi.editor@health.gov.au</w:t>
        </w:r>
      </w:hyperlink>
      <w:r w:rsidRPr="000606CC">
        <w:rPr>
          <w:rFonts w:cstheme="minorHAnsi"/>
          <w:sz w:val="20"/>
          <w:szCs w:val="18"/>
        </w:rPr>
        <w:t>.</w:t>
      </w:r>
    </w:p>
    <w:p w14:paraId="1E231231" w14:textId="77777777" w:rsidR="000A5F42" w:rsidRPr="000606CC" w:rsidRDefault="000A5F42" w:rsidP="000A5F42">
      <w:pPr>
        <w:pStyle w:val="NoSpacing"/>
        <w:pBdr>
          <w:bottom w:val="single" w:sz="6" w:space="1" w:color="auto"/>
        </w:pBdr>
        <w:rPr>
          <w:rStyle w:val="Strong"/>
          <w:rFonts w:cstheme="minorHAnsi"/>
          <w:sz w:val="12"/>
          <w:szCs w:val="18"/>
        </w:rPr>
      </w:pPr>
    </w:p>
    <w:p w14:paraId="427DAB75" w14:textId="77777777" w:rsidR="000A5F42" w:rsidRPr="000606CC" w:rsidRDefault="000A5F42" w:rsidP="000A5F42">
      <w:pPr>
        <w:pStyle w:val="NoSpacing"/>
        <w:rPr>
          <w:rFonts w:cstheme="minorHAnsi"/>
          <w:sz w:val="20"/>
          <w:szCs w:val="18"/>
        </w:rPr>
      </w:pPr>
    </w:p>
    <w:p w14:paraId="6A27702F"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6079C43" w14:textId="77777777" w:rsidR="000A5F42" w:rsidRPr="000606CC" w:rsidRDefault="000A5F42" w:rsidP="000A5F42">
      <w:pPr>
        <w:pStyle w:val="NoSpacing"/>
        <w:rPr>
          <w:rFonts w:cstheme="minorHAnsi"/>
          <w:sz w:val="20"/>
          <w:szCs w:val="18"/>
        </w:rPr>
      </w:pPr>
    </w:p>
    <w:p w14:paraId="6D025A0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0E43C3E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3847C6">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58BEA81E" w14:textId="76E7ED9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0"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54459C5" w14:textId="77777777" w:rsidR="000A5F42" w:rsidRPr="000606CC" w:rsidRDefault="000A5F42" w:rsidP="000A5F42">
      <w:pPr>
        <w:pStyle w:val="NoSpacing"/>
        <w:rPr>
          <w:rFonts w:cstheme="minorHAnsi"/>
          <w:sz w:val="20"/>
          <w:szCs w:val="18"/>
        </w:rPr>
      </w:pPr>
    </w:p>
    <w:p w14:paraId="4A34B05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625E926F" w14:textId="1EC4D90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1"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124A46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55C516A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050401A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05C13C5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1349E0F" w14:textId="77777777" w:rsidR="000A5F42" w:rsidRPr="000606CC" w:rsidRDefault="000A5F42" w:rsidP="000A5F42">
      <w:pPr>
        <w:pStyle w:val="NoSpacing"/>
        <w:rPr>
          <w:rStyle w:val="Strong"/>
          <w:rFonts w:cstheme="minorHAnsi"/>
          <w:sz w:val="20"/>
          <w:szCs w:val="18"/>
        </w:rPr>
      </w:pPr>
    </w:p>
    <w:p w14:paraId="3AA09817"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DF780C0" w14:textId="77777777" w:rsidR="000A5F42" w:rsidRPr="000606CC" w:rsidRDefault="000A5F42" w:rsidP="000A5F42">
      <w:pPr>
        <w:pStyle w:val="NoSpacing"/>
        <w:rPr>
          <w:rStyle w:val="Strong"/>
          <w:rFonts w:cstheme="minorHAnsi"/>
          <w:sz w:val="20"/>
          <w:szCs w:val="18"/>
        </w:rPr>
      </w:pPr>
    </w:p>
    <w:p w14:paraId="5B1309C9" w14:textId="76072E2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2"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46B3B2A" w14:textId="77777777" w:rsidR="000A5F42" w:rsidRPr="000606CC" w:rsidRDefault="000A5F42" w:rsidP="000A5F42">
      <w:pPr>
        <w:pStyle w:val="NoSpacing"/>
        <w:rPr>
          <w:rStyle w:val="URI"/>
          <w:rFonts w:cstheme="minorHAnsi"/>
          <w:sz w:val="20"/>
          <w:szCs w:val="18"/>
        </w:rPr>
      </w:pPr>
    </w:p>
    <w:p w14:paraId="20C97740" w14:textId="7CFC9C8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3"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4"/>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DAEE" w14:textId="77777777" w:rsidR="003847C6" w:rsidRDefault="003847C6" w:rsidP="00E54DBA">
      <w:r>
        <w:separator/>
      </w:r>
    </w:p>
    <w:p w14:paraId="7007D1DF" w14:textId="77777777" w:rsidR="003847C6" w:rsidRDefault="003847C6"/>
    <w:p w14:paraId="770B4A0D" w14:textId="77777777" w:rsidR="003847C6" w:rsidRDefault="003847C6" w:rsidP="008714B0"/>
  </w:endnote>
  <w:endnote w:type="continuationSeparator" w:id="0">
    <w:p w14:paraId="27EFFD8A" w14:textId="77777777" w:rsidR="003847C6" w:rsidRDefault="003847C6" w:rsidP="00E54DBA">
      <w:r>
        <w:continuationSeparator/>
      </w:r>
    </w:p>
    <w:p w14:paraId="3CDE6A01" w14:textId="77777777" w:rsidR="003847C6" w:rsidRDefault="003847C6"/>
    <w:p w14:paraId="3B957E28" w14:textId="77777777" w:rsidR="003847C6" w:rsidRDefault="003847C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F919" w14:textId="31C45853"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8715ED">
      <w:rPr>
        <w:i/>
        <w:sz w:val="18"/>
      </w:rPr>
      <w:t>Commun</w:t>
    </w:r>
    <w:proofErr w:type="spellEnd"/>
    <w:r w:rsidR="00CE342B" w:rsidRPr="008715ED">
      <w:rPr>
        <w:i/>
        <w:sz w:val="18"/>
      </w:rPr>
      <w:t xml:space="preserve"> Dis </w:t>
    </w:r>
    <w:proofErr w:type="spellStart"/>
    <w:r w:rsidR="00CE342B" w:rsidRPr="008715ED">
      <w:rPr>
        <w:i/>
        <w:sz w:val="18"/>
      </w:rPr>
      <w:t>Intell</w:t>
    </w:r>
    <w:proofErr w:type="spellEnd"/>
    <w:r w:rsidR="00CE342B" w:rsidRPr="008715ED">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E242FD">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E242FD">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E242FD">
      <w:rPr>
        <w:sz w:val="18"/>
      </w:rPr>
      <w:t>https://doi.org/10.33321/cdi.2023.47.24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E242FD">
      <w:rPr>
        <w:sz w:val="18"/>
      </w:rPr>
      <w:t>27/4/2023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6C730" w14:textId="1B9530D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8715ED">
      <w:rPr>
        <w:i/>
        <w:sz w:val="18"/>
      </w:rPr>
      <w:t>Commun</w:t>
    </w:r>
    <w:proofErr w:type="spellEnd"/>
    <w:r w:rsidR="00A164D5" w:rsidRPr="008715ED">
      <w:rPr>
        <w:i/>
        <w:sz w:val="18"/>
      </w:rPr>
      <w:t xml:space="preserve"> Dis </w:t>
    </w:r>
    <w:proofErr w:type="spellStart"/>
    <w:r w:rsidR="00A164D5" w:rsidRPr="008715ED">
      <w:rPr>
        <w:i/>
        <w:sz w:val="18"/>
      </w:rPr>
      <w:t>Intell</w:t>
    </w:r>
    <w:proofErr w:type="spellEnd"/>
    <w:r w:rsidR="00A164D5" w:rsidRPr="008715ED">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E242FD">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E242FD">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E242FD">
      <w:rPr>
        <w:sz w:val="18"/>
      </w:rPr>
      <w:t>https://doi.org/10.33321/cdi.2023.47.24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E242FD">
      <w:rPr>
        <w:sz w:val="18"/>
      </w:rPr>
      <w:t>27/4/2023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A68B" w14:textId="77777777" w:rsidR="003847C6" w:rsidRPr="00B91FB5" w:rsidRDefault="003847C6" w:rsidP="00B91FB5">
      <w:pPr>
        <w:spacing w:after="0" w:line="240" w:lineRule="auto"/>
        <w:rPr>
          <w:sz w:val="18"/>
          <w:szCs w:val="18"/>
        </w:rPr>
      </w:pPr>
      <w:r w:rsidRPr="00B91FB5">
        <w:rPr>
          <w:sz w:val="18"/>
          <w:szCs w:val="18"/>
        </w:rPr>
        <w:separator/>
      </w:r>
    </w:p>
  </w:footnote>
  <w:footnote w:type="continuationSeparator" w:id="0">
    <w:p w14:paraId="3CA70A06" w14:textId="77777777" w:rsidR="003847C6" w:rsidRDefault="003847C6" w:rsidP="00E54DBA">
      <w:r>
        <w:continuationSeparator/>
      </w:r>
    </w:p>
  </w:footnote>
  <w:footnote w:type="continuationNotice" w:id="1">
    <w:p w14:paraId="60EFCD2B" w14:textId="77777777" w:rsidR="003847C6" w:rsidRPr="00224EFF" w:rsidRDefault="003847C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9D59B" w14:textId="0702374C" w:rsidR="00257484" w:rsidRPr="00A153B6" w:rsidRDefault="00683BF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12FFA">
          <w:t>Short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50F4"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7AF2534F" wp14:editId="3D73027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AA7C62"/>
    <w:multiLevelType w:val="hybridMultilevel"/>
    <w:tmpl w:val="1E04E4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F102D2"/>
    <w:multiLevelType w:val="hybridMultilevel"/>
    <w:tmpl w:val="A70AA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CA62E0"/>
    <w:multiLevelType w:val="multilevel"/>
    <w:tmpl w:val="0C7E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FE2052"/>
    <w:multiLevelType w:val="multilevel"/>
    <w:tmpl w:val="58260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5"/>
  </w:num>
  <w:num w:numId="4">
    <w:abstractNumId w:val="0"/>
  </w:num>
  <w:num w:numId="5">
    <w:abstractNumId w:val="7"/>
  </w:num>
  <w:num w:numId="6">
    <w:abstractNumId w:val="8"/>
  </w:num>
  <w:num w:numId="7">
    <w:abstractNumId w:val="9"/>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C6"/>
    <w:rsid w:val="00000B5B"/>
    <w:rsid w:val="00001611"/>
    <w:rsid w:val="000104A8"/>
    <w:rsid w:val="0001067F"/>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0F03D9"/>
    <w:rsid w:val="00113D58"/>
    <w:rsid w:val="001200CB"/>
    <w:rsid w:val="0013181D"/>
    <w:rsid w:val="001378A3"/>
    <w:rsid w:val="001529AC"/>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2FFA"/>
    <w:rsid w:val="00316CCD"/>
    <w:rsid w:val="00324F7E"/>
    <w:rsid w:val="003323BC"/>
    <w:rsid w:val="00346D42"/>
    <w:rsid w:val="00346E11"/>
    <w:rsid w:val="003601C0"/>
    <w:rsid w:val="003635F5"/>
    <w:rsid w:val="00372A88"/>
    <w:rsid w:val="00381A0F"/>
    <w:rsid w:val="003847C6"/>
    <w:rsid w:val="003A1B3A"/>
    <w:rsid w:val="003A40F5"/>
    <w:rsid w:val="003B5B8C"/>
    <w:rsid w:val="003C7841"/>
    <w:rsid w:val="003D79B1"/>
    <w:rsid w:val="003E0593"/>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64F1B"/>
    <w:rsid w:val="00473D2D"/>
    <w:rsid w:val="004A2125"/>
    <w:rsid w:val="004A38F6"/>
    <w:rsid w:val="004B4EB6"/>
    <w:rsid w:val="004C083C"/>
    <w:rsid w:val="004C67C6"/>
    <w:rsid w:val="004D29DE"/>
    <w:rsid w:val="00510EAC"/>
    <w:rsid w:val="005229BD"/>
    <w:rsid w:val="00530D88"/>
    <w:rsid w:val="00542A57"/>
    <w:rsid w:val="00554780"/>
    <w:rsid w:val="0056489D"/>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5F4C66"/>
    <w:rsid w:val="00607115"/>
    <w:rsid w:val="00620768"/>
    <w:rsid w:val="0062594B"/>
    <w:rsid w:val="00631406"/>
    <w:rsid w:val="006324FF"/>
    <w:rsid w:val="006351D6"/>
    <w:rsid w:val="00636E0D"/>
    <w:rsid w:val="0064142F"/>
    <w:rsid w:val="00643CB4"/>
    <w:rsid w:val="00647502"/>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54E90"/>
    <w:rsid w:val="00775F06"/>
    <w:rsid w:val="00786329"/>
    <w:rsid w:val="00786A11"/>
    <w:rsid w:val="00792C7D"/>
    <w:rsid w:val="00794A4D"/>
    <w:rsid w:val="007A5234"/>
    <w:rsid w:val="007B2B6B"/>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50D54"/>
    <w:rsid w:val="00852E2B"/>
    <w:rsid w:val="008714B0"/>
    <w:rsid w:val="008715ED"/>
    <w:rsid w:val="00876331"/>
    <w:rsid w:val="00880726"/>
    <w:rsid w:val="008A3544"/>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1E5"/>
    <w:rsid w:val="00912E48"/>
    <w:rsid w:val="00912E68"/>
    <w:rsid w:val="00920A0B"/>
    <w:rsid w:val="0092746F"/>
    <w:rsid w:val="00935DC9"/>
    <w:rsid w:val="009446C0"/>
    <w:rsid w:val="0096082E"/>
    <w:rsid w:val="00961347"/>
    <w:rsid w:val="00967410"/>
    <w:rsid w:val="00967D73"/>
    <w:rsid w:val="0098119A"/>
    <w:rsid w:val="00984AAF"/>
    <w:rsid w:val="00991B09"/>
    <w:rsid w:val="00993CB2"/>
    <w:rsid w:val="00996DAF"/>
    <w:rsid w:val="009A3AFD"/>
    <w:rsid w:val="009A5166"/>
    <w:rsid w:val="009A76F8"/>
    <w:rsid w:val="009B2B83"/>
    <w:rsid w:val="009C49F8"/>
    <w:rsid w:val="009D77CC"/>
    <w:rsid w:val="009D797A"/>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75851"/>
    <w:rsid w:val="00A86F9A"/>
    <w:rsid w:val="00A94F8A"/>
    <w:rsid w:val="00AA35E6"/>
    <w:rsid w:val="00AA50B6"/>
    <w:rsid w:val="00AB3472"/>
    <w:rsid w:val="00AD0762"/>
    <w:rsid w:val="00AD3B0B"/>
    <w:rsid w:val="00AE0209"/>
    <w:rsid w:val="00AE3DCF"/>
    <w:rsid w:val="00AE4452"/>
    <w:rsid w:val="00AE7C38"/>
    <w:rsid w:val="00B01F99"/>
    <w:rsid w:val="00B02B37"/>
    <w:rsid w:val="00B05276"/>
    <w:rsid w:val="00B123C6"/>
    <w:rsid w:val="00B132DB"/>
    <w:rsid w:val="00B31427"/>
    <w:rsid w:val="00B33861"/>
    <w:rsid w:val="00B40DE2"/>
    <w:rsid w:val="00B50210"/>
    <w:rsid w:val="00B50D8D"/>
    <w:rsid w:val="00B53955"/>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BF6278"/>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BEB"/>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2FD"/>
    <w:rsid w:val="00E24DC0"/>
    <w:rsid w:val="00E2519C"/>
    <w:rsid w:val="00E25F2A"/>
    <w:rsid w:val="00E41455"/>
    <w:rsid w:val="00E42AD2"/>
    <w:rsid w:val="00E50856"/>
    <w:rsid w:val="00E538CC"/>
    <w:rsid w:val="00E54BBD"/>
    <w:rsid w:val="00E54DBA"/>
    <w:rsid w:val="00E63D7C"/>
    <w:rsid w:val="00E640D5"/>
    <w:rsid w:val="00E66E2E"/>
    <w:rsid w:val="00E67691"/>
    <w:rsid w:val="00E74CE3"/>
    <w:rsid w:val="00E92237"/>
    <w:rsid w:val="00E951EF"/>
    <w:rsid w:val="00EA3D54"/>
    <w:rsid w:val="00EA56D9"/>
    <w:rsid w:val="00EA5CE3"/>
    <w:rsid w:val="00EB51C1"/>
    <w:rsid w:val="00EB5AE1"/>
    <w:rsid w:val="00EB5E0B"/>
    <w:rsid w:val="00EC2171"/>
    <w:rsid w:val="00ED442D"/>
    <w:rsid w:val="00ED70C2"/>
    <w:rsid w:val="00EE18FF"/>
    <w:rsid w:val="00EE3E29"/>
    <w:rsid w:val="00EE489F"/>
    <w:rsid w:val="00EF095B"/>
    <w:rsid w:val="00F0075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1AD94"/>
  <w15:docId w15:val="{1C9275E6-F185-48DE-91BC-4E00ADC8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00699570">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579758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ealth.gov.au/cdi"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www.itsanhonour.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di.editor@health.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hyperlink" Target="https://creativecommons.org/licenses/by-nc-nd/4.0/legalco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health.gov.au/cdna" TargetMode="External"/><Relationship Id="rId10" Type="http://schemas.openxmlformats.org/officeDocument/2006/relationships/image" Target="media/image2.png"/><Relationship Id="rId19" Type="http://schemas.openxmlformats.org/officeDocument/2006/relationships/hyperlink" Target="mailto:cdi.editor@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mailto:copyright@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8</TotalTime>
  <Pages>9</Pages>
  <Words>2305</Words>
  <Characters>14286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Communicable Diseases Intelligence - Using silent area analysis to inform a COVID-19 public health response in Hunter New England, regional New South Wales</vt:lpstr>
    </vt:vector>
  </TitlesOfParts>
  <Company>Australian Government, Department of Health</Company>
  <LinksUpToDate>false</LinksUpToDate>
  <CharactersWithSpaces>16558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Using silent area analysis to inform a COVID-19 public health response in Hunter New England, regional New South Wales</dc:title>
  <dc:subject>Summary of report: Regional areas of NSW were under resourced during the COVID-19 pandemic. It is important to locate these, understand the issues and aid in resourcing these areas. Silent area analysis was used to find and understand these issues.</dc:subject>
  <dc:creator>Michelle Butler; Benjamin Elton; David Durrheim</dc:creator>
  <cp:keywords>Silent areas; SARS CoV-2; COVID-19; population; testing rates</cp:keywords>
  <dc:description>© Commonwealth of Australia CC BY-NC-ND ISSN: 2209-6051 (Online)</dc:description>
  <cp:lastModifiedBy>YOUSEFI, Kasra</cp:lastModifiedBy>
  <cp:revision>7</cp:revision>
  <cp:lastPrinted>2018-05-10T02:19:00Z</cp:lastPrinted>
  <dcterms:created xsi:type="dcterms:W3CDTF">2023-04-14T04:31:00Z</dcterms:created>
  <dcterms:modified xsi:type="dcterms:W3CDTF">2023-04-17T06:29:00Z</dcterms:modified>
  <cp:category>Short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27/4/2023</vt:lpwstr>
  </property>
  <property fmtid="{D5CDD505-2E9C-101B-9397-08002B2CF9AE}" pid="5" name="DOI">
    <vt:lpwstr>https://doi.org/10.33321/cdi.2023.47.24</vt:lpwstr>
  </property>
</Properties>
</file>