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CCD58" w14:textId="77777777" w:rsidR="00B50D8D" w:rsidRPr="00B50D8D" w:rsidRDefault="00B50D8D" w:rsidP="00B50D8D">
      <w:pPr>
        <w:pStyle w:val="CDIfootnotes"/>
      </w:pPr>
      <w:r w:rsidRPr="00B50D8D">
        <w:rPr>
          <w:i/>
          <w:iCs/>
        </w:rPr>
        <w:t>Communicable Diseases Intelligence</w:t>
      </w:r>
      <w:r w:rsidRPr="00B50D8D">
        <w:t xml:space="preserve">, Year </w:t>
      </w:r>
      <w:fldSimple w:instr=" DOCPROPERTY  Year  \* MERGEFORMAT ">
        <w:r w:rsidR="00092E20">
          <w:t>2023</w:t>
        </w:r>
      </w:fldSimple>
      <w:r w:rsidRPr="00B50D8D">
        <w:t xml:space="preserve">, Volume </w:t>
      </w:r>
      <w:fldSimple w:instr=" DOCPROPERTY  Vol  \* MERGEFORMAT ">
        <w:r w:rsidR="00092E20">
          <w:t>47</w:t>
        </w:r>
      </w:fldSimple>
    </w:p>
    <w:p w14:paraId="676E8055" w14:textId="5DD6E651" w:rsidR="00B50D8D" w:rsidRPr="00B50D8D" w:rsidRDefault="00466002" w:rsidP="00B50D8D">
      <w:pPr>
        <w:pStyle w:val="CDIfootnotes"/>
      </w:pPr>
      <w:fldSimple w:instr=" DOCPROPERTY  DOI  \* MERGEFORMAT ">
        <w:r w:rsidR="00D36FA4">
          <w:t>https://doi.org/10.33321/cdi.2023.47.63</w:t>
        </w:r>
      </w:fldSimple>
    </w:p>
    <w:p w14:paraId="153E3524" w14:textId="1B637D4C" w:rsidR="00B50D8D" w:rsidRPr="00B50D8D" w:rsidRDefault="00B50D8D" w:rsidP="00B50D8D">
      <w:pPr>
        <w:pStyle w:val="CDIfootnotes"/>
      </w:pPr>
      <w:r w:rsidRPr="00B50D8D">
        <w:t xml:space="preserve">Publication date: </w:t>
      </w:r>
      <w:fldSimple w:instr=" DOCPROPERTY  ePubDate  \* MERGEFORMAT ">
        <w:r w:rsidR="00D36FA4">
          <w:t>19/10/2023</w:t>
        </w:r>
      </w:fldSimple>
    </w:p>
    <w:p w14:paraId="0E896E03" w14:textId="63F6B257" w:rsidR="00B50D8D" w:rsidRPr="00B50D8D" w:rsidRDefault="000A10B5" w:rsidP="00B50D8D">
      <w:pPr>
        <w:pStyle w:val="CDIfootnotes"/>
      </w:pPr>
      <w:hyperlink r:id="rId9" w:history="1">
        <w:r w:rsidR="00B50D8D" w:rsidRPr="00B50D8D">
          <w:rPr>
            <w:rStyle w:val="Hyperlink"/>
          </w:rPr>
          <w:t>http://health.gov.au/cdi</w:t>
        </w:r>
      </w:hyperlink>
      <w:r w:rsidR="00B50D8D" w:rsidRPr="00B50D8D">
        <w:t xml:space="preserve"> </w:t>
      </w:r>
    </w:p>
    <w:p w14:paraId="58165BC5" w14:textId="77777777" w:rsidR="00CF282F" w:rsidRDefault="00CF282F" w:rsidP="00CF282F">
      <w:pPr>
        <w:pStyle w:val="Title"/>
        <w:divId w:val="1312250460"/>
        <w:rPr>
          <w:rFonts w:eastAsia="Times New Roman"/>
          <w:sz w:val="48"/>
          <w:szCs w:val="48"/>
        </w:rPr>
      </w:pPr>
      <w:r>
        <w:rPr>
          <w:rFonts w:eastAsia="Times New Roman"/>
        </w:rPr>
        <w:t xml:space="preserve">Enhanced surveillance of notifications of hepatitis C to Queensland Health up to 19 years previously </w:t>
      </w:r>
    </w:p>
    <w:p w14:paraId="6CCB7A3E" w14:textId="77777777" w:rsidR="00CF282F" w:rsidRDefault="00CF282F" w:rsidP="00CF282F">
      <w:pPr>
        <w:divId w:val="1312250460"/>
      </w:pPr>
      <w:r>
        <w:t xml:space="preserve">TS </w:t>
      </w:r>
      <w:proofErr w:type="spellStart"/>
      <w:r>
        <w:t>Mekala</w:t>
      </w:r>
      <w:proofErr w:type="spellEnd"/>
      <w:r>
        <w:t xml:space="preserve"> Fernando, Stephen B Lambert, Robert Kemp, Linda A Selvey </w:t>
      </w:r>
    </w:p>
    <w:p w14:paraId="551D8905" w14:textId="77777777" w:rsidR="00CF282F" w:rsidRPr="00CF282F" w:rsidRDefault="00CF282F" w:rsidP="00CF282F">
      <w:pPr>
        <w:pStyle w:val="Heading1"/>
        <w:divId w:val="1312250460"/>
      </w:pPr>
      <w:r w:rsidRPr="00CF282F">
        <w:t xml:space="preserve">Abstract </w:t>
      </w:r>
    </w:p>
    <w:p w14:paraId="691E5F41" w14:textId="77777777" w:rsidR="00CF282F" w:rsidRDefault="00CF282F" w:rsidP="00CF282F">
      <w:pPr>
        <w:divId w:val="1312250460"/>
      </w:pPr>
      <w:r>
        <w:t xml:space="preserve">In this study we aimed to assess the utility of following up historical hepatitis C notifications for enhanced surveillance and linking cases to further testing and treatment. Queensland hepatitis C notifications from June 2018, 2013, 2008 and 2003 who were not incarcerated at the time of testing were followed up. The most recent identified clinicians for cases were contacted by telephone. When no information about a current clinician was available, the case was contacted via a letter or text message. Clinicians and cases were encouraged to pursue further testing and treatment and provide information about management. Following notification but prior to this study’s follow-up, a majority of cases (309/532; 58%) had a negative polymerase chain reaction (PCR) test or underwent </w:t>
      </w:r>
      <w:proofErr w:type="spellStart"/>
      <w:r>
        <w:t>treatment.Clinician</w:t>
      </w:r>
      <w:proofErr w:type="spellEnd"/>
      <w:r>
        <w:t xml:space="preserve"> follow-up was successful in 21% of eligible cases, with the proportion decreasing with increasing time since notification. In conclusion, contacting clinicians to link notified cases to further testing and treatment may increase testing and treatment in a small proportion of cases notified up to nine years post-notification. From our experience, the follow-up of notifications before this time is unlikely to result in improved outcomes. </w:t>
      </w:r>
    </w:p>
    <w:p w14:paraId="4D3923AB" w14:textId="77777777" w:rsidR="00CF282F" w:rsidRDefault="00CF282F" w:rsidP="00CF282F">
      <w:pPr>
        <w:divId w:val="1312250460"/>
      </w:pPr>
      <w:r>
        <w:t xml:space="preserve">Keywords: hepatitis C; notifiable diseases; follow-up; testing; treatment; enhanced surveillance </w:t>
      </w:r>
    </w:p>
    <w:p w14:paraId="241A35E8" w14:textId="77777777" w:rsidR="00CF282F" w:rsidRPr="00CF282F" w:rsidRDefault="00CF282F" w:rsidP="00CF282F">
      <w:pPr>
        <w:pStyle w:val="Heading1"/>
        <w:divId w:val="1312250460"/>
      </w:pPr>
      <w:r w:rsidRPr="00CF282F">
        <w:t xml:space="preserve">Introduction </w:t>
      </w:r>
    </w:p>
    <w:p w14:paraId="1C92D682" w14:textId="77777777" w:rsidR="00CF282F" w:rsidRDefault="00CF282F" w:rsidP="00CF282F">
      <w:pPr>
        <w:divId w:val="1312250460"/>
      </w:pPr>
      <w:r>
        <w:t>Australia is committed to a goal of eliminating hepatitis C (HCV) infection by 2030, consistent with the World Health Organization’s target.</w:t>
      </w:r>
      <w:r>
        <w:rPr>
          <w:vertAlign w:val="superscript"/>
        </w:rPr>
        <w:t>1,2</w:t>
      </w:r>
      <w:r>
        <w:t xml:space="preserve"> This is potentially achievable with the inclusion in the Pharmaceutical Benefits Scheme of highly effective direct antiviral agents (DAAs) against HCV in March 2016.</w:t>
      </w:r>
      <w:r>
        <w:rPr>
          <w:vertAlign w:val="superscript"/>
        </w:rPr>
        <w:t>3–5</w:t>
      </w:r>
      <w:r>
        <w:t xml:space="preserve"> Between 2016 and the end of 2021, a total of 95,395 people had initiated DAA treatment in Australia, an estimated 43% of people living with hepatitis C.</w:t>
      </w:r>
      <w:r>
        <w:rPr>
          <w:vertAlign w:val="superscript"/>
        </w:rPr>
        <w:t>6</w:t>
      </w:r>
      <w:r>
        <w:t xml:space="preserve"> </w:t>
      </w:r>
    </w:p>
    <w:p w14:paraId="483BE8CE" w14:textId="77777777" w:rsidR="00CF282F" w:rsidRDefault="00CF282F" w:rsidP="00CF282F">
      <w:pPr>
        <w:divId w:val="1312250460"/>
      </w:pPr>
      <w:r>
        <w:t>HCV testing typically involves testing blood for HCV antibodies, followed by a test for HCV ribonucleic acid (HCV-RNA) if antibody-positive. Prior to treatment, an assessment of the level of liver fibrosis is needed.</w:t>
      </w:r>
      <w:r>
        <w:rPr>
          <w:vertAlign w:val="superscript"/>
        </w:rPr>
        <w:t>7</w:t>
      </w:r>
      <w:r>
        <w:t xml:space="preserve"> In Australia, HCV disproportionately affects people who have been incarcerated,</w:t>
      </w:r>
      <w:r>
        <w:rPr>
          <w:vertAlign w:val="superscript"/>
        </w:rPr>
        <w:t>8,9</w:t>
      </w:r>
      <w:r>
        <w:t xml:space="preserve"> people who inject drugs (PWID),</w:t>
      </w:r>
      <w:r>
        <w:rPr>
          <w:vertAlign w:val="superscript"/>
        </w:rPr>
        <w:t>10</w:t>
      </w:r>
      <w:r>
        <w:t xml:space="preserve"> and Aboriginal and Torres Strait Islander peoples.</w:t>
      </w:r>
      <w:r>
        <w:rPr>
          <w:vertAlign w:val="superscript"/>
        </w:rPr>
        <w:t>11</w:t>
      </w:r>
      <w:r>
        <w:t xml:space="preserve"> Testing and treatment for HCV is available in the community in a range of settings. However, even for general practitioners with large cohorts of cases with HCV infection, barriers remain for treating some PWID.</w:t>
      </w:r>
      <w:r>
        <w:rPr>
          <w:vertAlign w:val="superscript"/>
        </w:rPr>
        <w:t>12–15</w:t>
      </w:r>
      <w:r>
        <w:t xml:space="preserve"> </w:t>
      </w:r>
    </w:p>
    <w:p w14:paraId="3D5F0DCA" w14:textId="77777777" w:rsidR="00CF282F" w:rsidRDefault="00CF282F" w:rsidP="00CF282F">
      <w:pPr>
        <w:divId w:val="1312250460"/>
      </w:pPr>
      <w:r>
        <w:t>Providing prompts and support to doctors and/or cases for follow-up testing and treatment for HCV-positive cases can result in increased RNA testing and/or treatment.</w:t>
      </w:r>
      <w:r>
        <w:rPr>
          <w:vertAlign w:val="superscript"/>
        </w:rPr>
        <w:t>16,17</w:t>
      </w:r>
      <w:r>
        <w:t xml:space="preserve"> In this pilot study, we aimed to use data from Queensland Health’s notifiable conditions system (</w:t>
      </w:r>
      <w:proofErr w:type="spellStart"/>
      <w:r>
        <w:t>NoCS</w:t>
      </w:r>
      <w:proofErr w:type="spellEnd"/>
      <w:r>
        <w:t xml:space="preserve">) to follow up cases with a positive HCV antibody test and no subsequent negative HCV-RNA test who were notified up to 19 years previously, to assess the usefulness of this approach. </w:t>
      </w:r>
    </w:p>
    <w:p w14:paraId="23B9630F" w14:textId="77777777" w:rsidR="00283E7F" w:rsidRDefault="00283E7F">
      <w:pPr>
        <w:rPr>
          <w:rFonts w:asciiTheme="majorHAnsi" w:eastAsiaTheme="majorEastAsia" w:hAnsiTheme="majorHAnsi" w:cstheme="majorBidi"/>
          <w:b/>
          <w:bCs/>
          <w:sz w:val="32"/>
          <w:szCs w:val="28"/>
        </w:rPr>
      </w:pPr>
      <w:r>
        <w:br w:type="page"/>
      </w:r>
    </w:p>
    <w:p w14:paraId="02A0C7E4" w14:textId="4F8B07DC" w:rsidR="00CF282F" w:rsidRPr="00CF282F" w:rsidRDefault="00CF282F" w:rsidP="00CF282F">
      <w:pPr>
        <w:pStyle w:val="Heading1"/>
        <w:divId w:val="1312250460"/>
      </w:pPr>
      <w:r w:rsidRPr="00CF282F">
        <w:lastRenderedPageBreak/>
        <w:t xml:space="preserve">Methods </w:t>
      </w:r>
    </w:p>
    <w:p w14:paraId="6D213092" w14:textId="77777777" w:rsidR="00CF282F" w:rsidRDefault="00CF282F" w:rsidP="00CF282F">
      <w:pPr>
        <w:divId w:val="1312250460"/>
      </w:pPr>
      <w:r>
        <w:t xml:space="preserve">Hepatitis C is a notifiable condition under the Queensland </w:t>
      </w:r>
      <w:r w:rsidRPr="00255B3F">
        <w:rPr>
          <w:rStyle w:val="Emphasis"/>
          <w:b w:val="0"/>
          <w:bCs w:val="0"/>
        </w:rPr>
        <w:t>Public Health Act 2005</w:t>
      </w:r>
      <w:r>
        <w:t xml:space="preserve"> and its subordinate regulation.</w:t>
      </w:r>
      <w:r>
        <w:rPr>
          <w:vertAlign w:val="superscript"/>
        </w:rPr>
        <w:t>18</w:t>
      </w:r>
      <w:r>
        <w:t xml:space="preserve"> The laboratory provides the name of the clinician ordering the test and case contact details. </w:t>
      </w:r>
    </w:p>
    <w:p w14:paraId="2D513A78" w14:textId="77777777" w:rsidR="00CF282F" w:rsidRDefault="00CF282F" w:rsidP="00CF282F">
      <w:pPr>
        <w:divId w:val="1312250460"/>
      </w:pPr>
      <w:r>
        <w:t xml:space="preserve">This project was undertaken from June to December 2022. The study participants were hepatitis C cases notified in June 2018, 2013, 2008 and 2003. Cases who had a subsequent negative HCV-RNA test, and those who were deceased or incarcerated at the time of notification, were excluded from further follow-up. Ethics approval for the evaluation of the project was obtained from the Darling Downs Human Research Ethics Committee (HREC/2022/QTDD/88797). A waiver of consent was granted by the Darling Downs Human Research Ethics Committee to use de-identified data gathered under the Queensland Public Health Act 2005 and its subordinate regulation for the purpose of the evaluation of the project. </w:t>
      </w:r>
    </w:p>
    <w:p w14:paraId="203CC784" w14:textId="77777777" w:rsidR="00CF282F" w:rsidRDefault="00CF282F" w:rsidP="00CF282F">
      <w:pPr>
        <w:divId w:val="1312250460"/>
      </w:pPr>
      <w:r>
        <w:t xml:space="preserve">Case-related data, including current medical practitioner and other related testing, were gathered from a range of sources. These included the Queensland Health </w:t>
      </w:r>
      <w:proofErr w:type="spellStart"/>
      <w:r>
        <w:t>NoCS</w:t>
      </w:r>
      <w:proofErr w:type="spellEnd"/>
      <w:r>
        <w:t xml:space="preserve"> database (subsequent notifications for other conditions including CoVID-19); notifying clinicians; search results from laboratory data from public (Pathology Queensland) and the two largest private pathology laboratories (QML Pathology and Sullivan Nicolaides Pathology); and Queensland’s death registry.</w:t>
      </w:r>
      <w:r>
        <w:rPr>
          <w:rStyle w:val="Strong"/>
        </w:rPr>
        <w:t xml:space="preserve"> </w:t>
      </w:r>
      <w:r>
        <w:t xml:space="preserve">Searches were conducted to assess whether further HCV testing had been undertaken subsequent to a case’s most recent HCV notification, and if so the outcomes of those tests; to determine whether the case had died; and to find the most recent contact details for the case or for their most recent clinician. These searches were done for each case individually. The databases were not merged. Of the hepatitis C notifications in Queensland in 2018, 96% were notified from either Pathology Queensland, QML Pathology or Sullivan Nicolaides Pathology. </w:t>
      </w:r>
    </w:p>
    <w:p w14:paraId="56BED616" w14:textId="77777777" w:rsidR="00CF282F" w:rsidRDefault="00CF282F" w:rsidP="00CF282F">
      <w:pPr>
        <w:divId w:val="1312250460"/>
      </w:pPr>
      <w:r>
        <w:t xml:space="preserve">For each identified case, a team member first contacted by telephone the notifying or the most recently attended clinician’s practice to request details. The most recently attended clinician’s practice was the clinical practice that the patient attended for the most recent notification for any condition in the </w:t>
      </w:r>
      <w:proofErr w:type="spellStart"/>
      <w:r>
        <w:t>NoCS</w:t>
      </w:r>
      <w:proofErr w:type="spellEnd"/>
      <w:r>
        <w:t xml:space="preserve"> database or other Queensland Health information systems. If no subsequent records were found, attempts were made to contact the notifying clinician or the practice where the notifying clinician previously worked. If the case was still under their care, they were asked to recall the case and to complete HCV-RNA testing if required, and where appropriate offer treatment. They were also asked to provide information about the HCV testing and treatment status of the case. </w:t>
      </w:r>
    </w:p>
    <w:p w14:paraId="7228009A" w14:textId="77777777" w:rsidR="00CF282F" w:rsidRDefault="00CF282F" w:rsidP="00CF282F">
      <w:pPr>
        <w:divId w:val="1312250460"/>
      </w:pPr>
      <w:r>
        <w:t xml:space="preserve">If the case no longer attended the practice or the practice could not be contacted, a letter was sent to the most recently available case address via person-to-person registered post or a text message was sent to the most recent mobile telephone number. If the case did not respond or if the messages were not delivered the case was designated lost to follow-up. </w:t>
      </w:r>
    </w:p>
    <w:p w14:paraId="03AC0265" w14:textId="77777777" w:rsidR="00CF282F" w:rsidRDefault="00CF282F" w:rsidP="00CF282F">
      <w:pPr>
        <w:divId w:val="1312250460"/>
      </w:pPr>
      <w:r>
        <w:t xml:space="preserve">At least four weeks after contacting either the case or their medical practice, we searched the pathology databases for evidence of treatment work up. This included HCV-RNA testing and/or a combination of liver function tests (aspartate aminotransferase, AST) and full blood count (platelet count) for calculating the AST to platelet ratio index (APRI) or Fibrosis-4 scores. </w:t>
      </w:r>
    </w:p>
    <w:p w14:paraId="78E48646" w14:textId="77777777" w:rsidR="00CF282F" w:rsidRPr="00CF282F" w:rsidRDefault="00CF282F" w:rsidP="00CF282F">
      <w:pPr>
        <w:pStyle w:val="Heading1"/>
        <w:divId w:val="1312250460"/>
      </w:pPr>
      <w:r w:rsidRPr="00CF282F">
        <w:t xml:space="preserve">Results </w:t>
      </w:r>
    </w:p>
    <w:p w14:paraId="7A396836" w14:textId="6C747FD3" w:rsidR="00EB4415" w:rsidRDefault="00CF282F" w:rsidP="00CF282F">
      <w:pPr>
        <w:divId w:val="1312250460"/>
      </w:pPr>
      <w:r>
        <w:t xml:space="preserve">A total of 673 HCV cases were notified in the study period and 532 were not identified as deceased or having been incarcerated at the time of notification and therefore were eligible for follow-up. Of the 532 eligible cases, 293 (55%) had a subsequent HCV-RNA negative result identified on follow-up, and no further follow-up was undertaken with them. Of the remaining 239 cases we could not identify a subsequent HCV-RNA test in 109, and 130 had a positive HCV-RNA test after their antibody test (Table 1). </w:t>
      </w:r>
    </w:p>
    <w:p w14:paraId="644ED3E6" w14:textId="77777777" w:rsidR="00EB4415" w:rsidRPr="00852D8A" w:rsidRDefault="00EB4415" w:rsidP="00EB4415">
      <w:pPr>
        <w:pStyle w:val="CDIFigures"/>
        <w:divId w:val="1312250460"/>
      </w:pPr>
      <w:r w:rsidRPr="00852D8A">
        <w:rPr>
          <w:rStyle w:val="Strong"/>
          <w:b/>
          <w:bCs w:val="0"/>
        </w:rPr>
        <w:t xml:space="preserve">Table 1: Summary outcomes of clinician/case follow-up of eligible notifications that were notified in the month of June during 2018, 2013, 2008 and 2003 and that did not have an identified subsequent negative RNA test </w:t>
      </w:r>
    </w:p>
    <w:tbl>
      <w:tblPr>
        <w:tblStyle w:val="CDI-StandardTable"/>
        <w:tblW w:w="0" w:type="auto"/>
        <w:tblLook w:val="04A0" w:firstRow="1" w:lastRow="0" w:firstColumn="1" w:lastColumn="0" w:noHBand="0" w:noVBand="1"/>
        <w:tblDescription w:val="Table 1 shows the outcomes of follow up of cases that did not have a negative RNA test following their hepatitis C notification. It shows the number and proportion of cases for which either clinical or patient details were available.&#10;"/>
      </w:tblPr>
      <w:tblGrid>
        <w:gridCol w:w="4820"/>
        <w:gridCol w:w="992"/>
        <w:gridCol w:w="992"/>
        <w:gridCol w:w="1134"/>
        <w:gridCol w:w="1276"/>
        <w:gridCol w:w="1226"/>
      </w:tblGrid>
      <w:tr w:rsidR="00EB4415" w:rsidRPr="00852D8A" w14:paraId="2771D482" w14:textId="77777777" w:rsidTr="00EB4415">
        <w:trPr>
          <w:cnfStyle w:val="100000000000" w:firstRow="1" w:lastRow="0" w:firstColumn="0" w:lastColumn="0" w:oddVBand="0" w:evenVBand="0" w:oddHBand="0" w:evenHBand="0" w:firstRowFirstColumn="0" w:firstRowLastColumn="0" w:lastRowFirstColumn="0" w:lastRowLastColumn="0"/>
          <w:divId w:val="1312250460"/>
        </w:trPr>
        <w:tc>
          <w:tcPr>
            <w:tcW w:w="4820" w:type="dxa"/>
            <w:hideMark/>
          </w:tcPr>
          <w:p w14:paraId="3F240B20" w14:textId="77777777" w:rsidR="00EB4415" w:rsidRPr="00852D8A" w:rsidRDefault="00EB4415" w:rsidP="00F544B3">
            <w:pPr>
              <w:pStyle w:val="NormalWeb"/>
              <w:jc w:val="left"/>
              <w:rPr>
                <w:sz w:val="18"/>
                <w:szCs w:val="18"/>
              </w:rPr>
            </w:pPr>
            <w:r w:rsidRPr="00852D8A">
              <w:rPr>
                <w:sz w:val="18"/>
                <w:szCs w:val="18"/>
              </w:rPr>
              <w:t>Category</w:t>
            </w:r>
          </w:p>
        </w:tc>
        <w:tc>
          <w:tcPr>
            <w:tcW w:w="992" w:type="dxa"/>
            <w:hideMark/>
          </w:tcPr>
          <w:p w14:paraId="64CBAC08" w14:textId="77777777" w:rsidR="00EB4415" w:rsidRPr="00852D8A" w:rsidRDefault="00EB4415" w:rsidP="00F544B3">
            <w:pPr>
              <w:pStyle w:val="NormalWeb"/>
              <w:rPr>
                <w:sz w:val="18"/>
                <w:szCs w:val="18"/>
              </w:rPr>
            </w:pPr>
            <w:r w:rsidRPr="00852D8A">
              <w:rPr>
                <w:sz w:val="18"/>
                <w:szCs w:val="18"/>
              </w:rPr>
              <w:t>2018</w:t>
            </w:r>
            <w:r w:rsidRPr="00852D8A">
              <w:rPr>
                <w:sz w:val="18"/>
                <w:szCs w:val="18"/>
              </w:rPr>
              <w:br/>
              <w:t>n (%)</w:t>
            </w:r>
            <w:r w:rsidRPr="004E3ABE">
              <w:rPr>
                <w:sz w:val="18"/>
                <w:szCs w:val="18"/>
                <w:vertAlign w:val="superscript"/>
              </w:rPr>
              <w:t>a</w:t>
            </w:r>
          </w:p>
        </w:tc>
        <w:tc>
          <w:tcPr>
            <w:tcW w:w="992" w:type="dxa"/>
            <w:hideMark/>
          </w:tcPr>
          <w:p w14:paraId="74938DD6" w14:textId="77777777" w:rsidR="00EB4415" w:rsidRPr="00852D8A" w:rsidRDefault="00EB4415" w:rsidP="00F544B3">
            <w:pPr>
              <w:pStyle w:val="NormalWeb"/>
              <w:rPr>
                <w:sz w:val="18"/>
                <w:szCs w:val="18"/>
              </w:rPr>
            </w:pPr>
            <w:r w:rsidRPr="00852D8A">
              <w:rPr>
                <w:sz w:val="18"/>
                <w:szCs w:val="18"/>
              </w:rPr>
              <w:t>2013</w:t>
            </w:r>
            <w:r w:rsidRPr="00852D8A">
              <w:rPr>
                <w:sz w:val="18"/>
                <w:szCs w:val="18"/>
              </w:rPr>
              <w:br/>
              <w:t>n (%)</w:t>
            </w:r>
            <w:r w:rsidRPr="004E3ABE">
              <w:rPr>
                <w:sz w:val="18"/>
                <w:szCs w:val="18"/>
                <w:vertAlign w:val="superscript"/>
              </w:rPr>
              <w:t>a</w:t>
            </w:r>
          </w:p>
        </w:tc>
        <w:tc>
          <w:tcPr>
            <w:tcW w:w="1134" w:type="dxa"/>
            <w:hideMark/>
          </w:tcPr>
          <w:p w14:paraId="5BB55043" w14:textId="77777777" w:rsidR="00EB4415" w:rsidRPr="00852D8A" w:rsidRDefault="00EB4415" w:rsidP="00F544B3">
            <w:pPr>
              <w:pStyle w:val="NormalWeb"/>
              <w:rPr>
                <w:sz w:val="18"/>
                <w:szCs w:val="18"/>
              </w:rPr>
            </w:pPr>
            <w:r w:rsidRPr="00852D8A">
              <w:rPr>
                <w:sz w:val="18"/>
                <w:szCs w:val="18"/>
              </w:rPr>
              <w:t>2008</w:t>
            </w:r>
            <w:r w:rsidRPr="00852D8A">
              <w:rPr>
                <w:sz w:val="18"/>
                <w:szCs w:val="18"/>
              </w:rPr>
              <w:br/>
              <w:t>n (%)</w:t>
            </w:r>
            <w:r w:rsidRPr="004E3ABE">
              <w:rPr>
                <w:sz w:val="18"/>
                <w:szCs w:val="18"/>
                <w:vertAlign w:val="superscript"/>
              </w:rPr>
              <w:t>a</w:t>
            </w:r>
          </w:p>
        </w:tc>
        <w:tc>
          <w:tcPr>
            <w:tcW w:w="1276" w:type="dxa"/>
            <w:hideMark/>
          </w:tcPr>
          <w:p w14:paraId="55D50E8D" w14:textId="77777777" w:rsidR="00EB4415" w:rsidRPr="00852D8A" w:rsidRDefault="00EB4415" w:rsidP="00F544B3">
            <w:pPr>
              <w:pStyle w:val="NormalWeb"/>
              <w:rPr>
                <w:sz w:val="18"/>
                <w:szCs w:val="18"/>
              </w:rPr>
            </w:pPr>
            <w:r w:rsidRPr="00852D8A">
              <w:rPr>
                <w:sz w:val="18"/>
                <w:szCs w:val="18"/>
              </w:rPr>
              <w:t>2003</w:t>
            </w:r>
            <w:r w:rsidRPr="00852D8A">
              <w:rPr>
                <w:sz w:val="18"/>
                <w:szCs w:val="18"/>
              </w:rPr>
              <w:br/>
              <w:t>n (%)</w:t>
            </w:r>
            <w:r w:rsidRPr="004E3ABE">
              <w:rPr>
                <w:sz w:val="18"/>
                <w:szCs w:val="18"/>
                <w:vertAlign w:val="superscript"/>
              </w:rPr>
              <w:t>a</w:t>
            </w:r>
          </w:p>
        </w:tc>
        <w:tc>
          <w:tcPr>
            <w:tcW w:w="1226" w:type="dxa"/>
            <w:hideMark/>
          </w:tcPr>
          <w:p w14:paraId="699C2CDC" w14:textId="77777777" w:rsidR="00EB4415" w:rsidRPr="00852D8A" w:rsidRDefault="00EB4415" w:rsidP="00F544B3">
            <w:pPr>
              <w:pStyle w:val="NormalWeb"/>
              <w:rPr>
                <w:sz w:val="18"/>
                <w:szCs w:val="18"/>
              </w:rPr>
            </w:pPr>
            <w:r w:rsidRPr="00852D8A">
              <w:rPr>
                <w:sz w:val="18"/>
                <w:szCs w:val="18"/>
              </w:rPr>
              <w:t>Total</w:t>
            </w:r>
            <w:r w:rsidRPr="00852D8A">
              <w:rPr>
                <w:sz w:val="18"/>
                <w:szCs w:val="18"/>
              </w:rPr>
              <w:br/>
              <w:t>n (%)</w:t>
            </w:r>
            <w:r w:rsidRPr="004E3ABE">
              <w:rPr>
                <w:sz w:val="18"/>
                <w:szCs w:val="18"/>
                <w:vertAlign w:val="superscript"/>
              </w:rPr>
              <w:t>a</w:t>
            </w:r>
          </w:p>
        </w:tc>
      </w:tr>
      <w:tr w:rsidR="00EB4415" w:rsidRPr="00F9749B" w14:paraId="3B60A6E3" w14:textId="77777777" w:rsidTr="00EB4415">
        <w:trPr>
          <w:divId w:val="1312250460"/>
        </w:trPr>
        <w:tc>
          <w:tcPr>
            <w:tcW w:w="4820" w:type="dxa"/>
            <w:tcBorders>
              <w:bottom w:val="single" w:sz="2" w:space="0" w:color="808080" w:themeColor="background1" w:themeShade="80"/>
            </w:tcBorders>
            <w:shd w:val="clear" w:color="auto" w:fill="auto"/>
            <w:hideMark/>
          </w:tcPr>
          <w:p w14:paraId="54F237DF" w14:textId="77777777" w:rsidR="00EB4415" w:rsidRPr="00F9749B" w:rsidRDefault="00EB4415" w:rsidP="00F544B3">
            <w:pPr>
              <w:pStyle w:val="NormalWeb"/>
              <w:jc w:val="left"/>
              <w:rPr>
                <w:b/>
                <w:bCs/>
                <w:sz w:val="18"/>
                <w:szCs w:val="18"/>
              </w:rPr>
            </w:pPr>
            <w:r w:rsidRPr="00F9749B">
              <w:rPr>
                <w:b/>
                <w:bCs/>
                <w:sz w:val="18"/>
                <w:szCs w:val="18"/>
              </w:rPr>
              <w:t>Total cases eligible for follow-up</w:t>
            </w:r>
          </w:p>
        </w:tc>
        <w:tc>
          <w:tcPr>
            <w:tcW w:w="992" w:type="dxa"/>
            <w:tcBorders>
              <w:bottom w:val="single" w:sz="2" w:space="0" w:color="808080" w:themeColor="background1" w:themeShade="80"/>
            </w:tcBorders>
            <w:shd w:val="clear" w:color="auto" w:fill="auto"/>
            <w:hideMark/>
          </w:tcPr>
          <w:p w14:paraId="6B564C23" w14:textId="77777777" w:rsidR="00EB4415" w:rsidRPr="00F9749B" w:rsidRDefault="00EB4415" w:rsidP="00F544B3">
            <w:pPr>
              <w:pStyle w:val="NormalWeb"/>
              <w:rPr>
                <w:b/>
                <w:bCs/>
                <w:sz w:val="18"/>
                <w:szCs w:val="18"/>
              </w:rPr>
            </w:pPr>
            <w:r w:rsidRPr="00F9749B">
              <w:rPr>
                <w:b/>
                <w:bCs/>
                <w:sz w:val="18"/>
                <w:szCs w:val="18"/>
              </w:rPr>
              <w:t>115</w:t>
            </w:r>
          </w:p>
        </w:tc>
        <w:tc>
          <w:tcPr>
            <w:tcW w:w="992" w:type="dxa"/>
            <w:tcBorders>
              <w:bottom w:val="single" w:sz="2" w:space="0" w:color="808080" w:themeColor="background1" w:themeShade="80"/>
            </w:tcBorders>
            <w:shd w:val="clear" w:color="auto" w:fill="auto"/>
            <w:hideMark/>
          </w:tcPr>
          <w:p w14:paraId="68B3CAA8" w14:textId="77777777" w:rsidR="00EB4415" w:rsidRPr="00F9749B" w:rsidRDefault="00EB4415" w:rsidP="00F544B3">
            <w:pPr>
              <w:pStyle w:val="NormalWeb"/>
              <w:rPr>
                <w:b/>
                <w:bCs/>
                <w:sz w:val="18"/>
                <w:szCs w:val="18"/>
              </w:rPr>
            </w:pPr>
            <w:r w:rsidRPr="00F9749B">
              <w:rPr>
                <w:b/>
                <w:bCs/>
                <w:sz w:val="18"/>
                <w:szCs w:val="18"/>
              </w:rPr>
              <w:t>129</w:t>
            </w:r>
          </w:p>
        </w:tc>
        <w:tc>
          <w:tcPr>
            <w:tcW w:w="1134" w:type="dxa"/>
            <w:tcBorders>
              <w:bottom w:val="single" w:sz="2" w:space="0" w:color="808080" w:themeColor="background1" w:themeShade="80"/>
            </w:tcBorders>
            <w:shd w:val="clear" w:color="auto" w:fill="auto"/>
            <w:hideMark/>
          </w:tcPr>
          <w:p w14:paraId="54727741" w14:textId="77777777" w:rsidR="00EB4415" w:rsidRPr="00F9749B" w:rsidRDefault="00EB4415" w:rsidP="00F544B3">
            <w:pPr>
              <w:pStyle w:val="NormalWeb"/>
              <w:rPr>
                <w:b/>
                <w:bCs/>
                <w:sz w:val="18"/>
                <w:szCs w:val="18"/>
              </w:rPr>
            </w:pPr>
            <w:r w:rsidRPr="00F9749B">
              <w:rPr>
                <w:b/>
                <w:bCs/>
                <w:sz w:val="18"/>
                <w:szCs w:val="18"/>
              </w:rPr>
              <w:t>159</w:t>
            </w:r>
          </w:p>
        </w:tc>
        <w:tc>
          <w:tcPr>
            <w:tcW w:w="1276" w:type="dxa"/>
            <w:tcBorders>
              <w:bottom w:val="single" w:sz="2" w:space="0" w:color="808080" w:themeColor="background1" w:themeShade="80"/>
            </w:tcBorders>
            <w:shd w:val="clear" w:color="auto" w:fill="auto"/>
            <w:hideMark/>
          </w:tcPr>
          <w:p w14:paraId="4655EBDA" w14:textId="77777777" w:rsidR="00EB4415" w:rsidRPr="00F9749B" w:rsidRDefault="00EB4415" w:rsidP="00F544B3">
            <w:pPr>
              <w:pStyle w:val="NormalWeb"/>
              <w:rPr>
                <w:b/>
                <w:bCs/>
                <w:sz w:val="18"/>
                <w:szCs w:val="18"/>
              </w:rPr>
            </w:pPr>
            <w:r w:rsidRPr="00F9749B">
              <w:rPr>
                <w:b/>
                <w:bCs/>
                <w:sz w:val="18"/>
                <w:szCs w:val="18"/>
              </w:rPr>
              <w:t>129</w:t>
            </w:r>
          </w:p>
        </w:tc>
        <w:tc>
          <w:tcPr>
            <w:tcW w:w="1226" w:type="dxa"/>
            <w:tcBorders>
              <w:bottom w:val="single" w:sz="2" w:space="0" w:color="808080" w:themeColor="background1" w:themeShade="80"/>
            </w:tcBorders>
            <w:shd w:val="clear" w:color="auto" w:fill="auto"/>
            <w:hideMark/>
          </w:tcPr>
          <w:p w14:paraId="6945F1F8" w14:textId="77777777" w:rsidR="00EB4415" w:rsidRPr="00F9749B" w:rsidRDefault="00EB4415" w:rsidP="00F544B3">
            <w:pPr>
              <w:pStyle w:val="NormalWeb"/>
              <w:rPr>
                <w:b/>
                <w:bCs/>
                <w:sz w:val="18"/>
                <w:szCs w:val="18"/>
              </w:rPr>
            </w:pPr>
            <w:r w:rsidRPr="00F9749B">
              <w:rPr>
                <w:b/>
                <w:bCs/>
                <w:sz w:val="18"/>
                <w:szCs w:val="18"/>
              </w:rPr>
              <w:t>532</w:t>
            </w:r>
          </w:p>
        </w:tc>
      </w:tr>
      <w:tr w:rsidR="00EB4415" w:rsidRPr="00F9749B" w14:paraId="2D06BC7B" w14:textId="77777777" w:rsidTr="00EB4415">
        <w:trPr>
          <w:cnfStyle w:val="000000010000" w:firstRow="0" w:lastRow="0" w:firstColumn="0" w:lastColumn="0" w:oddVBand="0" w:evenVBand="0" w:oddHBand="0" w:evenHBand="1" w:firstRowFirstColumn="0" w:firstRowLastColumn="0" w:lastRowFirstColumn="0" w:lastRowLastColumn="0"/>
          <w:divId w:val="1312250460"/>
        </w:trPr>
        <w:tc>
          <w:tcPr>
            <w:tcW w:w="4820" w:type="dxa"/>
            <w:tcBorders>
              <w:top w:val="single" w:sz="2" w:space="0" w:color="808080" w:themeColor="background1" w:themeShade="80"/>
              <w:bottom w:val="single" w:sz="2" w:space="0" w:color="808080" w:themeColor="background1" w:themeShade="80"/>
            </w:tcBorders>
            <w:shd w:val="clear" w:color="auto" w:fill="auto"/>
            <w:hideMark/>
          </w:tcPr>
          <w:p w14:paraId="05EF2C9C" w14:textId="77777777" w:rsidR="00EB4415" w:rsidRPr="00F9749B" w:rsidRDefault="00EB4415" w:rsidP="00F544B3">
            <w:pPr>
              <w:pStyle w:val="NormalWeb"/>
              <w:jc w:val="left"/>
              <w:rPr>
                <w:b/>
                <w:bCs/>
                <w:sz w:val="18"/>
                <w:szCs w:val="18"/>
              </w:rPr>
            </w:pPr>
            <w:r w:rsidRPr="00F9749B">
              <w:rPr>
                <w:b/>
                <w:bCs/>
                <w:sz w:val="18"/>
                <w:szCs w:val="18"/>
              </w:rPr>
              <w:t>Eligible cases without a negative RNA test</w:t>
            </w:r>
          </w:p>
        </w:tc>
        <w:tc>
          <w:tcPr>
            <w:tcW w:w="992" w:type="dxa"/>
            <w:tcBorders>
              <w:top w:val="single" w:sz="2" w:space="0" w:color="808080" w:themeColor="background1" w:themeShade="80"/>
              <w:bottom w:val="single" w:sz="2" w:space="0" w:color="808080" w:themeColor="background1" w:themeShade="80"/>
            </w:tcBorders>
            <w:shd w:val="clear" w:color="auto" w:fill="auto"/>
            <w:hideMark/>
          </w:tcPr>
          <w:p w14:paraId="438EFD7E" w14:textId="77777777" w:rsidR="00EB4415" w:rsidRPr="00F9749B" w:rsidRDefault="00EB4415" w:rsidP="00F544B3">
            <w:pPr>
              <w:pStyle w:val="NormalWeb"/>
              <w:rPr>
                <w:b/>
                <w:bCs/>
                <w:sz w:val="18"/>
                <w:szCs w:val="18"/>
              </w:rPr>
            </w:pPr>
            <w:r w:rsidRPr="00F9749B">
              <w:rPr>
                <w:b/>
                <w:bCs/>
                <w:sz w:val="18"/>
                <w:szCs w:val="18"/>
              </w:rPr>
              <w:t>41</w:t>
            </w:r>
          </w:p>
        </w:tc>
        <w:tc>
          <w:tcPr>
            <w:tcW w:w="992" w:type="dxa"/>
            <w:tcBorders>
              <w:top w:val="single" w:sz="2" w:space="0" w:color="808080" w:themeColor="background1" w:themeShade="80"/>
              <w:bottom w:val="single" w:sz="2" w:space="0" w:color="808080" w:themeColor="background1" w:themeShade="80"/>
            </w:tcBorders>
            <w:shd w:val="clear" w:color="auto" w:fill="auto"/>
            <w:hideMark/>
          </w:tcPr>
          <w:p w14:paraId="5F9F93AD" w14:textId="77777777" w:rsidR="00EB4415" w:rsidRPr="00F9749B" w:rsidRDefault="00EB4415" w:rsidP="00F544B3">
            <w:pPr>
              <w:pStyle w:val="NormalWeb"/>
              <w:rPr>
                <w:b/>
                <w:bCs/>
                <w:sz w:val="18"/>
                <w:szCs w:val="18"/>
              </w:rPr>
            </w:pPr>
            <w:r w:rsidRPr="00F9749B">
              <w:rPr>
                <w:b/>
                <w:bCs/>
                <w:sz w:val="18"/>
                <w:szCs w:val="18"/>
              </w:rPr>
              <w:t>47</w:t>
            </w:r>
          </w:p>
        </w:tc>
        <w:tc>
          <w:tcPr>
            <w:tcW w:w="1134" w:type="dxa"/>
            <w:tcBorders>
              <w:top w:val="single" w:sz="2" w:space="0" w:color="808080" w:themeColor="background1" w:themeShade="80"/>
              <w:bottom w:val="single" w:sz="2" w:space="0" w:color="808080" w:themeColor="background1" w:themeShade="80"/>
            </w:tcBorders>
            <w:shd w:val="clear" w:color="auto" w:fill="auto"/>
            <w:hideMark/>
          </w:tcPr>
          <w:p w14:paraId="07F149F0" w14:textId="77777777" w:rsidR="00EB4415" w:rsidRPr="00F9749B" w:rsidRDefault="00EB4415" w:rsidP="00F544B3">
            <w:pPr>
              <w:pStyle w:val="NormalWeb"/>
              <w:rPr>
                <w:b/>
                <w:bCs/>
                <w:sz w:val="18"/>
                <w:szCs w:val="18"/>
              </w:rPr>
            </w:pPr>
            <w:r w:rsidRPr="00F9749B">
              <w:rPr>
                <w:b/>
                <w:bCs/>
                <w:sz w:val="18"/>
                <w:szCs w:val="18"/>
              </w:rPr>
              <w:t>78</w:t>
            </w:r>
          </w:p>
        </w:tc>
        <w:tc>
          <w:tcPr>
            <w:tcW w:w="1276" w:type="dxa"/>
            <w:tcBorders>
              <w:top w:val="single" w:sz="2" w:space="0" w:color="808080" w:themeColor="background1" w:themeShade="80"/>
              <w:bottom w:val="single" w:sz="2" w:space="0" w:color="808080" w:themeColor="background1" w:themeShade="80"/>
            </w:tcBorders>
            <w:shd w:val="clear" w:color="auto" w:fill="auto"/>
            <w:hideMark/>
          </w:tcPr>
          <w:p w14:paraId="4EAE39DA" w14:textId="77777777" w:rsidR="00EB4415" w:rsidRPr="00F9749B" w:rsidRDefault="00EB4415" w:rsidP="00F544B3">
            <w:pPr>
              <w:pStyle w:val="NormalWeb"/>
              <w:rPr>
                <w:b/>
                <w:bCs/>
                <w:sz w:val="18"/>
                <w:szCs w:val="18"/>
              </w:rPr>
            </w:pPr>
            <w:r w:rsidRPr="00F9749B">
              <w:rPr>
                <w:b/>
                <w:bCs/>
                <w:sz w:val="18"/>
                <w:szCs w:val="18"/>
              </w:rPr>
              <w:t>73</w:t>
            </w:r>
          </w:p>
        </w:tc>
        <w:tc>
          <w:tcPr>
            <w:tcW w:w="1226" w:type="dxa"/>
            <w:tcBorders>
              <w:top w:val="single" w:sz="2" w:space="0" w:color="808080" w:themeColor="background1" w:themeShade="80"/>
              <w:bottom w:val="single" w:sz="2" w:space="0" w:color="808080" w:themeColor="background1" w:themeShade="80"/>
            </w:tcBorders>
            <w:shd w:val="clear" w:color="auto" w:fill="auto"/>
            <w:hideMark/>
          </w:tcPr>
          <w:p w14:paraId="0CEE4CD8" w14:textId="77777777" w:rsidR="00EB4415" w:rsidRPr="00F9749B" w:rsidRDefault="00EB4415" w:rsidP="00F544B3">
            <w:pPr>
              <w:pStyle w:val="NormalWeb"/>
              <w:rPr>
                <w:b/>
                <w:bCs/>
                <w:sz w:val="18"/>
                <w:szCs w:val="18"/>
              </w:rPr>
            </w:pPr>
            <w:r w:rsidRPr="00F9749B">
              <w:rPr>
                <w:b/>
                <w:bCs/>
                <w:sz w:val="18"/>
                <w:szCs w:val="18"/>
              </w:rPr>
              <w:t>239</w:t>
            </w:r>
          </w:p>
        </w:tc>
      </w:tr>
      <w:tr w:rsidR="00EB4415" w:rsidRPr="00852D8A" w14:paraId="3EAEE2A8" w14:textId="77777777" w:rsidTr="00EB4415">
        <w:trPr>
          <w:divId w:val="1312250460"/>
        </w:trPr>
        <w:tc>
          <w:tcPr>
            <w:tcW w:w="4820" w:type="dxa"/>
            <w:tcBorders>
              <w:top w:val="single" w:sz="2" w:space="0" w:color="808080" w:themeColor="background1" w:themeShade="80"/>
            </w:tcBorders>
            <w:shd w:val="clear" w:color="auto" w:fill="auto"/>
            <w:hideMark/>
          </w:tcPr>
          <w:p w14:paraId="7679957E" w14:textId="77777777" w:rsidR="00EB4415" w:rsidRPr="00852D8A" w:rsidRDefault="00EB4415" w:rsidP="00F544B3">
            <w:pPr>
              <w:pStyle w:val="NormalWeb"/>
              <w:jc w:val="left"/>
              <w:rPr>
                <w:sz w:val="18"/>
                <w:szCs w:val="18"/>
              </w:rPr>
            </w:pPr>
            <w:r w:rsidRPr="00852D8A">
              <w:rPr>
                <w:sz w:val="18"/>
                <w:szCs w:val="18"/>
              </w:rPr>
              <w:t>Eligible case – no RNA test available</w:t>
            </w:r>
          </w:p>
        </w:tc>
        <w:tc>
          <w:tcPr>
            <w:tcW w:w="992" w:type="dxa"/>
            <w:tcBorders>
              <w:top w:val="single" w:sz="2" w:space="0" w:color="808080" w:themeColor="background1" w:themeShade="80"/>
            </w:tcBorders>
            <w:shd w:val="clear" w:color="auto" w:fill="auto"/>
            <w:hideMark/>
          </w:tcPr>
          <w:p w14:paraId="316908AC" w14:textId="77777777" w:rsidR="00EB4415" w:rsidRPr="00852D8A" w:rsidRDefault="00EB4415" w:rsidP="00F544B3">
            <w:pPr>
              <w:pStyle w:val="NormalWeb"/>
              <w:rPr>
                <w:sz w:val="18"/>
                <w:szCs w:val="18"/>
              </w:rPr>
            </w:pPr>
            <w:r w:rsidRPr="00852D8A">
              <w:rPr>
                <w:sz w:val="18"/>
                <w:szCs w:val="18"/>
              </w:rPr>
              <w:t>15 (37)</w:t>
            </w:r>
          </w:p>
        </w:tc>
        <w:tc>
          <w:tcPr>
            <w:tcW w:w="992" w:type="dxa"/>
            <w:tcBorders>
              <w:top w:val="single" w:sz="2" w:space="0" w:color="808080" w:themeColor="background1" w:themeShade="80"/>
            </w:tcBorders>
            <w:shd w:val="clear" w:color="auto" w:fill="auto"/>
            <w:hideMark/>
          </w:tcPr>
          <w:p w14:paraId="257E78BE" w14:textId="77777777" w:rsidR="00EB4415" w:rsidRPr="00852D8A" w:rsidRDefault="00EB4415" w:rsidP="00F544B3">
            <w:pPr>
              <w:pStyle w:val="NormalWeb"/>
              <w:rPr>
                <w:sz w:val="18"/>
                <w:szCs w:val="18"/>
              </w:rPr>
            </w:pPr>
            <w:r w:rsidRPr="00852D8A">
              <w:rPr>
                <w:sz w:val="18"/>
                <w:szCs w:val="18"/>
              </w:rPr>
              <w:t>13 (28)</w:t>
            </w:r>
          </w:p>
        </w:tc>
        <w:tc>
          <w:tcPr>
            <w:tcW w:w="1134" w:type="dxa"/>
            <w:tcBorders>
              <w:top w:val="single" w:sz="2" w:space="0" w:color="808080" w:themeColor="background1" w:themeShade="80"/>
            </w:tcBorders>
            <w:shd w:val="clear" w:color="auto" w:fill="auto"/>
            <w:hideMark/>
          </w:tcPr>
          <w:p w14:paraId="7FEAC4B8" w14:textId="77777777" w:rsidR="00EB4415" w:rsidRPr="00852D8A" w:rsidRDefault="00EB4415" w:rsidP="00F544B3">
            <w:pPr>
              <w:pStyle w:val="NormalWeb"/>
              <w:rPr>
                <w:sz w:val="18"/>
                <w:szCs w:val="18"/>
              </w:rPr>
            </w:pPr>
            <w:r w:rsidRPr="00852D8A">
              <w:rPr>
                <w:sz w:val="18"/>
                <w:szCs w:val="18"/>
              </w:rPr>
              <w:t>35 (45)</w:t>
            </w:r>
          </w:p>
        </w:tc>
        <w:tc>
          <w:tcPr>
            <w:tcW w:w="1276" w:type="dxa"/>
            <w:tcBorders>
              <w:top w:val="single" w:sz="2" w:space="0" w:color="808080" w:themeColor="background1" w:themeShade="80"/>
            </w:tcBorders>
            <w:shd w:val="clear" w:color="auto" w:fill="auto"/>
            <w:hideMark/>
          </w:tcPr>
          <w:p w14:paraId="6C89D3C8" w14:textId="77777777" w:rsidR="00EB4415" w:rsidRPr="00852D8A" w:rsidRDefault="00EB4415" w:rsidP="00F544B3">
            <w:pPr>
              <w:pStyle w:val="NormalWeb"/>
              <w:rPr>
                <w:sz w:val="18"/>
                <w:szCs w:val="18"/>
              </w:rPr>
            </w:pPr>
            <w:r w:rsidRPr="00852D8A">
              <w:rPr>
                <w:sz w:val="18"/>
                <w:szCs w:val="18"/>
              </w:rPr>
              <w:t>46 (63)</w:t>
            </w:r>
          </w:p>
        </w:tc>
        <w:tc>
          <w:tcPr>
            <w:tcW w:w="1226" w:type="dxa"/>
            <w:tcBorders>
              <w:top w:val="single" w:sz="2" w:space="0" w:color="808080" w:themeColor="background1" w:themeShade="80"/>
            </w:tcBorders>
            <w:shd w:val="clear" w:color="auto" w:fill="auto"/>
            <w:hideMark/>
          </w:tcPr>
          <w:p w14:paraId="7E8E931E" w14:textId="77777777" w:rsidR="00EB4415" w:rsidRPr="00852D8A" w:rsidRDefault="00EB4415" w:rsidP="00F544B3">
            <w:pPr>
              <w:pStyle w:val="NormalWeb"/>
              <w:rPr>
                <w:sz w:val="18"/>
                <w:szCs w:val="18"/>
              </w:rPr>
            </w:pPr>
            <w:r w:rsidRPr="00852D8A">
              <w:rPr>
                <w:sz w:val="18"/>
                <w:szCs w:val="18"/>
              </w:rPr>
              <w:t>109 (46)</w:t>
            </w:r>
          </w:p>
        </w:tc>
      </w:tr>
      <w:tr w:rsidR="00EB4415" w:rsidRPr="00852D8A" w14:paraId="2C8EC13B" w14:textId="77777777" w:rsidTr="00EB4415">
        <w:trPr>
          <w:cnfStyle w:val="000000010000" w:firstRow="0" w:lastRow="0" w:firstColumn="0" w:lastColumn="0" w:oddVBand="0" w:evenVBand="0" w:oddHBand="0" w:evenHBand="1" w:firstRowFirstColumn="0" w:firstRowLastColumn="0" w:lastRowFirstColumn="0" w:lastRowLastColumn="0"/>
          <w:divId w:val="1312250460"/>
        </w:trPr>
        <w:tc>
          <w:tcPr>
            <w:tcW w:w="4820" w:type="dxa"/>
            <w:tcBorders>
              <w:bottom w:val="single" w:sz="2" w:space="0" w:color="808080" w:themeColor="background1" w:themeShade="80"/>
            </w:tcBorders>
            <w:shd w:val="clear" w:color="auto" w:fill="auto"/>
            <w:hideMark/>
          </w:tcPr>
          <w:p w14:paraId="563A0B24" w14:textId="77777777" w:rsidR="00EB4415" w:rsidRPr="00852D8A" w:rsidRDefault="00EB4415" w:rsidP="00F544B3">
            <w:pPr>
              <w:pStyle w:val="NormalWeb"/>
              <w:jc w:val="left"/>
              <w:rPr>
                <w:sz w:val="18"/>
                <w:szCs w:val="18"/>
              </w:rPr>
            </w:pPr>
            <w:r w:rsidRPr="00852D8A">
              <w:rPr>
                <w:sz w:val="18"/>
                <w:szCs w:val="18"/>
              </w:rPr>
              <w:t>Eligible case – positive RNA test only</w:t>
            </w:r>
          </w:p>
        </w:tc>
        <w:tc>
          <w:tcPr>
            <w:tcW w:w="992" w:type="dxa"/>
            <w:tcBorders>
              <w:bottom w:val="single" w:sz="2" w:space="0" w:color="808080" w:themeColor="background1" w:themeShade="80"/>
            </w:tcBorders>
            <w:shd w:val="clear" w:color="auto" w:fill="auto"/>
            <w:hideMark/>
          </w:tcPr>
          <w:p w14:paraId="0BCA4231" w14:textId="77777777" w:rsidR="00EB4415" w:rsidRPr="00852D8A" w:rsidRDefault="00EB4415" w:rsidP="00F544B3">
            <w:pPr>
              <w:pStyle w:val="NormalWeb"/>
              <w:rPr>
                <w:sz w:val="18"/>
                <w:szCs w:val="18"/>
              </w:rPr>
            </w:pPr>
            <w:r w:rsidRPr="00852D8A">
              <w:rPr>
                <w:sz w:val="18"/>
                <w:szCs w:val="18"/>
              </w:rPr>
              <w:t>26 (63)</w:t>
            </w:r>
          </w:p>
        </w:tc>
        <w:tc>
          <w:tcPr>
            <w:tcW w:w="992" w:type="dxa"/>
            <w:tcBorders>
              <w:bottom w:val="single" w:sz="2" w:space="0" w:color="808080" w:themeColor="background1" w:themeShade="80"/>
            </w:tcBorders>
            <w:shd w:val="clear" w:color="auto" w:fill="auto"/>
            <w:hideMark/>
          </w:tcPr>
          <w:p w14:paraId="695A0AAB" w14:textId="77777777" w:rsidR="00EB4415" w:rsidRPr="00852D8A" w:rsidRDefault="00EB4415" w:rsidP="00F544B3">
            <w:pPr>
              <w:pStyle w:val="NormalWeb"/>
              <w:rPr>
                <w:sz w:val="18"/>
                <w:szCs w:val="18"/>
              </w:rPr>
            </w:pPr>
            <w:r w:rsidRPr="00852D8A">
              <w:rPr>
                <w:sz w:val="18"/>
                <w:szCs w:val="18"/>
              </w:rPr>
              <w:t>34 (72)</w:t>
            </w:r>
          </w:p>
        </w:tc>
        <w:tc>
          <w:tcPr>
            <w:tcW w:w="1134" w:type="dxa"/>
            <w:tcBorders>
              <w:bottom w:val="single" w:sz="2" w:space="0" w:color="808080" w:themeColor="background1" w:themeShade="80"/>
            </w:tcBorders>
            <w:shd w:val="clear" w:color="auto" w:fill="auto"/>
            <w:hideMark/>
          </w:tcPr>
          <w:p w14:paraId="3E583D27" w14:textId="77777777" w:rsidR="00EB4415" w:rsidRPr="00852D8A" w:rsidRDefault="00EB4415" w:rsidP="00F544B3">
            <w:pPr>
              <w:pStyle w:val="NormalWeb"/>
              <w:rPr>
                <w:sz w:val="18"/>
                <w:szCs w:val="18"/>
              </w:rPr>
            </w:pPr>
            <w:r w:rsidRPr="00852D8A">
              <w:rPr>
                <w:sz w:val="18"/>
                <w:szCs w:val="18"/>
              </w:rPr>
              <w:t>43 (55)</w:t>
            </w:r>
          </w:p>
        </w:tc>
        <w:tc>
          <w:tcPr>
            <w:tcW w:w="1276" w:type="dxa"/>
            <w:tcBorders>
              <w:bottom w:val="single" w:sz="2" w:space="0" w:color="808080" w:themeColor="background1" w:themeShade="80"/>
            </w:tcBorders>
            <w:shd w:val="clear" w:color="auto" w:fill="auto"/>
            <w:hideMark/>
          </w:tcPr>
          <w:p w14:paraId="5A2EE4BF" w14:textId="77777777" w:rsidR="00EB4415" w:rsidRPr="00852D8A" w:rsidRDefault="00EB4415" w:rsidP="00F544B3">
            <w:pPr>
              <w:pStyle w:val="NormalWeb"/>
              <w:rPr>
                <w:sz w:val="18"/>
                <w:szCs w:val="18"/>
              </w:rPr>
            </w:pPr>
            <w:r w:rsidRPr="00852D8A">
              <w:rPr>
                <w:sz w:val="18"/>
                <w:szCs w:val="18"/>
              </w:rPr>
              <w:t>27 (37)</w:t>
            </w:r>
          </w:p>
        </w:tc>
        <w:tc>
          <w:tcPr>
            <w:tcW w:w="1226" w:type="dxa"/>
            <w:tcBorders>
              <w:bottom w:val="single" w:sz="2" w:space="0" w:color="808080" w:themeColor="background1" w:themeShade="80"/>
            </w:tcBorders>
            <w:shd w:val="clear" w:color="auto" w:fill="auto"/>
            <w:hideMark/>
          </w:tcPr>
          <w:p w14:paraId="540A5C96" w14:textId="77777777" w:rsidR="00EB4415" w:rsidRPr="00852D8A" w:rsidRDefault="00EB4415" w:rsidP="00F544B3">
            <w:pPr>
              <w:pStyle w:val="NormalWeb"/>
              <w:rPr>
                <w:sz w:val="18"/>
                <w:szCs w:val="18"/>
              </w:rPr>
            </w:pPr>
            <w:r w:rsidRPr="00852D8A">
              <w:rPr>
                <w:sz w:val="18"/>
                <w:szCs w:val="18"/>
              </w:rPr>
              <w:t>130 (54)</w:t>
            </w:r>
          </w:p>
        </w:tc>
      </w:tr>
      <w:tr w:rsidR="00EB4415" w:rsidRPr="00852D8A" w14:paraId="61E001B2" w14:textId="77777777" w:rsidTr="00EB4415">
        <w:trPr>
          <w:divId w:val="1312250460"/>
        </w:trPr>
        <w:tc>
          <w:tcPr>
            <w:tcW w:w="4820" w:type="dxa"/>
            <w:tcBorders>
              <w:top w:val="single" w:sz="2" w:space="0" w:color="808080" w:themeColor="background1" w:themeShade="80"/>
            </w:tcBorders>
            <w:shd w:val="clear" w:color="auto" w:fill="auto"/>
            <w:hideMark/>
          </w:tcPr>
          <w:p w14:paraId="7B97CCFF" w14:textId="77777777" w:rsidR="00EB4415" w:rsidRPr="00852D8A" w:rsidRDefault="00EB4415" w:rsidP="00F544B3">
            <w:pPr>
              <w:pStyle w:val="NormalWeb"/>
              <w:jc w:val="left"/>
              <w:rPr>
                <w:sz w:val="18"/>
                <w:szCs w:val="18"/>
              </w:rPr>
            </w:pPr>
            <w:r w:rsidRPr="00852D8A">
              <w:rPr>
                <w:sz w:val="18"/>
                <w:szCs w:val="18"/>
              </w:rPr>
              <w:t xml:space="preserve">No contact details </w:t>
            </w:r>
            <w:proofErr w:type="spellStart"/>
            <w:r w:rsidRPr="00852D8A">
              <w:rPr>
                <w:sz w:val="18"/>
                <w:szCs w:val="18"/>
              </w:rPr>
              <w:t>available</w:t>
            </w:r>
            <w:r w:rsidRPr="00F9749B">
              <w:rPr>
                <w:sz w:val="18"/>
                <w:szCs w:val="18"/>
                <w:vertAlign w:val="superscript"/>
              </w:rPr>
              <w:t>b</w:t>
            </w:r>
            <w:proofErr w:type="spellEnd"/>
          </w:p>
        </w:tc>
        <w:tc>
          <w:tcPr>
            <w:tcW w:w="992" w:type="dxa"/>
            <w:tcBorders>
              <w:top w:val="single" w:sz="2" w:space="0" w:color="808080" w:themeColor="background1" w:themeShade="80"/>
            </w:tcBorders>
            <w:shd w:val="clear" w:color="auto" w:fill="auto"/>
            <w:hideMark/>
          </w:tcPr>
          <w:p w14:paraId="09A0474E" w14:textId="77777777" w:rsidR="00EB4415" w:rsidRPr="00852D8A" w:rsidRDefault="00EB4415" w:rsidP="00F544B3">
            <w:pPr>
              <w:pStyle w:val="NormalWeb"/>
              <w:rPr>
                <w:sz w:val="18"/>
                <w:szCs w:val="18"/>
              </w:rPr>
            </w:pPr>
            <w:r w:rsidRPr="00852D8A">
              <w:rPr>
                <w:sz w:val="18"/>
                <w:szCs w:val="18"/>
              </w:rPr>
              <w:t>2 (5)</w:t>
            </w:r>
          </w:p>
        </w:tc>
        <w:tc>
          <w:tcPr>
            <w:tcW w:w="992" w:type="dxa"/>
            <w:tcBorders>
              <w:top w:val="single" w:sz="2" w:space="0" w:color="808080" w:themeColor="background1" w:themeShade="80"/>
            </w:tcBorders>
            <w:shd w:val="clear" w:color="auto" w:fill="auto"/>
            <w:hideMark/>
          </w:tcPr>
          <w:p w14:paraId="64DC27C4" w14:textId="77777777" w:rsidR="00EB4415" w:rsidRPr="00852D8A" w:rsidRDefault="00EB4415" w:rsidP="00F544B3">
            <w:pPr>
              <w:pStyle w:val="NormalWeb"/>
              <w:rPr>
                <w:sz w:val="18"/>
                <w:szCs w:val="18"/>
              </w:rPr>
            </w:pPr>
            <w:r w:rsidRPr="00852D8A">
              <w:rPr>
                <w:sz w:val="18"/>
                <w:szCs w:val="18"/>
              </w:rPr>
              <w:t>17 (36)</w:t>
            </w:r>
          </w:p>
        </w:tc>
        <w:tc>
          <w:tcPr>
            <w:tcW w:w="1134" w:type="dxa"/>
            <w:tcBorders>
              <w:top w:val="single" w:sz="2" w:space="0" w:color="808080" w:themeColor="background1" w:themeShade="80"/>
            </w:tcBorders>
            <w:shd w:val="clear" w:color="auto" w:fill="auto"/>
            <w:hideMark/>
          </w:tcPr>
          <w:p w14:paraId="6CEE7F63" w14:textId="77777777" w:rsidR="00EB4415" w:rsidRPr="00852D8A" w:rsidRDefault="00EB4415" w:rsidP="00F544B3">
            <w:pPr>
              <w:pStyle w:val="NormalWeb"/>
              <w:rPr>
                <w:sz w:val="18"/>
                <w:szCs w:val="18"/>
              </w:rPr>
            </w:pPr>
            <w:r w:rsidRPr="00852D8A">
              <w:rPr>
                <w:sz w:val="18"/>
                <w:szCs w:val="18"/>
              </w:rPr>
              <w:t>45 (58)</w:t>
            </w:r>
          </w:p>
        </w:tc>
        <w:tc>
          <w:tcPr>
            <w:tcW w:w="1276" w:type="dxa"/>
            <w:tcBorders>
              <w:top w:val="single" w:sz="2" w:space="0" w:color="808080" w:themeColor="background1" w:themeShade="80"/>
            </w:tcBorders>
            <w:shd w:val="clear" w:color="auto" w:fill="auto"/>
            <w:hideMark/>
          </w:tcPr>
          <w:p w14:paraId="1499FC78" w14:textId="77777777" w:rsidR="00EB4415" w:rsidRPr="00852D8A" w:rsidRDefault="00EB4415" w:rsidP="00F544B3">
            <w:pPr>
              <w:pStyle w:val="NormalWeb"/>
              <w:rPr>
                <w:sz w:val="18"/>
                <w:szCs w:val="18"/>
              </w:rPr>
            </w:pPr>
            <w:r w:rsidRPr="00852D8A">
              <w:rPr>
                <w:sz w:val="18"/>
                <w:szCs w:val="18"/>
              </w:rPr>
              <w:t>48 (66)</w:t>
            </w:r>
          </w:p>
        </w:tc>
        <w:tc>
          <w:tcPr>
            <w:tcW w:w="1226" w:type="dxa"/>
            <w:tcBorders>
              <w:top w:val="single" w:sz="2" w:space="0" w:color="808080" w:themeColor="background1" w:themeShade="80"/>
            </w:tcBorders>
            <w:shd w:val="clear" w:color="auto" w:fill="auto"/>
            <w:hideMark/>
          </w:tcPr>
          <w:p w14:paraId="727732AD" w14:textId="77777777" w:rsidR="00EB4415" w:rsidRPr="00852D8A" w:rsidRDefault="00EB4415" w:rsidP="00F544B3">
            <w:pPr>
              <w:pStyle w:val="NormalWeb"/>
              <w:rPr>
                <w:sz w:val="18"/>
                <w:szCs w:val="18"/>
              </w:rPr>
            </w:pPr>
            <w:r w:rsidRPr="00852D8A">
              <w:rPr>
                <w:sz w:val="18"/>
                <w:szCs w:val="18"/>
              </w:rPr>
              <w:t>112 (47)</w:t>
            </w:r>
          </w:p>
        </w:tc>
      </w:tr>
      <w:tr w:rsidR="00EB4415" w:rsidRPr="00852D8A" w14:paraId="09A7F1A5" w14:textId="77777777" w:rsidTr="00EB4415">
        <w:trPr>
          <w:cnfStyle w:val="000000010000" w:firstRow="0" w:lastRow="0" w:firstColumn="0" w:lastColumn="0" w:oddVBand="0" w:evenVBand="0" w:oddHBand="0" w:evenHBand="1" w:firstRowFirstColumn="0" w:firstRowLastColumn="0" w:lastRowFirstColumn="0" w:lastRowLastColumn="0"/>
          <w:divId w:val="1312250460"/>
        </w:trPr>
        <w:tc>
          <w:tcPr>
            <w:tcW w:w="4820" w:type="dxa"/>
            <w:shd w:val="clear" w:color="auto" w:fill="auto"/>
            <w:hideMark/>
          </w:tcPr>
          <w:p w14:paraId="69ADE466" w14:textId="77777777" w:rsidR="00EB4415" w:rsidRPr="00852D8A" w:rsidRDefault="00EB4415" w:rsidP="00F544B3">
            <w:pPr>
              <w:pStyle w:val="NormalWeb"/>
              <w:jc w:val="left"/>
              <w:rPr>
                <w:sz w:val="18"/>
                <w:szCs w:val="18"/>
              </w:rPr>
            </w:pPr>
            <w:r w:rsidRPr="00852D8A">
              <w:rPr>
                <w:sz w:val="18"/>
                <w:szCs w:val="18"/>
              </w:rPr>
              <w:t>Moved interstate / overseas</w:t>
            </w:r>
          </w:p>
        </w:tc>
        <w:tc>
          <w:tcPr>
            <w:tcW w:w="992" w:type="dxa"/>
            <w:shd w:val="clear" w:color="auto" w:fill="auto"/>
            <w:hideMark/>
          </w:tcPr>
          <w:p w14:paraId="4F201BFC" w14:textId="77777777" w:rsidR="00EB4415" w:rsidRPr="00852D8A" w:rsidRDefault="00EB4415" w:rsidP="00F544B3">
            <w:pPr>
              <w:pStyle w:val="NormalWeb"/>
              <w:rPr>
                <w:sz w:val="18"/>
                <w:szCs w:val="18"/>
              </w:rPr>
            </w:pPr>
            <w:r w:rsidRPr="00852D8A">
              <w:rPr>
                <w:sz w:val="18"/>
                <w:szCs w:val="18"/>
              </w:rPr>
              <w:t>6 (15)</w:t>
            </w:r>
          </w:p>
        </w:tc>
        <w:tc>
          <w:tcPr>
            <w:tcW w:w="992" w:type="dxa"/>
            <w:shd w:val="clear" w:color="auto" w:fill="auto"/>
            <w:hideMark/>
          </w:tcPr>
          <w:p w14:paraId="1DDE60D9" w14:textId="77777777" w:rsidR="00EB4415" w:rsidRPr="00852D8A" w:rsidRDefault="00EB4415" w:rsidP="00F544B3">
            <w:pPr>
              <w:pStyle w:val="NormalWeb"/>
              <w:rPr>
                <w:sz w:val="18"/>
                <w:szCs w:val="18"/>
              </w:rPr>
            </w:pPr>
            <w:r w:rsidRPr="00852D8A">
              <w:rPr>
                <w:sz w:val="18"/>
                <w:szCs w:val="18"/>
              </w:rPr>
              <w:t>3 (6)</w:t>
            </w:r>
          </w:p>
        </w:tc>
        <w:tc>
          <w:tcPr>
            <w:tcW w:w="1134" w:type="dxa"/>
            <w:shd w:val="clear" w:color="auto" w:fill="auto"/>
            <w:hideMark/>
          </w:tcPr>
          <w:p w14:paraId="7736378D" w14:textId="77777777" w:rsidR="00EB4415" w:rsidRPr="00852D8A" w:rsidRDefault="00EB4415" w:rsidP="00F544B3">
            <w:pPr>
              <w:pStyle w:val="NormalWeb"/>
              <w:rPr>
                <w:sz w:val="18"/>
                <w:szCs w:val="18"/>
              </w:rPr>
            </w:pPr>
            <w:r w:rsidRPr="00852D8A">
              <w:rPr>
                <w:sz w:val="18"/>
                <w:szCs w:val="18"/>
              </w:rPr>
              <w:t>14 (18)</w:t>
            </w:r>
          </w:p>
        </w:tc>
        <w:tc>
          <w:tcPr>
            <w:tcW w:w="1276" w:type="dxa"/>
            <w:shd w:val="clear" w:color="auto" w:fill="auto"/>
            <w:hideMark/>
          </w:tcPr>
          <w:p w14:paraId="75FE0A70" w14:textId="77777777" w:rsidR="00EB4415" w:rsidRPr="00852D8A" w:rsidRDefault="00EB4415" w:rsidP="00F544B3">
            <w:pPr>
              <w:pStyle w:val="NormalWeb"/>
              <w:rPr>
                <w:sz w:val="18"/>
                <w:szCs w:val="18"/>
              </w:rPr>
            </w:pPr>
            <w:r w:rsidRPr="00852D8A">
              <w:rPr>
                <w:sz w:val="18"/>
                <w:szCs w:val="18"/>
              </w:rPr>
              <w:t>3 (4)</w:t>
            </w:r>
          </w:p>
        </w:tc>
        <w:tc>
          <w:tcPr>
            <w:tcW w:w="1226" w:type="dxa"/>
            <w:shd w:val="clear" w:color="auto" w:fill="auto"/>
            <w:hideMark/>
          </w:tcPr>
          <w:p w14:paraId="2DE37262" w14:textId="77777777" w:rsidR="00EB4415" w:rsidRPr="00852D8A" w:rsidRDefault="00EB4415" w:rsidP="00F544B3">
            <w:pPr>
              <w:pStyle w:val="NormalWeb"/>
              <w:rPr>
                <w:sz w:val="18"/>
                <w:szCs w:val="18"/>
              </w:rPr>
            </w:pPr>
            <w:r w:rsidRPr="00852D8A">
              <w:rPr>
                <w:sz w:val="18"/>
                <w:szCs w:val="18"/>
              </w:rPr>
              <w:t>26 (11)</w:t>
            </w:r>
          </w:p>
        </w:tc>
      </w:tr>
      <w:tr w:rsidR="00EB4415" w:rsidRPr="00852D8A" w14:paraId="40DECE86" w14:textId="77777777" w:rsidTr="00EB4415">
        <w:trPr>
          <w:divId w:val="1312250460"/>
        </w:trPr>
        <w:tc>
          <w:tcPr>
            <w:tcW w:w="4820" w:type="dxa"/>
            <w:shd w:val="clear" w:color="auto" w:fill="auto"/>
            <w:hideMark/>
          </w:tcPr>
          <w:p w14:paraId="0AEE0AD4" w14:textId="77777777" w:rsidR="00EB4415" w:rsidRPr="00852D8A" w:rsidRDefault="00EB4415" w:rsidP="00F544B3">
            <w:pPr>
              <w:pStyle w:val="NormalWeb"/>
              <w:jc w:val="left"/>
              <w:rPr>
                <w:sz w:val="18"/>
                <w:szCs w:val="18"/>
              </w:rPr>
            </w:pPr>
            <w:r w:rsidRPr="00852D8A">
              <w:rPr>
                <w:sz w:val="18"/>
                <w:szCs w:val="18"/>
              </w:rPr>
              <w:t>Followed up with clinician / practice</w:t>
            </w:r>
          </w:p>
        </w:tc>
        <w:tc>
          <w:tcPr>
            <w:tcW w:w="992" w:type="dxa"/>
            <w:shd w:val="clear" w:color="auto" w:fill="auto"/>
            <w:hideMark/>
          </w:tcPr>
          <w:p w14:paraId="69223038" w14:textId="77777777" w:rsidR="00EB4415" w:rsidRPr="00852D8A" w:rsidRDefault="00EB4415" w:rsidP="00F544B3">
            <w:pPr>
              <w:pStyle w:val="NormalWeb"/>
              <w:rPr>
                <w:sz w:val="18"/>
                <w:szCs w:val="18"/>
              </w:rPr>
            </w:pPr>
            <w:r w:rsidRPr="00852D8A">
              <w:rPr>
                <w:sz w:val="18"/>
                <w:szCs w:val="18"/>
              </w:rPr>
              <w:t>13 (32)</w:t>
            </w:r>
          </w:p>
        </w:tc>
        <w:tc>
          <w:tcPr>
            <w:tcW w:w="992" w:type="dxa"/>
            <w:shd w:val="clear" w:color="auto" w:fill="auto"/>
            <w:hideMark/>
          </w:tcPr>
          <w:p w14:paraId="5FA0BFF0" w14:textId="77777777" w:rsidR="00EB4415" w:rsidRPr="00852D8A" w:rsidRDefault="00EB4415" w:rsidP="00F544B3">
            <w:pPr>
              <w:pStyle w:val="NormalWeb"/>
              <w:rPr>
                <w:sz w:val="18"/>
                <w:szCs w:val="18"/>
              </w:rPr>
            </w:pPr>
            <w:r w:rsidRPr="00852D8A">
              <w:rPr>
                <w:sz w:val="18"/>
                <w:szCs w:val="18"/>
              </w:rPr>
              <w:t>14 (30)</w:t>
            </w:r>
          </w:p>
        </w:tc>
        <w:tc>
          <w:tcPr>
            <w:tcW w:w="1134" w:type="dxa"/>
            <w:shd w:val="clear" w:color="auto" w:fill="auto"/>
            <w:hideMark/>
          </w:tcPr>
          <w:p w14:paraId="34F05419" w14:textId="77777777" w:rsidR="00EB4415" w:rsidRPr="00852D8A" w:rsidRDefault="00EB4415" w:rsidP="00F544B3">
            <w:pPr>
              <w:pStyle w:val="NormalWeb"/>
              <w:rPr>
                <w:sz w:val="18"/>
                <w:szCs w:val="18"/>
              </w:rPr>
            </w:pPr>
            <w:r w:rsidRPr="00852D8A">
              <w:rPr>
                <w:sz w:val="18"/>
                <w:szCs w:val="18"/>
              </w:rPr>
              <w:t>10 (13)</w:t>
            </w:r>
          </w:p>
        </w:tc>
        <w:tc>
          <w:tcPr>
            <w:tcW w:w="1276" w:type="dxa"/>
            <w:shd w:val="clear" w:color="auto" w:fill="auto"/>
            <w:hideMark/>
          </w:tcPr>
          <w:p w14:paraId="02D70ADE" w14:textId="77777777" w:rsidR="00EB4415" w:rsidRPr="00852D8A" w:rsidRDefault="00EB4415" w:rsidP="00F544B3">
            <w:pPr>
              <w:pStyle w:val="NormalWeb"/>
              <w:rPr>
                <w:sz w:val="18"/>
                <w:szCs w:val="18"/>
              </w:rPr>
            </w:pPr>
            <w:r w:rsidRPr="00852D8A">
              <w:rPr>
                <w:sz w:val="18"/>
                <w:szCs w:val="18"/>
              </w:rPr>
              <w:t>13 (18)</w:t>
            </w:r>
          </w:p>
        </w:tc>
        <w:tc>
          <w:tcPr>
            <w:tcW w:w="1226" w:type="dxa"/>
            <w:shd w:val="clear" w:color="auto" w:fill="auto"/>
            <w:hideMark/>
          </w:tcPr>
          <w:p w14:paraId="0EC89A94" w14:textId="77777777" w:rsidR="00EB4415" w:rsidRPr="00852D8A" w:rsidRDefault="00EB4415" w:rsidP="00F544B3">
            <w:pPr>
              <w:pStyle w:val="NormalWeb"/>
              <w:rPr>
                <w:sz w:val="18"/>
                <w:szCs w:val="18"/>
              </w:rPr>
            </w:pPr>
            <w:r w:rsidRPr="00852D8A">
              <w:rPr>
                <w:sz w:val="18"/>
                <w:szCs w:val="18"/>
              </w:rPr>
              <w:t>50 (21)</w:t>
            </w:r>
          </w:p>
        </w:tc>
      </w:tr>
      <w:tr w:rsidR="00EB4415" w:rsidRPr="00852D8A" w14:paraId="1D6E84C2" w14:textId="77777777" w:rsidTr="00EB4415">
        <w:trPr>
          <w:cnfStyle w:val="000000010000" w:firstRow="0" w:lastRow="0" w:firstColumn="0" w:lastColumn="0" w:oddVBand="0" w:evenVBand="0" w:oddHBand="0" w:evenHBand="1" w:firstRowFirstColumn="0" w:firstRowLastColumn="0" w:lastRowFirstColumn="0" w:lastRowLastColumn="0"/>
          <w:divId w:val="1312250460"/>
        </w:trPr>
        <w:tc>
          <w:tcPr>
            <w:tcW w:w="4820" w:type="dxa"/>
            <w:tcBorders>
              <w:bottom w:val="single" w:sz="2" w:space="0" w:color="808080" w:themeColor="background1" w:themeShade="80"/>
            </w:tcBorders>
            <w:shd w:val="clear" w:color="auto" w:fill="auto"/>
            <w:hideMark/>
          </w:tcPr>
          <w:p w14:paraId="3EA5C259" w14:textId="77777777" w:rsidR="00EB4415" w:rsidRPr="00852D8A" w:rsidRDefault="00EB4415" w:rsidP="00F544B3">
            <w:pPr>
              <w:pStyle w:val="NormalWeb"/>
              <w:jc w:val="left"/>
              <w:rPr>
                <w:sz w:val="18"/>
                <w:szCs w:val="18"/>
              </w:rPr>
            </w:pPr>
            <w:r w:rsidRPr="00852D8A">
              <w:rPr>
                <w:sz w:val="18"/>
                <w:szCs w:val="18"/>
              </w:rPr>
              <w:t>Followed up with case</w:t>
            </w:r>
          </w:p>
        </w:tc>
        <w:tc>
          <w:tcPr>
            <w:tcW w:w="992" w:type="dxa"/>
            <w:tcBorders>
              <w:bottom w:val="single" w:sz="2" w:space="0" w:color="808080" w:themeColor="background1" w:themeShade="80"/>
            </w:tcBorders>
            <w:shd w:val="clear" w:color="auto" w:fill="auto"/>
            <w:hideMark/>
          </w:tcPr>
          <w:p w14:paraId="781D97BC" w14:textId="77777777" w:rsidR="00EB4415" w:rsidRPr="00852D8A" w:rsidRDefault="00EB4415" w:rsidP="00F544B3">
            <w:pPr>
              <w:pStyle w:val="NormalWeb"/>
              <w:rPr>
                <w:sz w:val="18"/>
                <w:szCs w:val="18"/>
              </w:rPr>
            </w:pPr>
            <w:r w:rsidRPr="00852D8A">
              <w:rPr>
                <w:sz w:val="18"/>
                <w:szCs w:val="18"/>
              </w:rPr>
              <w:t>20 (49)</w:t>
            </w:r>
          </w:p>
        </w:tc>
        <w:tc>
          <w:tcPr>
            <w:tcW w:w="992" w:type="dxa"/>
            <w:tcBorders>
              <w:bottom w:val="single" w:sz="2" w:space="0" w:color="808080" w:themeColor="background1" w:themeShade="80"/>
            </w:tcBorders>
            <w:shd w:val="clear" w:color="auto" w:fill="auto"/>
            <w:hideMark/>
          </w:tcPr>
          <w:p w14:paraId="22530B79" w14:textId="77777777" w:rsidR="00EB4415" w:rsidRPr="00852D8A" w:rsidRDefault="00EB4415" w:rsidP="00F544B3">
            <w:pPr>
              <w:pStyle w:val="NormalWeb"/>
              <w:rPr>
                <w:sz w:val="18"/>
                <w:szCs w:val="18"/>
              </w:rPr>
            </w:pPr>
            <w:r w:rsidRPr="00852D8A">
              <w:rPr>
                <w:sz w:val="18"/>
                <w:szCs w:val="18"/>
              </w:rPr>
              <w:t>13 (28)</w:t>
            </w:r>
          </w:p>
        </w:tc>
        <w:tc>
          <w:tcPr>
            <w:tcW w:w="1134" w:type="dxa"/>
            <w:tcBorders>
              <w:bottom w:val="single" w:sz="2" w:space="0" w:color="808080" w:themeColor="background1" w:themeShade="80"/>
            </w:tcBorders>
            <w:shd w:val="clear" w:color="auto" w:fill="auto"/>
            <w:hideMark/>
          </w:tcPr>
          <w:p w14:paraId="66EBE451" w14:textId="77777777" w:rsidR="00EB4415" w:rsidRPr="00852D8A" w:rsidRDefault="00EB4415" w:rsidP="00F544B3">
            <w:pPr>
              <w:pStyle w:val="NormalWeb"/>
              <w:rPr>
                <w:sz w:val="18"/>
                <w:szCs w:val="18"/>
              </w:rPr>
            </w:pPr>
            <w:r w:rsidRPr="00852D8A">
              <w:rPr>
                <w:sz w:val="18"/>
                <w:szCs w:val="18"/>
              </w:rPr>
              <w:t>9 (12)</w:t>
            </w:r>
          </w:p>
        </w:tc>
        <w:tc>
          <w:tcPr>
            <w:tcW w:w="1276" w:type="dxa"/>
            <w:tcBorders>
              <w:bottom w:val="single" w:sz="2" w:space="0" w:color="808080" w:themeColor="background1" w:themeShade="80"/>
            </w:tcBorders>
            <w:shd w:val="clear" w:color="auto" w:fill="auto"/>
            <w:hideMark/>
          </w:tcPr>
          <w:p w14:paraId="02A2DC95" w14:textId="77777777" w:rsidR="00EB4415" w:rsidRPr="00852D8A" w:rsidRDefault="00EB4415" w:rsidP="00F544B3">
            <w:pPr>
              <w:pStyle w:val="NormalWeb"/>
              <w:rPr>
                <w:sz w:val="18"/>
                <w:szCs w:val="18"/>
              </w:rPr>
            </w:pPr>
            <w:r w:rsidRPr="00852D8A">
              <w:rPr>
                <w:sz w:val="18"/>
                <w:szCs w:val="18"/>
              </w:rPr>
              <w:t>9 (12)</w:t>
            </w:r>
          </w:p>
        </w:tc>
        <w:tc>
          <w:tcPr>
            <w:tcW w:w="1226" w:type="dxa"/>
            <w:tcBorders>
              <w:bottom w:val="single" w:sz="2" w:space="0" w:color="808080" w:themeColor="background1" w:themeShade="80"/>
            </w:tcBorders>
            <w:shd w:val="clear" w:color="auto" w:fill="auto"/>
            <w:hideMark/>
          </w:tcPr>
          <w:p w14:paraId="3CF4FBD9" w14:textId="77777777" w:rsidR="00EB4415" w:rsidRPr="00852D8A" w:rsidRDefault="00EB4415" w:rsidP="00F544B3">
            <w:pPr>
              <w:pStyle w:val="NormalWeb"/>
              <w:rPr>
                <w:sz w:val="18"/>
                <w:szCs w:val="18"/>
              </w:rPr>
            </w:pPr>
            <w:r w:rsidRPr="00852D8A">
              <w:rPr>
                <w:sz w:val="18"/>
                <w:szCs w:val="18"/>
              </w:rPr>
              <w:t>51 (21)</w:t>
            </w:r>
          </w:p>
        </w:tc>
      </w:tr>
    </w:tbl>
    <w:p w14:paraId="33E7D78D" w14:textId="77777777" w:rsidR="00EB4415" w:rsidRDefault="00EB4415" w:rsidP="00EB4415">
      <w:pPr>
        <w:pStyle w:val="CDIfootnotes"/>
        <w:divId w:val="1312250460"/>
        <w:rPr>
          <w:lang w:val="en-GB"/>
        </w:rPr>
      </w:pPr>
      <w:r>
        <w:rPr>
          <w:lang w:val="en-GB"/>
        </w:rPr>
        <w:t>a</w:t>
      </w:r>
      <w:r>
        <w:rPr>
          <w:lang w:val="en-GB"/>
        </w:rPr>
        <w:tab/>
        <w:t>Percentages shown are of eligible cases without a subsequent negative RNA test.</w:t>
      </w:r>
    </w:p>
    <w:p w14:paraId="0503227D" w14:textId="1F3CD4EA" w:rsidR="00EB4415" w:rsidRPr="00EB4415" w:rsidRDefault="00EB4415" w:rsidP="00EB4415">
      <w:pPr>
        <w:pStyle w:val="CDIfootnotes"/>
        <w:divId w:val="1312250460"/>
        <w:rPr>
          <w:lang w:val="en-GB"/>
        </w:rPr>
      </w:pPr>
      <w:r>
        <w:rPr>
          <w:lang w:val="en-GB"/>
        </w:rPr>
        <w:t>b</w:t>
      </w:r>
      <w:r>
        <w:rPr>
          <w:lang w:val="en-GB"/>
        </w:rPr>
        <w:tab/>
        <w:t>The clinician and their medical practice were no longer contactable and no case contact details were available.</w:t>
      </w:r>
    </w:p>
    <w:p w14:paraId="39BD326E" w14:textId="77777777" w:rsidR="00D17BEF" w:rsidRPr="00C818AC" w:rsidRDefault="00D17BEF" w:rsidP="00D17BEF">
      <w:pPr>
        <w:pStyle w:val="CDIFigures"/>
        <w:divId w:val="1312250460"/>
      </w:pPr>
      <w:r w:rsidRPr="00C818AC">
        <w:rPr>
          <w:rStyle w:val="Strong"/>
          <w:b/>
          <w:bCs w:val="0"/>
        </w:rPr>
        <w:t xml:space="preserve">Table 2: Outcomes of follow-up of cases through their clinician/practice </w:t>
      </w:r>
    </w:p>
    <w:tbl>
      <w:tblPr>
        <w:tblStyle w:val="CDI-StandardTable"/>
        <w:tblW w:w="0" w:type="auto"/>
        <w:tblLook w:val="04A0" w:firstRow="1" w:lastRow="0" w:firstColumn="1" w:lastColumn="0" w:noHBand="0" w:noVBand="1"/>
        <w:tblDescription w:val="Table 2 shows the outcomes of case follow up up through their most recent clinician where that clinician could be identified and followed up. The table shows the number and proportion of cases that underwent  further testing, had previously been treated or were lost to follow up.&#10;"/>
      </w:tblPr>
      <w:tblGrid>
        <w:gridCol w:w="5387"/>
        <w:gridCol w:w="992"/>
        <w:gridCol w:w="992"/>
        <w:gridCol w:w="993"/>
        <w:gridCol w:w="850"/>
        <w:gridCol w:w="1226"/>
      </w:tblGrid>
      <w:tr w:rsidR="00D17BEF" w:rsidRPr="00C818AC" w14:paraId="4EFCE692" w14:textId="77777777" w:rsidTr="00D17BEF">
        <w:trPr>
          <w:cnfStyle w:val="100000000000" w:firstRow="1" w:lastRow="0" w:firstColumn="0" w:lastColumn="0" w:oddVBand="0" w:evenVBand="0" w:oddHBand="0" w:evenHBand="0" w:firstRowFirstColumn="0" w:firstRowLastColumn="0" w:lastRowFirstColumn="0" w:lastRowLastColumn="0"/>
          <w:divId w:val="1312250460"/>
        </w:trPr>
        <w:tc>
          <w:tcPr>
            <w:tcW w:w="5387" w:type="dxa"/>
            <w:hideMark/>
          </w:tcPr>
          <w:p w14:paraId="2A44892B" w14:textId="77777777" w:rsidR="00D17BEF" w:rsidRPr="00C818AC" w:rsidRDefault="00D17BEF" w:rsidP="00F544B3">
            <w:pPr>
              <w:pStyle w:val="NormalWeb"/>
              <w:jc w:val="left"/>
              <w:rPr>
                <w:sz w:val="18"/>
                <w:szCs w:val="18"/>
              </w:rPr>
            </w:pPr>
            <w:r w:rsidRPr="00C818AC">
              <w:rPr>
                <w:sz w:val="18"/>
                <w:szCs w:val="18"/>
              </w:rPr>
              <w:t>Category</w:t>
            </w:r>
          </w:p>
        </w:tc>
        <w:tc>
          <w:tcPr>
            <w:tcW w:w="992" w:type="dxa"/>
            <w:hideMark/>
          </w:tcPr>
          <w:p w14:paraId="224EFCFB" w14:textId="77777777" w:rsidR="00D17BEF" w:rsidRPr="00C818AC" w:rsidRDefault="00D17BEF" w:rsidP="00F544B3">
            <w:pPr>
              <w:pStyle w:val="NormalWeb"/>
              <w:rPr>
                <w:sz w:val="18"/>
                <w:szCs w:val="18"/>
              </w:rPr>
            </w:pPr>
            <w:r w:rsidRPr="00C818AC">
              <w:rPr>
                <w:sz w:val="18"/>
                <w:szCs w:val="18"/>
              </w:rPr>
              <w:t>2018</w:t>
            </w:r>
            <w:r w:rsidRPr="00C818AC">
              <w:rPr>
                <w:sz w:val="18"/>
                <w:szCs w:val="18"/>
              </w:rPr>
              <w:br/>
              <w:t>n (%)</w:t>
            </w:r>
          </w:p>
        </w:tc>
        <w:tc>
          <w:tcPr>
            <w:tcW w:w="992" w:type="dxa"/>
            <w:hideMark/>
          </w:tcPr>
          <w:p w14:paraId="4B4BF22A" w14:textId="77777777" w:rsidR="00D17BEF" w:rsidRPr="00C818AC" w:rsidRDefault="00D17BEF" w:rsidP="00F544B3">
            <w:pPr>
              <w:pStyle w:val="NormalWeb"/>
              <w:rPr>
                <w:sz w:val="18"/>
                <w:szCs w:val="18"/>
              </w:rPr>
            </w:pPr>
            <w:r w:rsidRPr="00C818AC">
              <w:rPr>
                <w:sz w:val="18"/>
                <w:szCs w:val="18"/>
              </w:rPr>
              <w:t>2013</w:t>
            </w:r>
            <w:r w:rsidRPr="00C818AC">
              <w:rPr>
                <w:sz w:val="18"/>
                <w:szCs w:val="18"/>
              </w:rPr>
              <w:br/>
              <w:t>n (%)</w:t>
            </w:r>
          </w:p>
        </w:tc>
        <w:tc>
          <w:tcPr>
            <w:tcW w:w="993" w:type="dxa"/>
            <w:hideMark/>
          </w:tcPr>
          <w:p w14:paraId="3B960BF3" w14:textId="77777777" w:rsidR="00D17BEF" w:rsidRPr="00C818AC" w:rsidRDefault="00D17BEF" w:rsidP="00F544B3">
            <w:pPr>
              <w:pStyle w:val="NormalWeb"/>
              <w:rPr>
                <w:sz w:val="18"/>
                <w:szCs w:val="18"/>
              </w:rPr>
            </w:pPr>
            <w:r w:rsidRPr="00C818AC">
              <w:rPr>
                <w:sz w:val="18"/>
                <w:szCs w:val="18"/>
              </w:rPr>
              <w:t>2008</w:t>
            </w:r>
            <w:r w:rsidRPr="00C818AC">
              <w:rPr>
                <w:sz w:val="18"/>
                <w:szCs w:val="18"/>
              </w:rPr>
              <w:br/>
              <w:t>n (%)</w:t>
            </w:r>
          </w:p>
        </w:tc>
        <w:tc>
          <w:tcPr>
            <w:tcW w:w="850" w:type="dxa"/>
            <w:hideMark/>
          </w:tcPr>
          <w:p w14:paraId="06554930" w14:textId="77777777" w:rsidR="00D17BEF" w:rsidRPr="00C818AC" w:rsidRDefault="00D17BEF" w:rsidP="00F544B3">
            <w:pPr>
              <w:pStyle w:val="NormalWeb"/>
              <w:rPr>
                <w:sz w:val="18"/>
                <w:szCs w:val="18"/>
              </w:rPr>
            </w:pPr>
            <w:r w:rsidRPr="00C818AC">
              <w:rPr>
                <w:sz w:val="18"/>
                <w:szCs w:val="18"/>
              </w:rPr>
              <w:t>2003</w:t>
            </w:r>
            <w:r w:rsidRPr="00C818AC">
              <w:rPr>
                <w:sz w:val="18"/>
                <w:szCs w:val="18"/>
              </w:rPr>
              <w:br/>
              <w:t>n (%)</w:t>
            </w:r>
          </w:p>
        </w:tc>
        <w:tc>
          <w:tcPr>
            <w:tcW w:w="1226" w:type="dxa"/>
            <w:hideMark/>
          </w:tcPr>
          <w:p w14:paraId="10E57D19" w14:textId="77777777" w:rsidR="00D17BEF" w:rsidRPr="00C818AC" w:rsidRDefault="00D17BEF" w:rsidP="00F544B3">
            <w:pPr>
              <w:pStyle w:val="NormalWeb"/>
              <w:rPr>
                <w:sz w:val="18"/>
                <w:szCs w:val="18"/>
              </w:rPr>
            </w:pPr>
            <w:r w:rsidRPr="00C818AC">
              <w:rPr>
                <w:sz w:val="18"/>
                <w:szCs w:val="18"/>
              </w:rPr>
              <w:t>Total</w:t>
            </w:r>
            <w:r w:rsidRPr="00C818AC">
              <w:rPr>
                <w:sz w:val="18"/>
                <w:szCs w:val="18"/>
              </w:rPr>
              <w:br/>
              <w:t>n (%)</w:t>
            </w:r>
          </w:p>
        </w:tc>
      </w:tr>
      <w:tr w:rsidR="00D17BEF" w:rsidRPr="00823DA5" w14:paraId="168256EE" w14:textId="77777777" w:rsidTr="00D17BEF">
        <w:trPr>
          <w:divId w:val="1312250460"/>
        </w:trPr>
        <w:tc>
          <w:tcPr>
            <w:tcW w:w="5387" w:type="dxa"/>
            <w:tcBorders>
              <w:bottom w:val="single" w:sz="2" w:space="0" w:color="808080" w:themeColor="background1" w:themeShade="80"/>
            </w:tcBorders>
            <w:shd w:val="clear" w:color="auto" w:fill="auto"/>
            <w:hideMark/>
          </w:tcPr>
          <w:p w14:paraId="57265B9C" w14:textId="77777777" w:rsidR="00D17BEF" w:rsidRPr="00823DA5" w:rsidRDefault="00D17BEF" w:rsidP="00F544B3">
            <w:pPr>
              <w:pStyle w:val="NormalWeb"/>
              <w:jc w:val="left"/>
              <w:rPr>
                <w:b/>
                <w:bCs/>
                <w:sz w:val="18"/>
                <w:szCs w:val="18"/>
              </w:rPr>
            </w:pPr>
            <w:r w:rsidRPr="00823DA5">
              <w:rPr>
                <w:b/>
                <w:bCs/>
                <w:sz w:val="18"/>
                <w:szCs w:val="18"/>
              </w:rPr>
              <w:t>Followed up with clinician / practice</w:t>
            </w:r>
          </w:p>
        </w:tc>
        <w:tc>
          <w:tcPr>
            <w:tcW w:w="992" w:type="dxa"/>
            <w:tcBorders>
              <w:bottom w:val="single" w:sz="2" w:space="0" w:color="808080" w:themeColor="background1" w:themeShade="80"/>
            </w:tcBorders>
            <w:shd w:val="clear" w:color="auto" w:fill="auto"/>
            <w:hideMark/>
          </w:tcPr>
          <w:p w14:paraId="75955113" w14:textId="77777777" w:rsidR="00D17BEF" w:rsidRPr="00823DA5" w:rsidRDefault="00D17BEF" w:rsidP="00F544B3">
            <w:pPr>
              <w:pStyle w:val="NormalWeb"/>
              <w:rPr>
                <w:b/>
                <w:bCs/>
                <w:sz w:val="18"/>
                <w:szCs w:val="18"/>
              </w:rPr>
            </w:pPr>
            <w:r w:rsidRPr="00823DA5">
              <w:rPr>
                <w:b/>
                <w:bCs/>
                <w:sz w:val="18"/>
                <w:szCs w:val="18"/>
              </w:rPr>
              <w:t>13</w:t>
            </w:r>
          </w:p>
        </w:tc>
        <w:tc>
          <w:tcPr>
            <w:tcW w:w="992" w:type="dxa"/>
            <w:tcBorders>
              <w:bottom w:val="single" w:sz="2" w:space="0" w:color="808080" w:themeColor="background1" w:themeShade="80"/>
            </w:tcBorders>
            <w:shd w:val="clear" w:color="auto" w:fill="auto"/>
            <w:hideMark/>
          </w:tcPr>
          <w:p w14:paraId="7C544B32" w14:textId="77777777" w:rsidR="00D17BEF" w:rsidRPr="00823DA5" w:rsidRDefault="00D17BEF" w:rsidP="00F544B3">
            <w:pPr>
              <w:pStyle w:val="NormalWeb"/>
              <w:rPr>
                <w:b/>
                <w:bCs/>
                <w:sz w:val="18"/>
                <w:szCs w:val="18"/>
              </w:rPr>
            </w:pPr>
            <w:r w:rsidRPr="00823DA5">
              <w:rPr>
                <w:b/>
                <w:bCs/>
                <w:sz w:val="18"/>
                <w:szCs w:val="18"/>
              </w:rPr>
              <w:t>14</w:t>
            </w:r>
          </w:p>
        </w:tc>
        <w:tc>
          <w:tcPr>
            <w:tcW w:w="993" w:type="dxa"/>
            <w:tcBorders>
              <w:bottom w:val="single" w:sz="2" w:space="0" w:color="808080" w:themeColor="background1" w:themeShade="80"/>
            </w:tcBorders>
            <w:shd w:val="clear" w:color="auto" w:fill="auto"/>
            <w:hideMark/>
          </w:tcPr>
          <w:p w14:paraId="48D5C2C3" w14:textId="77777777" w:rsidR="00D17BEF" w:rsidRPr="00823DA5" w:rsidRDefault="00D17BEF" w:rsidP="00F544B3">
            <w:pPr>
              <w:pStyle w:val="NormalWeb"/>
              <w:rPr>
                <w:b/>
                <w:bCs/>
                <w:sz w:val="18"/>
                <w:szCs w:val="18"/>
              </w:rPr>
            </w:pPr>
            <w:r w:rsidRPr="00823DA5">
              <w:rPr>
                <w:b/>
                <w:bCs/>
                <w:sz w:val="18"/>
                <w:szCs w:val="18"/>
              </w:rPr>
              <w:t>10</w:t>
            </w:r>
          </w:p>
        </w:tc>
        <w:tc>
          <w:tcPr>
            <w:tcW w:w="850" w:type="dxa"/>
            <w:tcBorders>
              <w:bottom w:val="single" w:sz="2" w:space="0" w:color="808080" w:themeColor="background1" w:themeShade="80"/>
            </w:tcBorders>
            <w:shd w:val="clear" w:color="auto" w:fill="auto"/>
            <w:hideMark/>
          </w:tcPr>
          <w:p w14:paraId="4B9D8795" w14:textId="77777777" w:rsidR="00D17BEF" w:rsidRPr="00823DA5" w:rsidRDefault="00D17BEF" w:rsidP="00F544B3">
            <w:pPr>
              <w:pStyle w:val="NormalWeb"/>
              <w:rPr>
                <w:b/>
                <w:bCs/>
                <w:sz w:val="18"/>
                <w:szCs w:val="18"/>
              </w:rPr>
            </w:pPr>
            <w:r w:rsidRPr="00823DA5">
              <w:rPr>
                <w:b/>
                <w:bCs/>
                <w:sz w:val="18"/>
                <w:szCs w:val="18"/>
              </w:rPr>
              <w:t>13</w:t>
            </w:r>
          </w:p>
        </w:tc>
        <w:tc>
          <w:tcPr>
            <w:tcW w:w="1226" w:type="dxa"/>
            <w:tcBorders>
              <w:bottom w:val="single" w:sz="2" w:space="0" w:color="808080" w:themeColor="background1" w:themeShade="80"/>
            </w:tcBorders>
            <w:shd w:val="clear" w:color="auto" w:fill="auto"/>
            <w:hideMark/>
          </w:tcPr>
          <w:p w14:paraId="756749AD" w14:textId="77777777" w:rsidR="00D17BEF" w:rsidRPr="00823DA5" w:rsidRDefault="00D17BEF" w:rsidP="00F544B3">
            <w:pPr>
              <w:pStyle w:val="NormalWeb"/>
              <w:rPr>
                <w:b/>
                <w:bCs/>
                <w:sz w:val="18"/>
                <w:szCs w:val="18"/>
              </w:rPr>
            </w:pPr>
            <w:r w:rsidRPr="00823DA5">
              <w:rPr>
                <w:b/>
                <w:bCs/>
                <w:sz w:val="18"/>
                <w:szCs w:val="18"/>
              </w:rPr>
              <w:t>50</w:t>
            </w:r>
          </w:p>
        </w:tc>
      </w:tr>
      <w:tr w:rsidR="00D17BEF" w:rsidRPr="00C818AC" w14:paraId="663FC576" w14:textId="77777777" w:rsidTr="00D17BEF">
        <w:trPr>
          <w:cnfStyle w:val="000000010000" w:firstRow="0" w:lastRow="0" w:firstColumn="0" w:lastColumn="0" w:oddVBand="0" w:evenVBand="0" w:oddHBand="0" w:evenHBand="1" w:firstRowFirstColumn="0" w:firstRowLastColumn="0" w:lastRowFirstColumn="0" w:lastRowLastColumn="0"/>
          <w:divId w:val="1312250460"/>
        </w:trPr>
        <w:tc>
          <w:tcPr>
            <w:tcW w:w="5387" w:type="dxa"/>
            <w:tcBorders>
              <w:top w:val="single" w:sz="2" w:space="0" w:color="808080" w:themeColor="background1" w:themeShade="80"/>
            </w:tcBorders>
            <w:shd w:val="clear" w:color="auto" w:fill="auto"/>
            <w:hideMark/>
          </w:tcPr>
          <w:p w14:paraId="214D9D4A" w14:textId="77777777" w:rsidR="00D17BEF" w:rsidRPr="00C818AC" w:rsidRDefault="00D17BEF" w:rsidP="00F544B3">
            <w:pPr>
              <w:pStyle w:val="NormalWeb"/>
              <w:jc w:val="left"/>
              <w:rPr>
                <w:sz w:val="18"/>
                <w:szCs w:val="18"/>
              </w:rPr>
            </w:pPr>
            <w:r w:rsidRPr="00C818AC">
              <w:rPr>
                <w:sz w:val="18"/>
                <w:szCs w:val="18"/>
              </w:rPr>
              <w:t>Further testing within three months of contact</w:t>
            </w:r>
          </w:p>
        </w:tc>
        <w:tc>
          <w:tcPr>
            <w:tcW w:w="992" w:type="dxa"/>
            <w:tcBorders>
              <w:top w:val="single" w:sz="2" w:space="0" w:color="808080" w:themeColor="background1" w:themeShade="80"/>
            </w:tcBorders>
            <w:shd w:val="clear" w:color="auto" w:fill="auto"/>
            <w:hideMark/>
          </w:tcPr>
          <w:p w14:paraId="3997D588" w14:textId="77777777" w:rsidR="00D17BEF" w:rsidRPr="00C818AC" w:rsidRDefault="00D17BEF" w:rsidP="00F544B3">
            <w:pPr>
              <w:pStyle w:val="NormalWeb"/>
              <w:rPr>
                <w:sz w:val="18"/>
                <w:szCs w:val="18"/>
              </w:rPr>
            </w:pPr>
            <w:r w:rsidRPr="00C818AC">
              <w:rPr>
                <w:sz w:val="18"/>
                <w:szCs w:val="18"/>
              </w:rPr>
              <w:t>2 (15)</w:t>
            </w:r>
          </w:p>
        </w:tc>
        <w:tc>
          <w:tcPr>
            <w:tcW w:w="992" w:type="dxa"/>
            <w:tcBorders>
              <w:top w:val="single" w:sz="2" w:space="0" w:color="808080" w:themeColor="background1" w:themeShade="80"/>
            </w:tcBorders>
            <w:shd w:val="clear" w:color="auto" w:fill="auto"/>
            <w:hideMark/>
          </w:tcPr>
          <w:p w14:paraId="10E79E59" w14:textId="77777777" w:rsidR="00D17BEF" w:rsidRPr="00C818AC" w:rsidRDefault="00D17BEF" w:rsidP="00F544B3">
            <w:pPr>
              <w:pStyle w:val="NormalWeb"/>
              <w:rPr>
                <w:sz w:val="18"/>
                <w:szCs w:val="18"/>
              </w:rPr>
            </w:pPr>
            <w:r w:rsidRPr="00C818AC">
              <w:rPr>
                <w:sz w:val="18"/>
                <w:szCs w:val="18"/>
              </w:rPr>
              <w:t>0 (0)</w:t>
            </w:r>
          </w:p>
        </w:tc>
        <w:tc>
          <w:tcPr>
            <w:tcW w:w="993" w:type="dxa"/>
            <w:tcBorders>
              <w:top w:val="single" w:sz="2" w:space="0" w:color="808080" w:themeColor="background1" w:themeShade="80"/>
            </w:tcBorders>
            <w:shd w:val="clear" w:color="auto" w:fill="auto"/>
            <w:hideMark/>
          </w:tcPr>
          <w:p w14:paraId="20B26AF1" w14:textId="77777777" w:rsidR="00D17BEF" w:rsidRPr="00C818AC" w:rsidRDefault="00D17BEF" w:rsidP="00F544B3">
            <w:pPr>
              <w:pStyle w:val="NormalWeb"/>
              <w:rPr>
                <w:sz w:val="18"/>
                <w:szCs w:val="18"/>
              </w:rPr>
            </w:pPr>
            <w:r w:rsidRPr="00C818AC">
              <w:rPr>
                <w:sz w:val="18"/>
                <w:szCs w:val="18"/>
              </w:rPr>
              <w:t>1 (10)</w:t>
            </w:r>
          </w:p>
        </w:tc>
        <w:tc>
          <w:tcPr>
            <w:tcW w:w="850" w:type="dxa"/>
            <w:tcBorders>
              <w:top w:val="single" w:sz="2" w:space="0" w:color="808080" w:themeColor="background1" w:themeShade="80"/>
            </w:tcBorders>
            <w:shd w:val="clear" w:color="auto" w:fill="auto"/>
            <w:hideMark/>
          </w:tcPr>
          <w:p w14:paraId="77BD5246" w14:textId="77777777" w:rsidR="00D17BEF" w:rsidRPr="00C818AC" w:rsidRDefault="00D17BEF" w:rsidP="00F544B3">
            <w:pPr>
              <w:pStyle w:val="NormalWeb"/>
              <w:rPr>
                <w:sz w:val="18"/>
                <w:szCs w:val="18"/>
              </w:rPr>
            </w:pPr>
            <w:r w:rsidRPr="00C818AC">
              <w:rPr>
                <w:sz w:val="18"/>
                <w:szCs w:val="18"/>
              </w:rPr>
              <w:t>0 (0)</w:t>
            </w:r>
          </w:p>
        </w:tc>
        <w:tc>
          <w:tcPr>
            <w:tcW w:w="1226" w:type="dxa"/>
            <w:tcBorders>
              <w:top w:val="single" w:sz="2" w:space="0" w:color="808080" w:themeColor="background1" w:themeShade="80"/>
            </w:tcBorders>
            <w:shd w:val="clear" w:color="auto" w:fill="auto"/>
            <w:hideMark/>
          </w:tcPr>
          <w:p w14:paraId="350A4682" w14:textId="77777777" w:rsidR="00D17BEF" w:rsidRPr="00C818AC" w:rsidRDefault="00D17BEF" w:rsidP="00F544B3">
            <w:pPr>
              <w:pStyle w:val="NormalWeb"/>
              <w:rPr>
                <w:sz w:val="18"/>
                <w:szCs w:val="18"/>
              </w:rPr>
            </w:pPr>
            <w:r w:rsidRPr="00C818AC">
              <w:rPr>
                <w:sz w:val="18"/>
                <w:szCs w:val="18"/>
              </w:rPr>
              <w:t>3 (6)</w:t>
            </w:r>
          </w:p>
        </w:tc>
      </w:tr>
      <w:tr w:rsidR="00D17BEF" w:rsidRPr="00C818AC" w14:paraId="0DD30A58" w14:textId="77777777" w:rsidTr="00D17BEF">
        <w:trPr>
          <w:divId w:val="1312250460"/>
        </w:trPr>
        <w:tc>
          <w:tcPr>
            <w:tcW w:w="5387" w:type="dxa"/>
            <w:shd w:val="clear" w:color="auto" w:fill="auto"/>
            <w:hideMark/>
          </w:tcPr>
          <w:p w14:paraId="378730B6" w14:textId="77777777" w:rsidR="00D17BEF" w:rsidRPr="00C818AC" w:rsidRDefault="00D17BEF" w:rsidP="00F544B3">
            <w:pPr>
              <w:pStyle w:val="NormalWeb"/>
              <w:jc w:val="left"/>
              <w:rPr>
                <w:sz w:val="18"/>
                <w:szCs w:val="18"/>
              </w:rPr>
            </w:pPr>
            <w:r w:rsidRPr="00C818AC">
              <w:rPr>
                <w:sz w:val="18"/>
                <w:szCs w:val="18"/>
              </w:rPr>
              <w:t>Treated prior to contact</w:t>
            </w:r>
          </w:p>
        </w:tc>
        <w:tc>
          <w:tcPr>
            <w:tcW w:w="992" w:type="dxa"/>
            <w:shd w:val="clear" w:color="auto" w:fill="auto"/>
            <w:hideMark/>
          </w:tcPr>
          <w:p w14:paraId="58647EB9" w14:textId="77777777" w:rsidR="00D17BEF" w:rsidRPr="00C818AC" w:rsidRDefault="00D17BEF" w:rsidP="00F544B3">
            <w:pPr>
              <w:pStyle w:val="NormalWeb"/>
              <w:rPr>
                <w:sz w:val="18"/>
                <w:szCs w:val="18"/>
              </w:rPr>
            </w:pPr>
            <w:r w:rsidRPr="00C818AC">
              <w:rPr>
                <w:sz w:val="18"/>
                <w:szCs w:val="18"/>
              </w:rPr>
              <w:t>4 (31)</w:t>
            </w:r>
          </w:p>
        </w:tc>
        <w:tc>
          <w:tcPr>
            <w:tcW w:w="992" w:type="dxa"/>
            <w:shd w:val="clear" w:color="auto" w:fill="auto"/>
            <w:hideMark/>
          </w:tcPr>
          <w:p w14:paraId="225E596C" w14:textId="77777777" w:rsidR="00D17BEF" w:rsidRPr="00C818AC" w:rsidRDefault="00D17BEF" w:rsidP="00F544B3">
            <w:pPr>
              <w:pStyle w:val="NormalWeb"/>
              <w:rPr>
                <w:sz w:val="18"/>
                <w:szCs w:val="18"/>
              </w:rPr>
            </w:pPr>
            <w:r w:rsidRPr="00C818AC">
              <w:rPr>
                <w:sz w:val="18"/>
                <w:szCs w:val="18"/>
              </w:rPr>
              <w:t>6 (43)</w:t>
            </w:r>
          </w:p>
        </w:tc>
        <w:tc>
          <w:tcPr>
            <w:tcW w:w="993" w:type="dxa"/>
            <w:shd w:val="clear" w:color="auto" w:fill="auto"/>
            <w:hideMark/>
          </w:tcPr>
          <w:p w14:paraId="18995263" w14:textId="77777777" w:rsidR="00D17BEF" w:rsidRPr="00C818AC" w:rsidRDefault="00D17BEF" w:rsidP="00F544B3">
            <w:pPr>
              <w:pStyle w:val="NormalWeb"/>
              <w:rPr>
                <w:sz w:val="18"/>
                <w:szCs w:val="18"/>
              </w:rPr>
            </w:pPr>
            <w:r w:rsidRPr="00C818AC">
              <w:rPr>
                <w:sz w:val="18"/>
                <w:szCs w:val="18"/>
              </w:rPr>
              <w:t>2 (20)</w:t>
            </w:r>
          </w:p>
        </w:tc>
        <w:tc>
          <w:tcPr>
            <w:tcW w:w="850" w:type="dxa"/>
            <w:shd w:val="clear" w:color="auto" w:fill="auto"/>
            <w:hideMark/>
          </w:tcPr>
          <w:p w14:paraId="4CFA64C0" w14:textId="77777777" w:rsidR="00D17BEF" w:rsidRPr="00C818AC" w:rsidRDefault="00D17BEF" w:rsidP="00F544B3">
            <w:pPr>
              <w:pStyle w:val="NormalWeb"/>
              <w:rPr>
                <w:sz w:val="18"/>
                <w:szCs w:val="18"/>
              </w:rPr>
            </w:pPr>
            <w:r w:rsidRPr="00C818AC">
              <w:rPr>
                <w:sz w:val="18"/>
                <w:szCs w:val="18"/>
              </w:rPr>
              <w:t>4 (31)</w:t>
            </w:r>
          </w:p>
        </w:tc>
        <w:tc>
          <w:tcPr>
            <w:tcW w:w="1226" w:type="dxa"/>
            <w:shd w:val="clear" w:color="auto" w:fill="auto"/>
            <w:hideMark/>
          </w:tcPr>
          <w:p w14:paraId="3CF7E9D9" w14:textId="77777777" w:rsidR="00D17BEF" w:rsidRPr="00C818AC" w:rsidRDefault="00D17BEF" w:rsidP="00F544B3">
            <w:pPr>
              <w:pStyle w:val="NormalWeb"/>
              <w:rPr>
                <w:sz w:val="18"/>
                <w:szCs w:val="18"/>
              </w:rPr>
            </w:pPr>
            <w:r w:rsidRPr="00C818AC">
              <w:rPr>
                <w:sz w:val="18"/>
                <w:szCs w:val="18"/>
              </w:rPr>
              <w:t>16 (32)</w:t>
            </w:r>
          </w:p>
        </w:tc>
      </w:tr>
      <w:tr w:rsidR="00D17BEF" w:rsidRPr="00C818AC" w14:paraId="22165B69" w14:textId="77777777" w:rsidTr="00D17BEF">
        <w:trPr>
          <w:cnfStyle w:val="000000010000" w:firstRow="0" w:lastRow="0" w:firstColumn="0" w:lastColumn="0" w:oddVBand="0" w:evenVBand="0" w:oddHBand="0" w:evenHBand="1" w:firstRowFirstColumn="0" w:firstRowLastColumn="0" w:lastRowFirstColumn="0" w:lastRowLastColumn="0"/>
          <w:divId w:val="1312250460"/>
        </w:trPr>
        <w:tc>
          <w:tcPr>
            <w:tcW w:w="5387" w:type="dxa"/>
            <w:shd w:val="clear" w:color="auto" w:fill="auto"/>
            <w:hideMark/>
          </w:tcPr>
          <w:p w14:paraId="744083A5" w14:textId="77777777" w:rsidR="00D17BEF" w:rsidRPr="00C818AC" w:rsidRDefault="00D17BEF" w:rsidP="00F544B3">
            <w:pPr>
              <w:pStyle w:val="NormalWeb"/>
              <w:jc w:val="left"/>
              <w:rPr>
                <w:sz w:val="18"/>
                <w:szCs w:val="18"/>
              </w:rPr>
            </w:pPr>
            <w:r w:rsidRPr="00C818AC">
              <w:rPr>
                <w:sz w:val="18"/>
                <w:szCs w:val="18"/>
              </w:rPr>
              <w:t>Patient declined treatment</w:t>
            </w:r>
          </w:p>
        </w:tc>
        <w:tc>
          <w:tcPr>
            <w:tcW w:w="992" w:type="dxa"/>
            <w:shd w:val="clear" w:color="auto" w:fill="auto"/>
            <w:hideMark/>
          </w:tcPr>
          <w:p w14:paraId="6A073B30" w14:textId="77777777" w:rsidR="00D17BEF" w:rsidRPr="00C818AC" w:rsidRDefault="00D17BEF" w:rsidP="00F544B3">
            <w:pPr>
              <w:pStyle w:val="NormalWeb"/>
              <w:rPr>
                <w:sz w:val="18"/>
                <w:szCs w:val="18"/>
              </w:rPr>
            </w:pPr>
            <w:r w:rsidRPr="00C818AC">
              <w:rPr>
                <w:sz w:val="18"/>
                <w:szCs w:val="18"/>
              </w:rPr>
              <w:t>0 (0)</w:t>
            </w:r>
          </w:p>
        </w:tc>
        <w:tc>
          <w:tcPr>
            <w:tcW w:w="992" w:type="dxa"/>
            <w:shd w:val="clear" w:color="auto" w:fill="auto"/>
            <w:hideMark/>
          </w:tcPr>
          <w:p w14:paraId="32769028" w14:textId="77777777" w:rsidR="00D17BEF" w:rsidRPr="00C818AC" w:rsidRDefault="00D17BEF" w:rsidP="00F544B3">
            <w:pPr>
              <w:pStyle w:val="NormalWeb"/>
              <w:rPr>
                <w:sz w:val="18"/>
                <w:szCs w:val="18"/>
              </w:rPr>
            </w:pPr>
            <w:r w:rsidRPr="00C818AC">
              <w:rPr>
                <w:sz w:val="18"/>
                <w:szCs w:val="18"/>
              </w:rPr>
              <w:t>2 (14)</w:t>
            </w:r>
          </w:p>
        </w:tc>
        <w:tc>
          <w:tcPr>
            <w:tcW w:w="993" w:type="dxa"/>
            <w:shd w:val="clear" w:color="auto" w:fill="auto"/>
            <w:hideMark/>
          </w:tcPr>
          <w:p w14:paraId="098521B5" w14:textId="77777777" w:rsidR="00D17BEF" w:rsidRPr="00C818AC" w:rsidRDefault="00D17BEF" w:rsidP="00F544B3">
            <w:pPr>
              <w:pStyle w:val="NormalWeb"/>
              <w:rPr>
                <w:sz w:val="18"/>
                <w:szCs w:val="18"/>
              </w:rPr>
            </w:pPr>
            <w:r w:rsidRPr="00C818AC">
              <w:rPr>
                <w:sz w:val="18"/>
                <w:szCs w:val="18"/>
              </w:rPr>
              <w:t>1 (10)</w:t>
            </w:r>
          </w:p>
        </w:tc>
        <w:tc>
          <w:tcPr>
            <w:tcW w:w="850" w:type="dxa"/>
            <w:shd w:val="clear" w:color="auto" w:fill="auto"/>
            <w:hideMark/>
          </w:tcPr>
          <w:p w14:paraId="536AC1B1" w14:textId="77777777" w:rsidR="00D17BEF" w:rsidRPr="00C818AC" w:rsidRDefault="00D17BEF" w:rsidP="00F544B3">
            <w:pPr>
              <w:pStyle w:val="NormalWeb"/>
              <w:rPr>
                <w:sz w:val="18"/>
                <w:szCs w:val="18"/>
              </w:rPr>
            </w:pPr>
            <w:r w:rsidRPr="00C818AC">
              <w:rPr>
                <w:sz w:val="18"/>
                <w:szCs w:val="18"/>
              </w:rPr>
              <w:t>0 (0)</w:t>
            </w:r>
          </w:p>
        </w:tc>
        <w:tc>
          <w:tcPr>
            <w:tcW w:w="1226" w:type="dxa"/>
            <w:shd w:val="clear" w:color="auto" w:fill="auto"/>
            <w:hideMark/>
          </w:tcPr>
          <w:p w14:paraId="41959232" w14:textId="77777777" w:rsidR="00D17BEF" w:rsidRPr="00C818AC" w:rsidRDefault="00D17BEF" w:rsidP="00F544B3">
            <w:pPr>
              <w:pStyle w:val="NormalWeb"/>
              <w:rPr>
                <w:sz w:val="18"/>
                <w:szCs w:val="18"/>
              </w:rPr>
            </w:pPr>
            <w:r w:rsidRPr="00C818AC">
              <w:rPr>
                <w:sz w:val="18"/>
                <w:szCs w:val="18"/>
              </w:rPr>
              <w:t>3 (6)</w:t>
            </w:r>
          </w:p>
        </w:tc>
      </w:tr>
      <w:tr w:rsidR="00D17BEF" w:rsidRPr="00C818AC" w14:paraId="6A211541" w14:textId="77777777" w:rsidTr="00D17BEF">
        <w:trPr>
          <w:divId w:val="1312250460"/>
        </w:trPr>
        <w:tc>
          <w:tcPr>
            <w:tcW w:w="5387" w:type="dxa"/>
            <w:tcBorders>
              <w:bottom w:val="single" w:sz="2" w:space="0" w:color="808080" w:themeColor="background1" w:themeShade="80"/>
            </w:tcBorders>
            <w:shd w:val="clear" w:color="auto" w:fill="auto"/>
            <w:hideMark/>
          </w:tcPr>
          <w:p w14:paraId="4EBD9D6A" w14:textId="77777777" w:rsidR="00D17BEF" w:rsidRPr="00C818AC" w:rsidRDefault="00D17BEF" w:rsidP="00F544B3">
            <w:pPr>
              <w:pStyle w:val="NormalWeb"/>
              <w:jc w:val="left"/>
              <w:rPr>
                <w:sz w:val="18"/>
                <w:szCs w:val="18"/>
              </w:rPr>
            </w:pPr>
            <w:r w:rsidRPr="00C818AC">
              <w:rPr>
                <w:sz w:val="18"/>
                <w:szCs w:val="18"/>
              </w:rPr>
              <w:t>Lost to follow-</w:t>
            </w:r>
            <w:proofErr w:type="spellStart"/>
            <w:r w:rsidRPr="00C818AC">
              <w:rPr>
                <w:sz w:val="18"/>
                <w:szCs w:val="18"/>
              </w:rPr>
              <w:t>up</w:t>
            </w:r>
            <w:r w:rsidRPr="001F50BB">
              <w:rPr>
                <w:sz w:val="18"/>
                <w:szCs w:val="18"/>
                <w:vertAlign w:val="superscript"/>
              </w:rPr>
              <w:t>a</w:t>
            </w:r>
            <w:proofErr w:type="spellEnd"/>
          </w:p>
        </w:tc>
        <w:tc>
          <w:tcPr>
            <w:tcW w:w="992" w:type="dxa"/>
            <w:tcBorders>
              <w:bottom w:val="single" w:sz="2" w:space="0" w:color="808080" w:themeColor="background1" w:themeShade="80"/>
            </w:tcBorders>
            <w:shd w:val="clear" w:color="auto" w:fill="auto"/>
            <w:hideMark/>
          </w:tcPr>
          <w:p w14:paraId="5B4CD647" w14:textId="77777777" w:rsidR="00D17BEF" w:rsidRPr="00C818AC" w:rsidRDefault="00D17BEF" w:rsidP="00F544B3">
            <w:pPr>
              <w:pStyle w:val="NormalWeb"/>
              <w:rPr>
                <w:sz w:val="18"/>
                <w:szCs w:val="18"/>
              </w:rPr>
            </w:pPr>
            <w:r w:rsidRPr="00C818AC">
              <w:rPr>
                <w:sz w:val="18"/>
                <w:szCs w:val="18"/>
              </w:rPr>
              <w:t>7 (54)</w:t>
            </w:r>
          </w:p>
        </w:tc>
        <w:tc>
          <w:tcPr>
            <w:tcW w:w="992" w:type="dxa"/>
            <w:tcBorders>
              <w:bottom w:val="single" w:sz="2" w:space="0" w:color="808080" w:themeColor="background1" w:themeShade="80"/>
            </w:tcBorders>
            <w:shd w:val="clear" w:color="auto" w:fill="auto"/>
            <w:hideMark/>
          </w:tcPr>
          <w:p w14:paraId="2DC55BC7" w14:textId="77777777" w:rsidR="00D17BEF" w:rsidRPr="00C818AC" w:rsidRDefault="00D17BEF" w:rsidP="00F544B3">
            <w:pPr>
              <w:pStyle w:val="NormalWeb"/>
              <w:rPr>
                <w:sz w:val="18"/>
                <w:szCs w:val="18"/>
              </w:rPr>
            </w:pPr>
            <w:r w:rsidRPr="00C818AC">
              <w:rPr>
                <w:sz w:val="18"/>
                <w:szCs w:val="18"/>
              </w:rPr>
              <w:t>6 (43)</w:t>
            </w:r>
          </w:p>
        </w:tc>
        <w:tc>
          <w:tcPr>
            <w:tcW w:w="993" w:type="dxa"/>
            <w:tcBorders>
              <w:bottom w:val="single" w:sz="2" w:space="0" w:color="808080" w:themeColor="background1" w:themeShade="80"/>
            </w:tcBorders>
            <w:shd w:val="clear" w:color="auto" w:fill="auto"/>
            <w:hideMark/>
          </w:tcPr>
          <w:p w14:paraId="075EB00C" w14:textId="77777777" w:rsidR="00D17BEF" w:rsidRPr="00C818AC" w:rsidRDefault="00D17BEF" w:rsidP="00F544B3">
            <w:pPr>
              <w:pStyle w:val="NormalWeb"/>
              <w:rPr>
                <w:sz w:val="18"/>
                <w:szCs w:val="18"/>
              </w:rPr>
            </w:pPr>
            <w:r w:rsidRPr="00C818AC">
              <w:rPr>
                <w:sz w:val="18"/>
                <w:szCs w:val="18"/>
              </w:rPr>
              <w:t>6 (60)</w:t>
            </w:r>
          </w:p>
        </w:tc>
        <w:tc>
          <w:tcPr>
            <w:tcW w:w="850" w:type="dxa"/>
            <w:tcBorders>
              <w:bottom w:val="single" w:sz="2" w:space="0" w:color="808080" w:themeColor="background1" w:themeShade="80"/>
            </w:tcBorders>
            <w:shd w:val="clear" w:color="auto" w:fill="auto"/>
            <w:hideMark/>
          </w:tcPr>
          <w:p w14:paraId="56946C2A" w14:textId="77777777" w:rsidR="00D17BEF" w:rsidRPr="00C818AC" w:rsidRDefault="00D17BEF" w:rsidP="00F544B3">
            <w:pPr>
              <w:pStyle w:val="NormalWeb"/>
              <w:rPr>
                <w:sz w:val="18"/>
                <w:szCs w:val="18"/>
              </w:rPr>
            </w:pPr>
            <w:r w:rsidRPr="00C818AC">
              <w:rPr>
                <w:sz w:val="18"/>
                <w:szCs w:val="18"/>
              </w:rPr>
              <w:t>9 (69)</w:t>
            </w:r>
          </w:p>
        </w:tc>
        <w:tc>
          <w:tcPr>
            <w:tcW w:w="1226" w:type="dxa"/>
            <w:tcBorders>
              <w:bottom w:val="single" w:sz="2" w:space="0" w:color="808080" w:themeColor="background1" w:themeShade="80"/>
            </w:tcBorders>
            <w:shd w:val="clear" w:color="auto" w:fill="auto"/>
            <w:hideMark/>
          </w:tcPr>
          <w:p w14:paraId="17065CC1" w14:textId="77777777" w:rsidR="00D17BEF" w:rsidRPr="00C818AC" w:rsidRDefault="00D17BEF" w:rsidP="00F544B3">
            <w:pPr>
              <w:pStyle w:val="NormalWeb"/>
              <w:rPr>
                <w:sz w:val="18"/>
                <w:szCs w:val="18"/>
              </w:rPr>
            </w:pPr>
            <w:r w:rsidRPr="00C818AC">
              <w:rPr>
                <w:sz w:val="18"/>
                <w:szCs w:val="18"/>
              </w:rPr>
              <w:t>28 (56)</w:t>
            </w:r>
          </w:p>
        </w:tc>
      </w:tr>
    </w:tbl>
    <w:p w14:paraId="123940D9" w14:textId="77777777" w:rsidR="00D17BEF" w:rsidRPr="00D62249" w:rsidRDefault="00D17BEF" w:rsidP="00D17BEF">
      <w:pPr>
        <w:pStyle w:val="CDIfootnotes"/>
        <w:divId w:val="1312250460"/>
      </w:pPr>
      <w:proofErr w:type="spellStart"/>
      <w:r w:rsidRPr="00D62249">
        <w:t>a</w:t>
      </w:r>
      <w:proofErr w:type="spellEnd"/>
      <w:r w:rsidRPr="00D62249">
        <w:tab/>
        <w:t>The clinician and their medical practice were no longer contactable and no case contact details were available.</w:t>
      </w:r>
    </w:p>
    <w:p w14:paraId="11DA557D" w14:textId="77777777" w:rsidR="00D17BEF" w:rsidRPr="00C818AC" w:rsidRDefault="00D17BEF" w:rsidP="00D17BEF">
      <w:pPr>
        <w:pStyle w:val="CDIFigures"/>
        <w:divId w:val="1312250460"/>
      </w:pPr>
      <w:r w:rsidRPr="00C818AC">
        <w:rPr>
          <w:rStyle w:val="Strong"/>
          <w:b/>
          <w:bCs w:val="0"/>
        </w:rPr>
        <w:t>Table 3: Outcomes of attempts to follow up cases directly (via registered post or SMS) where no recent clinicians were identified</w:t>
      </w:r>
    </w:p>
    <w:tbl>
      <w:tblPr>
        <w:tblStyle w:val="CDI-StandardTable"/>
        <w:tblW w:w="0" w:type="auto"/>
        <w:tblLook w:val="04A0" w:firstRow="1" w:lastRow="0" w:firstColumn="1" w:lastColumn="0" w:noHBand="0" w:noVBand="1"/>
        <w:tblDescription w:val="Table 3 shows the outcomes of attempts to follow up cases directly (via registered post or SMS) where no recent clinicians were identified but an address or mobile phone number was available. The table shows the number and proportion of cases who responded to the contact and those who did not respond.&#10;"/>
      </w:tblPr>
      <w:tblGrid>
        <w:gridCol w:w="5529"/>
        <w:gridCol w:w="850"/>
        <w:gridCol w:w="992"/>
        <w:gridCol w:w="993"/>
        <w:gridCol w:w="992"/>
        <w:gridCol w:w="1084"/>
      </w:tblGrid>
      <w:tr w:rsidR="00D17BEF" w:rsidRPr="00C818AC" w14:paraId="32FDD548" w14:textId="77777777" w:rsidTr="00D17BEF">
        <w:trPr>
          <w:cnfStyle w:val="100000000000" w:firstRow="1" w:lastRow="0" w:firstColumn="0" w:lastColumn="0" w:oddVBand="0" w:evenVBand="0" w:oddHBand="0" w:evenHBand="0" w:firstRowFirstColumn="0" w:firstRowLastColumn="0" w:lastRowFirstColumn="0" w:lastRowLastColumn="0"/>
          <w:divId w:val="1312250460"/>
        </w:trPr>
        <w:tc>
          <w:tcPr>
            <w:tcW w:w="5529" w:type="dxa"/>
            <w:hideMark/>
          </w:tcPr>
          <w:p w14:paraId="000E5523" w14:textId="77777777" w:rsidR="00D17BEF" w:rsidRPr="00C818AC" w:rsidRDefault="00D17BEF" w:rsidP="00F544B3">
            <w:pPr>
              <w:pStyle w:val="NormalWeb"/>
              <w:jc w:val="left"/>
              <w:rPr>
                <w:sz w:val="18"/>
                <w:szCs w:val="18"/>
              </w:rPr>
            </w:pPr>
            <w:r w:rsidRPr="00C818AC">
              <w:rPr>
                <w:sz w:val="18"/>
                <w:szCs w:val="18"/>
              </w:rPr>
              <w:t>Category</w:t>
            </w:r>
          </w:p>
        </w:tc>
        <w:tc>
          <w:tcPr>
            <w:tcW w:w="850" w:type="dxa"/>
            <w:hideMark/>
          </w:tcPr>
          <w:p w14:paraId="40E4C016" w14:textId="77777777" w:rsidR="00D17BEF" w:rsidRPr="00C818AC" w:rsidRDefault="00D17BEF" w:rsidP="00F544B3">
            <w:pPr>
              <w:pStyle w:val="NormalWeb"/>
              <w:rPr>
                <w:sz w:val="18"/>
                <w:szCs w:val="18"/>
              </w:rPr>
            </w:pPr>
            <w:r w:rsidRPr="00C818AC">
              <w:rPr>
                <w:sz w:val="18"/>
                <w:szCs w:val="18"/>
              </w:rPr>
              <w:t>2018</w:t>
            </w:r>
            <w:r w:rsidRPr="00C818AC">
              <w:rPr>
                <w:sz w:val="18"/>
                <w:szCs w:val="18"/>
              </w:rPr>
              <w:br/>
              <w:t>n (%)</w:t>
            </w:r>
          </w:p>
        </w:tc>
        <w:tc>
          <w:tcPr>
            <w:tcW w:w="992" w:type="dxa"/>
            <w:hideMark/>
          </w:tcPr>
          <w:p w14:paraId="22A9D174" w14:textId="77777777" w:rsidR="00D17BEF" w:rsidRPr="00C818AC" w:rsidRDefault="00D17BEF" w:rsidP="00F544B3">
            <w:pPr>
              <w:pStyle w:val="NormalWeb"/>
              <w:rPr>
                <w:sz w:val="18"/>
                <w:szCs w:val="18"/>
              </w:rPr>
            </w:pPr>
            <w:r w:rsidRPr="00C818AC">
              <w:rPr>
                <w:sz w:val="18"/>
                <w:szCs w:val="18"/>
              </w:rPr>
              <w:t>2013</w:t>
            </w:r>
            <w:r w:rsidRPr="00C818AC">
              <w:rPr>
                <w:sz w:val="18"/>
                <w:szCs w:val="18"/>
              </w:rPr>
              <w:br/>
              <w:t>n (%)</w:t>
            </w:r>
          </w:p>
        </w:tc>
        <w:tc>
          <w:tcPr>
            <w:tcW w:w="993" w:type="dxa"/>
            <w:hideMark/>
          </w:tcPr>
          <w:p w14:paraId="67D51EDD" w14:textId="77777777" w:rsidR="00D17BEF" w:rsidRPr="00C818AC" w:rsidRDefault="00D17BEF" w:rsidP="00F544B3">
            <w:pPr>
              <w:pStyle w:val="NormalWeb"/>
              <w:rPr>
                <w:sz w:val="18"/>
                <w:szCs w:val="18"/>
              </w:rPr>
            </w:pPr>
            <w:r w:rsidRPr="00C818AC">
              <w:rPr>
                <w:sz w:val="18"/>
                <w:szCs w:val="18"/>
              </w:rPr>
              <w:t>2008</w:t>
            </w:r>
            <w:r w:rsidRPr="00C818AC">
              <w:rPr>
                <w:sz w:val="18"/>
                <w:szCs w:val="18"/>
              </w:rPr>
              <w:br/>
              <w:t>n (%)</w:t>
            </w:r>
          </w:p>
        </w:tc>
        <w:tc>
          <w:tcPr>
            <w:tcW w:w="992" w:type="dxa"/>
            <w:hideMark/>
          </w:tcPr>
          <w:p w14:paraId="760DE850" w14:textId="77777777" w:rsidR="00D17BEF" w:rsidRPr="00C818AC" w:rsidRDefault="00D17BEF" w:rsidP="00F544B3">
            <w:pPr>
              <w:pStyle w:val="NormalWeb"/>
              <w:rPr>
                <w:sz w:val="18"/>
                <w:szCs w:val="18"/>
              </w:rPr>
            </w:pPr>
            <w:r w:rsidRPr="00C818AC">
              <w:rPr>
                <w:sz w:val="18"/>
                <w:szCs w:val="18"/>
              </w:rPr>
              <w:t>2003</w:t>
            </w:r>
            <w:r w:rsidRPr="00C818AC">
              <w:rPr>
                <w:sz w:val="18"/>
                <w:szCs w:val="18"/>
              </w:rPr>
              <w:br/>
              <w:t>n (%)</w:t>
            </w:r>
          </w:p>
        </w:tc>
        <w:tc>
          <w:tcPr>
            <w:tcW w:w="1084" w:type="dxa"/>
            <w:hideMark/>
          </w:tcPr>
          <w:p w14:paraId="0E9631B6" w14:textId="77777777" w:rsidR="00D17BEF" w:rsidRPr="00C818AC" w:rsidRDefault="00D17BEF" w:rsidP="00F544B3">
            <w:pPr>
              <w:pStyle w:val="NormalWeb"/>
              <w:rPr>
                <w:sz w:val="18"/>
                <w:szCs w:val="18"/>
              </w:rPr>
            </w:pPr>
            <w:r w:rsidRPr="00C818AC">
              <w:rPr>
                <w:sz w:val="18"/>
                <w:szCs w:val="18"/>
              </w:rPr>
              <w:t>Total</w:t>
            </w:r>
            <w:r w:rsidRPr="00C818AC">
              <w:rPr>
                <w:sz w:val="18"/>
                <w:szCs w:val="18"/>
              </w:rPr>
              <w:br/>
              <w:t>n (%)</w:t>
            </w:r>
          </w:p>
        </w:tc>
      </w:tr>
      <w:tr w:rsidR="00D17BEF" w:rsidRPr="000D3D91" w14:paraId="63512ED7" w14:textId="77777777" w:rsidTr="00D17BEF">
        <w:trPr>
          <w:divId w:val="1312250460"/>
        </w:trPr>
        <w:tc>
          <w:tcPr>
            <w:tcW w:w="5529" w:type="dxa"/>
            <w:tcBorders>
              <w:bottom w:val="single" w:sz="2" w:space="0" w:color="808080" w:themeColor="background1" w:themeShade="80"/>
            </w:tcBorders>
            <w:shd w:val="clear" w:color="auto" w:fill="auto"/>
            <w:hideMark/>
          </w:tcPr>
          <w:p w14:paraId="4EEBED8B" w14:textId="77777777" w:rsidR="00D17BEF" w:rsidRPr="000D3D91" w:rsidRDefault="00D17BEF" w:rsidP="00F544B3">
            <w:pPr>
              <w:pStyle w:val="NormalWeb"/>
              <w:jc w:val="left"/>
              <w:rPr>
                <w:b/>
                <w:bCs/>
                <w:sz w:val="18"/>
                <w:szCs w:val="18"/>
              </w:rPr>
            </w:pPr>
            <w:r w:rsidRPr="000D3D91">
              <w:rPr>
                <w:b/>
                <w:bCs/>
                <w:sz w:val="18"/>
                <w:szCs w:val="18"/>
              </w:rPr>
              <w:t>Attempted to follow up with case</w:t>
            </w:r>
          </w:p>
        </w:tc>
        <w:tc>
          <w:tcPr>
            <w:tcW w:w="850" w:type="dxa"/>
            <w:tcBorders>
              <w:bottom w:val="single" w:sz="2" w:space="0" w:color="808080" w:themeColor="background1" w:themeShade="80"/>
            </w:tcBorders>
            <w:shd w:val="clear" w:color="auto" w:fill="auto"/>
            <w:hideMark/>
          </w:tcPr>
          <w:p w14:paraId="4C04C4CA" w14:textId="77777777" w:rsidR="00D17BEF" w:rsidRPr="000D3D91" w:rsidRDefault="00D17BEF" w:rsidP="00F544B3">
            <w:pPr>
              <w:pStyle w:val="NormalWeb"/>
              <w:rPr>
                <w:b/>
                <w:bCs/>
                <w:sz w:val="18"/>
                <w:szCs w:val="18"/>
              </w:rPr>
            </w:pPr>
            <w:r w:rsidRPr="000D3D91">
              <w:rPr>
                <w:b/>
                <w:bCs/>
                <w:sz w:val="18"/>
                <w:szCs w:val="18"/>
              </w:rPr>
              <w:t>20</w:t>
            </w:r>
          </w:p>
        </w:tc>
        <w:tc>
          <w:tcPr>
            <w:tcW w:w="992" w:type="dxa"/>
            <w:tcBorders>
              <w:bottom w:val="single" w:sz="2" w:space="0" w:color="808080" w:themeColor="background1" w:themeShade="80"/>
            </w:tcBorders>
            <w:shd w:val="clear" w:color="auto" w:fill="auto"/>
            <w:hideMark/>
          </w:tcPr>
          <w:p w14:paraId="6DFE444F" w14:textId="77777777" w:rsidR="00D17BEF" w:rsidRPr="000D3D91" w:rsidRDefault="00D17BEF" w:rsidP="00F544B3">
            <w:pPr>
              <w:pStyle w:val="NormalWeb"/>
              <w:rPr>
                <w:b/>
                <w:bCs/>
                <w:sz w:val="18"/>
                <w:szCs w:val="18"/>
              </w:rPr>
            </w:pPr>
            <w:r w:rsidRPr="000D3D91">
              <w:rPr>
                <w:b/>
                <w:bCs/>
                <w:sz w:val="18"/>
                <w:szCs w:val="18"/>
              </w:rPr>
              <w:t>13</w:t>
            </w:r>
          </w:p>
        </w:tc>
        <w:tc>
          <w:tcPr>
            <w:tcW w:w="993" w:type="dxa"/>
            <w:tcBorders>
              <w:bottom w:val="single" w:sz="2" w:space="0" w:color="808080" w:themeColor="background1" w:themeShade="80"/>
            </w:tcBorders>
            <w:shd w:val="clear" w:color="auto" w:fill="auto"/>
            <w:hideMark/>
          </w:tcPr>
          <w:p w14:paraId="4E8F7D1D" w14:textId="77777777" w:rsidR="00D17BEF" w:rsidRPr="000D3D91" w:rsidRDefault="00D17BEF" w:rsidP="00F544B3">
            <w:pPr>
              <w:pStyle w:val="NormalWeb"/>
              <w:rPr>
                <w:b/>
                <w:bCs/>
                <w:sz w:val="18"/>
                <w:szCs w:val="18"/>
              </w:rPr>
            </w:pPr>
            <w:r w:rsidRPr="000D3D91">
              <w:rPr>
                <w:b/>
                <w:bCs/>
                <w:sz w:val="18"/>
                <w:szCs w:val="18"/>
              </w:rPr>
              <w:t>9</w:t>
            </w:r>
          </w:p>
        </w:tc>
        <w:tc>
          <w:tcPr>
            <w:tcW w:w="992" w:type="dxa"/>
            <w:tcBorders>
              <w:bottom w:val="single" w:sz="2" w:space="0" w:color="808080" w:themeColor="background1" w:themeShade="80"/>
            </w:tcBorders>
            <w:shd w:val="clear" w:color="auto" w:fill="auto"/>
            <w:hideMark/>
          </w:tcPr>
          <w:p w14:paraId="71BFA975" w14:textId="77777777" w:rsidR="00D17BEF" w:rsidRPr="000D3D91" w:rsidRDefault="00D17BEF" w:rsidP="00F544B3">
            <w:pPr>
              <w:pStyle w:val="NormalWeb"/>
              <w:rPr>
                <w:b/>
                <w:bCs/>
                <w:sz w:val="18"/>
                <w:szCs w:val="18"/>
              </w:rPr>
            </w:pPr>
            <w:r w:rsidRPr="000D3D91">
              <w:rPr>
                <w:b/>
                <w:bCs/>
                <w:sz w:val="18"/>
                <w:szCs w:val="18"/>
              </w:rPr>
              <w:t>9</w:t>
            </w:r>
          </w:p>
        </w:tc>
        <w:tc>
          <w:tcPr>
            <w:tcW w:w="1084" w:type="dxa"/>
            <w:tcBorders>
              <w:bottom w:val="single" w:sz="2" w:space="0" w:color="808080" w:themeColor="background1" w:themeShade="80"/>
            </w:tcBorders>
            <w:shd w:val="clear" w:color="auto" w:fill="auto"/>
            <w:hideMark/>
          </w:tcPr>
          <w:p w14:paraId="60D4EB3B" w14:textId="77777777" w:rsidR="00D17BEF" w:rsidRPr="000D3D91" w:rsidRDefault="00D17BEF" w:rsidP="00F544B3">
            <w:pPr>
              <w:pStyle w:val="NormalWeb"/>
              <w:rPr>
                <w:b/>
                <w:bCs/>
                <w:sz w:val="18"/>
                <w:szCs w:val="18"/>
              </w:rPr>
            </w:pPr>
            <w:r w:rsidRPr="000D3D91">
              <w:rPr>
                <w:b/>
                <w:bCs/>
                <w:sz w:val="18"/>
                <w:szCs w:val="18"/>
              </w:rPr>
              <w:t>51</w:t>
            </w:r>
          </w:p>
        </w:tc>
      </w:tr>
      <w:tr w:rsidR="00D17BEF" w:rsidRPr="00C818AC" w14:paraId="7D97B5C5" w14:textId="77777777" w:rsidTr="00D17BEF">
        <w:trPr>
          <w:cnfStyle w:val="000000010000" w:firstRow="0" w:lastRow="0" w:firstColumn="0" w:lastColumn="0" w:oddVBand="0" w:evenVBand="0" w:oddHBand="0" w:evenHBand="1" w:firstRowFirstColumn="0" w:firstRowLastColumn="0" w:lastRowFirstColumn="0" w:lastRowLastColumn="0"/>
          <w:divId w:val="1312250460"/>
        </w:trPr>
        <w:tc>
          <w:tcPr>
            <w:tcW w:w="5529" w:type="dxa"/>
            <w:tcBorders>
              <w:top w:val="single" w:sz="2" w:space="0" w:color="808080" w:themeColor="background1" w:themeShade="80"/>
            </w:tcBorders>
            <w:shd w:val="clear" w:color="auto" w:fill="auto"/>
            <w:hideMark/>
          </w:tcPr>
          <w:p w14:paraId="3C7EEA56" w14:textId="77777777" w:rsidR="00D17BEF" w:rsidRPr="00C818AC" w:rsidRDefault="00D17BEF" w:rsidP="00F544B3">
            <w:pPr>
              <w:pStyle w:val="NormalWeb"/>
              <w:jc w:val="left"/>
              <w:rPr>
                <w:sz w:val="18"/>
                <w:szCs w:val="18"/>
              </w:rPr>
            </w:pPr>
            <w:r w:rsidRPr="00C818AC">
              <w:rPr>
                <w:sz w:val="18"/>
                <w:szCs w:val="18"/>
              </w:rPr>
              <w:t>Case responded</w:t>
            </w:r>
          </w:p>
        </w:tc>
        <w:tc>
          <w:tcPr>
            <w:tcW w:w="850" w:type="dxa"/>
            <w:tcBorders>
              <w:top w:val="single" w:sz="2" w:space="0" w:color="808080" w:themeColor="background1" w:themeShade="80"/>
            </w:tcBorders>
            <w:shd w:val="clear" w:color="auto" w:fill="auto"/>
            <w:hideMark/>
          </w:tcPr>
          <w:p w14:paraId="6BF0C539" w14:textId="77777777" w:rsidR="00D17BEF" w:rsidRPr="00C818AC" w:rsidRDefault="00D17BEF" w:rsidP="00F544B3">
            <w:pPr>
              <w:pStyle w:val="NormalWeb"/>
              <w:rPr>
                <w:sz w:val="18"/>
                <w:szCs w:val="18"/>
              </w:rPr>
            </w:pPr>
            <w:r w:rsidRPr="00C818AC">
              <w:rPr>
                <w:sz w:val="18"/>
                <w:szCs w:val="18"/>
              </w:rPr>
              <w:t>2 (10)</w:t>
            </w:r>
          </w:p>
        </w:tc>
        <w:tc>
          <w:tcPr>
            <w:tcW w:w="992" w:type="dxa"/>
            <w:tcBorders>
              <w:top w:val="single" w:sz="2" w:space="0" w:color="808080" w:themeColor="background1" w:themeShade="80"/>
            </w:tcBorders>
            <w:shd w:val="clear" w:color="auto" w:fill="auto"/>
            <w:hideMark/>
          </w:tcPr>
          <w:p w14:paraId="0ECB0FB3" w14:textId="77777777" w:rsidR="00D17BEF" w:rsidRPr="00C818AC" w:rsidRDefault="00D17BEF" w:rsidP="00F544B3">
            <w:pPr>
              <w:pStyle w:val="NormalWeb"/>
              <w:rPr>
                <w:sz w:val="18"/>
                <w:szCs w:val="18"/>
              </w:rPr>
            </w:pPr>
            <w:r w:rsidRPr="00C818AC">
              <w:rPr>
                <w:sz w:val="18"/>
                <w:szCs w:val="18"/>
              </w:rPr>
              <w:t>2 (15)</w:t>
            </w:r>
          </w:p>
        </w:tc>
        <w:tc>
          <w:tcPr>
            <w:tcW w:w="993" w:type="dxa"/>
            <w:tcBorders>
              <w:top w:val="single" w:sz="2" w:space="0" w:color="808080" w:themeColor="background1" w:themeShade="80"/>
            </w:tcBorders>
            <w:shd w:val="clear" w:color="auto" w:fill="auto"/>
            <w:hideMark/>
          </w:tcPr>
          <w:p w14:paraId="1F260066" w14:textId="77777777" w:rsidR="00D17BEF" w:rsidRPr="00C818AC" w:rsidRDefault="00D17BEF" w:rsidP="00F544B3">
            <w:pPr>
              <w:pStyle w:val="NormalWeb"/>
              <w:rPr>
                <w:sz w:val="18"/>
                <w:szCs w:val="18"/>
              </w:rPr>
            </w:pPr>
            <w:r w:rsidRPr="00C818AC">
              <w:rPr>
                <w:sz w:val="18"/>
                <w:szCs w:val="18"/>
              </w:rPr>
              <w:t>2 (22)</w:t>
            </w:r>
          </w:p>
        </w:tc>
        <w:tc>
          <w:tcPr>
            <w:tcW w:w="992" w:type="dxa"/>
            <w:tcBorders>
              <w:top w:val="single" w:sz="2" w:space="0" w:color="808080" w:themeColor="background1" w:themeShade="80"/>
            </w:tcBorders>
            <w:shd w:val="clear" w:color="auto" w:fill="auto"/>
            <w:hideMark/>
          </w:tcPr>
          <w:p w14:paraId="0FEA0FA4" w14:textId="77777777" w:rsidR="00D17BEF" w:rsidRPr="00C818AC" w:rsidRDefault="00D17BEF" w:rsidP="00F544B3">
            <w:pPr>
              <w:pStyle w:val="NormalWeb"/>
              <w:rPr>
                <w:sz w:val="18"/>
                <w:szCs w:val="18"/>
              </w:rPr>
            </w:pPr>
            <w:r w:rsidRPr="00C818AC">
              <w:rPr>
                <w:sz w:val="18"/>
                <w:szCs w:val="18"/>
              </w:rPr>
              <w:t>1 (11)</w:t>
            </w:r>
          </w:p>
        </w:tc>
        <w:tc>
          <w:tcPr>
            <w:tcW w:w="1084" w:type="dxa"/>
            <w:tcBorders>
              <w:top w:val="single" w:sz="2" w:space="0" w:color="808080" w:themeColor="background1" w:themeShade="80"/>
            </w:tcBorders>
            <w:shd w:val="clear" w:color="auto" w:fill="auto"/>
            <w:hideMark/>
          </w:tcPr>
          <w:p w14:paraId="2166BE1A" w14:textId="77777777" w:rsidR="00D17BEF" w:rsidRPr="00C818AC" w:rsidRDefault="00D17BEF" w:rsidP="00F544B3">
            <w:pPr>
              <w:pStyle w:val="NormalWeb"/>
              <w:rPr>
                <w:sz w:val="18"/>
                <w:szCs w:val="18"/>
              </w:rPr>
            </w:pPr>
            <w:r w:rsidRPr="00C818AC">
              <w:rPr>
                <w:sz w:val="18"/>
                <w:szCs w:val="18"/>
              </w:rPr>
              <w:t>7 (14)</w:t>
            </w:r>
          </w:p>
        </w:tc>
      </w:tr>
      <w:tr w:rsidR="00D17BEF" w:rsidRPr="00C818AC" w14:paraId="701CB35D" w14:textId="77777777" w:rsidTr="00D17BEF">
        <w:trPr>
          <w:divId w:val="1312250460"/>
        </w:trPr>
        <w:tc>
          <w:tcPr>
            <w:tcW w:w="5529" w:type="dxa"/>
            <w:tcBorders>
              <w:bottom w:val="single" w:sz="2" w:space="0" w:color="808080" w:themeColor="background1" w:themeShade="80"/>
            </w:tcBorders>
            <w:shd w:val="clear" w:color="auto" w:fill="auto"/>
            <w:hideMark/>
          </w:tcPr>
          <w:p w14:paraId="40254DF6" w14:textId="77777777" w:rsidR="00D17BEF" w:rsidRPr="00C818AC" w:rsidRDefault="00D17BEF" w:rsidP="00F544B3">
            <w:pPr>
              <w:pStyle w:val="NormalWeb"/>
              <w:jc w:val="left"/>
              <w:rPr>
                <w:sz w:val="18"/>
                <w:szCs w:val="18"/>
              </w:rPr>
            </w:pPr>
            <w:r w:rsidRPr="00C818AC">
              <w:rPr>
                <w:sz w:val="18"/>
                <w:szCs w:val="18"/>
              </w:rPr>
              <w:t>Case did not respond, or letter not delivered</w:t>
            </w:r>
          </w:p>
        </w:tc>
        <w:tc>
          <w:tcPr>
            <w:tcW w:w="850" w:type="dxa"/>
            <w:tcBorders>
              <w:bottom w:val="single" w:sz="2" w:space="0" w:color="808080" w:themeColor="background1" w:themeShade="80"/>
            </w:tcBorders>
            <w:shd w:val="clear" w:color="auto" w:fill="auto"/>
            <w:hideMark/>
          </w:tcPr>
          <w:p w14:paraId="722CB8E5" w14:textId="77777777" w:rsidR="00D17BEF" w:rsidRPr="00C818AC" w:rsidRDefault="00D17BEF" w:rsidP="00F544B3">
            <w:pPr>
              <w:pStyle w:val="NormalWeb"/>
              <w:rPr>
                <w:sz w:val="18"/>
                <w:szCs w:val="18"/>
              </w:rPr>
            </w:pPr>
            <w:r w:rsidRPr="00C818AC">
              <w:rPr>
                <w:sz w:val="18"/>
                <w:szCs w:val="18"/>
              </w:rPr>
              <w:t>18 (90)</w:t>
            </w:r>
          </w:p>
        </w:tc>
        <w:tc>
          <w:tcPr>
            <w:tcW w:w="992" w:type="dxa"/>
            <w:tcBorders>
              <w:bottom w:val="single" w:sz="2" w:space="0" w:color="808080" w:themeColor="background1" w:themeShade="80"/>
            </w:tcBorders>
            <w:shd w:val="clear" w:color="auto" w:fill="auto"/>
            <w:hideMark/>
          </w:tcPr>
          <w:p w14:paraId="38BE23ED" w14:textId="77777777" w:rsidR="00D17BEF" w:rsidRPr="00C818AC" w:rsidRDefault="00D17BEF" w:rsidP="00F544B3">
            <w:pPr>
              <w:pStyle w:val="NormalWeb"/>
              <w:rPr>
                <w:sz w:val="18"/>
                <w:szCs w:val="18"/>
              </w:rPr>
            </w:pPr>
            <w:r w:rsidRPr="00C818AC">
              <w:rPr>
                <w:sz w:val="18"/>
                <w:szCs w:val="18"/>
              </w:rPr>
              <w:t>11 (85)</w:t>
            </w:r>
          </w:p>
        </w:tc>
        <w:tc>
          <w:tcPr>
            <w:tcW w:w="993" w:type="dxa"/>
            <w:tcBorders>
              <w:bottom w:val="single" w:sz="2" w:space="0" w:color="808080" w:themeColor="background1" w:themeShade="80"/>
            </w:tcBorders>
            <w:shd w:val="clear" w:color="auto" w:fill="auto"/>
            <w:hideMark/>
          </w:tcPr>
          <w:p w14:paraId="717502F4" w14:textId="77777777" w:rsidR="00D17BEF" w:rsidRPr="00C818AC" w:rsidRDefault="00D17BEF" w:rsidP="00F544B3">
            <w:pPr>
              <w:pStyle w:val="NormalWeb"/>
              <w:rPr>
                <w:sz w:val="18"/>
                <w:szCs w:val="18"/>
              </w:rPr>
            </w:pPr>
            <w:r w:rsidRPr="00C818AC">
              <w:rPr>
                <w:sz w:val="18"/>
                <w:szCs w:val="18"/>
              </w:rPr>
              <w:t>7 (78)</w:t>
            </w:r>
          </w:p>
        </w:tc>
        <w:tc>
          <w:tcPr>
            <w:tcW w:w="992" w:type="dxa"/>
            <w:tcBorders>
              <w:bottom w:val="single" w:sz="2" w:space="0" w:color="808080" w:themeColor="background1" w:themeShade="80"/>
            </w:tcBorders>
            <w:shd w:val="clear" w:color="auto" w:fill="auto"/>
            <w:hideMark/>
          </w:tcPr>
          <w:p w14:paraId="30FF2BE6" w14:textId="77777777" w:rsidR="00D17BEF" w:rsidRPr="00C818AC" w:rsidRDefault="00D17BEF" w:rsidP="00F544B3">
            <w:pPr>
              <w:pStyle w:val="NormalWeb"/>
              <w:rPr>
                <w:sz w:val="18"/>
                <w:szCs w:val="18"/>
              </w:rPr>
            </w:pPr>
            <w:r w:rsidRPr="00C818AC">
              <w:rPr>
                <w:sz w:val="18"/>
                <w:szCs w:val="18"/>
              </w:rPr>
              <w:t>8 (89)</w:t>
            </w:r>
          </w:p>
        </w:tc>
        <w:tc>
          <w:tcPr>
            <w:tcW w:w="1084" w:type="dxa"/>
            <w:tcBorders>
              <w:bottom w:val="single" w:sz="2" w:space="0" w:color="808080" w:themeColor="background1" w:themeShade="80"/>
            </w:tcBorders>
            <w:shd w:val="clear" w:color="auto" w:fill="auto"/>
            <w:hideMark/>
          </w:tcPr>
          <w:p w14:paraId="4843E7B4" w14:textId="77777777" w:rsidR="00D17BEF" w:rsidRPr="00C818AC" w:rsidRDefault="00D17BEF" w:rsidP="00F544B3">
            <w:pPr>
              <w:pStyle w:val="NormalWeb"/>
              <w:rPr>
                <w:sz w:val="18"/>
                <w:szCs w:val="18"/>
              </w:rPr>
            </w:pPr>
            <w:r w:rsidRPr="00C818AC">
              <w:rPr>
                <w:sz w:val="18"/>
                <w:szCs w:val="18"/>
              </w:rPr>
              <w:t>44 (86)</w:t>
            </w:r>
          </w:p>
        </w:tc>
      </w:tr>
    </w:tbl>
    <w:p w14:paraId="114C5DF5" w14:textId="77777777" w:rsidR="00D17BEF" w:rsidRDefault="00D17BEF" w:rsidP="00CF282F">
      <w:pPr>
        <w:divId w:val="1312250460"/>
      </w:pPr>
    </w:p>
    <w:p w14:paraId="0A7FE439" w14:textId="6DB9F080" w:rsidR="00CF282F" w:rsidRDefault="00CF282F" w:rsidP="00CF282F">
      <w:pPr>
        <w:divId w:val="1312250460"/>
      </w:pPr>
      <w:r>
        <w:t xml:space="preserve">Among the cases included in the study, 138 (58%) were lost to follow-up because either the clinician and their medical practice were no longer contactable and no case contact details were available (112, 47%), or the case had moved interstate or overseas (26, 11%). The proportion of cases that were lost to follow-up increased with increasing time since notification (Table 1). Overall, 21% of the treating clinicians of the 239 cases could be identified and contacted (Table 1). This was higher for cases notified in 2018 (32%) and 2013 (30%) than for cases notified in 2008 (13%) and 2003 (18%). </w:t>
      </w:r>
    </w:p>
    <w:p w14:paraId="6763097D" w14:textId="77777777" w:rsidR="00CF282F" w:rsidRDefault="00CF282F" w:rsidP="00CF282F">
      <w:pPr>
        <w:divId w:val="1312250460"/>
      </w:pPr>
      <w:r>
        <w:t xml:space="preserve">From the follow-up with clinicians, we ascertained that 19 cases had either been previously treated (16) or had previously declined treatment (3). Overall, 309 of the 532 eligible cases (58%) had either been treated or had spontaneously resolved their infection prior to the study. A response was received from 7/51 cases (14%) to whom letters or text messages were sent (Table 3). Pathology results after three months of follow-up were found for three cases (suggesting that there was further testing in response to our follow-up). Data on follow-up treatment were not available. </w:t>
      </w:r>
    </w:p>
    <w:p w14:paraId="5D6FF5BF" w14:textId="77777777" w:rsidR="00CF282F" w:rsidRPr="00CF282F" w:rsidRDefault="00CF282F" w:rsidP="00CF282F">
      <w:pPr>
        <w:pStyle w:val="Heading1"/>
        <w:divId w:val="1312250460"/>
      </w:pPr>
      <w:r w:rsidRPr="00CF282F">
        <w:t xml:space="preserve">Discussion </w:t>
      </w:r>
    </w:p>
    <w:p w14:paraId="2B338B76" w14:textId="77777777" w:rsidR="00CF282F" w:rsidRDefault="00CF282F" w:rsidP="00CF282F">
      <w:pPr>
        <w:divId w:val="1312250460"/>
      </w:pPr>
      <w:r>
        <w:t xml:space="preserve">In this study, the majority of the historically notified HCV cases had a subsequent negative HCV-RNA result already available on existing data systems, but time and effort was required to collate these data. Among those who were eligible for follow-up, the majority were lost to follow-up due to unavailability of recent contact details of the case and clinician. We were more successful contacting the clinician than contacting the case, with this possibly reflecting the fact that those contacted through a clinician were still engaged in care. Unsurprisingly, the success in follow-up decreased over the time since the initial notification, with very few opportunities to contact cases who were notified in 2003 and 2008 or their clinicians. </w:t>
      </w:r>
    </w:p>
    <w:p w14:paraId="7379F6FF" w14:textId="77777777" w:rsidR="00CF282F" w:rsidRDefault="00CF282F" w:rsidP="00CF282F">
      <w:pPr>
        <w:divId w:val="1312250460"/>
      </w:pPr>
      <w:r>
        <w:t>This study found that contacting clinicians was more successful than contacting cases directly as a follow-up method. A 2019 study in Vienna found that 36% of cases were able to be contacted through their physician via phone call and 58% of these were subsequently started on treatment.</w:t>
      </w:r>
      <w:r>
        <w:rPr>
          <w:vertAlign w:val="superscript"/>
        </w:rPr>
        <w:t>19</w:t>
      </w:r>
      <w:r>
        <w:t xml:space="preserve"> Further, a study in Spain also showed that after the incorporation of an alert for physicians, the rate of RNA testing increased from 62% to 78% (</w:t>
      </w:r>
      <w:r w:rsidRPr="00255B3F">
        <w:rPr>
          <w:rStyle w:val="Emphasis"/>
          <w:b w:val="0"/>
          <w:bCs w:val="0"/>
        </w:rPr>
        <w:t>p</w:t>
      </w:r>
      <w:r>
        <w:t> &lt; 0.001).</w:t>
      </w:r>
      <w:r>
        <w:rPr>
          <w:vertAlign w:val="superscript"/>
        </w:rPr>
        <w:t>16</w:t>
      </w:r>
      <w:r>
        <w:t xml:space="preserve"> This suggests that contacting physicians can be a useful way to increase HCV testing and treatment. Our study shows that this becomes less useful when the initial test was some years previously. </w:t>
      </w:r>
    </w:p>
    <w:p w14:paraId="29057944" w14:textId="77777777" w:rsidR="00CF282F" w:rsidRDefault="00CF282F" w:rsidP="00CF282F">
      <w:pPr>
        <w:divId w:val="1312250460"/>
      </w:pPr>
      <w:r>
        <w:t>We attempted to contact cases directly when no clinician details were available. We either contacted cases via letter or text message, depending on what details were available. Where phone numbers were available, we did not contact the cases by telephone because of capacity constraints. A recent qualitative study involving people who inject drugs and their representative organisations found a strong preference for telephone calls over text message if aiming to link notified cases to treatment.</w:t>
      </w:r>
      <w:r>
        <w:rPr>
          <w:vertAlign w:val="superscript"/>
        </w:rPr>
        <w:t>20</w:t>
      </w:r>
      <w:r>
        <w:t xml:space="preserve"> A study that followed up cases of hepatitis C in New York city found that a combination of a letter and a phone call to cases was more effective in increasing testing and treatment uptake compared to a letter alone and that the combination of a letter, phone call and text message did not increase the success rate compared to a letter and phone call without the text message.</w:t>
      </w:r>
      <w:r>
        <w:rPr>
          <w:vertAlign w:val="superscript"/>
        </w:rPr>
        <w:t>21</w:t>
      </w:r>
      <w:r>
        <w:t xml:space="preserve"> These findings suggest that phone calls may be a more effective and acceptable way of contacting notified cases than text messages. This would be an important subject of further research. </w:t>
      </w:r>
    </w:p>
    <w:p w14:paraId="5209FD72" w14:textId="77777777" w:rsidR="00CF282F" w:rsidRDefault="00CF282F" w:rsidP="00CF282F">
      <w:pPr>
        <w:divId w:val="1312250460"/>
      </w:pPr>
      <w:r>
        <w:t xml:space="preserve">One of the main strengths of the study was that the researchers were able to collate available testing data to find the most recently contacted clinicians and the cases’ most recent contact details. Further, the high rates of coronavirus disease 2019 (COVID-19) testing in Queensland during the pandemic has provided more recent contact details, both for cases and for their current clinicians. A limitation of this study was that we excluded people who were incarcerated at the time of the study because of limited contact information. However, as we approach HCV elimination, they are an important already-marginalised group worthy of outreach. To conduct this enhanced surveillance, we only had access to pathology databases from the three largest pathology laboratories in the state. There are several other smaller pathology laboratories that may have tested some of the cases and, ideally, future work would include testing results from these. We did not have the resources to contact the clinicians again after follow-up, so had to rely on laboratory evidence of further testing as a proxy. </w:t>
      </w:r>
    </w:p>
    <w:p w14:paraId="644CCCCA" w14:textId="77777777" w:rsidR="00CF282F" w:rsidRPr="00CF282F" w:rsidRDefault="00CF282F" w:rsidP="00CF282F">
      <w:pPr>
        <w:pStyle w:val="Heading1"/>
        <w:divId w:val="1312250460"/>
      </w:pPr>
      <w:r w:rsidRPr="00CF282F">
        <w:t xml:space="preserve">Conclusion </w:t>
      </w:r>
    </w:p>
    <w:p w14:paraId="71593B12" w14:textId="77777777" w:rsidR="00CF282F" w:rsidRDefault="00CF282F" w:rsidP="00CF282F">
      <w:pPr>
        <w:divId w:val="1312250460"/>
      </w:pPr>
      <w:r>
        <w:t xml:space="preserve">This study illustrates that it is possible to follow up HCV cases who were notified several years previously when recently contacted clinicians’ details were available. This resulted in a small number of cases accessing further testing and treatment. Direct contact with clinicians was more effective than contacting cases directly. The follow-up yield dropped with increasing years since notification, but as we approach elimination and HCV treatment use declines, enhanced surveillance and follow-up of even older cases on notifications systems may be worthwhile. </w:t>
      </w:r>
    </w:p>
    <w:p w14:paraId="073C0BA4" w14:textId="77777777" w:rsidR="00CF282F" w:rsidRPr="00CF282F" w:rsidRDefault="00CF282F" w:rsidP="00CF282F">
      <w:pPr>
        <w:pStyle w:val="Heading1"/>
        <w:divId w:val="1312250460"/>
      </w:pPr>
      <w:r w:rsidRPr="00CF282F">
        <w:t xml:space="preserve">Author contributions </w:t>
      </w:r>
    </w:p>
    <w:p w14:paraId="25974DD9" w14:textId="77777777" w:rsidR="00CF282F" w:rsidRDefault="00CF282F" w:rsidP="00CF282F">
      <w:pPr>
        <w:divId w:val="1312250460"/>
      </w:pPr>
      <w:r>
        <w:t xml:space="preserve">All authors designed the project, LAS and MF designed the project evaluation. TSMF wrote the first draft of the manuscript. All authors reviewed drafts of the manuscript and approved the final version. The authors declare no competing interests. </w:t>
      </w:r>
    </w:p>
    <w:p w14:paraId="38924B4F" w14:textId="77777777" w:rsidR="00CF282F" w:rsidRPr="00CF282F" w:rsidRDefault="00CF282F" w:rsidP="00CF282F">
      <w:pPr>
        <w:pStyle w:val="Heading1"/>
        <w:divId w:val="1312250460"/>
      </w:pPr>
      <w:r w:rsidRPr="00CF282F">
        <w:t xml:space="preserve">Declaration of funding </w:t>
      </w:r>
    </w:p>
    <w:p w14:paraId="5F5FE87E" w14:textId="77777777" w:rsidR="00CF282F" w:rsidRDefault="00CF282F" w:rsidP="00CF282F">
      <w:pPr>
        <w:divId w:val="1312250460"/>
      </w:pPr>
      <w:r>
        <w:t>TSM Fernando’s work in Australia was funded by a scholarship from the Ministry of Health, Sri Lanka. No specific funding for this project was received.</w:t>
      </w:r>
    </w:p>
    <w:p w14:paraId="7D671EF5" w14:textId="77777777" w:rsidR="00CF282F" w:rsidRPr="00CF282F" w:rsidRDefault="00CF282F" w:rsidP="00CF282F">
      <w:pPr>
        <w:pStyle w:val="Heading1"/>
        <w:divId w:val="1312250460"/>
      </w:pPr>
      <w:r w:rsidRPr="00CF282F">
        <w:t xml:space="preserve">Author details </w:t>
      </w:r>
    </w:p>
    <w:p w14:paraId="781BA080" w14:textId="77777777" w:rsidR="00CF282F" w:rsidRDefault="00CF282F" w:rsidP="00CF282F">
      <w:pPr>
        <w:divId w:val="1312250460"/>
      </w:pPr>
      <w:r>
        <w:t xml:space="preserve">TS </w:t>
      </w:r>
      <w:proofErr w:type="spellStart"/>
      <w:r>
        <w:t>Mekala</w:t>
      </w:r>
      <w:proofErr w:type="spellEnd"/>
      <w:r>
        <w:t xml:space="preserve"> Fernando MD,</w:t>
      </w:r>
      <w:r>
        <w:rPr>
          <w:vertAlign w:val="superscript"/>
        </w:rPr>
        <w:t>1,2</w:t>
      </w:r>
      <w:r>
        <w:t xml:space="preserve"> Public Health trainee, Senior Registrar in Community Medicine </w:t>
      </w:r>
    </w:p>
    <w:p w14:paraId="56E9464F" w14:textId="77777777" w:rsidR="00CF282F" w:rsidRDefault="00CF282F" w:rsidP="00CF282F">
      <w:pPr>
        <w:divId w:val="1312250460"/>
      </w:pPr>
      <w:r>
        <w:t>Stephen B Lambert PhD,</w:t>
      </w:r>
      <w:r>
        <w:rPr>
          <w:vertAlign w:val="superscript"/>
        </w:rPr>
        <w:t>3,4</w:t>
      </w:r>
      <w:r>
        <w:t xml:space="preserve"> Senior Medical Officer </w:t>
      </w:r>
    </w:p>
    <w:p w14:paraId="4E3B2F9F" w14:textId="77777777" w:rsidR="00CF282F" w:rsidRDefault="00CF282F" w:rsidP="00CF282F">
      <w:pPr>
        <w:divId w:val="1312250460"/>
      </w:pPr>
      <w:r>
        <w:t>Robert Kemp,</w:t>
      </w:r>
      <w:r>
        <w:rPr>
          <w:vertAlign w:val="superscript"/>
        </w:rPr>
        <w:t>3</w:t>
      </w:r>
      <w:r>
        <w:t xml:space="preserve"> Principal Public Health Officer </w:t>
      </w:r>
    </w:p>
    <w:p w14:paraId="4F9EC851" w14:textId="77777777" w:rsidR="00CF282F" w:rsidRDefault="00CF282F" w:rsidP="00CF282F">
      <w:pPr>
        <w:divId w:val="1312250460"/>
      </w:pPr>
      <w:r>
        <w:t>Linda A Selvey PhD,</w:t>
      </w:r>
      <w:r>
        <w:rPr>
          <w:vertAlign w:val="superscript"/>
        </w:rPr>
        <w:t>1</w:t>
      </w:r>
      <w:r>
        <w:t xml:space="preserve"> Associate Professor </w:t>
      </w:r>
    </w:p>
    <w:p w14:paraId="1977B84D" w14:textId="77777777" w:rsidR="00CF282F" w:rsidRPr="00CF282F" w:rsidRDefault="00CF282F" w:rsidP="00CF282F">
      <w:pPr>
        <w:pStyle w:val="ListParagraph"/>
        <w:numPr>
          <w:ilvl w:val="0"/>
          <w:numId w:val="9"/>
        </w:numPr>
        <w:divId w:val="1312250460"/>
        <w:rPr>
          <w:rFonts w:eastAsia="Times New Roman"/>
        </w:rPr>
      </w:pPr>
      <w:r w:rsidRPr="00CF282F">
        <w:rPr>
          <w:rFonts w:eastAsia="Times New Roman"/>
        </w:rPr>
        <w:t xml:space="preserve">School of Public Health, Faculty of Medicine, The University of Queensland, 288 Herston Road, Herston, Queensland 4006. </w:t>
      </w:r>
    </w:p>
    <w:p w14:paraId="20E61287" w14:textId="77777777" w:rsidR="00CF282F" w:rsidRPr="00CF282F" w:rsidRDefault="00CF282F" w:rsidP="00CF282F">
      <w:pPr>
        <w:pStyle w:val="ListParagraph"/>
        <w:numPr>
          <w:ilvl w:val="0"/>
          <w:numId w:val="9"/>
        </w:numPr>
        <w:divId w:val="1312250460"/>
        <w:rPr>
          <w:rFonts w:eastAsia="Times New Roman"/>
        </w:rPr>
      </w:pPr>
      <w:r w:rsidRPr="00CF282F">
        <w:rPr>
          <w:rFonts w:eastAsia="Times New Roman"/>
        </w:rPr>
        <w:t xml:space="preserve">Ministry of Health, Sri Lanka. </w:t>
      </w:r>
    </w:p>
    <w:p w14:paraId="3561937E" w14:textId="77777777" w:rsidR="00CF282F" w:rsidRPr="00CF282F" w:rsidRDefault="00CF282F" w:rsidP="00CF282F">
      <w:pPr>
        <w:pStyle w:val="ListParagraph"/>
        <w:numPr>
          <w:ilvl w:val="0"/>
          <w:numId w:val="9"/>
        </w:numPr>
        <w:divId w:val="1312250460"/>
        <w:rPr>
          <w:rFonts w:eastAsia="Times New Roman"/>
        </w:rPr>
      </w:pPr>
      <w:r w:rsidRPr="00CF282F">
        <w:rPr>
          <w:rFonts w:eastAsia="Times New Roman"/>
        </w:rPr>
        <w:t xml:space="preserve">Communicable Diseases Branch, Queensland Public Health and Scientific Services, Queensland Health. </w:t>
      </w:r>
    </w:p>
    <w:p w14:paraId="7B64296D" w14:textId="77777777" w:rsidR="00CF282F" w:rsidRPr="00CF282F" w:rsidRDefault="00CF282F" w:rsidP="00CF282F">
      <w:pPr>
        <w:pStyle w:val="ListParagraph"/>
        <w:numPr>
          <w:ilvl w:val="0"/>
          <w:numId w:val="9"/>
        </w:numPr>
        <w:divId w:val="1312250460"/>
        <w:rPr>
          <w:rFonts w:eastAsia="Times New Roman"/>
        </w:rPr>
      </w:pPr>
      <w:r w:rsidRPr="00CF282F">
        <w:rPr>
          <w:rFonts w:eastAsia="Times New Roman"/>
        </w:rPr>
        <w:t xml:space="preserve">National Centre for Immunisation Research and Surveillance. </w:t>
      </w:r>
    </w:p>
    <w:p w14:paraId="4C9646F0" w14:textId="77777777" w:rsidR="00CF282F" w:rsidRPr="00CF282F" w:rsidRDefault="00CF282F" w:rsidP="00CF282F">
      <w:pPr>
        <w:pStyle w:val="Heading2"/>
        <w:spacing w:after="200"/>
        <w:divId w:val="1312250460"/>
      </w:pPr>
      <w:r w:rsidRPr="00CF282F">
        <w:t xml:space="preserve">Corresponding author </w:t>
      </w:r>
    </w:p>
    <w:p w14:paraId="3C2C4745" w14:textId="77777777" w:rsidR="00CF282F" w:rsidRDefault="00CF282F" w:rsidP="00CF282F">
      <w:pPr>
        <w:divId w:val="1312250460"/>
      </w:pPr>
      <w:r>
        <w:t xml:space="preserve">Linda A Selvey PhD </w:t>
      </w:r>
    </w:p>
    <w:p w14:paraId="09B6F2FE" w14:textId="77777777" w:rsidR="00CF282F" w:rsidRDefault="00CF282F" w:rsidP="00CF282F">
      <w:pPr>
        <w:divId w:val="1312250460"/>
      </w:pPr>
      <w:r>
        <w:t xml:space="preserve">Address: School of Public Health, Faculty of Medicine, The University of Queensland, 288 Herston Road, Herston, Queensland 4006 </w:t>
      </w:r>
    </w:p>
    <w:p w14:paraId="4A94B458" w14:textId="77777777" w:rsidR="00CF282F" w:rsidRDefault="00CF282F" w:rsidP="00CF282F">
      <w:pPr>
        <w:divId w:val="1312250460"/>
      </w:pPr>
      <w:r>
        <w:t xml:space="preserve">Telephone: 0412 072168 </w:t>
      </w:r>
    </w:p>
    <w:p w14:paraId="45D7650B" w14:textId="77777777" w:rsidR="00CF282F" w:rsidRDefault="00CF282F" w:rsidP="00CF282F">
      <w:pPr>
        <w:divId w:val="1312250460"/>
      </w:pPr>
      <w:r>
        <w:t>Email: l.selvey@uq.edu.au</w:t>
      </w:r>
    </w:p>
    <w:p w14:paraId="734C1F00" w14:textId="77777777" w:rsidR="00CF282F" w:rsidRPr="00CF282F" w:rsidRDefault="00CF282F" w:rsidP="00CF282F">
      <w:pPr>
        <w:pStyle w:val="Heading1"/>
        <w:divId w:val="1312250460"/>
      </w:pPr>
      <w:r w:rsidRPr="00CF282F">
        <w:t xml:space="preserve">References </w:t>
      </w:r>
    </w:p>
    <w:p w14:paraId="4A4E3231" w14:textId="77777777" w:rsidR="00CF282F" w:rsidRDefault="00CF282F" w:rsidP="00CF282F">
      <w:pPr>
        <w:numPr>
          <w:ilvl w:val="0"/>
          <w:numId w:val="8"/>
        </w:numPr>
        <w:spacing w:before="100" w:beforeAutospacing="1" w:after="100" w:afterAutospacing="1" w:line="240" w:lineRule="auto"/>
        <w:divId w:val="1312250460"/>
        <w:rPr>
          <w:rFonts w:eastAsia="Times New Roman"/>
        </w:rPr>
      </w:pPr>
      <w:r>
        <w:rPr>
          <w:rFonts w:eastAsia="Times New Roman"/>
        </w:rPr>
        <w:t xml:space="preserve">Australian Government Department of Health and Aged Care. </w:t>
      </w:r>
      <w:r w:rsidRPr="00255B3F">
        <w:rPr>
          <w:rStyle w:val="Emphasis"/>
          <w:rFonts w:eastAsia="Times New Roman"/>
          <w:b w:val="0"/>
          <w:bCs w:val="0"/>
        </w:rPr>
        <w:t>Fourth National Hepatitis C Strategy 2014–2017</w:t>
      </w:r>
      <w:r>
        <w:rPr>
          <w:rFonts w:eastAsia="Times New Roman"/>
        </w:rPr>
        <w:t xml:space="preserve">. Canberra: Australian Government Department of Health and Aged Care; 2014. Available from: https://healthinfonet.ecu.edu.au/learn/health-topics/infectious-conditions/policies-and-strategies/31148/. </w:t>
      </w:r>
    </w:p>
    <w:p w14:paraId="34E870EC" w14:textId="77777777" w:rsidR="00CF282F" w:rsidRDefault="00CF282F" w:rsidP="00CF282F">
      <w:pPr>
        <w:numPr>
          <w:ilvl w:val="0"/>
          <w:numId w:val="8"/>
        </w:numPr>
        <w:spacing w:before="100" w:beforeAutospacing="1" w:after="100" w:afterAutospacing="1" w:line="240" w:lineRule="auto"/>
        <w:divId w:val="1312250460"/>
        <w:rPr>
          <w:rFonts w:eastAsia="Times New Roman"/>
        </w:rPr>
      </w:pPr>
      <w:r>
        <w:rPr>
          <w:rFonts w:eastAsia="Times New Roman"/>
        </w:rPr>
        <w:t xml:space="preserve">World Health Organization (WHO). </w:t>
      </w:r>
      <w:r w:rsidRPr="00255B3F">
        <w:rPr>
          <w:rStyle w:val="Emphasis"/>
          <w:rFonts w:eastAsia="Times New Roman"/>
          <w:b w:val="0"/>
          <w:bCs w:val="0"/>
        </w:rPr>
        <w:t>Global health sector strategy on viral hepatitis 2016–2021. Towards ending viral hepatitis</w:t>
      </w:r>
      <w:r>
        <w:rPr>
          <w:rFonts w:eastAsia="Times New Roman"/>
        </w:rPr>
        <w:t xml:space="preserve">. Geneva: WHO; June 2016. [Accessed on 5 August 2017.] Available from: https://apps.who.int/iris/handle/10665/246177. </w:t>
      </w:r>
    </w:p>
    <w:p w14:paraId="5440CF85" w14:textId="77777777" w:rsidR="00CF282F" w:rsidRDefault="00CF282F" w:rsidP="00CF282F">
      <w:pPr>
        <w:numPr>
          <w:ilvl w:val="0"/>
          <w:numId w:val="8"/>
        </w:numPr>
        <w:spacing w:before="100" w:beforeAutospacing="1" w:after="100" w:afterAutospacing="1" w:line="240" w:lineRule="auto"/>
        <w:divId w:val="1312250460"/>
        <w:rPr>
          <w:rFonts w:eastAsia="Times New Roman"/>
        </w:rPr>
      </w:pPr>
      <w:r>
        <w:rPr>
          <w:rFonts w:eastAsia="Times New Roman"/>
        </w:rPr>
        <w:t xml:space="preserve">Conti F, </w:t>
      </w:r>
      <w:proofErr w:type="spellStart"/>
      <w:r>
        <w:rPr>
          <w:rFonts w:eastAsia="Times New Roman"/>
        </w:rPr>
        <w:t>Buonfiglioli</w:t>
      </w:r>
      <w:proofErr w:type="spellEnd"/>
      <w:r>
        <w:rPr>
          <w:rFonts w:eastAsia="Times New Roman"/>
        </w:rPr>
        <w:t xml:space="preserve"> F, </w:t>
      </w:r>
      <w:proofErr w:type="spellStart"/>
      <w:r>
        <w:rPr>
          <w:rFonts w:eastAsia="Times New Roman"/>
        </w:rPr>
        <w:t>Scuteri</w:t>
      </w:r>
      <w:proofErr w:type="spellEnd"/>
      <w:r>
        <w:rPr>
          <w:rFonts w:eastAsia="Times New Roman"/>
        </w:rPr>
        <w:t xml:space="preserve"> A, </w:t>
      </w:r>
      <w:proofErr w:type="spellStart"/>
      <w:r>
        <w:rPr>
          <w:rFonts w:eastAsia="Times New Roman"/>
        </w:rPr>
        <w:t>Crespi</w:t>
      </w:r>
      <w:proofErr w:type="spellEnd"/>
      <w:r>
        <w:rPr>
          <w:rFonts w:eastAsia="Times New Roman"/>
        </w:rPr>
        <w:t xml:space="preserve"> C, </w:t>
      </w:r>
      <w:proofErr w:type="spellStart"/>
      <w:r>
        <w:rPr>
          <w:rFonts w:eastAsia="Times New Roman"/>
        </w:rPr>
        <w:t>Bolondi</w:t>
      </w:r>
      <w:proofErr w:type="spellEnd"/>
      <w:r>
        <w:rPr>
          <w:rFonts w:eastAsia="Times New Roman"/>
        </w:rPr>
        <w:t xml:space="preserve"> L, </w:t>
      </w:r>
      <w:proofErr w:type="spellStart"/>
      <w:r>
        <w:rPr>
          <w:rFonts w:eastAsia="Times New Roman"/>
        </w:rPr>
        <w:t>Caraceni</w:t>
      </w:r>
      <w:proofErr w:type="spellEnd"/>
      <w:r>
        <w:rPr>
          <w:rFonts w:eastAsia="Times New Roman"/>
        </w:rPr>
        <w:t xml:space="preserve"> P et al. Early occurrence and recurrence of hepatocellular carcinoma in HCV-related cirrhosis treated with direct-acting antivirals. </w:t>
      </w:r>
      <w:r w:rsidRPr="00255B3F">
        <w:rPr>
          <w:rStyle w:val="Emphasis"/>
          <w:rFonts w:eastAsia="Times New Roman"/>
          <w:b w:val="0"/>
          <w:bCs w:val="0"/>
        </w:rPr>
        <w:t>J Hepatol</w:t>
      </w:r>
      <w:r>
        <w:rPr>
          <w:rFonts w:eastAsia="Times New Roman"/>
        </w:rPr>
        <w:t xml:space="preserve">. 2016;65(4):727–33. </w:t>
      </w:r>
      <w:proofErr w:type="spellStart"/>
      <w:r>
        <w:rPr>
          <w:rFonts w:eastAsia="Times New Roman"/>
        </w:rPr>
        <w:t>doi</w:t>
      </w:r>
      <w:proofErr w:type="spellEnd"/>
      <w:r>
        <w:rPr>
          <w:rFonts w:eastAsia="Times New Roman"/>
        </w:rPr>
        <w:t xml:space="preserve">: https://doi.org/10.1016/j.jhep.2016.06.015. </w:t>
      </w:r>
    </w:p>
    <w:p w14:paraId="55660D96" w14:textId="77777777" w:rsidR="00CF282F" w:rsidRDefault="00CF282F" w:rsidP="00CF282F">
      <w:pPr>
        <w:numPr>
          <w:ilvl w:val="0"/>
          <w:numId w:val="8"/>
        </w:numPr>
        <w:spacing w:before="100" w:beforeAutospacing="1" w:after="100" w:afterAutospacing="1" w:line="240" w:lineRule="auto"/>
        <w:divId w:val="1312250460"/>
        <w:rPr>
          <w:rFonts w:eastAsia="Times New Roman"/>
        </w:rPr>
      </w:pPr>
      <w:r>
        <w:rPr>
          <w:rFonts w:eastAsia="Times New Roman"/>
        </w:rPr>
        <w:t xml:space="preserve">Scott N, </w:t>
      </w:r>
      <w:proofErr w:type="spellStart"/>
      <w:r>
        <w:rPr>
          <w:rFonts w:eastAsia="Times New Roman"/>
        </w:rPr>
        <w:t>Iser</w:t>
      </w:r>
      <w:proofErr w:type="spellEnd"/>
      <w:r>
        <w:rPr>
          <w:rFonts w:eastAsia="Times New Roman"/>
        </w:rPr>
        <w:t xml:space="preserve"> DM, Thompson AJ, Doyle JS, </w:t>
      </w:r>
      <w:proofErr w:type="spellStart"/>
      <w:r>
        <w:rPr>
          <w:rFonts w:eastAsia="Times New Roman"/>
        </w:rPr>
        <w:t>Hellard</w:t>
      </w:r>
      <w:proofErr w:type="spellEnd"/>
      <w:r>
        <w:rPr>
          <w:rFonts w:eastAsia="Times New Roman"/>
        </w:rPr>
        <w:t xml:space="preserve"> ME. Cost-effectiveness of treating chronic hepatitis C virus with direct-acting antivirals in people who inject drugs in Australia. </w:t>
      </w:r>
      <w:r w:rsidRPr="00255B3F">
        <w:rPr>
          <w:rStyle w:val="Emphasis"/>
          <w:rFonts w:eastAsia="Times New Roman"/>
          <w:b w:val="0"/>
          <w:bCs w:val="0"/>
        </w:rPr>
        <w:t>J Gastroenterol Hepatol</w:t>
      </w:r>
      <w:r>
        <w:rPr>
          <w:rFonts w:eastAsia="Times New Roman"/>
        </w:rPr>
        <w:t xml:space="preserve">. 2016;31(4):872–82. </w:t>
      </w:r>
      <w:proofErr w:type="spellStart"/>
      <w:r>
        <w:rPr>
          <w:rFonts w:eastAsia="Times New Roman"/>
        </w:rPr>
        <w:t>doi</w:t>
      </w:r>
      <w:proofErr w:type="spellEnd"/>
      <w:r>
        <w:rPr>
          <w:rFonts w:eastAsia="Times New Roman"/>
        </w:rPr>
        <w:t xml:space="preserve">: https://doi.org/10.1111/jgh.13223. </w:t>
      </w:r>
    </w:p>
    <w:p w14:paraId="47241F64" w14:textId="77777777" w:rsidR="00CF282F" w:rsidRDefault="00CF282F" w:rsidP="00CF282F">
      <w:pPr>
        <w:numPr>
          <w:ilvl w:val="0"/>
          <w:numId w:val="8"/>
        </w:numPr>
        <w:spacing w:before="100" w:beforeAutospacing="1" w:after="100" w:afterAutospacing="1" w:line="240" w:lineRule="auto"/>
        <w:divId w:val="1312250460"/>
        <w:rPr>
          <w:rFonts w:eastAsia="Times New Roman"/>
        </w:rPr>
      </w:pPr>
      <w:r>
        <w:rPr>
          <w:rFonts w:eastAsia="Times New Roman"/>
        </w:rPr>
        <w:t xml:space="preserve">Dore GJ, </w:t>
      </w:r>
      <w:proofErr w:type="spellStart"/>
      <w:r>
        <w:rPr>
          <w:rFonts w:eastAsia="Times New Roman"/>
        </w:rPr>
        <w:t>Hajarizadeh</w:t>
      </w:r>
      <w:proofErr w:type="spellEnd"/>
      <w:r>
        <w:rPr>
          <w:rFonts w:eastAsia="Times New Roman"/>
        </w:rPr>
        <w:t xml:space="preserve"> B. Elimination of hepatitis C virus in Australia: laying the foundation. </w:t>
      </w:r>
      <w:r w:rsidRPr="00255B3F">
        <w:rPr>
          <w:rStyle w:val="Emphasis"/>
          <w:rFonts w:eastAsia="Times New Roman"/>
          <w:b w:val="0"/>
          <w:bCs w:val="0"/>
        </w:rPr>
        <w:t>Infect Dis Clin North Am</w:t>
      </w:r>
      <w:r>
        <w:rPr>
          <w:rFonts w:eastAsia="Times New Roman"/>
        </w:rPr>
        <w:t xml:space="preserve">. 2018;32(2):269–79. </w:t>
      </w:r>
      <w:proofErr w:type="spellStart"/>
      <w:r>
        <w:rPr>
          <w:rFonts w:eastAsia="Times New Roman"/>
        </w:rPr>
        <w:t>doi</w:t>
      </w:r>
      <w:proofErr w:type="spellEnd"/>
      <w:r>
        <w:rPr>
          <w:rFonts w:eastAsia="Times New Roman"/>
        </w:rPr>
        <w:t xml:space="preserve">: https://doi.org/10.1016/j.idc.2018.02.006. </w:t>
      </w:r>
    </w:p>
    <w:p w14:paraId="4FD50862" w14:textId="77777777" w:rsidR="00CF282F" w:rsidRDefault="00CF282F" w:rsidP="00CF282F">
      <w:pPr>
        <w:numPr>
          <w:ilvl w:val="0"/>
          <w:numId w:val="8"/>
        </w:numPr>
        <w:spacing w:before="100" w:beforeAutospacing="1" w:after="100" w:afterAutospacing="1" w:line="240" w:lineRule="auto"/>
        <w:divId w:val="1312250460"/>
        <w:rPr>
          <w:rFonts w:eastAsia="Times New Roman"/>
        </w:rPr>
      </w:pPr>
      <w:r>
        <w:rPr>
          <w:rFonts w:eastAsia="Times New Roman"/>
        </w:rPr>
        <w:t xml:space="preserve">Burnet Institute, Kirby Institute. </w:t>
      </w:r>
      <w:r w:rsidRPr="00255B3F">
        <w:rPr>
          <w:rStyle w:val="Emphasis"/>
          <w:rFonts w:eastAsia="Times New Roman"/>
          <w:b w:val="0"/>
          <w:bCs w:val="0"/>
        </w:rPr>
        <w:t>Australia’s progress towards hepatitis C elimination Annual Report 2022</w:t>
      </w:r>
      <w:r>
        <w:rPr>
          <w:rFonts w:eastAsia="Times New Roman"/>
        </w:rPr>
        <w:t xml:space="preserve">. Melbourne: Burnet Institute; 2022. Available from: https://www.burnet.edu.au/knowledge-and-media/research-reports-plus-policy-briefs/australia-s-progress-towards-hepatitis-c-elimination-annual-report-2022/. </w:t>
      </w:r>
    </w:p>
    <w:p w14:paraId="3AAF7543" w14:textId="77777777" w:rsidR="00CF282F" w:rsidRDefault="00CF282F" w:rsidP="00CF282F">
      <w:pPr>
        <w:numPr>
          <w:ilvl w:val="0"/>
          <w:numId w:val="8"/>
        </w:numPr>
        <w:spacing w:before="100" w:beforeAutospacing="1" w:after="100" w:afterAutospacing="1" w:line="240" w:lineRule="auto"/>
        <w:divId w:val="1312250460"/>
        <w:rPr>
          <w:rFonts w:eastAsia="Times New Roman"/>
        </w:rPr>
      </w:pPr>
      <w:r>
        <w:rPr>
          <w:rFonts w:eastAsia="Times New Roman"/>
        </w:rPr>
        <w:t xml:space="preserve">Hepatitis C Virus Infection Consensus Statement Working Group. </w:t>
      </w:r>
      <w:r w:rsidRPr="00255B3F">
        <w:rPr>
          <w:rStyle w:val="Emphasis"/>
          <w:rFonts w:eastAsia="Times New Roman"/>
          <w:b w:val="0"/>
          <w:bCs w:val="0"/>
        </w:rPr>
        <w:t>Australian recommendations for the management of hepatitis C virus infection: a consensus statement (June 2020)</w:t>
      </w:r>
      <w:r>
        <w:rPr>
          <w:rFonts w:eastAsia="Times New Roman"/>
        </w:rPr>
        <w:t xml:space="preserve">. Melbourne: Gastroenterological Society of Australia; 2020. Available from: https://ashm.blob.core.windows.net/ashmpublic/hepatitis-C-virus-infection-a-consensus-statement-Jun-2020.pdf. </w:t>
      </w:r>
    </w:p>
    <w:p w14:paraId="78326720" w14:textId="77777777" w:rsidR="00CF282F" w:rsidRDefault="00CF282F" w:rsidP="00CF282F">
      <w:pPr>
        <w:numPr>
          <w:ilvl w:val="0"/>
          <w:numId w:val="8"/>
        </w:numPr>
        <w:spacing w:before="100" w:beforeAutospacing="1" w:after="100" w:afterAutospacing="1" w:line="240" w:lineRule="auto"/>
        <w:divId w:val="1312250460"/>
        <w:rPr>
          <w:rFonts w:eastAsia="Times New Roman"/>
        </w:rPr>
      </w:pPr>
      <w:r>
        <w:rPr>
          <w:rFonts w:eastAsia="Times New Roman"/>
        </w:rPr>
        <w:t xml:space="preserve">Lafferty L, Treloar C, Guthrie J, Chambers GM, Butler T. Social capital strategies to enhance hepatitis C treatment awareness and uptake among men in prison. </w:t>
      </w:r>
      <w:r w:rsidRPr="00255B3F">
        <w:rPr>
          <w:rStyle w:val="Emphasis"/>
          <w:rFonts w:eastAsia="Times New Roman"/>
          <w:b w:val="0"/>
          <w:bCs w:val="0"/>
        </w:rPr>
        <w:t xml:space="preserve">J Viral </w:t>
      </w:r>
      <w:proofErr w:type="spellStart"/>
      <w:r w:rsidRPr="00255B3F">
        <w:rPr>
          <w:rStyle w:val="Emphasis"/>
          <w:rFonts w:eastAsia="Times New Roman"/>
          <w:b w:val="0"/>
          <w:bCs w:val="0"/>
        </w:rPr>
        <w:t>Hepat</w:t>
      </w:r>
      <w:proofErr w:type="spellEnd"/>
      <w:r>
        <w:rPr>
          <w:rFonts w:eastAsia="Times New Roman"/>
        </w:rPr>
        <w:t xml:space="preserve">. 2017;24(2):111–6. </w:t>
      </w:r>
      <w:proofErr w:type="spellStart"/>
      <w:r>
        <w:rPr>
          <w:rFonts w:eastAsia="Times New Roman"/>
        </w:rPr>
        <w:t>doi</w:t>
      </w:r>
      <w:proofErr w:type="spellEnd"/>
      <w:r>
        <w:rPr>
          <w:rFonts w:eastAsia="Times New Roman"/>
        </w:rPr>
        <w:t xml:space="preserve">: https://doi.org/10.1111/jvh.12627. </w:t>
      </w:r>
    </w:p>
    <w:p w14:paraId="40AB2405" w14:textId="77777777" w:rsidR="00CF282F" w:rsidRDefault="00CF282F" w:rsidP="00CF282F">
      <w:pPr>
        <w:numPr>
          <w:ilvl w:val="0"/>
          <w:numId w:val="8"/>
        </w:numPr>
        <w:spacing w:before="100" w:beforeAutospacing="1" w:after="100" w:afterAutospacing="1" w:line="240" w:lineRule="auto"/>
        <w:divId w:val="1312250460"/>
        <w:rPr>
          <w:rFonts w:eastAsia="Times New Roman"/>
        </w:rPr>
      </w:pPr>
      <w:r>
        <w:rPr>
          <w:rFonts w:eastAsia="Times New Roman"/>
        </w:rPr>
        <w:t xml:space="preserve">Mina MM, Herawati L, Butler T, Lloyd A. Hepatitis C in Australian prisons: a national needs assessment. </w:t>
      </w:r>
      <w:r w:rsidRPr="00255B3F">
        <w:rPr>
          <w:rStyle w:val="Emphasis"/>
          <w:rFonts w:eastAsia="Times New Roman"/>
          <w:b w:val="0"/>
          <w:bCs w:val="0"/>
        </w:rPr>
        <w:t>Int J Prison Health</w:t>
      </w:r>
      <w:r>
        <w:rPr>
          <w:rFonts w:eastAsia="Times New Roman"/>
        </w:rPr>
        <w:t xml:space="preserve">. 2016;12(1):3–16. </w:t>
      </w:r>
      <w:proofErr w:type="spellStart"/>
      <w:r>
        <w:rPr>
          <w:rFonts w:eastAsia="Times New Roman"/>
        </w:rPr>
        <w:t>doi</w:t>
      </w:r>
      <w:proofErr w:type="spellEnd"/>
      <w:r>
        <w:rPr>
          <w:rFonts w:eastAsia="Times New Roman"/>
        </w:rPr>
        <w:t xml:space="preserve">: https://doi.org/10.1108/IJPH-08-2015-0025. </w:t>
      </w:r>
    </w:p>
    <w:p w14:paraId="0091B527" w14:textId="77777777" w:rsidR="00CF282F" w:rsidRDefault="00CF282F" w:rsidP="00CF282F">
      <w:pPr>
        <w:numPr>
          <w:ilvl w:val="0"/>
          <w:numId w:val="8"/>
        </w:numPr>
        <w:spacing w:before="100" w:beforeAutospacing="1" w:after="100" w:afterAutospacing="1" w:line="240" w:lineRule="auto"/>
        <w:divId w:val="1312250460"/>
        <w:rPr>
          <w:rFonts w:eastAsia="Times New Roman"/>
        </w:rPr>
      </w:pPr>
      <w:r>
        <w:rPr>
          <w:rFonts w:eastAsia="Times New Roman"/>
        </w:rPr>
        <w:t xml:space="preserve">Iversen J, Dore GJ, Catlett B, Cunningham P, </w:t>
      </w:r>
      <w:proofErr w:type="spellStart"/>
      <w:r>
        <w:rPr>
          <w:rFonts w:eastAsia="Times New Roman"/>
        </w:rPr>
        <w:t>Grebely</w:t>
      </w:r>
      <w:proofErr w:type="spellEnd"/>
      <w:r>
        <w:rPr>
          <w:rFonts w:eastAsia="Times New Roman"/>
        </w:rPr>
        <w:t xml:space="preserve"> J, Maher L. Association between rapid utilisation of direct hepatitis C antivirals and decline in the prevalence of viremia among people who inject drugs in Australia. </w:t>
      </w:r>
      <w:r w:rsidRPr="00255B3F">
        <w:rPr>
          <w:rStyle w:val="Emphasis"/>
          <w:rFonts w:eastAsia="Times New Roman"/>
          <w:b w:val="0"/>
          <w:bCs w:val="0"/>
        </w:rPr>
        <w:t>J Hepatol</w:t>
      </w:r>
      <w:r>
        <w:rPr>
          <w:rFonts w:eastAsia="Times New Roman"/>
        </w:rPr>
        <w:t xml:space="preserve">. 2019;70(1):33–9. </w:t>
      </w:r>
      <w:proofErr w:type="spellStart"/>
      <w:r>
        <w:rPr>
          <w:rFonts w:eastAsia="Times New Roman"/>
        </w:rPr>
        <w:t>doi</w:t>
      </w:r>
      <w:proofErr w:type="spellEnd"/>
      <w:r>
        <w:rPr>
          <w:rFonts w:eastAsia="Times New Roman"/>
        </w:rPr>
        <w:t xml:space="preserve">: https://doi.org/10.1016/j.jhep.2018.09.030. </w:t>
      </w:r>
    </w:p>
    <w:p w14:paraId="70DF4AC5" w14:textId="77777777" w:rsidR="00CF282F" w:rsidRDefault="00CF282F" w:rsidP="00CF282F">
      <w:pPr>
        <w:numPr>
          <w:ilvl w:val="0"/>
          <w:numId w:val="8"/>
        </w:numPr>
        <w:spacing w:before="100" w:beforeAutospacing="1" w:after="100" w:afterAutospacing="1" w:line="240" w:lineRule="auto"/>
        <w:divId w:val="1312250460"/>
        <w:rPr>
          <w:rFonts w:eastAsia="Times New Roman"/>
        </w:rPr>
      </w:pPr>
      <w:r>
        <w:rPr>
          <w:rFonts w:eastAsia="Times New Roman"/>
        </w:rPr>
        <w:t xml:space="preserve">Graham S, Harrod ME, Iversen J, Hocking JS. Prevalence of hepatitis C among Australian Aboriginal and Torres Strait Islander people: a systematic review and meta-analysis. </w:t>
      </w:r>
      <w:proofErr w:type="spellStart"/>
      <w:r w:rsidRPr="00255B3F">
        <w:rPr>
          <w:rStyle w:val="Emphasis"/>
          <w:rFonts w:eastAsia="Times New Roman"/>
          <w:b w:val="0"/>
          <w:bCs w:val="0"/>
        </w:rPr>
        <w:t>Hepat</w:t>
      </w:r>
      <w:proofErr w:type="spellEnd"/>
      <w:r w:rsidRPr="00255B3F">
        <w:rPr>
          <w:rStyle w:val="Emphasis"/>
          <w:rFonts w:eastAsia="Times New Roman"/>
          <w:b w:val="0"/>
          <w:bCs w:val="0"/>
        </w:rPr>
        <w:t xml:space="preserve"> Mon</w:t>
      </w:r>
      <w:r>
        <w:rPr>
          <w:rFonts w:eastAsia="Times New Roman"/>
        </w:rPr>
        <w:t xml:space="preserve">. 2016;16(7):e38640. </w:t>
      </w:r>
      <w:proofErr w:type="spellStart"/>
      <w:r>
        <w:rPr>
          <w:rFonts w:eastAsia="Times New Roman"/>
        </w:rPr>
        <w:t>doi</w:t>
      </w:r>
      <w:proofErr w:type="spellEnd"/>
      <w:r>
        <w:rPr>
          <w:rFonts w:eastAsia="Times New Roman"/>
        </w:rPr>
        <w:t xml:space="preserve">: https://doi.org/10.5812/hepatmon.38640. </w:t>
      </w:r>
    </w:p>
    <w:p w14:paraId="41444AD9" w14:textId="77777777" w:rsidR="00CF282F" w:rsidRDefault="00CF282F" w:rsidP="00CF282F">
      <w:pPr>
        <w:numPr>
          <w:ilvl w:val="0"/>
          <w:numId w:val="8"/>
        </w:numPr>
        <w:spacing w:before="100" w:beforeAutospacing="1" w:after="100" w:afterAutospacing="1" w:line="240" w:lineRule="auto"/>
        <w:divId w:val="1312250460"/>
        <w:rPr>
          <w:rFonts w:eastAsia="Times New Roman"/>
        </w:rPr>
      </w:pPr>
      <w:r>
        <w:rPr>
          <w:rFonts w:eastAsia="Times New Roman"/>
        </w:rPr>
        <w:t xml:space="preserve">Heard E, </w:t>
      </w:r>
      <w:proofErr w:type="spellStart"/>
      <w:r>
        <w:rPr>
          <w:rFonts w:eastAsia="Times New Roman"/>
        </w:rPr>
        <w:t>Massi</w:t>
      </w:r>
      <w:proofErr w:type="spellEnd"/>
      <w:r>
        <w:rPr>
          <w:rFonts w:eastAsia="Times New Roman"/>
        </w:rPr>
        <w:t xml:space="preserve"> L, Smirnov A, Selvey L. Prescribing direct‐acting antivirals to treat hepatitis C virus in a general practice setting in Australia: “So why not do it”? </w:t>
      </w:r>
      <w:r w:rsidRPr="00255B3F">
        <w:rPr>
          <w:rStyle w:val="Emphasis"/>
          <w:rFonts w:eastAsia="Times New Roman"/>
          <w:b w:val="0"/>
          <w:bCs w:val="0"/>
        </w:rPr>
        <w:t>Intern Med J</w:t>
      </w:r>
      <w:r>
        <w:rPr>
          <w:rFonts w:eastAsia="Times New Roman"/>
        </w:rPr>
        <w:t xml:space="preserve">. 2020;50(9):1053–8. </w:t>
      </w:r>
      <w:proofErr w:type="spellStart"/>
      <w:r>
        <w:rPr>
          <w:rFonts w:eastAsia="Times New Roman"/>
        </w:rPr>
        <w:t>doi</w:t>
      </w:r>
      <w:proofErr w:type="spellEnd"/>
      <w:r>
        <w:rPr>
          <w:rFonts w:eastAsia="Times New Roman"/>
        </w:rPr>
        <w:t xml:space="preserve">: https://doi.org/10.1111/imj.14648. </w:t>
      </w:r>
    </w:p>
    <w:p w14:paraId="73F83FC5" w14:textId="77777777" w:rsidR="00CF282F" w:rsidRDefault="00CF282F" w:rsidP="00CF282F">
      <w:pPr>
        <w:numPr>
          <w:ilvl w:val="0"/>
          <w:numId w:val="8"/>
        </w:numPr>
        <w:spacing w:before="100" w:beforeAutospacing="1" w:after="100" w:afterAutospacing="1" w:line="240" w:lineRule="auto"/>
        <w:divId w:val="1312250460"/>
        <w:rPr>
          <w:rFonts w:eastAsia="Times New Roman"/>
        </w:rPr>
      </w:pPr>
      <w:proofErr w:type="spellStart"/>
      <w:r>
        <w:rPr>
          <w:rFonts w:eastAsia="Times New Roman"/>
        </w:rPr>
        <w:t>Beiser</w:t>
      </w:r>
      <w:proofErr w:type="spellEnd"/>
      <w:r>
        <w:rPr>
          <w:rFonts w:eastAsia="Times New Roman"/>
        </w:rPr>
        <w:t xml:space="preserve"> M, Leon C, Gaeta JM. Needs assessment of HCV-infected individuals experiencing homelessness and implications. </w:t>
      </w:r>
      <w:r w:rsidRPr="00255B3F">
        <w:rPr>
          <w:rStyle w:val="Emphasis"/>
          <w:rFonts w:eastAsia="Times New Roman"/>
          <w:b w:val="0"/>
          <w:bCs w:val="0"/>
        </w:rPr>
        <w:t>J Health Care Poor Underserved</w:t>
      </w:r>
      <w:r>
        <w:rPr>
          <w:rFonts w:eastAsia="Times New Roman"/>
        </w:rPr>
        <w:t xml:space="preserve">. 2017;28(1):596–606. </w:t>
      </w:r>
      <w:proofErr w:type="spellStart"/>
      <w:r>
        <w:rPr>
          <w:rFonts w:eastAsia="Times New Roman"/>
        </w:rPr>
        <w:t>doi</w:t>
      </w:r>
      <w:proofErr w:type="spellEnd"/>
      <w:r>
        <w:rPr>
          <w:rFonts w:eastAsia="Times New Roman"/>
        </w:rPr>
        <w:t xml:space="preserve">: https://doi.org/10.1353/hpu.2017.0042. </w:t>
      </w:r>
    </w:p>
    <w:p w14:paraId="15B359B6" w14:textId="77777777" w:rsidR="00CF282F" w:rsidRDefault="00CF282F" w:rsidP="00CF282F">
      <w:pPr>
        <w:numPr>
          <w:ilvl w:val="0"/>
          <w:numId w:val="8"/>
        </w:numPr>
        <w:spacing w:before="100" w:beforeAutospacing="1" w:after="100" w:afterAutospacing="1" w:line="240" w:lineRule="auto"/>
        <w:divId w:val="1312250460"/>
        <w:rPr>
          <w:rFonts w:eastAsia="Times New Roman"/>
        </w:rPr>
      </w:pPr>
      <w:proofErr w:type="spellStart"/>
      <w:r>
        <w:rPr>
          <w:rFonts w:eastAsia="Times New Roman"/>
        </w:rPr>
        <w:t>Brener</w:t>
      </w:r>
      <w:proofErr w:type="spellEnd"/>
      <w:r>
        <w:rPr>
          <w:rFonts w:eastAsia="Times New Roman"/>
        </w:rPr>
        <w:t xml:space="preserve"> L, Wilson H, Jackson LC, Johnson P, Saunders V, Treloar C. Experiences of diagnosis, care and treatment among Aboriginal people living with hepatitis C. </w:t>
      </w:r>
      <w:r w:rsidRPr="00255B3F">
        <w:rPr>
          <w:rStyle w:val="Emphasis"/>
          <w:rFonts w:eastAsia="Times New Roman"/>
          <w:b w:val="0"/>
          <w:bCs w:val="0"/>
        </w:rPr>
        <w:t>Aust N Z J Public Health</w:t>
      </w:r>
      <w:r>
        <w:rPr>
          <w:rFonts w:eastAsia="Times New Roman"/>
        </w:rPr>
        <w:t xml:space="preserve">. 2016;40(Suppl 1):S59–64. </w:t>
      </w:r>
      <w:proofErr w:type="spellStart"/>
      <w:r>
        <w:rPr>
          <w:rFonts w:eastAsia="Times New Roman"/>
        </w:rPr>
        <w:t>doi</w:t>
      </w:r>
      <w:proofErr w:type="spellEnd"/>
      <w:r>
        <w:rPr>
          <w:rFonts w:eastAsia="Times New Roman"/>
        </w:rPr>
        <w:t xml:space="preserve">: https://doi.org/10.1111/1753-6405.12402. </w:t>
      </w:r>
    </w:p>
    <w:p w14:paraId="1C855963" w14:textId="77777777" w:rsidR="00CF282F" w:rsidRDefault="00CF282F" w:rsidP="00CF282F">
      <w:pPr>
        <w:numPr>
          <w:ilvl w:val="0"/>
          <w:numId w:val="8"/>
        </w:numPr>
        <w:spacing w:before="100" w:beforeAutospacing="1" w:after="100" w:afterAutospacing="1" w:line="240" w:lineRule="auto"/>
        <w:divId w:val="1312250460"/>
        <w:rPr>
          <w:rFonts w:eastAsia="Times New Roman"/>
        </w:rPr>
      </w:pPr>
      <w:r>
        <w:rPr>
          <w:rFonts w:eastAsia="Times New Roman"/>
        </w:rPr>
        <w:t xml:space="preserve">Day E, </w:t>
      </w:r>
      <w:proofErr w:type="spellStart"/>
      <w:r>
        <w:rPr>
          <w:rFonts w:eastAsia="Times New Roman"/>
        </w:rPr>
        <w:t>Hellard</w:t>
      </w:r>
      <w:proofErr w:type="spellEnd"/>
      <w:r>
        <w:rPr>
          <w:rFonts w:eastAsia="Times New Roman"/>
        </w:rPr>
        <w:t xml:space="preserve"> M, Treloar C, Bruneau J, Martin NK, </w:t>
      </w:r>
      <w:proofErr w:type="spellStart"/>
      <w:r>
        <w:rPr>
          <w:rFonts w:eastAsia="Times New Roman"/>
        </w:rPr>
        <w:t>Øvrehus</w:t>
      </w:r>
      <w:proofErr w:type="spellEnd"/>
      <w:r>
        <w:rPr>
          <w:rFonts w:eastAsia="Times New Roman"/>
        </w:rPr>
        <w:t xml:space="preserve"> A et al. Hepatitis C elimination among people who inject drugs: challenges and recommendations for action within a health systems framework. </w:t>
      </w:r>
      <w:r w:rsidRPr="00255B3F">
        <w:rPr>
          <w:rStyle w:val="Emphasis"/>
          <w:rFonts w:eastAsia="Times New Roman"/>
          <w:b w:val="0"/>
          <w:bCs w:val="0"/>
        </w:rPr>
        <w:t>Liver Int</w:t>
      </w:r>
      <w:r>
        <w:rPr>
          <w:rFonts w:eastAsia="Times New Roman"/>
        </w:rPr>
        <w:t xml:space="preserve">. 2019;39(1):20–30. </w:t>
      </w:r>
      <w:proofErr w:type="spellStart"/>
      <w:r>
        <w:rPr>
          <w:rFonts w:eastAsia="Times New Roman"/>
        </w:rPr>
        <w:t>doi</w:t>
      </w:r>
      <w:proofErr w:type="spellEnd"/>
      <w:r>
        <w:rPr>
          <w:rFonts w:eastAsia="Times New Roman"/>
        </w:rPr>
        <w:t xml:space="preserve">: https://doi.org/10.1111/liv.13949. </w:t>
      </w:r>
    </w:p>
    <w:p w14:paraId="42C2DC45" w14:textId="77777777" w:rsidR="00CF282F" w:rsidRDefault="00CF282F" w:rsidP="00CF282F">
      <w:pPr>
        <w:numPr>
          <w:ilvl w:val="0"/>
          <w:numId w:val="8"/>
        </w:numPr>
        <w:spacing w:before="100" w:beforeAutospacing="1" w:after="100" w:afterAutospacing="1" w:line="240" w:lineRule="auto"/>
        <w:divId w:val="1312250460"/>
        <w:rPr>
          <w:rFonts w:eastAsia="Times New Roman"/>
        </w:rPr>
      </w:pPr>
      <w:r>
        <w:rPr>
          <w:rFonts w:eastAsia="Times New Roman"/>
        </w:rPr>
        <w:t>Morales-</w:t>
      </w:r>
      <w:proofErr w:type="spellStart"/>
      <w:r>
        <w:rPr>
          <w:rFonts w:eastAsia="Times New Roman"/>
        </w:rPr>
        <w:t>Arraez</w:t>
      </w:r>
      <w:proofErr w:type="spellEnd"/>
      <w:r>
        <w:rPr>
          <w:rFonts w:eastAsia="Times New Roman"/>
        </w:rPr>
        <w:t xml:space="preserve"> D, Alonso-</w:t>
      </w:r>
      <w:proofErr w:type="spellStart"/>
      <w:r>
        <w:rPr>
          <w:rFonts w:eastAsia="Times New Roman"/>
        </w:rPr>
        <w:t>Larruga</w:t>
      </w:r>
      <w:proofErr w:type="spellEnd"/>
      <w:r>
        <w:rPr>
          <w:rFonts w:eastAsia="Times New Roman"/>
        </w:rPr>
        <w:t xml:space="preserve"> A, Diaz-Flores F, Garcia </w:t>
      </w:r>
      <w:proofErr w:type="spellStart"/>
      <w:r>
        <w:rPr>
          <w:rFonts w:eastAsia="Times New Roman"/>
        </w:rPr>
        <w:t>Dopico</w:t>
      </w:r>
      <w:proofErr w:type="spellEnd"/>
      <w:r>
        <w:rPr>
          <w:rFonts w:eastAsia="Times New Roman"/>
        </w:rPr>
        <w:t xml:space="preserve"> JA, de Vera A, Quintero E et al. Predictive factors for not undergoing RNA testing in patients found to have hepatitis C serology and impact of an automatic alert. </w:t>
      </w:r>
      <w:r w:rsidRPr="00255B3F">
        <w:rPr>
          <w:rStyle w:val="Emphasis"/>
          <w:rFonts w:eastAsia="Times New Roman"/>
          <w:b w:val="0"/>
          <w:bCs w:val="0"/>
        </w:rPr>
        <w:t xml:space="preserve">J Viral </w:t>
      </w:r>
      <w:proofErr w:type="spellStart"/>
      <w:r w:rsidRPr="00255B3F">
        <w:rPr>
          <w:rStyle w:val="Emphasis"/>
          <w:rFonts w:eastAsia="Times New Roman"/>
          <w:b w:val="0"/>
          <w:bCs w:val="0"/>
        </w:rPr>
        <w:t>Hepat</w:t>
      </w:r>
      <w:proofErr w:type="spellEnd"/>
      <w:r>
        <w:rPr>
          <w:rFonts w:eastAsia="Times New Roman"/>
        </w:rPr>
        <w:t xml:space="preserve">. 2019;26(9):1117–23. </w:t>
      </w:r>
      <w:proofErr w:type="spellStart"/>
      <w:r>
        <w:rPr>
          <w:rFonts w:eastAsia="Times New Roman"/>
        </w:rPr>
        <w:t>doi</w:t>
      </w:r>
      <w:proofErr w:type="spellEnd"/>
      <w:r>
        <w:rPr>
          <w:rFonts w:eastAsia="Times New Roman"/>
        </w:rPr>
        <w:t xml:space="preserve">: https://doi.org/10.1111/jvh.13122. </w:t>
      </w:r>
    </w:p>
    <w:p w14:paraId="48890A79" w14:textId="77777777" w:rsidR="00CF282F" w:rsidRDefault="00CF282F" w:rsidP="00CF282F">
      <w:pPr>
        <w:numPr>
          <w:ilvl w:val="0"/>
          <w:numId w:val="8"/>
        </w:numPr>
        <w:spacing w:before="100" w:beforeAutospacing="1" w:after="100" w:afterAutospacing="1" w:line="240" w:lineRule="auto"/>
        <w:divId w:val="1312250460"/>
        <w:rPr>
          <w:rFonts w:eastAsia="Times New Roman"/>
        </w:rPr>
      </w:pPr>
      <w:proofErr w:type="spellStart"/>
      <w:r>
        <w:rPr>
          <w:rFonts w:eastAsia="Times New Roman"/>
        </w:rPr>
        <w:t>Kracht</w:t>
      </w:r>
      <w:proofErr w:type="spellEnd"/>
      <w:r>
        <w:rPr>
          <w:rFonts w:eastAsia="Times New Roman"/>
        </w:rPr>
        <w:t xml:space="preserve"> PAM, Arends JE, van </w:t>
      </w:r>
      <w:proofErr w:type="spellStart"/>
      <w:r>
        <w:rPr>
          <w:rFonts w:eastAsia="Times New Roman"/>
        </w:rPr>
        <w:t>Erpecum</w:t>
      </w:r>
      <w:proofErr w:type="spellEnd"/>
      <w:r>
        <w:rPr>
          <w:rFonts w:eastAsia="Times New Roman"/>
        </w:rPr>
        <w:t xml:space="preserve"> KJ, </w:t>
      </w:r>
      <w:proofErr w:type="spellStart"/>
      <w:r>
        <w:rPr>
          <w:rFonts w:eastAsia="Times New Roman"/>
        </w:rPr>
        <w:t>Thijsen</w:t>
      </w:r>
      <w:proofErr w:type="spellEnd"/>
      <w:r>
        <w:rPr>
          <w:rFonts w:eastAsia="Times New Roman"/>
        </w:rPr>
        <w:t xml:space="preserve"> SFT, </w:t>
      </w:r>
      <w:proofErr w:type="spellStart"/>
      <w:r>
        <w:rPr>
          <w:rFonts w:eastAsia="Times New Roman"/>
        </w:rPr>
        <w:t>Vlaminckx</w:t>
      </w:r>
      <w:proofErr w:type="spellEnd"/>
      <w:r>
        <w:rPr>
          <w:rFonts w:eastAsia="Times New Roman"/>
        </w:rPr>
        <w:t xml:space="preserve"> BJM, </w:t>
      </w:r>
      <w:proofErr w:type="spellStart"/>
      <w:r>
        <w:rPr>
          <w:rFonts w:eastAsia="Times New Roman"/>
        </w:rPr>
        <w:t>Weersink</w:t>
      </w:r>
      <w:proofErr w:type="spellEnd"/>
      <w:r>
        <w:rPr>
          <w:rFonts w:eastAsia="Times New Roman"/>
        </w:rPr>
        <w:t xml:space="preserve"> AJL et al. </w:t>
      </w:r>
      <w:proofErr w:type="spellStart"/>
      <w:r>
        <w:rPr>
          <w:rFonts w:eastAsia="Times New Roman"/>
        </w:rPr>
        <w:t>REtrieval</w:t>
      </w:r>
      <w:proofErr w:type="spellEnd"/>
      <w:r>
        <w:rPr>
          <w:rFonts w:eastAsia="Times New Roman"/>
        </w:rPr>
        <w:t xml:space="preserve"> And cure of Chronic Hepatitis C (REACH): results of micro-elimination in the Utrecht province. </w:t>
      </w:r>
      <w:r w:rsidRPr="00255B3F">
        <w:rPr>
          <w:rStyle w:val="Emphasis"/>
          <w:rFonts w:eastAsia="Times New Roman"/>
          <w:b w:val="0"/>
          <w:bCs w:val="0"/>
        </w:rPr>
        <w:t>Liver Int</w:t>
      </w:r>
      <w:r>
        <w:rPr>
          <w:rFonts w:eastAsia="Times New Roman"/>
        </w:rPr>
        <w:t xml:space="preserve">. 2019;39(3):455–62. </w:t>
      </w:r>
      <w:proofErr w:type="spellStart"/>
      <w:r>
        <w:rPr>
          <w:rFonts w:eastAsia="Times New Roman"/>
        </w:rPr>
        <w:t>doi</w:t>
      </w:r>
      <w:proofErr w:type="spellEnd"/>
      <w:r>
        <w:rPr>
          <w:rFonts w:eastAsia="Times New Roman"/>
        </w:rPr>
        <w:t xml:space="preserve">: https://doi.org/10.1111/liv.13959. </w:t>
      </w:r>
    </w:p>
    <w:p w14:paraId="4C63A1C4" w14:textId="77777777" w:rsidR="00CF282F" w:rsidRDefault="00CF282F" w:rsidP="00CF282F">
      <w:pPr>
        <w:numPr>
          <w:ilvl w:val="0"/>
          <w:numId w:val="8"/>
        </w:numPr>
        <w:spacing w:before="100" w:beforeAutospacing="1" w:after="100" w:afterAutospacing="1" w:line="240" w:lineRule="auto"/>
        <w:divId w:val="1312250460"/>
        <w:rPr>
          <w:rFonts w:eastAsia="Times New Roman"/>
        </w:rPr>
      </w:pPr>
      <w:r>
        <w:rPr>
          <w:rFonts w:eastAsia="Times New Roman"/>
        </w:rPr>
        <w:t xml:space="preserve">Queensland State Government. </w:t>
      </w:r>
      <w:r w:rsidRPr="00255B3F">
        <w:rPr>
          <w:rStyle w:val="Emphasis"/>
          <w:rFonts w:eastAsia="Times New Roman"/>
          <w:b w:val="0"/>
          <w:bCs w:val="0"/>
        </w:rPr>
        <w:t>Public Health Act 2005: Public Health Regulation 2018</w:t>
      </w:r>
      <w:r>
        <w:rPr>
          <w:rFonts w:eastAsia="Times New Roman"/>
        </w:rPr>
        <w:t xml:space="preserve">. [Legislation.] Brisbane: Queensland State Government; 2 December 2022. Available from: https://www.legislation.qld.gov.au/view/pdf/inforce/current/sl-2018-0117. </w:t>
      </w:r>
    </w:p>
    <w:p w14:paraId="2541C5EE" w14:textId="77777777" w:rsidR="00CF282F" w:rsidRDefault="00CF282F" w:rsidP="00CF282F">
      <w:pPr>
        <w:numPr>
          <w:ilvl w:val="0"/>
          <w:numId w:val="8"/>
        </w:numPr>
        <w:spacing w:before="100" w:beforeAutospacing="1" w:after="100" w:afterAutospacing="1" w:line="240" w:lineRule="auto"/>
        <w:divId w:val="1312250460"/>
        <w:rPr>
          <w:rFonts w:eastAsia="Times New Roman"/>
        </w:rPr>
      </w:pPr>
      <w:proofErr w:type="spellStart"/>
      <w:r>
        <w:rPr>
          <w:rFonts w:eastAsia="Times New Roman"/>
        </w:rPr>
        <w:t>Steininger</w:t>
      </w:r>
      <w:proofErr w:type="spellEnd"/>
      <w:r>
        <w:rPr>
          <w:rFonts w:eastAsia="Times New Roman"/>
        </w:rPr>
        <w:t xml:space="preserve"> L, </w:t>
      </w:r>
      <w:proofErr w:type="spellStart"/>
      <w:r>
        <w:rPr>
          <w:rFonts w:eastAsia="Times New Roman"/>
        </w:rPr>
        <w:t>Chromy</w:t>
      </w:r>
      <w:proofErr w:type="spellEnd"/>
      <w:r>
        <w:rPr>
          <w:rFonts w:eastAsia="Times New Roman"/>
        </w:rPr>
        <w:t xml:space="preserve"> D, Bauer D, </w:t>
      </w:r>
      <w:proofErr w:type="spellStart"/>
      <w:r>
        <w:rPr>
          <w:rFonts w:eastAsia="Times New Roman"/>
        </w:rPr>
        <w:t>Simbrunner</w:t>
      </w:r>
      <w:proofErr w:type="spellEnd"/>
      <w:r>
        <w:rPr>
          <w:rFonts w:eastAsia="Times New Roman"/>
        </w:rPr>
        <w:t xml:space="preserve"> B, </w:t>
      </w:r>
      <w:proofErr w:type="spellStart"/>
      <w:r>
        <w:rPr>
          <w:rFonts w:eastAsia="Times New Roman"/>
        </w:rPr>
        <w:t>Binter</w:t>
      </w:r>
      <w:proofErr w:type="spellEnd"/>
      <w:r>
        <w:rPr>
          <w:rFonts w:eastAsia="Times New Roman"/>
        </w:rPr>
        <w:t xml:space="preserve"> T, </w:t>
      </w:r>
      <w:proofErr w:type="spellStart"/>
      <w:r>
        <w:rPr>
          <w:rFonts w:eastAsia="Times New Roman"/>
        </w:rPr>
        <w:t>Schwabl</w:t>
      </w:r>
      <w:proofErr w:type="spellEnd"/>
      <w:r>
        <w:rPr>
          <w:rFonts w:eastAsia="Times New Roman"/>
        </w:rPr>
        <w:t xml:space="preserve"> P et al. Direct patient-physician communication via a hepatitis C hotline facilitates treatment initiation in patients with poor adherence. </w:t>
      </w:r>
      <w:r w:rsidRPr="00255B3F">
        <w:rPr>
          <w:rStyle w:val="Emphasis"/>
          <w:rFonts w:eastAsia="Times New Roman"/>
          <w:b w:val="0"/>
          <w:bCs w:val="0"/>
        </w:rPr>
        <w:t xml:space="preserve">Wien </w:t>
      </w:r>
      <w:proofErr w:type="spellStart"/>
      <w:r w:rsidRPr="00255B3F">
        <w:rPr>
          <w:rStyle w:val="Emphasis"/>
          <w:rFonts w:eastAsia="Times New Roman"/>
          <w:b w:val="0"/>
          <w:bCs w:val="0"/>
        </w:rPr>
        <w:t>Klin</w:t>
      </w:r>
      <w:proofErr w:type="spellEnd"/>
      <w:r w:rsidRPr="00255B3F">
        <w:rPr>
          <w:rStyle w:val="Emphasis"/>
          <w:rFonts w:eastAsia="Times New Roman"/>
          <w:b w:val="0"/>
          <w:bCs w:val="0"/>
        </w:rPr>
        <w:t xml:space="preserve"> </w:t>
      </w:r>
      <w:proofErr w:type="spellStart"/>
      <w:r w:rsidRPr="00255B3F">
        <w:rPr>
          <w:rStyle w:val="Emphasis"/>
          <w:rFonts w:eastAsia="Times New Roman"/>
          <w:b w:val="0"/>
          <w:bCs w:val="0"/>
        </w:rPr>
        <w:t>Wochenschr</w:t>
      </w:r>
      <w:proofErr w:type="spellEnd"/>
      <w:r>
        <w:rPr>
          <w:rFonts w:eastAsia="Times New Roman"/>
        </w:rPr>
        <w:t xml:space="preserve">. 2021;133(9–10):452–60. </w:t>
      </w:r>
      <w:proofErr w:type="spellStart"/>
      <w:r>
        <w:rPr>
          <w:rFonts w:eastAsia="Times New Roman"/>
        </w:rPr>
        <w:t>doi</w:t>
      </w:r>
      <w:proofErr w:type="spellEnd"/>
      <w:r>
        <w:rPr>
          <w:rFonts w:eastAsia="Times New Roman"/>
        </w:rPr>
        <w:t xml:space="preserve">: https://doi.org/10.1007/s00508-020-01790-y. </w:t>
      </w:r>
    </w:p>
    <w:p w14:paraId="6752FA40" w14:textId="77777777" w:rsidR="00CF282F" w:rsidRDefault="00CF282F" w:rsidP="00CF282F">
      <w:pPr>
        <w:numPr>
          <w:ilvl w:val="0"/>
          <w:numId w:val="8"/>
        </w:numPr>
        <w:spacing w:before="100" w:beforeAutospacing="1" w:after="100" w:afterAutospacing="1" w:line="240" w:lineRule="auto"/>
        <w:divId w:val="1312250460"/>
        <w:rPr>
          <w:rFonts w:eastAsia="Times New Roman"/>
        </w:rPr>
      </w:pPr>
      <w:r>
        <w:rPr>
          <w:rFonts w:eastAsia="Times New Roman"/>
        </w:rPr>
        <w:t xml:space="preserve">Walker S, Wallace J, Latham N, </w:t>
      </w:r>
      <w:proofErr w:type="spellStart"/>
      <w:r>
        <w:rPr>
          <w:rFonts w:eastAsia="Times New Roman"/>
        </w:rPr>
        <w:t>Saich</w:t>
      </w:r>
      <w:proofErr w:type="spellEnd"/>
      <w:r>
        <w:rPr>
          <w:rFonts w:eastAsia="Times New Roman"/>
        </w:rPr>
        <w:t xml:space="preserve"> F, </w:t>
      </w:r>
      <w:proofErr w:type="spellStart"/>
      <w:r>
        <w:rPr>
          <w:rFonts w:eastAsia="Times New Roman"/>
        </w:rPr>
        <w:t>Pedrana</w:t>
      </w:r>
      <w:proofErr w:type="spellEnd"/>
      <w:r>
        <w:rPr>
          <w:rFonts w:eastAsia="Times New Roman"/>
        </w:rPr>
        <w:t xml:space="preserve"> A, </w:t>
      </w:r>
      <w:proofErr w:type="spellStart"/>
      <w:r>
        <w:rPr>
          <w:rFonts w:eastAsia="Times New Roman"/>
        </w:rPr>
        <w:t>Hellard</w:t>
      </w:r>
      <w:proofErr w:type="spellEnd"/>
      <w:r>
        <w:rPr>
          <w:rFonts w:eastAsia="Times New Roman"/>
        </w:rPr>
        <w:t xml:space="preserve"> M et al. “It’s time!”: a qualitative exploration of the acceptability of hepatitis C notification systems to help eliminate hepatitis C. </w:t>
      </w:r>
      <w:r w:rsidRPr="00255B3F">
        <w:rPr>
          <w:rStyle w:val="Emphasis"/>
          <w:rFonts w:eastAsia="Times New Roman"/>
          <w:b w:val="0"/>
          <w:bCs w:val="0"/>
        </w:rPr>
        <w:t>Int J Drug Policy</w:t>
      </w:r>
      <w:r>
        <w:rPr>
          <w:rFonts w:eastAsia="Times New Roman"/>
        </w:rPr>
        <w:t xml:space="preserve">. 2021;97:103280. </w:t>
      </w:r>
      <w:proofErr w:type="spellStart"/>
      <w:r>
        <w:rPr>
          <w:rFonts w:eastAsia="Times New Roman"/>
        </w:rPr>
        <w:t>doi</w:t>
      </w:r>
      <w:proofErr w:type="spellEnd"/>
      <w:r>
        <w:rPr>
          <w:rFonts w:eastAsia="Times New Roman"/>
        </w:rPr>
        <w:t xml:space="preserve">: https://doi.org/10.1016/j.drugpo.2021.103280. </w:t>
      </w:r>
    </w:p>
    <w:p w14:paraId="75574B54" w14:textId="77777777" w:rsidR="00CF282F" w:rsidRDefault="00CF282F" w:rsidP="00CF282F">
      <w:pPr>
        <w:numPr>
          <w:ilvl w:val="0"/>
          <w:numId w:val="8"/>
        </w:numPr>
        <w:spacing w:before="100" w:beforeAutospacing="1" w:after="100" w:afterAutospacing="1" w:line="240" w:lineRule="auto"/>
        <w:divId w:val="1312250460"/>
        <w:rPr>
          <w:rFonts w:eastAsia="Times New Roman"/>
        </w:rPr>
      </w:pPr>
      <w:r>
        <w:rPr>
          <w:rFonts w:eastAsia="Times New Roman"/>
        </w:rPr>
        <w:t xml:space="preserve">Webster R, Moore MS, </w:t>
      </w:r>
      <w:proofErr w:type="spellStart"/>
      <w:r>
        <w:rPr>
          <w:rFonts w:eastAsia="Times New Roman"/>
        </w:rPr>
        <w:t>Bocour</w:t>
      </w:r>
      <w:proofErr w:type="spellEnd"/>
      <w:r>
        <w:rPr>
          <w:rFonts w:eastAsia="Times New Roman"/>
        </w:rPr>
        <w:t xml:space="preserve"> A, Johnson N, Winters A. Health department efforts to increase hepatitis C RNA testing among people appearing out of care: comparison of outreach approaches, New York City, 2017. </w:t>
      </w:r>
      <w:r w:rsidRPr="00255B3F">
        <w:rPr>
          <w:rStyle w:val="Emphasis"/>
          <w:rFonts w:eastAsia="Times New Roman"/>
          <w:b w:val="0"/>
          <w:bCs w:val="0"/>
        </w:rPr>
        <w:t>Public Health Rep</w:t>
      </w:r>
      <w:r>
        <w:rPr>
          <w:rFonts w:eastAsia="Times New Roman"/>
        </w:rPr>
        <w:t xml:space="preserve">. 2020;135(6):823–30. </w:t>
      </w:r>
      <w:proofErr w:type="spellStart"/>
      <w:r>
        <w:rPr>
          <w:rFonts w:eastAsia="Times New Roman"/>
        </w:rPr>
        <w:t>doi</w:t>
      </w:r>
      <w:proofErr w:type="spellEnd"/>
      <w:r>
        <w:rPr>
          <w:rFonts w:eastAsia="Times New Roman"/>
        </w:rPr>
        <w:t>: https://doi.org/10.1177/0033354920952068.</w:t>
      </w:r>
    </w:p>
    <w:p w14:paraId="693E72BA" w14:textId="77777777" w:rsidR="008B5348" w:rsidRDefault="008B5348">
      <w:pPr>
        <w:rPr>
          <w:rStyle w:val="A10"/>
        </w:rPr>
        <w:sectPr w:rsidR="008B5348" w:rsidSect="00A30C37">
          <w:headerReference w:type="even" r:id="rId10"/>
          <w:headerReference w:type="default" r:id="rId11"/>
          <w:footerReference w:type="even" r:id="rId12"/>
          <w:footerReference w:type="default" r:id="rId13"/>
          <w:headerReference w:type="first" r:id="rId14"/>
          <w:footerReference w:type="first" r:id="rId15"/>
          <w:pgSz w:w="11906" w:h="16838"/>
          <w:pgMar w:top="720" w:right="720" w:bottom="1134" w:left="720" w:header="709" w:footer="284" w:gutter="0"/>
          <w:cols w:space="708"/>
          <w:titlePg/>
          <w:docGrid w:linePitch="360"/>
        </w:sectPr>
      </w:pPr>
    </w:p>
    <w:p w14:paraId="1BC4395E" w14:textId="77777777" w:rsidR="000A5F42" w:rsidRPr="000606CC" w:rsidRDefault="000A5F42" w:rsidP="000A5F42">
      <w:pPr>
        <w:pStyle w:val="NoSpacing"/>
        <w:rPr>
          <w:rFonts w:cstheme="minorHAnsi"/>
          <w:sz w:val="18"/>
          <w:szCs w:val="18"/>
        </w:rPr>
      </w:pPr>
      <w:r w:rsidRPr="000606CC">
        <w:rPr>
          <w:rStyle w:val="Strong"/>
          <w:bCs w:val="0"/>
          <w:sz w:val="20"/>
        </w:rPr>
        <w:t>Communicable Diseases Intelligence</w:t>
      </w:r>
    </w:p>
    <w:p w14:paraId="51D97EEC"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1FE71148" w14:textId="77777777" w:rsidR="000A5F42" w:rsidRPr="000606CC" w:rsidRDefault="000A5F42" w:rsidP="000A5F42">
      <w:pPr>
        <w:pStyle w:val="NoSpacing"/>
        <w:rPr>
          <w:rStyle w:val="URI"/>
          <w:rFonts w:cstheme="minorHAnsi"/>
          <w:sz w:val="20"/>
          <w:szCs w:val="18"/>
        </w:rPr>
      </w:pPr>
    </w:p>
    <w:p w14:paraId="7E8EC00F"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Department of Health and Aged Care</w:t>
      </w:r>
      <w:r w:rsidRPr="000606CC">
        <w:rPr>
          <w:rStyle w:val="Strong"/>
          <w:rFonts w:cs="Calibri"/>
          <w:b w:val="0"/>
          <w:bCs w:val="0"/>
          <w:sz w:val="20"/>
          <w:szCs w:val="18"/>
        </w:rPr>
        <w:t>. The journal aims to disseminate information on the epidemiology, surveillance, prevention and control of communicable diseases of relevance to Australia.</w:t>
      </w:r>
    </w:p>
    <w:p w14:paraId="456AF589" w14:textId="77777777" w:rsidR="000A5F42" w:rsidRPr="000606CC" w:rsidRDefault="000A5F42" w:rsidP="000A5F42">
      <w:pPr>
        <w:pStyle w:val="NoSpacing"/>
        <w:rPr>
          <w:rStyle w:val="Strong"/>
          <w:rFonts w:cstheme="minorHAnsi"/>
          <w:sz w:val="20"/>
          <w:szCs w:val="18"/>
        </w:rPr>
      </w:pPr>
    </w:p>
    <w:p w14:paraId="335A6CC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62FF">
        <w:rPr>
          <w:rFonts w:cstheme="minorHAnsi"/>
          <w:sz w:val="20"/>
          <w:szCs w:val="18"/>
        </w:rPr>
        <w:t>Christina Bareja</w:t>
      </w:r>
    </w:p>
    <w:p w14:paraId="2F0CBAC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1665667E"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4B19A439"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David Durrheim, Mark Ferson, Clare Huppatz, John Kaldor, Martyn Kirk, Meru Sheel and Steph</w:t>
      </w:r>
      <w:r w:rsidR="00CF75DF">
        <w:rPr>
          <w:rFonts w:cstheme="minorHAnsi"/>
          <w:sz w:val="20"/>
          <w:szCs w:val="18"/>
        </w:rPr>
        <w:t> </w:t>
      </w:r>
      <w:r w:rsidR="00CF75DF" w:rsidRPr="00CF75DF">
        <w:rPr>
          <w:rFonts w:cstheme="minorHAnsi"/>
          <w:sz w:val="20"/>
          <w:szCs w:val="18"/>
        </w:rPr>
        <w:t>Williams</w:t>
      </w:r>
    </w:p>
    <w:p w14:paraId="31BDFE3E" w14:textId="77777777" w:rsidR="000A5F42" w:rsidRPr="000606CC" w:rsidRDefault="000A5F42" w:rsidP="000A5F42">
      <w:pPr>
        <w:pStyle w:val="NoSpacing"/>
        <w:rPr>
          <w:rStyle w:val="Strong"/>
          <w:rFonts w:cstheme="minorHAnsi"/>
          <w:sz w:val="20"/>
          <w:szCs w:val="18"/>
        </w:rPr>
      </w:pPr>
    </w:p>
    <w:p w14:paraId="60CF5AB3" w14:textId="1CC9007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6"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DD77E7D" w14:textId="77777777" w:rsidR="000A5F42" w:rsidRPr="000606CC" w:rsidRDefault="000A5F42" w:rsidP="000A5F42">
      <w:pPr>
        <w:pStyle w:val="NoSpacing"/>
        <w:rPr>
          <w:rStyle w:val="Strong"/>
          <w:rFonts w:cstheme="minorHAnsi"/>
          <w:sz w:val="20"/>
          <w:szCs w:val="18"/>
        </w:rPr>
      </w:pPr>
    </w:p>
    <w:p w14:paraId="1F1C45BF"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1AAC7D0A" w14:textId="77777777" w:rsidR="000A5F42" w:rsidRPr="000606CC" w:rsidRDefault="000A5F42" w:rsidP="000A5F42">
      <w:pPr>
        <w:pStyle w:val="NoSpacing"/>
        <w:rPr>
          <w:rStyle w:val="Strong"/>
          <w:rFonts w:cstheme="minorHAnsi"/>
          <w:sz w:val="20"/>
          <w:szCs w:val="18"/>
        </w:rPr>
      </w:pPr>
    </w:p>
    <w:p w14:paraId="6645BB80" w14:textId="5073464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7"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C3719A9" w14:textId="77777777" w:rsidR="000A5F42" w:rsidRPr="000606CC" w:rsidRDefault="000A5F42" w:rsidP="000A5F42">
      <w:pPr>
        <w:pStyle w:val="NoSpacing"/>
        <w:rPr>
          <w:rStyle w:val="Strong"/>
          <w:rFonts w:cstheme="minorHAnsi"/>
          <w:sz w:val="20"/>
          <w:szCs w:val="18"/>
        </w:rPr>
      </w:pPr>
    </w:p>
    <w:p w14:paraId="08E01B0D" w14:textId="3C73AAD3"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8"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187A6D1C" w14:textId="798C21C9"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9" w:history="1">
        <w:r w:rsidRPr="000606CC">
          <w:rPr>
            <w:rStyle w:val="Hyperlink"/>
            <w:rFonts w:cstheme="minorHAnsi"/>
            <w:sz w:val="20"/>
            <w:szCs w:val="18"/>
          </w:rPr>
          <w:t>cdi.editor@health.gov.au</w:t>
        </w:r>
      </w:hyperlink>
      <w:r w:rsidRPr="000606CC">
        <w:rPr>
          <w:rFonts w:cstheme="minorHAnsi"/>
          <w:sz w:val="20"/>
          <w:szCs w:val="18"/>
        </w:rPr>
        <w:t>.</w:t>
      </w:r>
    </w:p>
    <w:p w14:paraId="2BB8852B" w14:textId="77777777" w:rsidR="000A5F42" w:rsidRPr="000606CC" w:rsidRDefault="000A5F42" w:rsidP="000A5F42">
      <w:pPr>
        <w:pStyle w:val="NoSpacing"/>
        <w:pBdr>
          <w:bottom w:val="single" w:sz="6" w:space="1" w:color="auto"/>
        </w:pBdr>
        <w:rPr>
          <w:rStyle w:val="Strong"/>
          <w:rFonts w:cstheme="minorHAnsi"/>
          <w:sz w:val="12"/>
          <w:szCs w:val="18"/>
        </w:rPr>
      </w:pPr>
    </w:p>
    <w:p w14:paraId="60D98CB9" w14:textId="77777777" w:rsidR="000A5F42" w:rsidRPr="000606CC" w:rsidRDefault="000A5F42" w:rsidP="000A5F42">
      <w:pPr>
        <w:pStyle w:val="NoSpacing"/>
        <w:rPr>
          <w:rFonts w:cstheme="minorHAnsi"/>
          <w:sz w:val="20"/>
          <w:szCs w:val="18"/>
        </w:rPr>
      </w:pPr>
    </w:p>
    <w:p w14:paraId="14F887B3"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1D7AA67C" w14:textId="77777777" w:rsidR="000A5F42" w:rsidRPr="000606CC" w:rsidRDefault="000A5F42" w:rsidP="000A5F42">
      <w:pPr>
        <w:pStyle w:val="NoSpacing"/>
        <w:rPr>
          <w:rFonts w:cstheme="minorHAnsi"/>
          <w:sz w:val="20"/>
          <w:szCs w:val="18"/>
        </w:rPr>
      </w:pPr>
    </w:p>
    <w:p w14:paraId="0551AF54"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9BFD98C"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092E20">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400993E5" w14:textId="78C4F3C2"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0"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A7B8F55" w14:textId="77777777" w:rsidR="000A5F42" w:rsidRPr="000606CC" w:rsidRDefault="000A5F42" w:rsidP="000A5F42">
      <w:pPr>
        <w:pStyle w:val="NoSpacing"/>
        <w:rPr>
          <w:rFonts w:cstheme="minorHAnsi"/>
          <w:sz w:val="20"/>
          <w:szCs w:val="18"/>
        </w:rPr>
      </w:pPr>
    </w:p>
    <w:p w14:paraId="0136933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5BB3918" w14:textId="60B5E2A9"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1"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1A8A0E7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’s logo) and trademarks;</w:t>
      </w:r>
    </w:p>
    <w:p w14:paraId="3D59817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2DC7D9E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70043A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02FF606" w14:textId="77777777" w:rsidR="000A5F42" w:rsidRPr="000606CC" w:rsidRDefault="000A5F42" w:rsidP="000A5F42">
      <w:pPr>
        <w:pStyle w:val="NoSpacing"/>
        <w:rPr>
          <w:rStyle w:val="Strong"/>
          <w:rFonts w:cstheme="minorHAnsi"/>
          <w:sz w:val="20"/>
          <w:szCs w:val="18"/>
        </w:rPr>
      </w:pPr>
    </w:p>
    <w:p w14:paraId="1AFDF8EF"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1C439782" w14:textId="77777777" w:rsidR="000A5F42" w:rsidRPr="000606CC" w:rsidRDefault="000A5F42" w:rsidP="000A5F42">
      <w:pPr>
        <w:pStyle w:val="NoSpacing"/>
        <w:rPr>
          <w:rStyle w:val="Strong"/>
          <w:rFonts w:cstheme="minorHAnsi"/>
          <w:sz w:val="20"/>
          <w:szCs w:val="18"/>
        </w:rPr>
      </w:pPr>
    </w:p>
    <w:p w14:paraId="68180FEB" w14:textId="796040E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2"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7E27A553" w14:textId="77777777" w:rsidR="000A5F42" w:rsidRPr="000606CC" w:rsidRDefault="000A5F42" w:rsidP="000A5F42">
      <w:pPr>
        <w:pStyle w:val="NoSpacing"/>
        <w:rPr>
          <w:rStyle w:val="URI"/>
          <w:rFonts w:cstheme="minorHAnsi"/>
          <w:sz w:val="20"/>
          <w:szCs w:val="18"/>
        </w:rPr>
      </w:pPr>
    </w:p>
    <w:p w14:paraId="51FE6420" w14:textId="61453C42"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3"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4"/>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D3D07" w14:textId="77777777" w:rsidR="00092E20" w:rsidRDefault="00092E20" w:rsidP="00E54DBA">
      <w:r>
        <w:separator/>
      </w:r>
    </w:p>
    <w:p w14:paraId="043AFD2E" w14:textId="77777777" w:rsidR="00092E20" w:rsidRDefault="00092E20"/>
    <w:p w14:paraId="660F73B3" w14:textId="77777777" w:rsidR="00092E20" w:rsidRDefault="00092E20" w:rsidP="008714B0"/>
  </w:endnote>
  <w:endnote w:type="continuationSeparator" w:id="0">
    <w:p w14:paraId="33AEF73E" w14:textId="77777777" w:rsidR="00092E20" w:rsidRDefault="00092E20" w:rsidP="00E54DBA">
      <w:r>
        <w:continuationSeparator/>
      </w:r>
    </w:p>
    <w:p w14:paraId="5A4FDD1D" w14:textId="77777777" w:rsidR="00092E20" w:rsidRDefault="00092E20"/>
    <w:p w14:paraId="44E28856" w14:textId="77777777" w:rsidR="00092E20" w:rsidRDefault="00092E20"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E077" w14:textId="77777777" w:rsidR="000A10B5" w:rsidRDefault="000A10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032E9" w14:textId="3DBEF4F8"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255B3F">
      <w:rPr>
        <w:i/>
        <w:sz w:val="18"/>
      </w:rPr>
      <w:t>Commun</w:t>
    </w:r>
    <w:proofErr w:type="spellEnd"/>
    <w:r w:rsidR="00CE342B" w:rsidRPr="00255B3F">
      <w:rPr>
        <w:i/>
        <w:sz w:val="18"/>
      </w:rPr>
      <w:t xml:space="preserve"> Dis </w:t>
    </w:r>
    <w:proofErr w:type="spellStart"/>
    <w:r w:rsidR="00CE342B" w:rsidRPr="00255B3F">
      <w:rPr>
        <w:i/>
        <w:sz w:val="18"/>
      </w:rPr>
      <w:t>Intell</w:t>
    </w:r>
    <w:proofErr w:type="spellEnd"/>
    <w:r w:rsidR="00CE342B" w:rsidRPr="00255B3F">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092E20">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092E20">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0A10B5">
      <w:rPr>
        <w:sz w:val="18"/>
      </w:rPr>
      <w:t>https://doi.org/10.33321/cdi.2023.47.63</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0A10B5">
      <w:rPr>
        <w:sz w:val="18"/>
      </w:rPr>
      <w:t>19/10/2023</w:t>
    </w:r>
    <w:r w:rsidR="00CE342B">
      <w:rPr>
        <w:sz w:val="18"/>
      </w:rPr>
      <w:fldChar w:fldCharType="end"/>
    </w:r>
    <w:r>
      <w:rPr>
        <w:sz w:val="18"/>
      </w:rPr>
      <w:ptab w:relativeTo="margin" w:alignment="right" w:leader="none"/>
    </w:r>
    <w:r w:rsidRPr="00155582">
      <w:rPr>
        <w:sz w:val="18"/>
      </w:rPr>
      <w:t>health.gov.au/cdi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EF58" w14:textId="6EAA1854"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255B3F">
      <w:rPr>
        <w:i/>
        <w:sz w:val="18"/>
      </w:rPr>
      <w:t>Commun</w:t>
    </w:r>
    <w:proofErr w:type="spellEnd"/>
    <w:r w:rsidR="00A164D5" w:rsidRPr="00255B3F">
      <w:rPr>
        <w:i/>
        <w:sz w:val="18"/>
      </w:rPr>
      <w:t xml:space="preserve"> Dis </w:t>
    </w:r>
    <w:proofErr w:type="spellStart"/>
    <w:r w:rsidR="00A164D5" w:rsidRPr="00255B3F">
      <w:rPr>
        <w:i/>
        <w:sz w:val="18"/>
      </w:rPr>
      <w:t>Intell</w:t>
    </w:r>
    <w:proofErr w:type="spellEnd"/>
    <w:r w:rsidR="00A164D5" w:rsidRPr="00255B3F">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092E20">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092E20">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0A10B5">
      <w:rPr>
        <w:sz w:val="18"/>
      </w:rPr>
      <w:t>https://doi.org/10.33321/cdi.2023.47.63</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0A10B5">
      <w:rPr>
        <w:sz w:val="18"/>
      </w:rPr>
      <w:t>19/10/2023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40CF2" w14:textId="77777777" w:rsidR="00092E20" w:rsidRPr="00B91FB5" w:rsidRDefault="00092E20" w:rsidP="00B91FB5">
      <w:pPr>
        <w:spacing w:after="0" w:line="240" w:lineRule="auto"/>
        <w:rPr>
          <w:sz w:val="18"/>
          <w:szCs w:val="18"/>
        </w:rPr>
      </w:pPr>
      <w:r w:rsidRPr="00B91FB5">
        <w:rPr>
          <w:sz w:val="18"/>
          <w:szCs w:val="18"/>
        </w:rPr>
        <w:separator/>
      </w:r>
    </w:p>
  </w:footnote>
  <w:footnote w:type="continuationSeparator" w:id="0">
    <w:p w14:paraId="283CD1E2" w14:textId="77777777" w:rsidR="00092E20" w:rsidRDefault="00092E20" w:rsidP="00E54DBA">
      <w:r>
        <w:continuationSeparator/>
      </w:r>
    </w:p>
  </w:footnote>
  <w:footnote w:type="continuationNotice" w:id="1">
    <w:p w14:paraId="52FC95CA" w14:textId="77777777" w:rsidR="00092E20" w:rsidRPr="00224EFF" w:rsidRDefault="00092E20"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40EFD" w14:textId="77777777" w:rsidR="000A10B5" w:rsidRDefault="000A1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2DA56" w14:textId="1AD58211" w:rsidR="00257484" w:rsidRPr="00A153B6" w:rsidRDefault="000A10B5"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0603DA">
          <w:t>Original articles</w:t>
        </w:r>
      </w:sdtContent>
    </w:sdt>
    <w:r w:rsidR="00A153B6">
      <w:ptab w:relativeTo="margin" w:alignment="right" w:leader="none"/>
    </w:r>
    <w:r w:rsidR="00A153B6"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5ECEB" w14:textId="77777777" w:rsidR="000A10B5" w:rsidRDefault="000A10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AA6D3"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6623FC1C" wp14:editId="0D8BBCBB">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CA"/>
    <w:multiLevelType w:val="hybridMultilevel"/>
    <w:tmpl w:val="9A566B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71210B"/>
    <w:multiLevelType w:val="multilevel"/>
    <w:tmpl w:val="A3100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3627C7"/>
    <w:multiLevelType w:val="multilevel"/>
    <w:tmpl w:val="87402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2622126">
    <w:abstractNumId w:val="2"/>
  </w:num>
  <w:num w:numId="2" w16cid:durableId="1609197756">
    <w:abstractNumId w:val="4"/>
  </w:num>
  <w:num w:numId="3" w16cid:durableId="1641576863">
    <w:abstractNumId w:val="5"/>
  </w:num>
  <w:num w:numId="4" w16cid:durableId="1673996081">
    <w:abstractNumId w:val="1"/>
  </w:num>
  <w:num w:numId="5" w16cid:durableId="478301635">
    <w:abstractNumId w:val="7"/>
  </w:num>
  <w:num w:numId="6" w16cid:durableId="808398254">
    <w:abstractNumId w:val="8"/>
  </w:num>
  <w:num w:numId="7" w16cid:durableId="757094639">
    <w:abstractNumId w:val="6"/>
  </w:num>
  <w:num w:numId="8" w16cid:durableId="112604646">
    <w:abstractNumId w:val="3"/>
  </w:num>
  <w:num w:numId="9" w16cid:durableId="213667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20"/>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03DA"/>
    <w:rsid w:val="0006264A"/>
    <w:rsid w:val="00073D77"/>
    <w:rsid w:val="00074DA1"/>
    <w:rsid w:val="00081655"/>
    <w:rsid w:val="000849AF"/>
    <w:rsid w:val="000864E0"/>
    <w:rsid w:val="00092E20"/>
    <w:rsid w:val="000969B3"/>
    <w:rsid w:val="000A10B5"/>
    <w:rsid w:val="000A5F42"/>
    <w:rsid w:val="000D3D91"/>
    <w:rsid w:val="000D4B4D"/>
    <w:rsid w:val="00113D58"/>
    <w:rsid w:val="001200CB"/>
    <w:rsid w:val="0012630E"/>
    <w:rsid w:val="001378A3"/>
    <w:rsid w:val="00155582"/>
    <w:rsid w:val="00161590"/>
    <w:rsid w:val="00171CC0"/>
    <w:rsid w:val="001723AC"/>
    <w:rsid w:val="00175494"/>
    <w:rsid w:val="00175629"/>
    <w:rsid w:val="001830EC"/>
    <w:rsid w:val="00183534"/>
    <w:rsid w:val="0018758E"/>
    <w:rsid w:val="001A4A96"/>
    <w:rsid w:val="001A5D05"/>
    <w:rsid w:val="001A796C"/>
    <w:rsid w:val="001B2614"/>
    <w:rsid w:val="001B37B8"/>
    <w:rsid w:val="001B552F"/>
    <w:rsid w:val="001C0893"/>
    <w:rsid w:val="001C1303"/>
    <w:rsid w:val="001C70B2"/>
    <w:rsid w:val="001D37C7"/>
    <w:rsid w:val="001D6888"/>
    <w:rsid w:val="001E4E1D"/>
    <w:rsid w:val="001F50BB"/>
    <w:rsid w:val="00224EFF"/>
    <w:rsid w:val="002276DC"/>
    <w:rsid w:val="00227E00"/>
    <w:rsid w:val="002307CB"/>
    <w:rsid w:val="00231046"/>
    <w:rsid w:val="00234F21"/>
    <w:rsid w:val="00242659"/>
    <w:rsid w:val="002428F7"/>
    <w:rsid w:val="0024315F"/>
    <w:rsid w:val="0024631C"/>
    <w:rsid w:val="00252C9A"/>
    <w:rsid w:val="00255B3F"/>
    <w:rsid w:val="00256309"/>
    <w:rsid w:val="00257484"/>
    <w:rsid w:val="00260636"/>
    <w:rsid w:val="00275C5C"/>
    <w:rsid w:val="00275C78"/>
    <w:rsid w:val="00280594"/>
    <w:rsid w:val="00281EE3"/>
    <w:rsid w:val="00283E7F"/>
    <w:rsid w:val="00284E4A"/>
    <w:rsid w:val="002A3799"/>
    <w:rsid w:val="002A3BCC"/>
    <w:rsid w:val="002A4516"/>
    <w:rsid w:val="002A569F"/>
    <w:rsid w:val="002A7066"/>
    <w:rsid w:val="002B001E"/>
    <w:rsid w:val="002B09B7"/>
    <w:rsid w:val="002B75A9"/>
    <w:rsid w:val="002C21B0"/>
    <w:rsid w:val="002D3C69"/>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C7841"/>
    <w:rsid w:val="003D79B1"/>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66002"/>
    <w:rsid w:val="00473D2D"/>
    <w:rsid w:val="004754B1"/>
    <w:rsid w:val="004A2125"/>
    <w:rsid w:val="004A38F6"/>
    <w:rsid w:val="004B4EB6"/>
    <w:rsid w:val="004C083C"/>
    <w:rsid w:val="004C67C6"/>
    <w:rsid w:val="004D29DE"/>
    <w:rsid w:val="004E3ABE"/>
    <w:rsid w:val="00510EAC"/>
    <w:rsid w:val="005166F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971F3"/>
    <w:rsid w:val="006C74A3"/>
    <w:rsid w:val="006D1381"/>
    <w:rsid w:val="006D31BC"/>
    <w:rsid w:val="006E7943"/>
    <w:rsid w:val="006F24EA"/>
    <w:rsid w:val="00704CA9"/>
    <w:rsid w:val="0071048D"/>
    <w:rsid w:val="00710F86"/>
    <w:rsid w:val="007111A8"/>
    <w:rsid w:val="00723B5F"/>
    <w:rsid w:val="00731BC3"/>
    <w:rsid w:val="00741192"/>
    <w:rsid w:val="00743A33"/>
    <w:rsid w:val="00746080"/>
    <w:rsid w:val="00747CF0"/>
    <w:rsid w:val="0075144A"/>
    <w:rsid w:val="00786329"/>
    <w:rsid w:val="00792C7D"/>
    <w:rsid w:val="00794A4D"/>
    <w:rsid w:val="007A5234"/>
    <w:rsid w:val="007B7854"/>
    <w:rsid w:val="007C56A1"/>
    <w:rsid w:val="007C6454"/>
    <w:rsid w:val="007E01E0"/>
    <w:rsid w:val="007E5CA0"/>
    <w:rsid w:val="007F0B93"/>
    <w:rsid w:val="007F2ECA"/>
    <w:rsid w:val="00802960"/>
    <w:rsid w:val="00811708"/>
    <w:rsid w:val="00816B90"/>
    <w:rsid w:val="00817799"/>
    <w:rsid w:val="00822F5F"/>
    <w:rsid w:val="00823DA5"/>
    <w:rsid w:val="00824FD3"/>
    <w:rsid w:val="00826589"/>
    <w:rsid w:val="00834BCC"/>
    <w:rsid w:val="00850D54"/>
    <w:rsid w:val="00852D8A"/>
    <w:rsid w:val="00852E2B"/>
    <w:rsid w:val="008714B0"/>
    <w:rsid w:val="00876331"/>
    <w:rsid w:val="00880726"/>
    <w:rsid w:val="00890BCC"/>
    <w:rsid w:val="008A3544"/>
    <w:rsid w:val="008B48B8"/>
    <w:rsid w:val="008B5348"/>
    <w:rsid w:val="008B58F8"/>
    <w:rsid w:val="008B62FF"/>
    <w:rsid w:val="008C0712"/>
    <w:rsid w:val="008C4520"/>
    <w:rsid w:val="008C5F09"/>
    <w:rsid w:val="008D470F"/>
    <w:rsid w:val="008E1F8F"/>
    <w:rsid w:val="008E4768"/>
    <w:rsid w:val="008E761E"/>
    <w:rsid w:val="008F77B3"/>
    <w:rsid w:val="009008F5"/>
    <w:rsid w:val="00904CC1"/>
    <w:rsid w:val="009066AF"/>
    <w:rsid w:val="00912050"/>
    <w:rsid w:val="00912E48"/>
    <w:rsid w:val="00912E68"/>
    <w:rsid w:val="0092746F"/>
    <w:rsid w:val="00935DC9"/>
    <w:rsid w:val="009446C0"/>
    <w:rsid w:val="0096082E"/>
    <w:rsid w:val="00961347"/>
    <w:rsid w:val="00967410"/>
    <w:rsid w:val="00967D73"/>
    <w:rsid w:val="0098119A"/>
    <w:rsid w:val="00984AAF"/>
    <w:rsid w:val="00991B09"/>
    <w:rsid w:val="00993CB2"/>
    <w:rsid w:val="009A5166"/>
    <w:rsid w:val="009A6E3D"/>
    <w:rsid w:val="009A76F8"/>
    <w:rsid w:val="009B2B83"/>
    <w:rsid w:val="009C49F8"/>
    <w:rsid w:val="009D77CC"/>
    <w:rsid w:val="009D797A"/>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D3D6D"/>
    <w:rsid w:val="00AE0209"/>
    <w:rsid w:val="00AE3DCF"/>
    <w:rsid w:val="00AE4452"/>
    <w:rsid w:val="00AE7C38"/>
    <w:rsid w:val="00B01F99"/>
    <w:rsid w:val="00B02B37"/>
    <w:rsid w:val="00B05276"/>
    <w:rsid w:val="00B132DB"/>
    <w:rsid w:val="00B31427"/>
    <w:rsid w:val="00B33861"/>
    <w:rsid w:val="00B40DE2"/>
    <w:rsid w:val="00B50210"/>
    <w:rsid w:val="00B50D8D"/>
    <w:rsid w:val="00B53955"/>
    <w:rsid w:val="00B53BFC"/>
    <w:rsid w:val="00B63C79"/>
    <w:rsid w:val="00B6408A"/>
    <w:rsid w:val="00B6478A"/>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130EE"/>
    <w:rsid w:val="00C24725"/>
    <w:rsid w:val="00C30BA9"/>
    <w:rsid w:val="00C3541E"/>
    <w:rsid w:val="00C36A8F"/>
    <w:rsid w:val="00C42834"/>
    <w:rsid w:val="00C42FFA"/>
    <w:rsid w:val="00C507D8"/>
    <w:rsid w:val="00C51F5A"/>
    <w:rsid w:val="00C57018"/>
    <w:rsid w:val="00C62EAC"/>
    <w:rsid w:val="00C63F9F"/>
    <w:rsid w:val="00C7723C"/>
    <w:rsid w:val="00C818AC"/>
    <w:rsid w:val="00C838F5"/>
    <w:rsid w:val="00C841C0"/>
    <w:rsid w:val="00CA1AF4"/>
    <w:rsid w:val="00CA6068"/>
    <w:rsid w:val="00CB15E1"/>
    <w:rsid w:val="00CB3D46"/>
    <w:rsid w:val="00CD1A87"/>
    <w:rsid w:val="00CD35F3"/>
    <w:rsid w:val="00CD5C93"/>
    <w:rsid w:val="00CE342B"/>
    <w:rsid w:val="00CF282F"/>
    <w:rsid w:val="00CF320C"/>
    <w:rsid w:val="00CF3A4B"/>
    <w:rsid w:val="00CF4001"/>
    <w:rsid w:val="00CF75DF"/>
    <w:rsid w:val="00D05837"/>
    <w:rsid w:val="00D12D8A"/>
    <w:rsid w:val="00D13E0C"/>
    <w:rsid w:val="00D17BEF"/>
    <w:rsid w:val="00D25896"/>
    <w:rsid w:val="00D36FA4"/>
    <w:rsid w:val="00D373A1"/>
    <w:rsid w:val="00D37C0F"/>
    <w:rsid w:val="00D45661"/>
    <w:rsid w:val="00D45943"/>
    <w:rsid w:val="00D47D22"/>
    <w:rsid w:val="00D51742"/>
    <w:rsid w:val="00D51865"/>
    <w:rsid w:val="00D51D0C"/>
    <w:rsid w:val="00D62249"/>
    <w:rsid w:val="00D74140"/>
    <w:rsid w:val="00DA6E56"/>
    <w:rsid w:val="00DA78DD"/>
    <w:rsid w:val="00DB1C65"/>
    <w:rsid w:val="00DC24E5"/>
    <w:rsid w:val="00DC6705"/>
    <w:rsid w:val="00DD2DE8"/>
    <w:rsid w:val="00DE38B4"/>
    <w:rsid w:val="00DE5D02"/>
    <w:rsid w:val="00DF2102"/>
    <w:rsid w:val="00E005A9"/>
    <w:rsid w:val="00E065BA"/>
    <w:rsid w:val="00E1166E"/>
    <w:rsid w:val="00E248A4"/>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4415"/>
    <w:rsid w:val="00EB51C1"/>
    <w:rsid w:val="00EB5AE1"/>
    <w:rsid w:val="00EB5E0B"/>
    <w:rsid w:val="00EC2171"/>
    <w:rsid w:val="00ED442D"/>
    <w:rsid w:val="00ED70C2"/>
    <w:rsid w:val="00EE18FF"/>
    <w:rsid w:val="00EE3E29"/>
    <w:rsid w:val="00EE489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9749B"/>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CCCA8"/>
  <w15:docId w15:val="{35E2AF85-90E1-45B0-88FD-C0CF8ABA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58876951">
      <w:bodyDiv w:val="1"/>
      <w:marLeft w:val="0"/>
      <w:marRight w:val="0"/>
      <w:marTop w:val="0"/>
      <w:marBottom w:val="0"/>
      <w:divBdr>
        <w:top w:val="none" w:sz="0" w:space="0" w:color="auto"/>
        <w:left w:val="none" w:sz="0" w:space="0" w:color="auto"/>
        <w:bottom w:val="none" w:sz="0" w:space="0" w:color="auto"/>
        <w:right w:val="none" w:sz="0" w:space="0" w:color="auto"/>
      </w:divBdr>
    </w:div>
    <w:div w:id="13122504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health.gov.au/cdi"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itsanhonour.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hyperlink" Target="https://creativecommons.org/licenses/by-nc-nd/4.0/legalco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health.gov.au/cdna" TargetMode="External"/><Relationship Id="rId10" Type="http://schemas.openxmlformats.org/officeDocument/2006/relationships/header" Target="head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header" Target="header3.xml"/><Relationship Id="rId22" Type="http://schemas.openxmlformats.org/officeDocument/2006/relationships/hyperlink" Target="mailto:copyright@health.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usek\OneDrive%20-%20Department%20of%20Health\Desktop\T%20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17</TotalTime>
  <Pages>8</Pages>
  <Words>3562</Words>
  <Characters>21358</Characters>
  <Application>Microsoft Office Word</Application>
  <DocSecurity>0</DocSecurity>
  <Lines>177</Lines>
  <Paragraphs>49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Communicable Diseases Intelligence - Enhanced surveillance of notifications of hepatitis C to Queensland Health up to 19 years previously</vt:lpstr>
      <vt:lpstr>Abstract </vt:lpstr>
      <vt:lpstr>Introduction </vt:lpstr>
      <vt:lpstr>Methods </vt:lpstr>
      <vt:lpstr>Results </vt:lpstr>
      <vt:lpstr>Discussion </vt:lpstr>
      <vt:lpstr>Conclusion </vt:lpstr>
      <vt:lpstr>Author contributions </vt:lpstr>
      <vt:lpstr>Declaration of funding </vt:lpstr>
      <vt:lpstr>Author details </vt:lpstr>
      <vt:lpstr>    Corresponding author </vt:lpstr>
      <vt:lpstr>References </vt:lpstr>
    </vt:vector>
  </TitlesOfParts>
  <Company>Australian Government, Department of Health</Company>
  <LinksUpToDate>false</LinksUpToDate>
  <CharactersWithSpaces>24871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Enhanced surveillance of notifications of hepatitis C to Queensland Health up to 19 years previously</dc:title>
  <dc:subject>This article describes a pilot project that was undertaken to assess the usefulness of following up hepatitis C notifications that were notified to Queensland Health up to 19 years previously.  Cases notified with hepatitis C who were notified in the month of June in 2003, 2008, 2013, and 2018 were followed up. Information from the Queensland Health notifications database as well as other data sources was used to identify details of each case’s most recent clinician and/or contact details, and either the clinician or the case was contacted by Queensland Health to gain more information and encourage further testing and treatment if necessary. Most cases had a subsequent negative hepatitis C RNA test after their serology test that prompted notification. Clinicians for only one fifth of the remaining cases could be contacted. Following up more recent notifications may be important in reaching hepatitis C elimination.</dc:subject>
  <dc:creator>TS Mekala Fernando; Stephen B Lambert; Robert Kemp; Linda A Selvey</dc:creator>
  <cp:keywords>notifiable diseases; follow-up; testing; treatment; enhanced surveillance</cp:keywords>
  <dc:description>© Commonwealth of Australia CC BY-NC-ND ISSN: 2209-6051 (Online)</dc:description>
  <cp:lastModifiedBy>YOUSEFI, Kasra</cp:lastModifiedBy>
  <cp:revision>38</cp:revision>
  <cp:lastPrinted>2018-05-10T02:19:00Z</cp:lastPrinted>
  <dcterms:created xsi:type="dcterms:W3CDTF">2023-09-01T00:49:00Z</dcterms:created>
  <dcterms:modified xsi:type="dcterms:W3CDTF">2023-10-16T01:50:00Z</dcterms:modified>
  <cp:category>Original articles</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19/10/2023</vt:lpwstr>
  </property>
  <property fmtid="{D5CDD505-2E9C-101B-9397-08002B2CF9AE}" pid="5" name="DOI">
    <vt:lpwstr>https://doi.org/10.33321/cdi.2023.47.63</vt:lpwstr>
  </property>
</Properties>
</file>