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B1800" w14:textId="77777777" w:rsidR="00264999" w:rsidRDefault="00264999" w:rsidP="00795092">
      <w:pPr>
        <w:pStyle w:val="Title"/>
        <w:rPr>
          <w:rFonts w:eastAsia="Times New Roman"/>
          <w:sz w:val="48"/>
          <w:szCs w:val="48"/>
        </w:rPr>
      </w:pPr>
      <w:r>
        <w:rPr>
          <w:rFonts w:eastAsia="Times New Roman"/>
        </w:rPr>
        <w:t>Epidemiology of syphilis in the Nepean and Blue Mountains Local Health District between 1 October 2009 and 30 September 2019</w:t>
      </w:r>
    </w:p>
    <w:p w14:paraId="73B48D0A" w14:textId="77777777" w:rsidR="00264999" w:rsidRDefault="00264999" w:rsidP="00795092">
      <w:r>
        <w:t xml:space="preserve">Sheena R Kakar, George Truman, Jane Thomas, Eva YH Jackson, Bradley L Forssman </w:t>
      </w:r>
    </w:p>
    <w:p w14:paraId="7093BF0D" w14:textId="77777777" w:rsidR="00264999" w:rsidRPr="00795092" w:rsidRDefault="00264999" w:rsidP="00795092">
      <w:pPr>
        <w:pStyle w:val="Heading1"/>
      </w:pPr>
      <w:r w:rsidRPr="00795092">
        <w:t xml:space="preserve">Abstract </w:t>
      </w:r>
    </w:p>
    <w:p w14:paraId="6F1550D4" w14:textId="77777777" w:rsidR="00264999" w:rsidRPr="00795092" w:rsidRDefault="00264999" w:rsidP="00795092">
      <w:pPr>
        <w:pStyle w:val="Heading2"/>
      </w:pPr>
      <w:r w:rsidRPr="00795092">
        <w:t xml:space="preserve">Background </w:t>
      </w:r>
    </w:p>
    <w:p w14:paraId="1FCABFA4" w14:textId="77777777" w:rsidR="00264999" w:rsidRDefault="00264999" w:rsidP="00795092">
      <w:r>
        <w:t xml:space="preserve">Syphilis is a nationally notifiable sexually transmitted infection (STI). Rates of syphilis notifications have been on the increase in Australia. Given these increases, we wanted to study the epidemiological trends of syphilis notifications in the Nepean Blue Mountain Local Health District (NBMLHD) over a ten-year period across different healthcare settings. </w:t>
      </w:r>
    </w:p>
    <w:p w14:paraId="4026BC56" w14:textId="77777777" w:rsidR="00264999" w:rsidRPr="00795092" w:rsidRDefault="00264999" w:rsidP="00795092">
      <w:pPr>
        <w:pStyle w:val="Heading2"/>
      </w:pPr>
      <w:r w:rsidRPr="00795092">
        <w:t xml:space="preserve">Methods </w:t>
      </w:r>
    </w:p>
    <w:p w14:paraId="29140D34" w14:textId="77777777" w:rsidR="00264999" w:rsidRDefault="00264999" w:rsidP="00795092">
      <w:r>
        <w:t xml:space="preserve">All syphilis notifications in residents in the NBMLHD in the ten-year period between 1 October 2009 and 30 September 2019 </w:t>
      </w:r>
      <w:proofErr w:type="gramStart"/>
      <w:r>
        <w:t>were included</w:t>
      </w:r>
      <w:proofErr w:type="gramEnd"/>
      <w:r>
        <w:t xml:space="preserve"> in the study. Separate analyses </w:t>
      </w:r>
      <w:proofErr w:type="gramStart"/>
      <w:r>
        <w:t>were performed</w:t>
      </w:r>
      <w:proofErr w:type="gramEnd"/>
      <w:r>
        <w:t xml:space="preserve"> for all syphilis notifications, as well as for infectious syphilis and for syphilis acquired &gt; 2 years ago or of unknown duration. We described age distribution and demographic profile and risk factors of all syphilis notifications. Notification trends were </w:t>
      </w:r>
      <w:proofErr w:type="gramStart"/>
      <w:r>
        <w:t>studied</w:t>
      </w:r>
      <w:proofErr w:type="gramEnd"/>
      <w:r>
        <w:t xml:space="preserve"> and crude incidence rates were calculated. Notifications </w:t>
      </w:r>
      <w:proofErr w:type="gramStart"/>
      <w:r>
        <w:t>were stratified</w:t>
      </w:r>
      <w:proofErr w:type="gramEnd"/>
      <w:r>
        <w:t xml:space="preserve"> by stage of syphilis, sex, and geographical location. </w:t>
      </w:r>
    </w:p>
    <w:p w14:paraId="014B5531" w14:textId="77777777" w:rsidR="00264999" w:rsidRPr="00795092" w:rsidRDefault="00264999" w:rsidP="00795092">
      <w:pPr>
        <w:pStyle w:val="Heading2"/>
      </w:pPr>
      <w:r w:rsidRPr="00795092">
        <w:t xml:space="preserve">Results </w:t>
      </w:r>
    </w:p>
    <w:p w14:paraId="420FEF59" w14:textId="77777777" w:rsidR="00264999" w:rsidRDefault="00264999" w:rsidP="00795092">
      <w:r>
        <w:t xml:space="preserve">In the study duration, a total of 342 notifications of syphilis </w:t>
      </w:r>
      <w:proofErr w:type="gramStart"/>
      <w:r>
        <w:t>were received</w:t>
      </w:r>
      <w:proofErr w:type="gramEnd"/>
      <w:r>
        <w:t xml:space="preserve">. Of these, 187 were infectious syphilis and 155 were related to infections acquired &gt; 2 years ago and/or of unknown duration. </w:t>
      </w:r>
      <w:proofErr w:type="gramStart"/>
      <w:r>
        <w:t>The majority of</w:t>
      </w:r>
      <w:proofErr w:type="gramEnd"/>
      <w:r>
        <w:t xml:space="preserve"> notifications were in men: 281 (82%). Overall, syphilis notifications increased over the ten-year study period. The crude incidence rates for infectious syphilis were significantly higher in the second five-year period overall (7.78/100,000 population per year compared to 5.28/100,000 population per year; incidence rate ratio (IRR): 1.47; 95% confidence interval (95% CI): 1.10–1.97; </w:t>
      </w:r>
      <w:r w:rsidRPr="00264999">
        <w:rPr>
          <w:rStyle w:val="Emphasis"/>
          <w:b w:val="0"/>
          <w:bCs w:val="0"/>
        </w:rPr>
        <w:t>p</w:t>
      </w:r>
      <w:r>
        <w:t xml:space="preserve"> &lt; 0.01), as well as for males (14.44/100,000 population per year compared to 9.7/100,000 population per year; IRR: 1.49; 95% CI: 1.09–2.03; </w:t>
      </w:r>
      <w:r w:rsidRPr="00264999">
        <w:rPr>
          <w:rStyle w:val="Emphasis"/>
          <w:b w:val="0"/>
          <w:bCs w:val="0"/>
        </w:rPr>
        <w:t>p</w:t>
      </w:r>
      <w:r>
        <w:t xml:space="preserve"> &lt; 0.01). There were significant increases in syphilis notifications in males &lt; 35 years of age, from 39 such notifications in the first five-year period (27.5% of all syphilis notifications in this period) to 83 notifications in the second five-year period (42.1% of all notifications in this period), </w:t>
      </w:r>
      <w:r w:rsidRPr="00264999">
        <w:rPr>
          <w:rStyle w:val="Emphasis"/>
          <w:b w:val="0"/>
          <w:bCs w:val="0"/>
        </w:rPr>
        <w:t>p</w:t>
      </w:r>
      <w:r>
        <w:t xml:space="preserve"> &lt; 0.05. </w:t>
      </w:r>
    </w:p>
    <w:p w14:paraId="785E0C29" w14:textId="77777777" w:rsidR="00264999" w:rsidRPr="00795092" w:rsidRDefault="00264999" w:rsidP="00795092">
      <w:pPr>
        <w:pStyle w:val="Heading2"/>
      </w:pPr>
      <w:r w:rsidRPr="00795092">
        <w:t xml:space="preserve">Conclusion </w:t>
      </w:r>
    </w:p>
    <w:p w14:paraId="4B057C9A" w14:textId="77777777" w:rsidR="00264999" w:rsidRDefault="00264999" w:rsidP="00795092">
      <w:r>
        <w:t xml:space="preserve">In keeping with national trends, notifications in our study increased. Significant increases </w:t>
      </w:r>
      <w:proofErr w:type="gramStart"/>
      <w:r>
        <w:t>were noted</w:t>
      </w:r>
      <w:proofErr w:type="gramEnd"/>
      <w:r>
        <w:t xml:space="preserve"> in notifications among males under 35 years of age. This supports the continued investment in sexual health promotion activities aimed at young sexually active men. Expansion of screening activities to include women and older people would help detect any increase in cases in these groups. Increase in engagement with general practitioners will support them to provide opportunistic STI screens to </w:t>
      </w:r>
      <w:proofErr w:type="gramStart"/>
      <w:r>
        <w:t>sexually-active</w:t>
      </w:r>
      <w:proofErr w:type="gramEnd"/>
      <w:r>
        <w:t xml:space="preserve"> attendees. National screening recommendations </w:t>
      </w:r>
      <w:proofErr w:type="gramStart"/>
      <w:r>
        <w:t>remain</w:t>
      </w:r>
      <w:proofErr w:type="gramEnd"/>
      <w:r>
        <w:t xml:space="preserve"> applicable to this population. </w:t>
      </w:r>
    </w:p>
    <w:p w14:paraId="2C89F597" w14:textId="77777777" w:rsidR="00264999" w:rsidRDefault="00264999" w:rsidP="007253BB">
      <w:r>
        <w:t xml:space="preserve">Keywords: Syphilis; sexually transmitted infections; men who have sex with men; MSM; sexual health </w:t>
      </w:r>
    </w:p>
    <w:p w14:paraId="186510BB" w14:textId="77777777" w:rsidR="0048530A" w:rsidRDefault="0048530A">
      <w:pPr>
        <w:rPr>
          <w:rFonts w:asciiTheme="majorHAnsi" w:eastAsiaTheme="majorEastAsia" w:hAnsiTheme="majorHAnsi" w:cstheme="majorBidi"/>
          <w:b/>
          <w:bCs/>
          <w:sz w:val="32"/>
          <w:szCs w:val="28"/>
        </w:rPr>
      </w:pPr>
      <w:r>
        <w:br w:type="page"/>
      </w:r>
    </w:p>
    <w:p w14:paraId="439F6CEF" w14:textId="2CCEE648" w:rsidR="00264999" w:rsidRPr="00795092" w:rsidRDefault="00264999" w:rsidP="00795092">
      <w:pPr>
        <w:pStyle w:val="Heading1"/>
      </w:pPr>
      <w:r w:rsidRPr="00795092">
        <w:lastRenderedPageBreak/>
        <w:t xml:space="preserve">Introduction </w:t>
      </w:r>
    </w:p>
    <w:p w14:paraId="5622E6D0" w14:textId="77777777" w:rsidR="00264999" w:rsidRDefault="00264999" w:rsidP="00795092">
      <w:r>
        <w:t xml:space="preserve">Syphilis is a nationally notifiable sexually transmitted infection (STI). It is an infection of public health significance; if not treated </w:t>
      </w:r>
      <w:proofErr w:type="gramStart"/>
      <w:r>
        <w:t>in a timely manner</w:t>
      </w:r>
      <w:proofErr w:type="gramEnd"/>
      <w:r>
        <w:t xml:space="preserve">, it can cause morbidity including cardiovascular and neurologic sequelae and </w:t>
      </w:r>
      <w:proofErr w:type="spellStart"/>
      <w:r>
        <w:t>gummatous</w:t>
      </w:r>
      <w:proofErr w:type="spellEnd"/>
      <w:r>
        <w:t xml:space="preserve"> involvement of any organ system. It can also </w:t>
      </w:r>
      <w:proofErr w:type="gramStart"/>
      <w:r>
        <w:t>be transmitted</w:t>
      </w:r>
      <w:proofErr w:type="gramEnd"/>
      <w:r>
        <w:t xml:space="preserve"> from mother to foetus in utero, causing congenital syphilis with devastating impacts on the baby. In Australia in 2018, there were 5,078 infectious syphilis notifications, up from 2,063 in 2014, an increase of 146%. Similarly, the infectious syphilis notification rate increased from 9/100,000 population per year in 2014 to 20.8/100,000 population per year in 2018, an increase of 131%. In 2018, there were 4,330 infectious syphilis notifications among males and 725 among females, suggesting transmission is </w:t>
      </w:r>
      <w:proofErr w:type="gramStart"/>
      <w:r>
        <w:t>predominantly due</w:t>
      </w:r>
      <w:proofErr w:type="gramEnd"/>
      <w:r>
        <w:t xml:space="preserve"> to </w:t>
      </w:r>
      <w:proofErr w:type="spellStart"/>
      <w:r>
        <w:t>maletomale</w:t>
      </w:r>
      <w:proofErr w:type="spellEnd"/>
      <w:r>
        <w:t xml:space="preserve"> sexual contact. However, between 2014 and 2018, there has been an increase in notifications among women of over 300% (from 165 to 725 notifications), suggesting increasing </w:t>
      </w:r>
      <w:proofErr w:type="gramStart"/>
      <w:r>
        <w:t>heterosexual</w:t>
      </w:r>
      <w:proofErr w:type="gramEnd"/>
      <w:r>
        <w:t xml:space="preserve"> transmission.</w:t>
      </w:r>
      <w:r>
        <w:rPr>
          <w:vertAlign w:val="superscript"/>
        </w:rPr>
        <w:t>1</w:t>
      </w:r>
      <w:r>
        <w:t xml:space="preserve"> </w:t>
      </w:r>
    </w:p>
    <w:p w14:paraId="13FD992D" w14:textId="77777777" w:rsidR="00264999" w:rsidRDefault="00264999" w:rsidP="00795092">
      <w:r>
        <w:t xml:space="preserve">The rate of notification of infectious syphilis in the Aboriginal and Torres Strait Islander population is </w:t>
      </w:r>
      <w:proofErr w:type="gramStart"/>
      <w:r>
        <w:t>considerably higher</w:t>
      </w:r>
      <w:proofErr w:type="gramEnd"/>
      <w:r>
        <w:t xml:space="preserve"> than that in the </w:t>
      </w:r>
      <w:proofErr w:type="spellStart"/>
      <w:r>
        <w:t>nonIndigenous</w:t>
      </w:r>
      <w:proofErr w:type="spellEnd"/>
      <w:r>
        <w:t xml:space="preserve"> population (101.2 per 100,000 population per year and 18 per 100,000 population per year, respectively, in 2017). Further, there has been an ongoing increase in syphilis notification among the Aboriginal and Torres Strait Islander population in regional and remote communities, related to a recognised outbreak starting in Western Australia and then spreading to the Northern Territory, </w:t>
      </w:r>
      <w:proofErr w:type="gramStart"/>
      <w:r>
        <w:t>Queensland</w:t>
      </w:r>
      <w:proofErr w:type="gramEnd"/>
      <w:r>
        <w:t xml:space="preserve"> and South Australia.</w:t>
      </w:r>
      <w:r>
        <w:rPr>
          <w:vertAlign w:val="superscript"/>
        </w:rPr>
        <w:t>1</w:t>
      </w:r>
      <w:r>
        <w:t xml:space="preserve"> </w:t>
      </w:r>
    </w:p>
    <w:p w14:paraId="02E9FE23" w14:textId="3F6080B8" w:rsidR="00264999" w:rsidRDefault="00264999" w:rsidP="00795092">
      <w:r>
        <w:t xml:space="preserve">Nepean and Blue Mountains Local Health District (NBMLHD) has a unique geographical reach, including both urban and semi-rural areas. It is different to the other metropolitan New South Wales (NSW) health districts which have a purely urban population. According to the </w:t>
      </w:r>
      <w:r w:rsidRPr="00264999">
        <w:rPr>
          <w:rStyle w:val="Emphasis"/>
          <w:b w:val="0"/>
          <w:bCs w:val="0"/>
        </w:rPr>
        <w:t>Socio-Economic Indexes for Area (SEIFA) 2006, Index of Socio-economic Disadvantage</w:t>
      </w:r>
      <w:r>
        <w:t>,</w:t>
      </w:r>
      <w:r w:rsidR="00AE6F96">
        <w:rPr>
          <w:rStyle w:val="FootnoteReference"/>
        </w:rPr>
        <w:footnoteReference w:id="2"/>
      </w:r>
      <w:r>
        <w:t xml:space="preserve"> NBMLHD has Local Government Areas (LGAs) at both ends of the spectrum, with Lithgow at the lower end (scoring 937) and Blue Mountains (1,051), Hawkesbury (1,033) and Penrith (1,006) at the higher end with relative advantage.</w:t>
      </w:r>
      <w:r>
        <w:rPr>
          <w:vertAlign w:val="superscript"/>
        </w:rPr>
        <w:t>2</w:t>
      </w:r>
      <w:r>
        <w:t xml:space="preserve"> In keeping with other STIs, syphilis has well-established socioeconomic and geographical links, with high rates in areas of disadvantage and remoteness. These trends have been seen internationally</w:t>
      </w:r>
      <w:r>
        <w:rPr>
          <w:vertAlign w:val="superscript"/>
        </w:rPr>
        <w:t>3,</w:t>
      </w:r>
      <w:proofErr w:type="gramStart"/>
      <w:r>
        <w:rPr>
          <w:vertAlign w:val="superscript"/>
        </w:rPr>
        <w:t>4</w:t>
      </w:r>
      <w:proofErr w:type="gramEnd"/>
      <w:r>
        <w:t xml:space="preserve"> as well as elsewhere in Australia.</w:t>
      </w:r>
      <w:r>
        <w:rPr>
          <w:vertAlign w:val="superscript"/>
        </w:rPr>
        <w:t xml:space="preserve">5 </w:t>
      </w:r>
    </w:p>
    <w:p w14:paraId="65C72D53" w14:textId="77777777" w:rsidR="00264999" w:rsidRDefault="00264999" w:rsidP="00795092">
      <w:r>
        <w:t xml:space="preserve">The study aimed to analyse the epidemiological trends of syphilis notifications in the NBMLHD over a </w:t>
      </w:r>
      <w:proofErr w:type="gramStart"/>
      <w:r>
        <w:t>10 year</w:t>
      </w:r>
      <w:proofErr w:type="gramEnd"/>
      <w:r>
        <w:t xml:space="preserve"> period, from 1 October 2009 to 30 September 2019, across different healthcare settings. </w:t>
      </w:r>
      <w:proofErr w:type="gramStart"/>
      <w:r>
        <w:t>In particular, we</w:t>
      </w:r>
      <w:proofErr w:type="gramEnd"/>
      <w:r>
        <w:t xml:space="preserve"> wanted to assess if the epidemiological trends were different in NMBLHD compared to national data, given the population it serves has varying geographical and demographic characteristics. The study </w:t>
      </w:r>
      <w:proofErr w:type="gramStart"/>
      <w:r>
        <w:t>was approved</w:t>
      </w:r>
      <w:proofErr w:type="gramEnd"/>
      <w:r>
        <w:t xml:space="preserve"> by the NBMLHD Human Research Ethics Committee (HREC) in January 2020. </w:t>
      </w:r>
    </w:p>
    <w:p w14:paraId="2522B43B" w14:textId="77777777" w:rsidR="00264999" w:rsidRPr="00795092" w:rsidRDefault="00264999" w:rsidP="00795092">
      <w:pPr>
        <w:pStyle w:val="Heading1"/>
      </w:pPr>
      <w:r w:rsidRPr="00795092">
        <w:t xml:space="preserve">Methods </w:t>
      </w:r>
    </w:p>
    <w:p w14:paraId="3F68F534" w14:textId="77777777" w:rsidR="00264999" w:rsidRDefault="00264999" w:rsidP="00795092">
      <w:r>
        <w:t xml:space="preserve">Routinely, notifications of positive syphilis serology and positive nucleic acid amplification tests on swabs </w:t>
      </w:r>
      <w:proofErr w:type="gramStart"/>
      <w:r>
        <w:t>are reported</w:t>
      </w:r>
      <w:proofErr w:type="gramEnd"/>
      <w:r>
        <w:t xml:space="preserve"> by pathology laboratories to public health authorities as per the current </w:t>
      </w:r>
      <w:r w:rsidRPr="00264999">
        <w:rPr>
          <w:rStyle w:val="Emphasis"/>
          <w:b w:val="0"/>
          <w:bCs w:val="0"/>
        </w:rPr>
        <w:t>Public Health Act 2010</w:t>
      </w:r>
      <w:r>
        <w:t>.</w:t>
      </w:r>
      <w:r>
        <w:rPr>
          <w:vertAlign w:val="superscript"/>
        </w:rPr>
        <w:t>6</w:t>
      </w:r>
      <w:r>
        <w:t xml:space="preserve"> These notifications are received from testing laboratories by </w:t>
      </w:r>
      <w:proofErr w:type="spellStart"/>
      <w:r>
        <w:t>tvhe</w:t>
      </w:r>
      <w:proofErr w:type="spellEnd"/>
      <w:r>
        <w:t xml:space="preserve"> NBM Public Health Unit (PHU) both in hard copy and electronically. The PHU then follows up on these notifications by seeking information via a surveillance form from the treating physicians. This a standard form that </w:t>
      </w:r>
      <w:proofErr w:type="gramStart"/>
      <w:r>
        <w:t>is used</w:t>
      </w:r>
      <w:proofErr w:type="gramEnd"/>
      <w:r>
        <w:t xml:space="preserve"> across all districts in NSW. Information collected included demographic detail, risk factors, clinical information, treatment and contact tracing. If the diagnosing physician is a general practitioner (GP), this is usually followed up by a phone call from the NBMLHD sexual health medical officer </w:t>
      </w:r>
      <w:r>
        <w:lastRenderedPageBreak/>
        <w:t xml:space="preserve">to </w:t>
      </w:r>
      <w:proofErr w:type="gramStart"/>
      <w:r>
        <w:t>assist</w:t>
      </w:r>
      <w:proofErr w:type="gramEnd"/>
      <w:r>
        <w:t xml:space="preserve"> the physician in management and contact tracing. Managing physicians complete the routine surveillance form and return it to the PHU. This surveillance information is entered into a secure </w:t>
      </w:r>
      <w:proofErr w:type="gramStart"/>
      <w:r>
        <w:t>web based</w:t>
      </w:r>
      <w:proofErr w:type="gramEnd"/>
      <w:r>
        <w:t xml:space="preserve"> database (Notifiable Conditions Information Management System, NCIMS). </w:t>
      </w:r>
    </w:p>
    <w:p w14:paraId="3893A774" w14:textId="7F1E25C5" w:rsidR="00264999" w:rsidRDefault="00264999" w:rsidP="00795092">
      <w:r>
        <w:t xml:space="preserve">For the purposes of the study, notifications in the district </w:t>
      </w:r>
      <w:proofErr w:type="gramStart"/>
      <w:r>
        <w:t>were retrieved</w:t>
      </w:r>
      <w:proofErr w:type="gramEnd"/>
      <w:r>
        <w:t xml:space="preserve"> from NCIMS. All syphilis notifications in residents in the NBMLHD in the ten-year period between 1 October 2009 and 30 September 2019 </w:t>
      </w:r>
      <w:proofErr w:type="gramStart"/>
      <w:r>
        <w:t>were included</w:t>
      </w:r>
      <w:proofErr w:type="gramEnd"/>
      <w:r>
        <w:t xml:space="preserve"> in the study. Data were de-identified. We </w:t>
      </w:r>
      <w:proofErr w:type="gramStart"/>
      <w:r>
        <w:t>determined</w:t>
      </w:r>
      <w:proofErr w:type="gramEnd"/>
      <w:r>
        <w:t xml:space="preserve"> the age distribution, the demographic profile and the distribution of risk factors for all syphilis notifications between 1 October 2009 and 30 September 2019. The notifications were also classified into infectious syphilis (</w:t>
      </w:r>
      <w:proofErr w:type="gramStart"/>
      <w:r>
        <w:t>likely acquired</w:t>
      </w:r>
      <w:proofErr w:type="gramEnd"/>
      <w:r>
        <w:t xml:space="preserve"> in the previous two years) and syphilis acquired greater than 2 years ago and/or of unknown duration, based on clinical information and likelihood of duration from acquisition. Primary, </w:t>
      </w:r>
      <w:proofErr w:type="gramStart"/>
      <w:r>
        <w:t>secondary</w:t>
      </w:r>
      <w:proofErr w:type="gramEnd"/>
      <w:r>
        <w:t xml:space="preserve"> and early latent syphilis were included in infectious syphilis while tertiary syphilis and late latent syphilis were included in syphilis acquired greater than 2 years ago and/or unknown</w:t>
      </w:r>
      <w:r w:rsidR="00076A7C">
        <w:t> </w:t>
      </w:r>
      <w:r>
        <w:t xml:space="preserve">duration. </w:t>
      </w:r>
    </w:p>
    <w:p w14:paraId="138BE5A2" w14:textId="77777777" w:rsidR="00264999" w:rsidRDefault="00264999" w:rsidP="00795092">
      <w:r>
        <w:t xml:space="preserve">To get a visual assessment of the notification trends, we presented them in a graph using MS Excel. To study the changes in notifications that occurred over the ten-year study period, notifications </w:t>
      </w:r>
      <w:proofErr w:type="gramStart"/>
      <w:r>
        <w:t>were divided</w:t>
      </w:r>
      <w:proofErr w:type="gramEnd"/>
      <w:r>
        <w:t xml:space="preserve"> into the first five-year period (1 October 2009 – 30 September 2014) and the second five-year period (1 October 2014 – 30 September 2019). Separate analyses were performed for all syphilis, infectious </w:t>
      </w:r>
      <w:proofErr w:type="gramStart"/>
      <w:r>
        <w:t>syphilis</w:t>
      </w:r>
      <w:proofErr w:type="gramEnd"/>
      <w:r>
        <w:t xml:space="preserve"> and syphilis acquired &gt; 2 years ago or of unknown duration. Two-by-two Chi-square tests with </w:t>
      </w:r>
      <w:proofErr w:type="gramStart"/>
      <w:r>
        <w:t>Yates</w:t>
      </w:r>
      <w:proofErr w:type="gramEnd"/>
      <w:r>
        <w:t xml:space="preserve"> corrections were calculated for comparing each five-year period and other characteristics such as sex, age and geographical area (where appropriate). To further explore notification trends, comparisons </w:t>
      </w:r>
      <w:proofErr w:type="gramStart"/>
      <w:r>
        <w:t>were made</w:t>
      </w:r>
      <w:proofErr w:type="gramEnd"/>
      <w:r>
        <w:t xml:space="preserve"> between the crude incidence rates in the first and second five-year period in the duration of interest. Crude incidence rates were calculated using the 2011 census counts of person usual place of residence for the first five-year period and the 2016 census counts of person usual place of residence for the second </w:t>
      </w:r>
      <w:proofErr w:type="gramStart"/>
      <w:r>
        <w:t>five year</w:t>
      </w:r>
      <w:proofErr w:type="gramEnd"/>
      <w:r>
        <w:t xml:space="preserve"> period. </w:t>
      </w:r>
    </w:p>
    <w:p w14:paraId="78F53F2E" w14:textId="77777777" w:rsidR="00264999" w:rsidRPr="00795092" w:rsidRDefault="00264999" w:rsidP="00795092">
      <w:pPr>
        <w:pStyle w:val="Heading1"/>
      </w:pPr>
      <w:r w:rsidRPr="00795092">
        <w:t xml:space="preserve">Results </w:t>
      </w:r>
    </w:p>
    <w:p w14:paraId="7385C4EA" w14:textId="77777777" w:rsidR="00264999" w:rsidRDefault="00264999" w:rsidP="00795092">
      <w:r>
        <w:t xml:space="preserve">Between 1 October 2009 and 30 September 2019, a total of 342 notifications of syphilis </w:t>
      </w:r>
      <w:proofErr w:type="gramStart"/>
      <w:r>
        <w:t>were received</w:t>
      </w:r>
      <w:proofErr w:type="gramEnd"/>
      <w:r>
        <w:t xml:space="preserve">. Demographic characteristics of these notifications </w:t>
      </w:r>
      <w:proofErr w:type="gramStart"/>
      <w:r>
        <w:t>are presented</w:t>
      </w:r>
      <w:proofErr w:type="gramEnd"/>
      <w:r>
        <w:t xml:space="preserve"> in Table 1. Of these notifications, 187 (54.7%) were new infections/infectious syphilis and 155 (45.3%) were related to infections acquired &gt; 2 years ago and/or of unknown duration. </w:t>
      </w:r>
      <w:proofErr w:type="gramStart"/>
      <w:r>
        <w:t>The majority of</w:t>
      </w:r>
      <w:proofErr w:type="gramEnd"/>
      <w:r>
        <w:t xml:space="preserve"> notifications (281; 82%) were in men. Of the 235 notifications for which this information was available, </w:t>
      </w:r>
      <w:proofErr w:type="gramStart"/>
      <w:r>
        <w:t>a large number</w:t>
      </w:r>
      <w:proofErr w:type="gramEnd"/>
      <w:r>
        <w:t xml:space="preserve"> (109; 46.4%) were diagnosed in sexual health clinics, followed by general practice (95; 40.4%), with a smaller proportion diagnosed in other settings including hospitals and other specialists (31; 13.2%). Risk history was not available for all notifications but where noted, </w:t>
      </w:r>
      <w:proofErr w:type="gramStart"/>
      <w:r>
        <w:t>18</w:t>
      </w:r>
      <w:proofErr w:type="gramEnd"/>
      <w:r>
        <w:t xml:space="preserve"> notifications (5.3%) were current users of human immunodeficiency virus (HIV) pre-exposure prophylaxis (</w:t>
      </w:r>
      <w:proofErr w:type="spellStart"/>
      <w:r>
        <w:t>PrEP</w:t>
      </w:r>
      <w:proofErr w:type="spellEnd"/>
      <w:r>
        <w:t xml:space="preserve">), six cases (1.8%) identified as sex workers and 86 (35.2%) were born overseas. Notifications </w:t>
      </w:r>
      <w:proofErr w:type="gramStart"/>
      <w:r>
        <w:t>were stratified</w:t>
      </w:r>
      <w:proofErr w:type="gramEnd"/>
      <w:r>
        <w:t xml:space="preserve"> based on LGA of residence, with Penrith LGA having the largest number of notifications (217; 63.5%) followed by Blue Mountains (59; 17.3%). </w:t>
      </w:r>
    </w:p>
    <w:p w14:paraId="6DE032ED" w14:textId="77777777" w:rsidR="00264999" w:rsidRDefault="00264999" w:rsidP="00795092">
      <w:r>
        <w:t xml:space="preserve">Annual notifications of syphilis by stage and sex in NBMLHD for 2010 to 2019 </w:t>
      </w:r>
      <w:proofErr w:type="gramStart"/>
      <w:r>
        <w:t>are shown</w:t>
      </w:r>
      <w:proofErr w:type="gramEnd"/>
      <w:r>
        <w:t xml:space="preserve"> in Figure 1. Overall, syphilis notifications increased over the </w:t>
      </w:r>
      <w:proofErr w:type="gramStart"/>
      <w:r>
        <w:t>10 year</w:t>
      </w:r>
      <w:proofErr w:type="gramEnd"/>
      <w:r>
        <w:t xml:space="preserve"> study period, with larger increases seen in infectious syphilis. In that </w:t>
      </w:r>
      <w:proofErr w:type="gramStart"/>
      <w:r>
        <w:t>10 year</w:t>
      </w:r>
      <w:proofErr w:type="gramEnd"/>
      <w:r>
        <w:t xml:space="preserve"> period, notifications for infectious syphilis in males increased from about 10 to about 35 per year. Additionally, notifications of syphilis acquired &gt; 2 years ago or of unknown duration in males increased from about 5 to about 15 per year. </w:t>
      </w:r>
    </w:p>
    <w:p w14:paraId="4D0E99EB" w14:textId="5A834AEE" w:rsidR="00264999" w:rsidRDefault="00264999" w:rsidP="00795092">
      <w:r>
        <w:t>The crude incidence rates were significantly higher for infectious syphilis in the second five-year period overall, 7.78/100,000 population per year compared to 5.28/100,000 population per year in the first five-year period, with an incidence rate ratio (IRR) of 1.47 and a 95% confidence interval (95% CI) of 1.10–1.97 (</w:t>
      </w:r>
      <w:r w:rsidRPr="00264999">
        <w:rPr>
          <w:rStyle w:val="Emphasis"/>
          <w:b w:val="0"/>
          <w:bCs w:val="0"/>
        </w:rPr>
        <w:t>p</w:t>
      </w:r>
      <w:r>
        <w:t xml:space="preserve"> &lt; 0.01), as well as for </w:t>
      </w:r>
      <w:r>
        <w:lastRenderedPageBreak/>
        <w:t xml:space="preserve">men, 14.44/100,000 population per year in the second five-year period compared to 9.7/100,000 population per year in the first five-year period (IRR: 1.49; 95% CI: 1.09–2.03; </w:t>
      </w:r>
      <w:r w:rsidRPr="00264999">
        <w:rPr>
          <w:rStyle w:val="Emphasis"/>
          <w:b w:val="0"/>
          <w:bCs w:val="0"/>
        </w:rPr>
        <w:t>p</w:t>
      </w:r>
      <w:r>
        <w:t xml:space="preserve"> &lt; 0.01). The crude incidence rate of infectious syphilis was higher in the second five-year period for women (1.34/100,000 population per year compared to 0.99/100,000 population per year across the first five-year period), though this was not statistically significant. These results </w:t>
      </w:r>
      <w:proofErr w:type="gramStart"/>
      <w:r>
        <w:t>are shown</w:t>
      </w:r>
      <w:proofErr w:type="gramEnd"/>
      <w:r>
        <w:t xml:space="preserve"> in Table 2. </w:t>
      </w:r>
    </w:p>
    <w:p w14:paraId="639A2E8F" w14:textId="77777777" w:rsidR="004C2149" w:rsidRPr="00CB04B4" w:rsidRDefault="004C2149" w:rsidP="004C2149">
      <w:pPr>
        <w:pStyle w:val="CDIFigures"/>
        <w:rPr>
          <w:b w:val="0"/>
          <w:bCs/>
          <w:lang w:val="en-GB"/>
        </w:rPr>
      </w:pPr>
      <w:r w:rsidRPr="00CB04B4">
        <w:rPr>
          <w:rStyle w:val="Strong"/>
          <w:b/>
          <w:bCs w:val="0"/>
          <w:lang w:val="en-GB"/>
        </w:rPr>
        <w:t>Table 1: Demographic characteristics of syphilis notifications in the Nepean and Blue Mountains Local Health District, Australia, 1 October 2009 to 30 September 2019</w:t>
      </w:r>
      <w:r w:rsidRPr="00CB04B4">
        <w:rPr>
          <w:b w:val="0"/>
          <w:bCs/>
          <w:lang w:val="en-GB"/>
        </w:rPr>
        <w:t xml:space="preserve"> </w:t>
      </w:r>
    </w:p>
    <w:tbl>
      <w:tblPr>
        <w:tblStyle w:val="CDI-StandardTable"/>
        <w:tblW w:w="0" w:type="auto"/>
        <w:tblLook w:val="04A0" w:firstRow="1" w:lastRow="0" w:firstColumn="1" w:lastColumn="0" w:noHBand="0" w:noVBand="1"/>
        <w:tblDescription w:val="Demographic characteristics of syphilis notifications in the Nepean and Blue Mountains&#10;Local Health District, Australia, 1 October 2009 to 30 September 2019 are presented in this table. Details include sex, local government area of residence, site of testing, risk of acquisition of syphilis. &#10;"/>
      </w:tblPr>
      <w:tblGrid>
        <w:gridCol w:w="1411"/>
        <w:gridCol w:w="2868"/>
        <w:gridCol w:w="1449"/>
        <w:gridCol w:w="3129"/>
        <w:gridCol w:w="1595"/>
      </w:tblGrid>
      <w:tr w:rsidR="004C2149" w:rsidRPr="000610B7" w14:paraId="598947D8" w14:textId="77777777" w:rsidTr="004C2149">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2CF9007D" w14:textId="77777777" w:rsidR="004C2149" w:rsidRPr="000610B7" w:rsidRDefault="004C2149" w:rsidP="00A5557F">
            <w:pPr>
              <w:pStyle w:val="NormalWeb"/>
              <w:rPr>
                <w:sz w:val="18"/>
                <w:szCs w:val="18"/>
                <w:lang w:val="en-GB"/>
              </w:rPr>
            </w:pPr>
            <w:r w:rsidRPr="000610B7">
              <w:rPr>
                <w:sz w:val="18"/>
                <w:szCs w:val="18"/>
                <w:lang w:val="en-GB"/>
              </w:rPr>
              <w:t>Category</w:t>
            </w:r>
          </w:p>
        </w:tc>
        <w:tc>
          <w:tcPr>
            <w:tcW w:w="0" w:type="auto"/>
            <w:vMerge w:val="restart"/>
            <w:hideMark/>
          </w:tcPr>
          <w:p w14:paraId="67947B66" w14:textId="77777777" w:rsidR="004C2149" w:rsidRPr="000610B7" w:rsidRDefault="004C2149" w:rsidP="00A5557F">
            <w:pPr>
              <w:pStyle w:val="NormalWeb"/>
              <w:rPr>
                <w:sz w:val="18"/>
                <w:szCs w:val="18"/>
                <w:lang w:val="en-GB"/>
              </w:rPr>
            </w:pPr>
            <w:r w:rsidRPr="000610B7">
              <w:rPr>
                <w:sz w:val="18"/>
                <w:szCs w:val="18"/>
                <w:lang w:val="en-GB"/>
              </w:rPr>
              <w:t>Characteristic</w:t>
            </w:r>
          </w:p>
        </w:tc>
        <w:tc>
          <w:tcPr>
            <w:tcW w:w="6173" w:type="dxa"/>
            <w:gridSpan w:val="3"/>
            <w:hideMark/>
          </w:tcPr>
          <w:p w14:paraId="464ED68A" w14:textId="77777777" w:rsidR="004C2149" w:rsidRPr="000610B7" w:rsidRDefault="004C2149" w:rsidP="00A5557F">
            <w:pPr>
              <w:pStyle w:val="NormalWeb"/>
              <w:rPr>
                <w:sz w:val="18"/>
                <w:szCs w:val="18"/>
                <w:lang w:val="en-GB"/>
              </w:rPr>
            </w:pPr>
            <w:r w:rsidRPr="000610B7">
              <w:rPr>
                <w:sz w:val="18"/>
                <w:szCs w:val="18"/>
                <w:lang w:val="en-GB"/>
              </w:rPr>
              <w:t>Number of notifications received</w:t>
            </w:r>
          </w:p>
        </w:tc>
      </w:tr>
      <w:tr w:rsidR="004C2149" w:rsidRPr="000610B7" w14:paraId="7CECCDB9" w14:textId="77777777" w:rsidTr="004C2149">
        <w:trPr>
          <w:cnfStyle w:val="100000000000" w:firstRow="1" w:lastRow="0" w:firstColumn="0" w:lastColumn="0" w:oddVBand="0" w:evenVBand="0" w:oddHBand="0" w:evenHBand="0" w:firstRowFirstColumn="0" w:firstRowLastColumn="0" w:lastRowFirstColumn="0" w:lastRowLastColumn="0"/>
          <w:tblHeader/>
        </w:trPr>
        <w:tc>
          <w:tcPr>
            <w:tcW w:w="0" w:type="auto"/>
            <w:vMerge/>
            <w:tcBorders>
              <w:bottom w:val="single" w:sz="2" w:space="0" w:color="808080" w:themeColor="background1" w:themeShade="80"/>
            </w:tcBorders>
            <w:hideMark/>
          </w:tcPr>
          <w:p w14:paraId="02960FE6" w14:textId="77777777" w:rsidR="004C2149" w:rsidRPr="000610B7" w:rsidRDefault="004C2149" w:rsidP="00A5557F">
            <w:pPr>
              <w:rPr>
                <w:sz w:val="18"/>
                <w:szCs w:val="18"/>
                <w:lang w:val="en-GB"/>
              </w:rPr>
            </w:pPr>
          </w:p>
        </w:tc>
        <w:tc>
          <w:tcPr>
            <w:tcW w:w="0" w:type="auto"/>
            <w:vMerge/>
            <w:tcBorders>
              <w:bottom w:val="single" w:sz="2" w:space="0" w:color="808080" w:themeColor="background1" w:themeShade="80"/>
            </w:tcBorders>
            <w:hideMark/>
          </w:tcPr>
          <w:p w14:paraId="51ECA9A5" w14:textId="77777777" w:rsidR="004C2149" w:rsidRPr="000610B7" w:rsidRDefault="004C2149" w:rsidP="00A5557F">
            <w:pPr>
              <w:rPr>
                <w:sz w:val="18"/>
                <w:szCs w:val="18"/>
                <w:lang w:val="en-GB"/>
              </w:rPr>
            </w:pPr>
          </w:p>
        </w:tc>
        <w:tc>
          <w:tcPr>
            <w:tcW w:w="0" w:type="auto"/>
            <w:tcBorders>
              <w:bottom w:val="single" w:sz="2" w:space="0" w:color="808080" w:themeColor="background1" w:themeShade="80"/>
            </w:tcBorders>
            <w:hideMark/>
          </w:tcPr>
          <w:p w14:paraId="7F34F688" w14:textId="77777777" w:rsidR="004C2149" w:rsidRPr="000610B7" w:rsidRDefault="004C2149" w:rsidP="00A5557F">
            <w:pPr>
              <w:pStyle w:val="NormalWeb"/>
              <w:rPr>
                <w:sz w:val="18"/>
                <w:szCs w:val="18"/>
                <w:lang w:val="en-GB"/>
              </w:rPr>
            </w:pPr>
            <w:r w:rsidRPr="000610B7">
              <w:rPr>
                <w:sz w:val="18"/>
                <w:szCs w:val="18"/>
                <w:lang w:val="en-GB"/>
              </w:rPr>
              <w:t>Infectious syphilis</w:t>
            </w:r>
            <w:r w:rsidRPr="000610B7">
              <w:rPr>
                <w:sz w:val="18"/>
                <w:szCs w:val="18"/>
                <w:lang w:val="en-GB"/>
              </w:rPr>
              <w:br/>
              <w:t>(187; 54.7%)</w:t>
            </w:r>
          </w:p>
        </w:tc>
        <w:tc>
          <w:tcPr>
            <w:tcW w:w="0" w:type="auto"/>
            <w:tcBorders>
              <w:bottom w:val="single" w:sz="2" w:space="0" w:color="808080" w:themeColor="background1" w:themeShade="80"/>
            </w:tcBorders>
            <w:hideMark/>
          </w:tcPr>
          <w:p w14:paraId="2DE2BD36" w14:textId="77777777" w:rsidR="004C2149" w:rsidRPr="000610B7" w:rsidRDefault="004C2149" w:rsidP="00A5557F">
            <w:pPr>
              <w:pStyle w:val="NormalWeb"/>
              <w:rPr>
                <w:sz w:val="18"/>
                <w:szCs w:val="18"/>
                <w:lang w:val="en-GB"/>
              </w:rPr>
            </w:pPr>
            <w:r w:rsidRPr="000610B7">
              <w:rPr>
                <w:sz w:val="18"/>
                <w:szCs w:val="18"/>
                <w:lang w:val="en-GB"/>
              </w:rPr>
              <w:t>Syphilis of &gt; 2 years / unknown duration</w:t>
            </w:r>
            <w:r w:rsidRPr="000610B7">
              <w:rPr>
                <w:sz w:val="18"/>
                <w:szCs w:val="18"/>
                <w:lang w:val="en-GB"/>
              </w:rPr>
              <w:br/>
              <w:t>(155; 45.3%)</w:t>
            </w:r>
          </w:p>
        </w:tc>
        <w:tc>
          <w:tcPr>
            <w:tcW w:w="1595" w:type="dxa"/>
            <w:tcBorders>
              <w:bottom w:val="single" w:sz="2" w:space="0" w:color="808080" w:themeColor="background1" w:themeShade="80"/>
            </w:tcBorders>
            <w:hideMark/>
          </w:tcPr>
          <w:p w14:paraId="6E81998E" w14:textId="77777777" w:rsidR="004C2149" w:rsidRPr="000610B7" w:rsidRDefault="004C2149" w:rsidP="00A5557F">
            <w:pPr>
              <w:pStyle w:val="NormalWeb"/>
              <w:rPr>
                <w:sz w:val="18"/>
                <w:szCs w:val="18"/>
                <w:lang w:val="en-GB"/>
              </w:rPr>
            </w:pPr>
            <w:r w:rsidRPr="000610B7">
              <w:rPr>
                <w:sz w:val="18"/>
                <w:szCs w:val="18"/>
                <w:lang w:val="en-GB"/>
              </w:rPr>
              <w:t>Total</w:t>
            </w:r>
            <w:r w:rsidRPr="000610B7">
              <w:rPr>
                <w:sz w:val="18"/>
                <w:szCs w:val="18"/>
                <w:lang w:val="en-GB"/>
              </w:rPr>
              <w:br/>
              <w:t>(342)</w:t>
            </w:r>
          </w:p>
        </w:tc>
      </w:tr>
      <w:tr w:rsidR="00812E56" w:rsidRPr="000610B7" w14:paraId="1786BE65" w14:textId="77777777" w:rsidTr="00A54CE3">
        <w:tc>
          <w:tcPr>
            <w:tcW w:w="0" w:type="auto"/>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0186B8F" w14:textId="28AB6836" w:rsidR="00812E56" w:rsidRPr="000610B7" w:rsidRDefault="00812E56" w:rsidP="00812E56">
            <w:pPr>
              <w:pStyle w:val="NormalWeb"/>
              <w:rPr>
                <w:sz w:val="18"/>
                <w:szCs w:val="18"/>
                <w:lang w:val="en-GB"/>
              </w:rPr>
            </w:pPr>
            <w:r w:rsidRPr="000610B7">
              <w:rPr>
                <w:sz w:val="18"/>
                <w:szCs w:val="18"/>
                <w:lang w:val="en-GB"/>
              </w:rPr>
              <w:t>Age group</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3E33EEA" w14:textId="4BFF7CEC" w:rsidR="00812E56" w:rsidRPr="000610B7" w:rsidRDefault="00812E56" w:rsidP="00812E56">
            <w:pPr>
              <w:pStyle w:val="NormalWeb"/>
              <w:rPr>
                <w:sz w:val="18"/>
                <w:szCs w:val="18"/>
                <w:lang w:val="en-GB"/>
              </w:rPr>
            </w:pPr>
            <w:r w:rsidRPr="000610B7">
              <w:rPr>
                <w:sz w:val="18"/>
                <w:szCs w:val="18"/>
                <w:lang w:val="en-GB"/>
              </w:rPr>
              <w:t>15–34 years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FF17B7C" w14:textId="23683BA2" w:rsidR="00812E56" w:rsidRPr="000610B7" w:rsidRDefault="00812E56" w:rsidP="00812E56">
            <w:pPr>
              <w:pStyle w:val="NormalWeb"/>
              <w:rPr>
                <w:sz w:val="18"/>
                <w:szCs w:val="18"/>
                <w:lang w:val="en-GB"/>
              </w:rPr>
            </w:pPr>
            <w:r w:rsidRPr="000610B7">
              <w:rPr>
                <w:sz w:val="18"/>
                <w:szCs w:val="18"/>
                <w:lang w:val="en-GB"/>
              </w:rPr>
              <w:t>85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E1B3438" w14:textId="70C47DC8" w:rsidR="00812E56" w:rsidRPr="000610B7" w:rsidRDefault="00812E56" w:rsidP="00812E56">
            <w:pPr>
              <w:pStyle w:val="NormalWeb"/>
              <w:rPr>
                <w:sz w:val="18"/>
                <w:szCs w:val="18"/>
                <w:lang w:val="en-GB"/>
              </w:rPr>
            </w:pPr>
            <w:r w:rsidRPr="000610B7">
              <w:rPr>
                <w:sz w:val="18"/>
                <w:szCs w:val="18"/>
                <w:lang w:val="en-GB"/>
              </w:rPr>
              <w:t>37</w:t>
            </w:r>
          </w:p>
        </w:tc>
        <w:tc>
          <w:tcPr>
            <w:tcW w:w="15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4AEF8AD" w14:textId="3D1A49E2" w:rsidR="00812E56" w:rsidRPr="000610B7" w:rsidRDefault="00812E56" w:rsidP="00812E56">
            <w:pPr>
              <w:pStyle w:val="NormalWeb"/>
              <w:rPr>
                <w:sz w:val="18"/>
                <w:szCs w:val="18"/>
                <w:lang w:val="en-GB"/>
              </w:rPr>
            </w:pPr>
            <w:r w:rsidRPr="000610B7">
              <w:rPr>
                <w:sz w:val="18"/>
                <w:szCs w:val="18"/>
                <w:lang w:val="en-GB"/>
              </w:rPr>
              <w:t>122</w:t>
            </w:r>
          </w:p>
        </w:tc>
      </w:tr>
      <w:tr w:rsidR="00812E56" w:rsidRPr="000610B7" w14:paraId="65A55565" w14:textId="77777777" w:rsidTr="00A54CE3">
        <w:trPr>
          <w:cnfStyle w:val="000000010000" w:firstRow="0" w:lastRow="0" w:firstColumn="0" w:lastColumn="0" w:oddVBand="0" w:evenVBand="0" w:oddHBand="0" w:evenHBand="1" w:firstRowFirstColumn="0" w:firstRowLastColumn="0" w:lastRowFirstColumn="0" w:lastRowLastColumn="0"/>
        </w:trPr>
        <w:tc>
          <w:tcPr>
            <w:tcW w:w="0" w:type="auto"/>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F598884" w14:textId="77777777" w:rsidR="00812E56" w:rsidRPr="000610B7" w:rsidRDefault="00812E56" w:rsidP="00812E56">
            <w:pPr>
              <w:pStyle w:val="NormalWeb"/>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8D727D8" w14:textId="3491300E" w:rsidR="00812E56" w:rsidRPr="000610B7" w:rsidRDefault="00812E56" w:rsidP="00812E56">
            <w:pPr>
              <w:pStyle w:val="NormalWeb"/>
              <w:rPr>
                <w:sz w:val="18"/>
                <w:szCs w:val="18"/>
                <w:lang w:val="en-GB"/>
              </w:rPr>
            </w:pPr>
            <w:r w:rsidRPr="000610B7">
              <w:rPr>
                <w:sz w:val="18"/>
                <w:szCs w:val="18"/>
                <w:lang w:val="en-GB"/>
              </w:rPr>
              <w:t>≥ 35 years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1202E8F" w14:textId="40ED5178" w:rsidR="00812E56" w:rsidRPr="000610B7" w:rsidRDefault="00812E56" w:rsidP="00812E56">
            <w:pPr>
              <w:pStyle w:val="NormalWeb"/>
              <w:rPr>
                <w:sz w:val="18"/>
                <w:szCs w:val="18"/>
                <w:lang w:val="en-GB"/>
              </w:rPr>
            </w:pPr>
            <w:r w:rsidRPr="000610B7">
              <w:rPr>
                <w:sz w:val="18"/>
                <w:szCs w:val="18"/>
                <w:lang w:val="en-GB"/>
              </w:rPr>
              <w:t>102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AA6FA6C" w14:textId="6B5B2DE6" w:rsidR="00812E56" w:rsidRPr="000610B7" w:rsidRDefault="00812E56" w:rsidP="00812E56">
            <w:pPr>
              <w:pStyle w:val="NormalWeb"/>
              <w:rPr>
                <w:sz w:val="18"/>
                <w:szCs w:val="18"/>
                <w:lang w:val="en-GB"/>
              </w:rPr>
            </w:pPr>
            <w:r w:rsidRPr="000610B7">
              <w:rPr>
                <w:sz w:val="18"/>
                <w:szCs w:val="18"/>
                <w:lang w:val="en-GB"/>
              </w:rPr>
              <w:t>88</w:t>
            </w:r>
          </w:p>
        </w:tc>
        <w:tc>
          <w:tcPr>
            <w:tcW w:w="15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2E1A5E0" w14:textId="23FCD16F" w:rsidR="00812E56" w:rsidRPr="000610B7" w:rsidRDefault="00812E56" w:rsidP="00812E56">
            <w:pPr>
              <w:pStyle w:val="NormalWeb"/>
              <w:rPr>
                <w:sz w:val="18"/>
                <w:szCs w:val="18"/>
                <w:lang w:val="en-GB"/>
              </w:rPr>
            </w:pPr>
            <w:r w:rsidRPr="000610B7">
              <w:rPr>
                <w:sz w:val="18"/>
                <w:szCs w:val="18"/>
                <w:lang w:val="en-GB"/>
              </w:rPr>
              <w:t>220</w:t>
            </w:r>
          </w:p>
        </w:tc>
      </w:tr>
      <w:tr w:rsidR="004C2149" w:rsidRPr="000610B7" w14:paraId="736D361B" w14:textId="77777777" w:rsidTr="004C2149">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39D3D33" w14:textId="77777777" w:rsidR="004C2149" w:rsidRPr="000610B7" w:rsidRDefault="004C2149" w:rsidP="00A5557F">
            <w:pPr>
              <w:pStyle w:val="NormalWeb"/>
              <w:rPr>
                <w:sz w:val="18"/>
                <w:szCs w:val="18"/>
                <w:lang w:val="en-GB"/>
              </w:rPr>
            </w:pPr>
            <w:r w:rsidRPr="000610B7">
              <w:rPr>
                <w:sz w:val="18"/>
                <w:szCs w:val="18"/>
                <w:lang w:val="en-GB"/>
              </w:rPr>
              <w:t>Sex</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41A544" w14:textId="77777777" w:rsidR="004C2149" w:rsidRPr="000610B7" w:rsidRDefault="004C2149" w:rsidP="00A5557F">
            <w:pPr>
              <w:pStyle w:val="NormalWeb"/>
              <w:rPr>
                <w:sz w:val="18"/>
                <w:szCs w:val="18"/>
                <w:lang w:val="en-GB"/>
              </w:rPr>
            </w:pPr>
            <w:r w:rsidRPr="000610B7">
              <w:rPr>
                <w:sz w:val="18"/>
                <w:szCs w:val="18"/>
                <w:lang w:val="en-GB"/>
              </w:rPr>
              <w:t>Male</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B6E1672" w14:textId="77777777" w:rsidR="004C2149" w:rsidRPr="000610B7" w:rsidRDefault="004C2149" w:rsidP="00A5557F">
            <w:pPr>
              <w:pStyle w:val="NormalWeb"/>
              <w:rPr>
                <w:sz w:val="18"/>
                <w:szCs w:val="18"/>
                <w:lang w:val="en-GB"/>
              </w:rPr>
            </w:pPr>
            <w:r w:rsidRPr="000610B7">
              <w:rPr>
                <w:sz w:val="18"/>
                <w:szCs w:val="18"/>
                <w:lang w:val="en-GB"/>
              </w:rPr>
              <w:t>170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5FC6BE" w14:textId="77777777" w:rsidR="004C2149" w:rsidRPr="000610B7" w:rsidRDefault="004C2149" w:rsidP="00A5557F">
            <w:pPr>
              <w:pStyle w:val="NormalWeb"/>
              <w:rPr>
                <w:sz w:val="18"/>
                <w:szCs w:val="18"/>
                <w:lang w:val="en-GB"/>
              </w:rPr>
            </w:pPr>
            <w:r w:rsidRPr="000610B7">
              <w:rPr>
                <w:sz w:val="18"/>
                <w:szCs w:val="18"/>
                <w:lang w:val="en-GB"/>
              </w:rPr>
              <w:t>111</w:t>
            </w:r>
          </w:p>
        </w:tc>
        <w:tc>
          <w:tcPr>
            <w:tcW w:w="15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A582AC3" w14:textId="77777777" w:rsidR="004C2149" w:rsidRPr="000610B7" w:rsidRDefault="004C2149" w:rsidP="00A5557F">
            <w:pPr>
              <w:pStyle w:val="NormalWeb"/>
              <w:rPr>
                <w:sz w:val="18"/>
                <w:szCs w:val="18"/>
                <w:lang w:val="en-GB"/>
              </w:rPr>
            </w:pPr>
            <w:r w:rsidRPr="000610B7">
              <w:rPr>
                <w:sz w:val="18"/>
                <w:szCs w:val="18"/>
                <w:lang w:val="en-GB"/>
              </w:rPr>
              <w:t>281</w:t>
            </w:r>
          </w:p>
        </w:tc>
      </w:tr>
      <w:tr w:rsidR="004C2149" w:rsidRPr="000610B7" w14:paraId="54559541" w14:textId="77777777" w:rsidTr="004C2149">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FC19DA6" w14:textId="77777777" w:rsidR="004C2149" w:rsidRPr="000610B7" w:rsidRDefault="004C2149" w:rsidP="00A5557F">
            <w:pPr>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C9BC41" w14:textId="77777777" w:rsidR="004C2149" w:rsidRPr="000610B7" w:rsidRDefault="004C2149" w:rsidP="00A5557F">
            <w:pPr>
              <w:pStyle w:val="NormalWeb"/>
              <w:rPr>
                <w:sz w:val="18"/>
                <w:szCs w:val="18"/>
                <w:lang w:val="en-GB"/>
              </w:rPr>
            </w:pPr>
            <w:r w:rsidRPr="000610B7">
              <w:rPr>
                <w:sz w:val="18"/>
                <w:szCs w:val="18"/>
                <w:lang w:val="en-GB"/>
              </w:rPr>
              <w:t>Female</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47C003" w14:textId="77777777" w:rsidR="004C2149" w:rsidRPr="000610B7" w:rsidRDefault="004C2149" w:rsidP="00A5557F">
            <w:pPr>
              <w:pStyle w:val="NormalWeb"/>
              <w:rPr>
                <w:sz w:val="18"/>
                <w:szCs w:val="18"/>
                <w:lang w:val="en-GB"/>
              </w:rPr>
            </w:pPr>
            <w:r w:rsidRPr="000610B7">
              <w:rPr>
                <w:sz w:val="18"/>
                <w:szCs w:val="18"/>
                <w:lang w:val="en-GB"/>
              </w:rPr>
              <w:t>17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9E07FC" w14:textId="77777777" w:rsidR="004C2149" w:rsidRPr="000610B7" w:rsidRDefault="004C2149" w:rsidP="00A5557F">
            <w:pPr>
              <w:pStyle w:val="NormalWeb"/>
              <w:rPr>
                <w:sz w:val="18"/>
                <w:szCs w:val="18"/>
                <w:lang w:val="en-GB"/>
              </w:rPr>
            </w:pPr>
            <w:r w:rsidRPr="000610B7">
              <w:rPr>
                <w:sz w:val="18"/>
                <w:szCs w:val="18"/>
                <w:lang w:val="en-GB"/>
              </w:rPr>
              <w:t>43</w:t>
            </w:r>
          </w:p>
        </w:tc>
        <w:tc>
          <w:tcPr>
            <w:tcW w:w="15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3A537AB" w14:textId="77777777" w:rsidR="004C2149" w:rsidRPr="000610B7" w:rsidRDefault="004C2149" w:rsidP="00A5557F">
            <w:pPr>
              <w:pStyle w:val="NormalWeb"/>
              <w:rPr>
                <w:sz w:val="18"/>
                <w:szCs w:val="18"/>
                <w:lang w:val="en-GB"/>
              </w:rPr>
            </w:pPr>
            <w:r w:rsidRPr="000610B7">
              <w:rPr>
                <w:sz w:val="18"/>
                <w:szCs w:val="18"/>
                <w:lang w:val="en-GB"/>
              </w:rPr>
              <w:t>60</w:t>
            </w:r>
          </w:p>
        </w:tc>
      </w:tr>
      <w:tr w:rsidR="004C2149" w:rsidRPr="000610B7" w14:paraId="5AF0D6D7" w14:textId="77777777" w:rsidTr="004C2149">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4BBB4C" w14:textId="77777777" w:rsidR="004C2149" w:rsidRPr="000610B7" w:rsidRDefault="004C2149" w:rsidP="00A5557F">
            <w:pPr>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E5D46E6" w14:textId="77777777" w:rsidR="004C2149" w:rsidRPr="000610B7" w:rsidRDefault="004C2149" w:rsidP="00A5557F">
            <w:pPr>
              <w:pStyle w:val="NormalWeb"/>
              <w:rPr>
                <w:sz w:val="18"/>
                <w:szCs w:val="18"/>
                <w:lang w:val="en-GB"/>
              </w:rPr>
            </w:pPr>
            <w:r w:rsidRPr="000610B7">
              <w:rPr>
                <w:sz w:val="18"/>
                <w:szCs w:val="18"/>
                <w:lang w:val="en-GB"/>
              </w:rPr>
              <w:t>Transgender</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B75BBCC" w14:textId="77777777" w:rsidR="004C2149" w:rsidRPr="000610B7" w:rsidRDefault="004C2149" w:rsidP="00A5557F">
            <w:pPr>
              <w:pStyle w:val="NormalWeb"/>
              <w:rPr>
                <w:sz w:val="18"/>
                <w:szCs w:val="18"/>
                <w:lang w:val="en-GB"/>
              </w:rPr>
            </w:pPr>
            <w:r w:rsidRPr="000610B7">
              <w:rPr>
                <w:sz w:val="18"/>
                <w:szCs w:val="18"/>
                <w:lang w:val="en-GB"/>
              </w:rPr>
              <w:t>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B25D93" w14:textId="77777777" w:rsidR="004C2149" w:rsidRPr="000610B7" w:rsidRDefault="004C2149" w:rsidP="00A5557F">
            <w:pPr>
              <w:pStyle w:val="NormalWeb"/>
              <w:rPr>
                <w:sz w:val="18"/>
                <w:szCs w:val="18"/>
                <w:lang w:val="en-GB"/>
              </w:rPr>
            </w:pPr>
            <w:r w:rsidRPr="000610B7">
              <w:rPr>
                <w:sz w:val="18"/>
                <w:szCs w:val="18"/>
                <w:lang w:val="en-GB"/>
              </w:rPr>
              <w:t>1</w:t>
            </w:r>
          </w:p>
        </w:tc>
        <w:tc>
          <w:tcPr>
            <w:tcW w:w="15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BBC896D" w14:textId="77777777" w:rsidR="004C2149" w:rsidRPr="000610B7" w:rsidRDefault="004C2149" w:rsidP="00A5557F">
            <w:pPr>
              <w:pStyle w:val="NormalWeb"/>
              <w:rPr>
                <w:sz w:val="18"/>
                <w:szCs w:val="18"/>
                <w:lang w:val="en-GB"/>
              </w:rPr>
            </w:pPr>
            <w:r w:rsidRPr="000610B7">
              <w:rPr>
                <w:sz w:val="18"/>
                <w:szCs w:val="18"/>
                <w:lang w:val="en-GB"/>
              </w:rPr>
              <w:t>1</w:t>
            </w:r>
          </w:p>
        </w:tc>
      </w:tr>
      <w:tr w:rsidR="00812E56" w:rsidRPr="000610B7" w14:paraId="30CDEA25" w14:textId="77777777" w:rsidTr="00D0687D">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327C2D1" w14:textId="207F5B08" w:rsidR="00812E56" w:rsidRPr="000610B7" w:rsidRDefault="00812E56" w:rsidP="00812E56">
            <w:pPr>
              <w:pStyle w:val="NormalWeb"/>
              <w:rPr>
                <w:sz w:val="18"/>
                <w:szCs w:val="18"/>
                <w:lang w:val="en-GB"/>
              </w:rPr>
            </w:pPr>
            <w:r w:rsidRPr="000610B7">
              <w:rPr>
                <w:sz w:val="18"/>
                <w:szCs w:val="18"/>
                <w:lang w:val="en-GB"/>
              </w:rPr>
              <w:t>Country of birth</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769B4AC" w14:textId="63BB3200" w:rsidR="00812E56" w:rsidRPr="000610B7" w:rsidRDefault="00812E56" w:rsidP="00812E56">
            <w:pPr>
              <w:pStyle w:val="NormalWeb"/>
              <w:rPr>
                <w:sz w:val="18"/>
                <w:szCs w:val="18"/>
                <w:lang w:val="en-GB"/>
              </w:rPr>
            </w:pPr>
            <w:r w:rsidRPr="000610B7">
              <w:rPr>
                <w:sz w:val="18"/>
                <w:szCs w:val="18"/>
                <w:lang w:val="en-GB"/>
              </w:rPr>
              <w:t>Australia</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D452823" w14:textId="1F7A1A05" w:rsidR="00812E56" w:rsidRPr="000610B7" w:rsidRDefault="00812E56" w:rsidP="00812E56">
            <w:pPr>
              <w:pStyle w:val="NormalWeb"/>
              <w:rPr>
                <w:sz w:val="18"/>
                <w:szCs w:val="18"/>
                <w:lang w:val="en-GB"/>
              </w:rPr>
            </w:pPr>
            <w:r w:rsidRPr="000610B7">
              <w:rPr>
                <w:sz w:val="18"/>
                <w:szCs w:val="18"/>
                <w:lang w:val="en-GB"/>
              </w:rPr>
              <w:t>74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121B802" w14:textId="2A44FA80" w:rsidR="00812E56" w:rsidRPr="000610B7" w:rsidRDefault="00812E56" w:rsidP="00812E56">
            <w:pPr>
              <w:pStyle w:val="NormalWeb"/>
              <w:rPr>
                <w:sz w:val="18"/>
                <w:szCs w:val="18"/>
                <w:lang w:val="en-GB"/>
              </w:rPr>
            </w:pPr>
            <w:r w:rsidRPr="000610B7">
              <w:rPr>
                <w:sz w:val="18"/>
                <w:szCs w:val="18"/>
                <w:lang w:val="en-GB"/>
              </w:rPr>
              <w:t>40</w:t>
            </w:r>
          </w:p>
        </w:tc>
        <w:tc>
          <w:tcPr>
            <w:tcW w:w="15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59CF0C7" w14:textId="334ABB52" w:rsidR="00812E56" w:rsidRPr="000610B7" w:rsidRDefault="00812E56" w:rsidP="00812E56">
            <w:pPr>
              <w:pStyle w:val="NormalWeb"/>
              <w:rPr>
                <w:sz w:val="18"/>
                <w:szCs w:val="18"/>
                <w:lang w:val="en-GB"/>
              </w:rPr>
            </w:pPr>
            <w:r w:rsidRPr="000610B7">
              <w:rPr>
                <w:sz w:val="18"/>
                <w:szCs w:val="18"/>
                <w:lang w:val="en-GB"/>
              </w:rPr>
              <w:t>114</w:t>
            </w:r>
          </w:p>
        </w:tc>
      </w:tr>
      <w:tr w:rsidR="00812E56" w:rsidRPr="000610B7" w14:paraId="0C6FBF4C" w14:textId="77777777" w:rsidTr="00D0687D">
        <w:tc>
          <w:tcPr>
            <w:tcW w:w="0" w:type="auto"/>
            <w:vMerge/>
            <w:tcBorders>
              <w:left w:val="single" w:sz="2" w:space="0" w:color="808080" w:themeColor="background1" w:themeShade="80"/>
              <w:right w:val="single" w:sz="2" w:space="0" w:color="808080" w:themeColor="background1" w:themeShade="80"/>
            </w:tcBorders>
            <w:shd w:val="clear" w:color="auto" w:fill="auto"/>
          </w:tcPr>
          <w:p w14:paraId="15570BE6" w14:textId="77777777" w:rsidR="00812E56" w:rsidRPr="000610B7" w:rsidRDefault="00812E56" w:rsidP="00812E56">
            <w:pPr>
              <w:pStyle w:val="NormalWeb"/>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7703292" w14:textId="0D0BF1B7" w:rsidR="00812E56" w:rsidRPr="000610B7" w:rsidRDefault="00812E56" w:rsidP="00812E56">
            <w:pPr>
              <w:pStyle w:val="NormalWeb"/>
              <w:rPr>
                <w:sz w:val="18"/>
                <w:szCs w:val="18"/>
                <w:lang w:val="en-GB"/>
              </w:rPr>
            </w:pPr>
            <w:r w:rsidRPr="000610B7">
              <w:rPr>
                <w:sz w:val="18"/>
                <w:szCs w:val="18"/>
                <w:lang w:val="en-GB"/>
              </w:rPr>
              <w:t xml:space="preserve">Overseas: English-speaking </w:t>
            </w:r>
            <w:proofErr w:type="spellStart"/>
            <w:r w:rsidRPr="000610B7">
              <w:rPr>
                <w:sz w:val="18"/>
                <w:szCs w:val="18"/>
                <w:lang w:val="en-GB"/>
              </w:rPr>
              <w:t>countries</w:t>
            </w:r>
            <w:r>
              <w:rPr>
                <w:sz w:val="18"/>
                <w:szCs w:val="18"/>
                <w:vertAlign w:val="superscript"/>
                <w:lang w:val="en-GB"/>
              </w:rPr>
              <w:t>a</w:t>
            </w:r>
            <w:proofErr w:type="spellEnd"/>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650F7D6" w14:textId="22D5F773" w:rsidR="00812E56" w:rsidRPr="000610B7" w:rsidRDefault="00812E56" w:rsidP="00812E56">
            <w:pPr>
              <w:pStyle w:val="NormalWeb"/>
              <w:rPr>
                <w:sz w:val="18"/>
                <w:szCs w:val="18"/>
                <w:lang w:val="en-GB"/>
              </w:rPr>
            </w:pPr>
            <w:r w:rsidRPr="000610B7">
              <w:rPr>
                <w:sz w:val="18"/>
                <w:szCs w:val="18"/>
                <w:lang w:val="en-GB"/>
              </w:rPr>
              <w:t>11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B409CB0" w14:textId="0582C35C" w:rsidR="00812E56" w:rsidRPr="000610B7" w:rsidRDefault="00812E56" w:rsidP="00812E56">
            <w:pPr>
              <w:pStyle w:val="NormalWeb"/>
              <w:rPr>
                <w:sz w:val="18"/>
                <w:szCs w:val="18"/>
                <w:lang w:val="en-GB"/>
              </w:rPr>
            </w:pPr>
            <w:r w:rsidRPr="000610B7">
              <w:rPr>
                <w:sz w:val="18"/>
                <w:szCs w:val="18"/>
                <w:lang w:val="en-GB"/>
              </w:rPr>
              <w:t>13</w:t>
            </w:r>
          </w:p>
        </w:tc>
        <w:tc>
          <w:tcPr>
            <w:tcW w:w="15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8C804DF" w14:textId="048D45F7" w:rsidR="00812E56" w:rsidRPr="000610B7" w:rsidRDefault="00812E56" w:rsidP="00812E56">
            <w:pPr>
              <w:pStyle w:val="NormalWeb"/>
              <w:rPr>
                <w:sz w:val="18"/>
                <w:szCs w:val="18"/>
                <w:lang w:val="en-GB"/>
              </w:rPr>
            </w:pPr>
            <w:r w:rsidRPr="000610B7">
              <w:rPr>
                <w:sz w:val="18"/>
                <w:szCs w:val="18"/>
                <w:lang w:val="en-GB"/>
              </w:rPr>
              <w:t>24</w:t>
            </w:r>
          </w:p>
        </w:tc>
      </w:tr>
      <w:tr w:rsidR="00812E56" w:rsidRPr="000610B7" w14:paraId="1533323B" w14:textId="77777777" w:rsidTr="00D0687D">
        <w:trPr>
          <w:cnfStyle w:val="000000010000" w:firstRow="0" w:lastRow="0" w:firstColumn="0" w:lastColumn="0" w:oddVBand="0" w:evenVBand="0" w:oddHBand="0" w:evenHBand="1" w:firstRowFirstColumn="0" w:firstRowLastColumn="0" w:lastRowFirstColumn="0" w:lastRowLastColumn="0"/>
        </w:trPr>
        <w:tc>
          <w:tcPr>
            <w:tcW w:w="0" w:type="auto"/>
            <w:vMerge/>
            <w:tcBorders>
              <w:left w:val="single" w:sz="2" w:space="0" w:color="808080" w:themeColor="background1" w:themeShade="80"/>
              <w:right w:val="single" w:sz="2" w:space="0" w:color="808080" w:themeColor="background1" w:themeShade="80"/>
            </w:tcBorders>
            <w:shd w:val="clear" w:color="auto" w:fill="auto"/>
          </w:tcPr>
          <w:p w14:paraId="78A2697E" w14:textId="77777777" w:rsidR="00812E56" w:rsidRPr="000610B7" w:rsidRDefault="00812E56" w:rsidP="00812E56">
            <w:pPr>
              <w:pStyle w:val="NormalWeb"/>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9B5F585" w14:textId="3AC1C848" w:rsidR="00812E56" w:rsidRPr="000610B7" w:rsidRDefault="00812E56" w:rsidP="00812E56">
            <w:pPr>
              <w:pStyle w:val="NormalWeb"/>
              <w:rPr>
                <w:sz w:val="18"/>
                <w:szCs w:val="18"/>
                <w:lang w:val="en-GB"/>
              </w:rPr>
            </w:pPr>
            <w:r w:rsidRPr="000610B7">
              <w:rPr>
                <w:sz w:val="18"/>
                <w:szCs w:val="18"/>
                <w:lang w:val="en-GB"/>
              </w:rPr>
              <w:t>Overseas: other countries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498B4C7" w14:textId="372D4ACC" w:rsidR="00812E56" w:rsidRPr="000610B7" w:rsidRDefault="00812E56" w:rsidP="00812E56">
            <w:pPr>
              <w:pStyle w:val="NormalWeb"/>
              <w:rPr>
                <w:sz w:val="18"/>
                <w:szCs w:val="18"/>
                <w:lang w:val="en-GB"/>
              </w:rPr>
            </w:pPr>
            <w:r w:rsidRPr="000610B7">
              <w:rPr>
                <w:sz w:val="18"/>
                <w:szCs w:val="18"/>
                <w:lang w:val="en-GB"/>
              </w:rPr>
              <w:t>17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15BF862" w14:textId="5F9B4960" w:rsidR="00812E56" w:rsidRPr="000610B7" w:rsidRDefault="00812E56" w:rsidP="00812E56">
            <w:pPr>
              <w:pStyle w:val="NormalWeb"/>
              <w:rPr>
                <w:sz w:val="18"/>
                <w:szCs w:val="18"/>
                <w:lang w:val="en-GB"/>
              </w:rPr>
            </w:pPr>
            <w:r w:rsidRPr="000610B7">
              <w:rPr>
                <w:sz w:val="18"/>
                <w:szCs w:val="18"/>
                <w:lang w:val="en-GB"/>
              </w:rPr>
              <w:t>21</w:t>
            </w:r>
          </w:p>
        </w:tc>
        <w:tc>
          <w:tcPr>
            <w:tcW w:w="15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0548306" w14:textId="635ADCD6" w:rsidR="00812E56" w:rsidRPr="000610B7" w:rsidRDefault="00812E56" w:rsidP="00812E56">
            <w:pPr>
              <w:pStyle w:val="NormalWeb"/>
              <w:rPr>
                <w:sz w:val="18"/>
                <w:szCs w:val="18"/>
                <w:lang w:val="en-GB"/>
              </w:rPr>
            </w:pPr>
            <w:r w:rsidRPr="000610B7">
              <w:rPr>
                <w:sz w:val="18"/>
                <w:szCs w:val="18"/>
                <w:lang w:val="en-GB"/>
              </w:rPr>
              <w:t>38</w:t>
            </w:r>
          </w:p>
        </w:tc>
      </w:tr>
      <w:tr w:rsidR="00812E56" w:rsidRPr="000610B7" w14:paraId="19B6C2E7" w14:textId="77777777" w:rsidTr="00D0687D">
        <w:tc>
          <w:tcPr>
            <w:tcW w:w="0" w:type="auto"/>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9094F83" w14:textId="77777777" w:rsidR="00812E56" w:rsidRPr="000610B7" w:rsidRDefault="00812E56" w:rsidP="00812E56">
            <w:pPr>
              <w:pStyle w:val="NormalWeb"/>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53C564A" w14:textId="2FD6EC56" w:rsidR="00812E56" w:rsidRPr="000610B7" w:rsidRDefault="00812E56" w:rsidP="00812E56">
            <w:pPr>
              <w:pStyle w:val="NormalWeb"/>
              <w:rPr>
                <w:sz w:val="18"/>
                <w:szCs w:val="18"/>
                <w:lang w:val="en-GB"/>
              </w:rPr>
            </w:pPr>
            <w:r w:rsidRPr="000610B7">
              <w:rPr>
                <w:sz w:val="18"/>
                <w:szCs w:val="18"/>
                <w:lang w:val="en-GB"/>
              </w:rPr>
              <w:t>Missing</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6C73EE9" w14:textId="63357CFA" w:rsidR="00812E56" w:rsidRPr="000610B7" w:rsidRDefault="00812E56" w:rsidP="00812E56">
            <w:pPr>
              <w:pStyle w:val="NormalWeb"/>
              <w:rPr>
                <w:sz w:val="18"/>
                <w:szCs w:val="18"/>
                <w:lang w:val="en-GB"/>
              </w:rPr>
            </w:pPr>
            <w:r w:rsidRPr="000610B7">
              <w:rPr>
                <w:sz w:val="18"/>
                <w:szCs w:val="18"/>
                <w:lang w:val="en-GB"/>
              </w:rPr>
              <w:t>85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4C52505" w14:textId="16086594" w:rsidR="00812E56" w:rsidRPr="000610B7" w:rsidRDefault="00812E56" w:rsidP="00812E56">
            <w:pPr>
              <w:pStyle w:val="NormalWeb"/>
              <w:rPr>
                <w:sz w:val="18"/>
                <w:szCs w:val="18"/>
                <w:lang w:val="en-GB"/>
              </w:rPr>
            </w:pPr>
            <w:r w:rsidRPr="000610B7">
              <w:rPr>
                <w:sz w:val="18"/>
                <w:szCs w:val="18"/>
                <w:lang w:val="en-GB"/>
              </w:rPr>
              <w:t>81</w:t>
            </w:r>
          </w:p>
        </w:tc>
        <w:tc>
          <w:tcPr>
            <w:tcW w:w="15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A2A0961" w14:textId="5B2DA1AD" w:rsidR="00812E56" w:rsidRPr="000610B7" w:rsidRDefault="00812E56" w:rsidP="00812E56">
            <w:pPr>
              <w:pStyle w:val="NormalWeb"/>
              <w:rPr>
                <w:sz w:val="18"/>
                <w:szCs w:val="18"/>
                <w:lang w:val="en-GB"/>
              </w:rPr>
            </w:pPr>
            <w:r w:rsidRPr="000610B7">
              <w:rPr>
                <w:sz w:val="18"/>
                <w:szCs w:val="18"/>
                <w:lang w:val="en-GB"/>
              </w:rPr>
              <w:t>166</w:t>
            </w:r>
          </w:p>
        </w:tc>
      </w:tr>
      <w:tr w:rsidR="004C2149" w:rsidRPr="000610B7" w14:paraId="29216A2D" w14:textId="77777777" w:rsidTr="004C2149">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46ED171" w14:textId="4D4FB1CB" w:rsidR="004C2149" w:rsidRPr="000610B7" w:rsidRDefault="004C2149" w:rsidP="00A5557F">
            <w:pPr>
              <w:pStyle w:val="NormalWeb"/>
              <w:rPr>
                <w:sz w:val="18"/>
                <w:szCs w:val="18"/>
                <w:lang w:val="en-GB"/>
              </w:rPr>
            </w:pPr>
            <w:proofErr w:type="spellStart"/>
            <w:r w:rsidRPr="000610B7">
              <w:rPr>
                <w:sz w:val="18"/>
                <w:szCs w:val="18"/>
                <w:lang w:val="en-GB"/>
              </w:rPr>
              <w:t>LGA</w:t>
            </w:r>
            <w:r w:rsidR="00812E56" w:rsidRPr="00812E56">
              <w:rPr>
                <w:sz w:val="18"/>
                <w:szCs w:val="18"/>
                <w:vertAlign w:val="superscript"/>
                <w:lang w:val="en-GB"/>
              </w:rPr>
              <w:t>b</w:t>
            </w:r>
            <w:proofErr w:type="spellEnd"/>
            <w:r w:rsidRPr="000610B7">
              <w:rPr>
                <w:sz w:val="18"/>
                <w:szCs w:val="18"/>
                <w:lang w:val="en-GB"/>
              </w:rPr>
              <w:t xml:space="preserve"> of residence</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A65C601" w14:textId="77777777" w:rsidR="004C2149" w:rsidRPr="000610B7" w:rsidRDefault="004C2149" w:rsidP="00A5557F">
            <w:pPr>
              <w:pStyle w:val="NormalWeb"/>
              <w:rPr>
                <w:sz w:val="18"/>
                <w:szCs w:val="18"/>
                <w:lang w:val="en-GB"/>
              </w:rPr>
            </w:pPr>
            <w:r w:rsidRPr="000610B7">
              <w:rPr>
                <w:sz w:val="18"/>
                <w:szCs w:val="18"/>
                <w:lang w:val="en-GB"/>
              </w:rPr>
              <w:t>Penrith</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69C1B1" w14:textId="77777777" w:rsidR="004C2149" w:rsidRPr="000610B7" w:rsidRDefault="004C2149" w:rsidP="00A5557F">
            <w:pPr>
              <w:pStyle w:val="NormalWeb"/>
              <w:rPr>
                <w:sz w:val="18"/>
                <w:szCs w:val="18"/>
                <w:lang w:val="en-GB"/>
              </w:rPr>
            </w:pPr>
            <w:r w:rsidRPr="000610B7">
              <w:rPr>
                <w:sz w:val="18"/>
                <w:szCs w:val="18"/>
                <w:lang w:val="en-GB"/>
              </w:rPr>
              <w:t>117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389F61" w14:textId="77777777" w:rsidR="004C2149" w:rsidRPr="000610B7" w:rsidRDefault="004C2149" w:rsidP="00A5557F">
            <w:pPr>
              <w:pStyle w:val="NormalWeb"/>
              <w:rPr>
                <w:sz w:val="18"/>
                <w:szCs w:val="18"/>
                <w:lang w:val="en-GB"/>
              </w:rPr>
            </w:pPr>
            <w:r w:rsidRPr="000610B7">
              <w:rPr>
                <w:sz w:val="18"/>
                <w:szCs w:val="18"/>
                <w:lang w:val="en-GB"/>
              </w:rPr>
              <w:t>100</w:t>
            </w:r>
          </w:p>
        </w:tc>
        <w:tc>
          <w:tcPr>
            <w:tcW w:w="15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4744A5" w14:textId="77777777" w:rsidR="004C2149" w:rsidRPr="000610B7" w:rsidRDefault="004C2149" w:rsidP="00A5557F">
            <w:pPr>
              <w:pStyle w:val="NormalWeb"/>
              <w:rPr>
                <w:sz w:val="18"/>
                <w:szCs w:val="18"/>
                <w:lang w:val="en-GB"/>
              </w:rPr>
            </w:pPr>
            <w:r w:rsidRPr="000610B7">
              <w:rPr>
                <w:sz w:val="18"/>
                <w:szCs w:val="18"/>
                <w:lang w:val="en-GB"/>
              </w:rPr>
              <w:t>217</w:t>
            </w:r>
          </w:p>
        </w:tc>
      </w:tr>
      <w:tr w:rsidR="004C2149" w:rsidRPr="000610B7" w14:paraId="51F30E1B" w14:textId="77777777" w:rsidTr="004C2149">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F2F9F9" w14:textId="77777777" w:rsidR="004C2149" w:rsidRPr="000610B7" w:rsidRDefault="004C2149" w:rsidP="00A5557F">
            <w:pPr>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6C6CB8" w14:textId="77777777" w:rsidR="004C2149" w:rsidRPr="000610B7" w:rsidRDefault="004C2149" w:rsidP="00A5557F">
            <w:pPr>
              <w:pStyle w:val="NormalWeb"/>
              <w:rPr>
                <w:sz w:val="18"/>
                <w:szCs w:val="18"/>
                <w:lang w:val="en-GB"/>
              </w:rPr>
            </w:pPr>
            <w:r w:rsidRPr="000610B7">
              <w:rPr>
                <w:sz w:val="18"/>
                <w:szCs w:val="18"/>
                <w:lang w:val="en-GB"/>
              </w:rPr>
              <w:t>Blue Mountains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93AF95" w14:textId="77777777" w:rsidR="004C2149" w:rsidRPr="000610B7" w:rsidRDefault="004C2149" w:rsidP="00A5557F">
            <w:pPr>
              <w:pStyle w:val="NormalWeb"/>
              <w:rPr>
                <w:sz w:val="18"/>
                <w:szCs w:val="18"/>
                <w:lang w:val="en-GB"/>
              </w:rPr>
            </w:pPr>
            <w:r w:rsidRPr="000610B7">
              <w:rPr>
                <w:sz w:val="18"/>
                <w:szCs w:val="18"/>
                <w:lang w:val="en-GB"/>
              </w:rPr>
              <w:t>33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C39E5B" w14:textId="77777777" w:rsidR="004C2149" w:rsidRPr="000610B7" w:rsidRDefault="004C2149" w:rsidP="00A5557F">
            <w:pPr>
              <w:pStyle w:val="NormalWeb"/>
              <w:rPr>
                <w:sz w:val="18"/>
                <w:szCs w:val="18"/>
                <w:lang w:val="en-GB"/>
              </w:rPr>
            </w:pPr>
            <w:r w:rsidRPr="000610B7">
              <w:rPr>
                <w:sz w:val="18"/>
                <w:szCs w:val="18"/>
                <w:lang w:val="en-GB"/>
              </w:rPr>
              <w:t>26</w:t>
            </w:r>
          </w:p>
        </w:tc>
        <w:tc>
          <w:tcPr>
            <w:tcW w:w="15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9EB784" w14:textId="77777777" w:rsidR="004C2149" w:rsidRPr="000610B7" w:rsidRDefault="004C2149" w:rsidP="00A5557F">
            <w:pPr>
              <w:pStyle w:val="NormalWeb"/>
              <w:rPr>
                <w:sz w:val="18"/>
                <w:szCs w:val="18"/>
                <w:lang w:val="en-GB"/>
              </w:rPr>
            </w:pPr>
            <w:r w:rsidRPr="000610B7">
              <w:rPr>
                <w:sz w:val="18"/>
                <w:szCs w:val="18"/>
                <w:lang w:val="en-GB"/>
              </w:rPr>
              <w:t>59</w:t>
            </w:r>
          </w:p>
        </w:tc>
      </w:tr>
      <w:tr w:rsidR="004C2149" w:rsidRPr="000610B7" w14:paraId="34D5FA00" w14:textId="77777777" w:rsidTr="004C2149">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7102C3" w14:textId="77777777" w:rsidR="004C2149" w:rsidRPr="000610B7" w:rsidRDefault="004C2149" w:rsidP="00A5557F">
            <w:pPr>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83F4B1" w14:textId="77777777" w:rsidR="004C2149" w:rsidRPr="000610B7" w:rsidRDefault="004C2149" w:rsidP="00A5557F">
            <w:pPr>
              <w:pStyle w:val="NormalWeb"/>
              <w:rPr>
                <w:sz w:val="18"/>
                <w:szCs w:val="18"/>
                <w:lang w:val="en-GB"/>
              </w:rPr>
            </w:pPr>
            <w:r w:rsidRPr="000610B7">
              <w:rPr>
                <w:sz w:val="18"/>
                <w:szCs w:val="18"/>
                <w:lang w:val="en-GB"/>
              </w:rPr>
              <w:t>Hawkesbury</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4EFBE7" w14:textId="77777777" w:rsidR="004C2149" w:rsidRPr="000610B7" w:rsidRDefault="004C2149" w:rsidP="00A5557F">
            <w:pPr>
              <w:pStyle w:val="NormalWeb"/>
              <w:rPr>
                <w:sz w:val="18"/>
                <w:szCs w:val="18"/>
                <w:lang w:val="en-GB"/>
              </w:rPr>
            </w:pPr>
            <w:r w:rsidRPr="000610B7">
              <w:rPr>
                <w:sz w:val="18"/>
                <w:szCs w:val="18"/>
                <w:lang w:val="en-GB"/>
              </w:rPr>
              <w:t>27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C2278FA" w14:textId="77777777" w:rsidR="004C2149" w:rsidRPr="000610B7" w:rsidRDefault="004C2149" w:rsidP="00A5557F">
            <w:pPr>
              <w:pStyle w:val="NormalWeb"/>
              <w:rPr>
                <w:sz w:val="18"/>
                <w:szCs w:val="18"/>
                <w:lang w:val="en-GB"/>
              </w:rPr>
            </w:pPr>
            <w:r w:rsidRPr="000610B7">
              <w:rPr>
                <w:sz w:val="18"/>
                <w:szCs w:val="18"/>
                <w:lang w:val="en-GB"/>
              </w:rPr>
              <w:t>19</w:t>
            </w:r>
          </w:p>
        </w:tc>
        <w:tc>
          <w:tcPr>
            <w:tcW w:w="15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87E12A" w14:textId="77777777" w:rsidR="004C2149" w:rsidRPr="000610B7" w:rsidRDefault="004C2149" w:rsidP="00A5557F">
            <w:pPr>
              <w:pStyle w:val="NormalWeb"/>
              <w:rPr>
                <w:sz w:val="18"/>
                <w:szCs w:val="18"/>
                <w:lang w:val="en-GB"/>
              </w:rPr>
            </w:pPr>
            <w:r w:rsidRPr="000610B7">
              <w:rPr>
                <w:sz w:val="18"/>
                <w:szCs w:val="18"/>
                <w:lang w:val="en-GB"/>
              </w:rPr>
              <w:t>46</w:t>
            </w:r>
          </w:p>
        </w:tc>
      </w:tr>
      <w:tr w:rsidR="004C2149" w:rsidRPr="000610B7" w14:paraId="5E42DDF5" w14:textId="77777777" w:rsidTr="004C2149">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FE4A181" w14:textId="77777777" w:rsidR="004C2149" w:rsidRPr="000610B7" w:rsidRDefault="004C2149" w:rsidP="00A5557F">
            <w:pPr>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1147AA0" w14:textId="77777777" w:rsidR="004C2149" w:rsidRPr="000610B7" w:rsidRDefault="004C2149" w:rsidP="00A5557F">
            <w:pPr>
              <w:pStyle w:val="NormalWeb"/>
              <w:rPr>
                <w:sz w:val="18"/>
                <w:szCs w:val="18"/>
                <w:lang w:val="en-GB"/>
              </w:rPr>
            </w:pPr>
            <w:r w:rsidRPr="000610B7">
              <w:rPr>
                <w:sz w:val="18"/>
                <w:szCs w:val="18"/>
                <w:lang w:val="en-GB"/>
              </w:rPr>
              <w:t>Lithgow</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B11EC6" w14:textId="77777777" w:rsidR="004C2149" w:rsidRPr="000610B7" w:rsidRDefault="004C2149" w:rsidP="00A5557F">
            <w:pPr>
              <w:pStyle w:val="NormalWeb"/>
              <w:rPr>
                <w:sz w:val="18"/>
                <w:szCs w:val="18"/>
                <w:lang w:val="en-GB"/>
              </w:rPr>
            </w:pPr>
            <w:r w:rsidRPr="000610B7">
              <w:rPr>
                <w:sz w:val="18"/>
                <w:szCs w:val="18"/>
                <w:lang w:val="en-GB"/>
              </w:rPr>
              <w:t>9</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F652D1" w14:textId="77777777" w:rsidR="004C2149" w:rsidRPr="000610B7" w:rsidRDefault="004C2149" w:rsidP="00A5557F">
            <w:pPr>
              <w:pStyle w:val="NormalWeb"/>
              <w:rPr>
                <w:sz w:val="18"/>
                <w:szCs w:val="18"/>
                <w:lang w:val="en-GB"/>
              </w:rPr>
            </w:pPr>
            <w:r w:rsidRPr="000610B7">
              <w:rPr>
                <w:sz w:val="18"/>
                <w:szCs w:val="18"/>
                <w:lang w:val="en-GB"/>
              </w:rPr>
              <w:t>8</w:t>
            </w:r>
          </w:p>
        </w:tc>
        <w:tc>
          <w:tcPr>
            <w:tcW w:w="15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6D4014E" w14:textId="77777777" w:rsidR="004C2149" w:rsidRPr="000610B7" w:rsidRDefault="004C2149" w:rsidP="00A5557F">
            <w:pPr>
              <w:pStyle w:val="NormalWeb"/>
              <w:rPr>
                <w:sz w:val="18"/>
                <w:szCs w:val="18"/>
                <w:lang w:val="en-GB"/>
              </w:rPr>
            </w:pPr>
            <w:r w:rsidRPr="000610B7">
              <w:rPr>
                <w:sz w:val="18"/>
                <w:szCs w:val="18"/>
                <w:lang w:val="en-GB"/>
              </w:rPr>
              <w:t>17</w:t>
            </w:r>
          </w:p>
        </w:tc>
      </w:tr>
      <w:tr w:rsidR="004C2149" w:rsidRPr="000610B7" w14:paraId="0F98EFA4" w14:textId="77777777" w:rsidTr="004C2149">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49EAED" w14:textId="77777777" w:rsidR="004C2149" w:rsidRPr="000610B7" w:rsidRDefault="004C2149" w:rsidP="00A5557F">
            <w:pPr>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C667A8" w14:textId="77777777" w:rsidR="004C2149" w:rsidRPr="000610B7" w:rsidRDefault="004C2149" w:rsidP="00A5557F">
            <w:pPr>
              <w:pStyle w:val="NormalWeb"/>
              <w:rPr>
                <w:sz w:val="18"/>
                <w:szCs w:val="18"/>
                <w:lang w:val="en-GB"/>
              </w:rPr>
            </w:pPr>
            <w:r w:rsidRPr="000610B7">
              <w:rPr>
                <w:sz w:val="18"/>
                <w:szCs w:val="18"/>
                <w:lang w:val="en-GB"/>
              </w:rPr>
              <w:t>Missing</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2835E8B" w14:textId="77777777" w:rsidR="004C2149" w:rsidRPr="000610B7" w:rsidRDefault="004C2149" w:rsidP="00A5557F">
            <w:pPr>
              <w:pStyle w:val="NormalWeb"/>
              <w:rPr>
                <w:sz w:val="18"/>
                <w:szCs w:val="18"/>
                <w:lang w:val="en-GB"/>
              </w:rPr>
            </w:pPr>
            <w:r w:rsidRPr="000610B7">
              <w:rPr>
                <w:sz w:val="18"/>
                <w:szCs w:val="18"/>
                <w:lang w:val="en-GB"/>
              </w:rPr>
              <w:t>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CEAB0E" w14:textId="77777777" w:rsidR="004C2149" w:rsidRPr="000610B7" w:rsidRDefault="004C2149" w:rsidP="00A5557F">
            <w:pPr>
              <w:pStyle w:val="NormalWeb"/>
              <w:rPr>
                <w:sz w:val="18"/>
                <w:szCs w:val="18"/>
                <w:lang w:val="en-GB"/>
              </w:rPr>
            </w:pPr>
            <w:r w:rsidRPr="000610B7">
              <w:rPr>
                <w:sz w:val="18"/>
                <w:szCs w:val="18"/>
                <w:lang w:val="en-GB"/>
              </w:rPr>
              <w:t>2</w:t>
            </w:r>
          </w:p>
        </w:tc>
        <w:tc>
          <w:tcPr>
            <w:tcW w:w="15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84E02E" w14:textId="77777777" w:rsidR="004C2149" w:rsidRPr="000610B7" w:rsidRDefault="004C2149" w:rsidP="00A5557F">
            <w:pPr>
              <w:pStyle w:val="NormalWeb"/>
              <w:rPr>
                <w:sz w:val="18"/>
                <w:szCs w:val="18"/>
                <w:lang w:val="en-GB"/>
              </w:rPr>
            </w:pPr>
            <w:r w:rsidRPr="000610B7">
              <w:rPr>
                <w:sz w:val="18"/>
                <w:szCs w:val="18"/>
                <w:lang w:val="en-GB"/>
              </w:rPr>
              <w:t>3</w:t>
            </w:r>
          </w:p>
        </w:tc>
      </w:tr>
      <w:tr w:rsidR="00812E56" w:rsidRPr="000610B7" w14:paraId="28342431" w14:textId="77777777" w:rsidTr="00A15689">
        <w:tc>
          <w:tcPr>
            <w:tcW w:w="0" w:type="auto"/>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081D029" w14:textId="6CCD6FE6" w:rsidR="00812E56" w:rsidRPr="000610B7" w:rsidRDefault="00812E56" w:rsidP="00812E56">
            <w:pPr>
              <w:pStyle w:val="NormalWeb"/>
              <w:rPr>
                <w:sz w:val="18"/>
                <w:szCs w:val="18"/>
                <w:lang w:val="en-GB"/>
              </w:rPr>
            </w:pPr>
            <w:r w:rsidRPr="000610B7">
              <w:rPr>
                <w:sz w:val="18"/>
                <w:szCs w:val="18"/>
                <w:lang w:val="en-GB"/>
              </w:rPr>
              <w:t>Site of testing</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F1B8226" w14:textId="1E2A5114" w:rsidR="00812E56" w:rsidRPr="000610B7" w:rsidRDefault="00812E56" w:rsidP="00812E56">
            <w:pPr>
              <w:pStyle w:val="NormalWeb"/>
              <w:rPr>
                <w:sz w:val="18"/>
                <w:szCs w:val="18"/>
                <w:lang w:val="en-GB"/>
              </w:rPr>
            </w:pPr>
            <w:r w:rsidRPr="000610B7">
              <w:rPr>
                <w:sz w:val="18"/>
                <w:szCs w:val="18"/>
                <w:lang w:val="en-GB"/>
              </w:rPr>
              <w:t>Sexual health clinic</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D5CA9B2" w14:textId="58751DCB" w:rsidR="00812E56" w:rsidRPr="000610B7" w:rsidRDefault="00812E56" w:rsidP="00812E56">
            <w:pPr>
              <w:pStyle w:val="NormalWeb"/>
              <w:rPr>
                <w:sz w:val="18"/>
                <w:szCs w:val="18"/>
                <w:lang w:val="en-GB"/>
              </w:rPr>
            </w:pPr>
            <w:r w:rsidRPr="000610B7">
              <w:rPr>
                <w:sz w:val="18"/>
                <w:szCs w:val="18"/>
                <w:lang w:val="en-GB"/>
              </w:rPr>
              <w:t>82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6E6ECD9" w14:textId="2004D10F" w:rsidR="00812E56" w:rsidRPr="000610B7" w:rsidRDefault="00812E56" w:rsidP="00812E56">
            <w:pPr>
              <w:pStyle w:val="NormalWeb"/>
              <w:rPr>
                <w:sz w:val="18"/>
                <w:szCs w:val="18"/>
                <w:lang w:val="en-GB"/>
              </w:rPr>
            </w:pPr>
            <w:r w:rsidRPr="000610B7">
              <w:rPr>
                <w:sz w:val="18"/>
                <w:szCs w:val="18"/>
                <w:lang w:val="en-GB"/>
              </w:rPr>
              <w:t>27</w:t>
            </w:r>
          </w:p>
        </w:tc>
        <w:tc>
          <w:tcPr>
            <w:tcW w:w="15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4194336" w14:textId="73D4FDE5" w:rsidR="00812E56" w:rsidRPr="000610B7" w:rsidRDefault="00812E56" w:rsidP="00812E56">
            <w:pPr>
              <w:pStyle w:val="NormalWeb"/>
              <w:rPr>
                <w:sz w:val="18"/>
                <w:szCs w:val="18"/>
                <w:lang w:val="en-GB"/>
              </w:rPr>
            </w:pPr>
            <w:r w:rsidRPr="000610B7">
              <w:rPr>
                <w:sz w:val="18"/>
                <w:szCs w:val="18"/>
                <w:lang w:val="en-GB"/>
              </w:rPr>
              <w:t>109</w:t>
            </w:r>
          </w:p>
        </w:tc>
      </w:tr>
      <w:tr w:rsidR="00812E56" w:rsidRPr="000610B7" w14:paraId="66E76FEB" w14:textId="77777777" w:rsidTr="00A15689">
        <w:trPr>
          <w:cnfStyle w:val="000000010000" w:firstRow="0" w:lastRow="0" w:firstColumn="0" w:lastColumn="0" w:oddVBand="0" w:evenVBand="0" w:oddHBand="0" w:evenHBand="1" w:firstRowFirstColumn="0" w:firstRowLastColumn="0" w:lastRowFirstColumn="0" w:lastRowLastColumn="0"/>
        </w:trPr>
        <w:tc>
          <w:tcPr>
            <w:tcW w:w="0" w:type="auto"/>
            <w:vMerge/>
            <w:tcBorders>
              <w:left w:val="single" w:sz="2" w:space="0" w:color="808080" w:themeColor="background1" w:themeShade="80"/>
              <w:right w:val="single" w:sz="2" w:space="0" w:color="808080" w:themeColor="background1" w:themeShade="80"/>
            </w:tcBorders>
            <w:shd w:val="clear" w:color="auto" w:fill="auto"/>
          </w:tcPr>
          <w:p w14:paraId="2A87E12F" w14:textId="77777777" w:rsidR="00812E56" w:rsidRPr="000610B7" w:rsidRDefault="00812E56" w:rsidP="00812E56">
            <w:pPr>
              <w:pStyle w:val="NormalWeb"/>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9D69ADF" w14:textId="4D1D250A" w:rsidR="00812E56" w:rsidRPr="000610B7" w:rsidRDefault="00812E56" w:rsidP="00812E56">
            <w:pPr>
              <w:pStyle w:val="NormalWeb"/>
              <w:rPr>
                <w:sz w:val="18"/>
                <w:szCs w:val="18"/>
                <w:lang w:val="en-GB"/>
              </w:rPr>
            </w:pPr>
            <w:r w:rsidRPr="000610B7">
              <w:rPr>
                <w:sz w:val="18"/>
                <w:szCs w:val="18"/>
                <w:lang w:val="en-GB"/>
              </w:rPr>
              <w:t>General practice</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9002BD5" w14:textId="7222CB5E" w:rsidR="00812E56" w:rsidRPr="000610B7" w:rsidRDefault="00812E56" w:rsidP="00812E56">
            <w:pPr>
              <w:pStyle w:val="NormalWeb"/>
              <w:rPr>
                <w:sz w:val="18"/>
                <w:szCs w:val="18"/>
                <w:lang w:val="en-GB"/>
              </w:rPr>
            </w:pPr>
            <w:r w:rsidRPr="000610B7">
              <w:rPr>
                <w:sz w:val="18"/>
                <w:szCs w:val="18"/>
                <w:lang w:val="en-GB"/>
              </w:rPr>
              <w:t>61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69E8DE2" w14:textId="3BE0D414" w:rsidR="00812E56" w:rsidRPr="000610B7" w:rsidRDefault="00812E56" w:rsidP="00812E56">
            <w:pPr>
              <w:pStyle w:val="NormalWeb"/>
              <w:rPr>
                <w:sz w:val="18"/>
                <w:szCs w:val="18"/>
                <w:lang w:val="en-GB"/>
              </w:rPr>
            </w:pPr>
            <w:r w:rsidRPr="000610B7">
              <w:rPr>
                <w:sz w:val="18"/>
                <w:szCs w:val="18"/>
                <w:lang w:val="en-GB"/>
              </w:rPr>
              <w:t>39</w:t>
            </w:r>
          </w:p>
        </w:tc>
        <w:tc>
          <w:tcPr>
            <w:tcW w:w="15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BB5C22F" w14:textId="3B34D1B7" w:rsidR="00812E56" w:rsidRPr="000610B7" w:rsidRDefault="00812E56" w:rsidP="00812E56">
            <w:pPr>
              <w:pStyle w:val="NormalWeb"/>
              <w:rPr>
                <w:sz w:val="18"/>
                <w:szCs w:val="18"/>
                <w:lang w:val="en-GB"/>
              </w:rPr>
            </w:pPr>
            <w:r w:rsidRPr="000610B7">
              <w:rPr>
                <w:sz w:val="18"/>
                <w:szCs w:val="18"/>
                <w:lang w:val="en-GB"/>
              </w:rPr>
              <w:t>100</w:t>
            </w:r>
          </w:p>
        </w:tc>
      </w:tr>
      <w:tr w:rsidR="00812E56" w:rsidRPr="000610B7" w14:paraId="62D0FA23" w14:textId="77777777" w:rsidTr="00A15689">
        <w:tc>
          <w:tcPr>
            <w:tcW w:w="0" w:type="auto"/>
            <w:vMerge/>
            <w:tcBorders>
              <w:left w:val="single" w:sz="2" w:space="0" w:color="808080" w:themeColor="background1" w:themeShade="80"/>
              <w:right w:val="single" w:sz="2" w:space="0" w:color="808080" w:themeColor="background1" w:themeShade="80"/>
            </w:tcBorders>
            <w:shd w:val="clear" w:color="auto" w:fill="auto"/>
          </w:tcPr>
          <w:p w14:paraId="20745719" w14:textId="77777777" w:rsidR="00812E56" w:rsidRPr="000610B7" w:rsidRDefault="00812E56" w:rsidP="00812E56">
            <w:pPr>
              <w:pStyle w:val="NormalWeb"/>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A3E1607" w14:textId="745E3A23" w:rsidR="00812E56" w:rsidRPr="000610B7" w:rsidRDefault="00812E56" w:rsidP="00812E56">
            <w:pPr>
              <w:pStyle w:val="NormalWeb"/>
              <w:rPr>
                <w:sz w:val="18"/>
                <w:szCs w:val="18"/>
                <w:lang w:val="en-GB"/>
              </w:rPr>
            </w:pPr>
            <w:r w:rsidRPr="000610B7">
              <w:rPr>
                <w:sz w:val="18"/>
                <w:szCs w:val="18"/>
                <w:lang w:val="en-GB"/>
              </w:rPr>
              <w:t>Other specialists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ADFCA02" w14:textId="5DE936B1" w:rsidR="00812E56" w:rsidRPr="000610B7" w:rsidRDefault="00812E56" w:rsidP="00812E56">
            <w:pPr>
              <w:pStyle w:val="NormalWeb"/>
              <w:rPr>
                <w:sz w:val="18"/>
                <w:szCs w:val="18"/>
                <w:lang w:val="en-GB"/>
              </w:rPr>
            </w:pPr>
            <w:r w:rsidRPr="000610B7">
              <w:rPr>
                <w:sz w:val="18"/>
                <w:szCs w:val="18"/>
                <w:lang w:val="en-GB"/>
              </w:rPr>
              <w:t>12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65582CB" w14:textId="56E40661" w:rsidR="00812E56" w:rsidRPr="000610B7" w:rsidRDefault="00812E56" w:rsidP="00812E56">
            <w:pPr>
              <w:pStyle w:val="NormalWeb"/>
              <w:rPr>
                <w:sz w:val="18"/>
                <w:szCs w:val="18"/>
                <w:lang w:val="en-GB"/>
              </w:rPr>
            </w:pPr>
            <w:r w:rsidRPr="000610B7">
              <w:rPr>
                <w:sz w:val="18"/>
                <w:szCs w:val="18"/>
                <w:lang w:val="en-GB"/>
              </w:rPr>
              <w:t>12</w:t>
            </w:r>
          </w:p>
        </w:tc>
        <w:tc>
          <w:tcPr>
            <w:tcW w:w="15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9879E4D" w14:textId="04D5AE87" w:rsidR="00812E56" w:rsidRPr="000610B7" w:rsidRDefault="00812E56" w:rsidP="00812E56">
            <w:pPr>
              <w:pStyle w:val="NormalWeb"/>
              <w:rPr>
                <w:sz w:val="18"/>
                <w:szCs w:val="18"/>
                <w:lang w:val="en-GB"/>
              </w:rPr>
            </w:pPr>
            <w:r w:rsidRPr="000610B7">
              <w:rPr>
                <w:sz w:val="18"/>
                <w:szCs w:val="18"/>
                <w:lang w:val="en-GB"/>
              </w:rPr>
              <w:t>24</w:t>
            </w:r>
          </w:p>
        </w:tc>
      </w:tr>
      <w:tr w:rsidR="00812E56" w:rsidRPr="000610B7" w14:paraId="79D67E30" w14:textId="77777777" w:rsidTr="00A15689">
        <w:trPr>
          <w:cnfStyle w:val="000000010000" w:firstRow="0" w:lastRow="0" w:firstColumn="0" w:lastColumn="0" w:oddVBand="0" w:evenVBand="0" w:oddHBand="0" w:evenHBand="1" w:firstRowFirstColumn="0" w:firstRowLastColumn="0" w:lastRowFirstColumn="0" w:lastRowLastColumn="0"/>
        </w:trPr>
        <w:tc>
          <w:tcPr>
            <w:tcW w:w="0" w:type="auto"/>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586435D" w14:textId="77777777" w:rsidR="00812E56" w:rsidRPr="000610B7" w:rsidRDefault="00812E56" w:rsidP="00812E56">
            <w:pPr>
              <w:pStyle w:val="NormalWeb"/>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AD323D9" w14:textId="14952B1E" w:rsidR="00812E56" w:rsidRPr="000610B7" w:rsidRDefault="00812E56" w:rsidP="00812E56">
            <w:pPr>
              <w:pStyle w:val="NormalWeb"/>
              <w:rPr>
                <w:sz w:val="18"/>
                <w:szCs w:val="18"/>
                <w:lang w:val="en-GB"/>
              </w:rPr>
            </w:pPr>
            <w:r w:rsidRPr="000610B7">
              <w:rPr>
                <w:sz w:val="18"/>
                <w:szCs w:val="18"/>
                <w:lang w:val="en-GB"/>
              </w:rPr>
              <w:t>Missing</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113063D" w14:textId="39A3C89C" w:rsidR="00812E56" w:rsidRPr="000610B7" w:rsidRDefault="00812E56" w:rsidP="00812E56">
            <w:pPr>
              <w:pStyle w:val="NormalWeb"/>
              <w:rPr>
                <w:sz w:val="18"/>
                <w:szCs w:val="18"/>
                <w:lang w:val="en-GB"/>
              </w:rPr>
            </w:pPr>
            <w:r w:rsidRPr="000610B7">
              <w:rPr>
                <w:sz w:val="18"/>
                <w:szCs w:val="18"/>
                <w:lang w:val="en-GB"/>
              </w:rPr>
              <w:t>77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1E313CC" w14:textId="5B53D0AD" w:rsidR="00812E56" w:rsidRPr="000610B7" w:rsidRDefault="00812E56" w:rsidP="00812E56">
            <w:pPr>
              <w:pStyle w:val="NormalWeb"/>
              <w:rPr>
                <w:sz w:val="18"/>
                <w:szCs w:val="18"/>
                <w:lang w:val="en-GB"/>
              </w:rPr>
            </w:pPr>
            <w:r w:rsidRPr="000610B7">
              <w:rPr>
                <w:sz w:val="18"/>
                <w:szCs w:val="18"/>
                <w:lang w:val="en-GB"/>
              </w:rPr>
              <w:t>32</w:t>
            </w:r>
          </w:p>
        </w:tc>
        <w:tc>
          <w:tcPr>
            <w:tcW w:w="15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F7B5772" w14:textId="39796C0B" w:rsidR="00812E56" w:rsidRPr="000610B7" w:rsidRDefault="00812E56" w:rsidP="00812E56">
            <w:pPr>
              <w:pStyle w:val="NormalWeb"/>
              <w:rPr>
                <w:sz w:val="18"/>
                <w:szCs w:val="18"/>
                <w:lang w:val="en-GB"/>
              </w:rPr>
            </w:pPr>
            <w:r w:rsidRPr="000610B7">
              <w:rPr>
                <w:sz w:val="18"/>
                <w:szCs w:val="18"/>
                <w:lang w:val="en-GB"/>
              </w:rPr>
              <w:t>109</w:t>
            </w:r>
          </w:p>
        </w:tc>
      </w:tr>
      <w:tr w:rsidR="004C2149" w:rsidRPr="000610B7" w14:paraId="636D4085" w14:textId="77777777" w:rsidTr="004C2149">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92E0DDE" w14:textId="0018C1FE" w:rsidR="004C2149" w:rsidRPr="000610B7" w:rsidRDefault="004C2149" w:rsidP="00A5557F">
            <w:pPr>
              <w:pStyle w:val="NormalWeb"/>
              <w:rPr>
                <w:sz w:val="18"/>
                <w:szCs w:val="18"/>
                <w:lang w:val="en-GB"/>
              </w:rPr>
            </w:pPr>
            <w:proofErr w:type="spellStart"/>
            <w:r w:rsidRPr="000610B7">
              <w:rPr>
                <w:sz w:val="18"/>
                <w:szCs w:val="18"/>
                <w:lang w:val="en-GB"/>
              </w:rPr>
              <w:t>PrEP</w:t>
            </w:r>
            <w:r w:rsidR="00812E56">
              <w:rPr>
                <w:sz w:val="18"/>
                <w:szCs w:val="18"/>
                <w:vertAlign w:val="superscript"/>
                <w:lang w:val="en-GB"/>
              </w:rPr>
              <w:t>c</w:t>
            </w:r>
            <w:proofErr w:type="spellEnd"/>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6D6E5CC" w14:textId="77777777" w:rsidR="004C2149" w:rsidRPr="000610B7" w:rsidRDefault="004C2149" w:rsidP="00A5557F">
            <w:pPr>
              <w:pStyle w:val="NormalWeb"/>
              <w:rPr>
                <w:sz w:val="18"/>
                <w:szCs w:val="18"/>
                <w:lang w:val="en-GB"/>
              </w:rPr>
            </w:pPr>
            <w:r w:rsidRPr="000610B7">
              <w:rPr>
                <w:sz w:val="18"/>
                <w:szCs w:val="18"/>
                <w:lang w:val="en-GB"/>
              </w:rPr>
              <w:t>Yes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D3AAF88" w14:textId="77777777" w:rsidR="004C2149" w:rsidRPr="000610B7" w:rsidRDefault="004C2149" w:rsidP="00A5557F">
            <w:pPr>
              <w:pStyle w:val="NormalWeb"/>
              <w:rPr>
                <w:sz w:val="18"/>
                <w:szCs w:val="18"/>
                <w:lang w:val="en-GB"/>
              </w:rPr>
            </w:pPr>
            <w:r w:rsidRPr="000610B7">
              <w:rPr>
                <w:sz w:val="18"/>
                <w:szCs w:val="18"/>
                <w:lang w:val="en-GB"/>
              </w:rPr>
              <w:t>16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F6CC7F4" w14:textId="77777777" w:rsidR="004C2149" w:rsidRPr="000610B7" w:rsidRDefault="004C2149" w:rsidP="00A5557F">
            <w:pPr>
              <w:pStyle w:val="NormalWeb"/>
              <w:rPr>
                <w:sz w:val="18"/>
                <w:szCs w:val="18"/>
                <w:lang w:val="en-GB"/>
              </w:rPr>
            </w:pPr>
            <w:r w:rsidRPr="000610B7">
              <w:rPr>
                <w:sz w:val="18"/>
                <w:szCs w:val="18"/>
                <w:lang w:val="en-GB"/>
              </w:rPr>
              <w:t>2</w:t>
            </w:r>
          </w:p>
        </w:tc>
        <w:tc>
          <w:tcPr>
            <w:tcW w:w="15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B3FA36C" w14:textId="77777777" w:rsidR="004C2149" w:rsidRPr="000610B7" w:rsidRDefault="004C2149" w:rsidP="00A5557F">
            <w:pPr>
              <w:pStyle w:val="NormalWeb"/>
              <w:rPr>
                <w:sz w:val="18"/>
                <w:szCs w:val="18"/>
                <w:lang w:val="en-GB"/>
              </w:rPr>
            </w:pPr>
            <w:r w:rsidRPr="000610B7">
              <w:rPr>
                <w:sz w:val="18"/>
                <w:szCs w:val="18"/>
                <w:lang w:val="en-GB"/>
              </w:rPr>
              <w:t>18</w:t>
            </w:r>
          </w:p>
        </w:tc>
      </w:tr>
      <w:tr w:rsidR="004C2149" w:rsidRPr="000610B7" w14:paraId="79358B3A" w14:textId="77777777" w:rsidTr="004C2149">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15129CC" w14:textId="77777777" w:rsidR="004C2149" w:rsidRPr="000610B7" w:rsidRDefault="004C2149" w:rsidP="00A5557F">
            <w:pPr>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1BD5E23" w14:textId="77777777" w:rsidR="004C2149" w:rsidRPr="000610B7" w:rsidRDefault="004C2149" w:rsidP="00A5557F">
            <w:pPr>
              <w:pStyle w:val="NormalWeb"/>
              <w:rPr>
                <w:sz w:val="18"/>
                <w:szCs w:val="18"/>
                <w:lang w:val="en-GB"/>
              </w:rPr>
            </w:pPr>
            <w:r w:rsidRPr="000610B7">
              <w:rPr>
                <w:sz w:val="18"/>
                <w:szCs w:val="18"/>
                <w:lang w:val="en-GB"/>
              </w:rPr>
              <w:t>No</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8D13543" w14:textId="77777777" w:rsidR="004C2149" w:rsidRPr="000610B7" w:rsidRDefault="004C2149" w:rsidP="00A5557F">
            <w:pPr>
              <w:pStyle w:val="NormalWeb"/>
              <w:rPr>
                <w:sz w:val="18"/>
                <w:szCs w:val="18"/>
                <w:lang w:val="en-GB"/>
              </w:rPr>
            </w:pPr>
            <w:r w:rsidRPr="000610B7">
              <w:rPr>
                <w:sz w:val="18"/>
                <w:szCs w:val="18"/>
                <w:lang w:val="en-GB"/>
              </w:rPr>
              <w:t>57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F52F4B" w14:textId="77777777" w:rsidR="004C2149" w:rsidRPr="000610B7" w:rsidRDefault="004C2149" w:rsidP="00A5557F">
            <w:pPr>
              <w:pStyle w:val="NormalWeb"/>
              <w:rPr>
                <w:sz w:val="18"/>
                <w:szCs w:val="18"/>
                <w:lang w:val="en-GB"/>
              </w:rPr>
            </w:pPr>
            <w:r w:rsidRPr="000610B7">
              <w:rPr>
                <w:sz w:val="18"/>
                <w:szCs w:val="18"/>
                <w:lang w:val="en-GB"/>
              </w:rPr>
              <w:t>31</w:t>
            </w:r>
          </w:p>
        </w:tc>
        <w:tc>
          <w:tcPr>
            <w:tcW w:w="15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2435ED" w14:textId="77777777" w:rsidR="004C2149" w:rsidRPr="000610B7" w:rsidRDefault="004C2149" w:rsidP="00A5557F">
            <w:pPr>
              <w:pStyle w:val="NormalWeb"/>
              <w:rPr>
                <w:sz w:val="18"/>
                <w:szCs w:val="18"/>
                <w:lang w:val="en-GB"/>
              </w:rPr>
            </w:pPr>
            <w:r w:rsidRPr="000610B7">
              <w:rPr>
                <w:sz w:val="18"/>
                <w:szCs w:val="18"/>
                <w:lang w:val="en-GB"/>
              </w:rPr>
              <w:t>88</w:t>
            </w:r>
          </w:p>
        </w:tc>
      </w:tr>
      <w:tr w:rsidR="004C2149" w:rsidRPr="000610B7" w14:paraId="7A34DC4C" w14:textId="77777777" w:rsidTr="004C2149">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62B30E0" w14:textId="77777777" w:rsidR="004C2149" w:rsidRPr="000610B7" w:rsidRDefault="004C2149" w:rsidP="00A5557F">
            <w:pPr>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FEBE25" w14:textId="77777777" w:rsidR="004C2149" w:rsidRPr="000610B7" w:rsidRDefault="004C2149" w:rsidP="00A5557F">
            <w:pPr>
              <w:pStyle w:val="NormalWeb"/>
              <w:rPr>
                <w:sz w:val="18"/>
                <w:szCs w:val="18"/>
                <w:lang w:val="en-GB"/>
              </w:rPr>
            </w:pPr>
            <w:r w:rsidRPr="000610B7">
              <w:rPr>
                <w:sz w:val="18"/>
                <w:szCs w:val="18"/>
                <w:lang w:val="en-GB"/>
              </w:rPr>
              <w:t>Missing</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D150D4" w14:textId="77777777" w:rsidR="004C2149" w:rsidRPr="000610B7" w:rsidRDefault="004C2149" w:rsidP="00A5557F">
            <w:pPr>
              <w:pStyle w:val="NormalWeb"/>
              <w:rPr>
                <w:sz w:val="18"/>
                <w:szCs w:val="18"/>
                <w:lang w:val="en-GB"/>
              </w:rPr>
            </w:pPr>
            <w:r w:rsidRPr="000610B7">
              <w:rPr>
                <w:sz w:val="18"/>
                <w:szCs w:val="18"/>
                <w:lang w:val="en-GB"/>
              </w:rPr>
              <w:t>114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16C87C" w14:textId="77777777" w:rsidR="004C2149" w:rsidRPr="000610B7" w:rsidRDefault="004C2149" w:rsidP="00A5557F">
            <w:pPr>
              <w:pStyle w:val="NormalWeb"/>
              <w:rPr>
                <w:sz w:val="18"/>
                <w:szCs w:val="18"/>
                <w:lang w:val="en-GB"/>
              </w:rPr>
            </w:pPr>
            <w:r w:rsidRPr="000610B7">
              <w:rPr>
                <w:sz w:val="18"/>
                <w:szCs w:val="18"/>
                <w:lang w:val="en-GB"/>
              </w:rPr>
              <w:t>122</w:t>
            </w:r>
          </w:p>
        </w:tc>
        <w:tc>
          <w:tcPr>
            <w:tcW w:w="15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15ED14" w14:textId="77777777" w:rsidR="004C2149" w:rsidRPr="000610B7" w:rsidRDefault="004C2149" w:rsidP="00A5557F">
            <w:pPr>
              <w:pStyle w:val="NormalWeb"/>
              <w:rPr>
                <w:sz w:val="18"/>
                <w:szCs w:val="18"/>
                <w:lang w:val="en-GB"/>
              </w:rPr>
            </w:pPr>
            <w:r w:rsidRPr="000610B7">
              <w:rPr>
                <w:sz w:val="18"/>
                <w:szCs w:val="18"/>
                <w:lang w:val="en-GB"/>
              </w:rPr>
              <w:t>236</w:t>
            </w:r>
          </w:p>
        </w:tc>
      </w:tr>
      <w:tr w:rsidR="004C2149" w:rsidRPr="000610B7" w14:paraId="6C8CE29A" w14:textId="77777777" w:rsidTr="004C2149">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B4A47D" w14:textId="77777777" w:rsidR="004C2149" w:rsidRPr="000610B7" w:rsidRDefault="004C2149" w:rsidP="00A5557F">
            <w:pPr>
              <w:pStyle w:val="NormalWeb"/>
              <w:rPr>
                <w:sz w:val="18"/>
                <w:szCs w:val="18"/>
                <w:lang w:val="en-GB"/>
              </w:rPr>
            </w:pPr>
            <w:r w:rsidRPr="000610B7">
              <w:rPr>
                <w:sz w:val="18"/>
                <w:szCs w:val="18"/>
                <w:lang w:val="en-GB"/>
              </w:rPr>
              <w:t>Sex work</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170369" w14:textId="77777777" w:rsidR="004C2149" w:rsidRPr="000610B7" w:rsidRDefault="004C2149" w:rsidP="00A5557F">
            <w:pPr>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4EAAF3B" w14:textId="77777777" w:rsidR="004C2149" w:rsidRPr="000610B7" w:rsidRDefault="004C2149" w:rsidP="00A5557F">
            <w:pPr>
              <w:pStyle w:val="NormalWeb"/>
              <w:rPr>
                <w:sz w:val="18"/>
                <w:szCs w:val="18"/>
                <w:lang w:val="en-GB"/>
              </w:rPr>
            </w:pPr>
            <w:r w:rsidRPr="000610B7">
              <w:rPr>
                <w:sz w:val="18"/>
                <w:szCs w:val="18"/>
                <w:lang w:val="en-GB"/>
              </w:rPr>
              <w:t>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A514D57" w14:textId="77777777" w:rsidR="004C2149" w:rsidRPr="000610B7" w:rsidRDefault="004C2149" w:rsidP="00A5557F">
            <w:pPr>
              <w:pStyle w:val="NormalWeb"/>
              <w:rPr>
                <w:sz w:val="18"/>
                <w:szCs w:val="18"/>
                <w:lang w:val="en-GB"/>
              </w:rPr>
            </w:pPr>
            <w:r w:rsidRPr="000610B7">
              <w:rPr>
                <w:sz w:val="18"/>
                <w:szCs w:val="18"/>
                <w:lang w:val="en-GB"/>
              </w:rPr>
              <w:t>3</w:t>
            </w:r>
          </w:p>
        </w:tc>
        <w:tc>
          <w:tcPr>
            <w:tcW w:w="15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10D374" w14:textId="77777777" w:rsidR="004C2149" w:rsidRPr="000610B7" w:rsidRDefault="004C2149" w:rsidP="00A5557F">
            <w:pPr>
              <w:pStyle w:val="NormalWeb"/>
              <w:rPr>
                <w:sz w:val="18"/>
                <w:szCs w:val="18"/>
                <w:lang w:val="en-GB"/>
              </w:rPr>
            </w:pPr>
            <w:r w:rsidRPr="000610B7">
              <w:rPr>
                <w:sz w:val="18"/>
                <w:szCs w:val="18"/>
                <w:lang w:val="en-GB"/>
              </w:rPr>
              <w:t>6</w:t>
            </w:r>
          </w:p>
        </w:tc>
      </w:tr>
    </w:tbl>
    <w:p w14:paraId="4E00AD9C" w14:textId="77777777" w:rsidR="00812E56" w:rsidRPr="004C2149" w:rsidRDefault="00812E56" w:rsidP="00812E56">
      <w:pPr>
        <w:pStyle w:val="CDIfootnotes"/>
        <w:rPr>
          <w:lang w:val="en-GB"/>
        </w:rPr>
      </w:pPr>
      <w:r>
        <w:rPr>
          <w:lang w:val="en-GB"/>
        </w:rPr>
        <w:t>a</w:t>
      </w:r>
      <w:r>
        <w:rPr>
          <w:lang w:val="en-GB"/>
        </w:rPr>
        <w:tab/>
        <w:t>Category includes Canada, New Zealand, United Kingdom and United States of America.</w:t>
      </w:r>
    </w:p>
    <w:p w14:paraId="5889B14A" w14:textId="5FCC2829" w:rsidR="004C2149" w:rsidRDefault="00812E56" w:rsidP="004C2149">
      <w:pPr>
        <w:pStyle w:val="CDIfootnotes"/>
        <w:rPr>
          <w:lang w:val="en-GB"/>
        </w:rPr>
      </w:pPr>
      <w:r>
        <w:rPr>
          <w:lang w:val="en-GB"/>
        </w:rPr>
        <w:t>b</w:t>
      </w:r>
      <w:r w:rsidR="004C2149">
        <w:rPr>
          <w:lang w:val="en-GB"/>
        </w:rPr>
        <w:tab/>
        <w:t>Local Government Area.</w:t>
      </w:r>
    </w:p>
    <w:p w14:paraId="35633B2D" w14:textId="0F6DBFBE" w:rsidR="004C2149" w:rsidRDefault="00812E56" w:rsidP="004C2149">
      <w:pPr>
        <w:pStyle w:val="CDIfootnotes"/>
        <w:rPr>
          <w:lang w:val="en-GB"/>
        </w:rPr>
      </w:pPr>
      <w:r>
        <w:rPr>
          <w:lang w:val="en-GB"/>
        </w:rPr>
        <w:t>c</w:t>
      </w:r>
      <w:r w:rsidR="004C2149">
        <w:rPr>
          <w:lang w:val="en-GB"/>
        </w:rPr>
        <w:tab/>
        <w:t>Pre-exposure prophylaxis.</w:t>
      </w:r>
    </w:p>
    <w:p w14:paraId="4433B4E5" w14:textId="77777777" w:rsidR="00264999" w:rsidRDefault="00264999" w:rsidP="00795092">
      <w:r>
        <w:t xml:space="preserve">Overall, for notifications of all syphilis, there were significant increases in males &lt; 35 years of age, with case increasing from 39 (27.5% of all syphilis notifications) in the first five-year period to 83 (42.1% of all syphilis notifications) in the second five-year period, p &lt; 0.05. Also, for all syphilis notifications, there was a statistically significant increase in the percentage of cases from Penrith LGA, from 83 (58.5%) in the first five-year period to 134 (67%) in the second five-year period, p &lt; 0.05. Infectious syphilis notifications also increased from 25 (34.2%) in the first five-year period to 60 (52.6%) in the second five-year period, p &lt; 0.05. The numbers of notifications also </w:t>
      </w:r>
      <w:r>
        <w:lastRenderedPageBreak/>
        <w:t xml:space="preserve">increased in women across both the categories of ‘all syphilis’ and ‘infectious syphilis’, though these increases were not statistically significant. Table 3 presents this information. </w:t>
      </w:r>
    </w:p>
    <w:p w14:paraId="7B3075A9" w14:textId="77777777" w:rsidR="008A5D85" w:rsidRPr="00F86916" w:rsidRDefault="008A5D85" w:rsidP="008A5D85">
      <w:pPr>
        <w:pStyle w:val="CDIFigures"/>
      </w:pPr>
      <w:r w:rsidRPr="00F86916">
        <w:rPr>
          <w:rStyle w:val="Strong"/>
          <w:b/>
          <w:bCs w:val="0"/>
        </w:rPr>
        <w:t>Figure 1: Annual notifications of infectious syphilis and syphilis acquired &gt; 2 years or of unknown duration for males and females in NBMLHD, 2010 to 2019.</w:t>
      </w:r>
    </w:p>
    <w:p w14:paraId="1EAD58B2" w14:textId="405C5445" w:rsidR="008A5D85" w:rsidRPr="008A5D85" w:rsidRDefault="008A5D85" w:rsidP="008A5D85">
      <w:pPr>
        <w:rPr>
          <w:rFonts w:eastAsia="Times New Roman"/>
          <w:lang w:val="en-GB"/>
        </w:rPr>
      </w:pPr>
      <w:r>
        <w:rPr>
          <w:rFonts w:eastAsia="Times New Roman"/>
          <w:noProof/>
          <w:lang w:val="en-GB"/>
        </w:rPr>
        <w:drawing>
          <wp:inline distT="0" distB="0" distL="0" distR="0" wp14:anchorId="6F174E0F" wp14:editId="07175FF3">
            <wp:extent cx="6629400" cy="5948953"/>
            <wp:effectExtent l="0" t="0" r="0" b="0"/>
            <wp:docPr id="2" name="Picture 2" descr="Annual notifications of syphilis by stage and sex are shown in Figure 1. Overall, syphilis notifications increased over the 10 year study period, with larger increases seen in infectious syphil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nnual notifications of syphilis by stage and sex are shown in Figure 1. Overall, syphilis notifications increased over the 10 year study period, with larger increases seen in infectious syphilis. "/>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37502" cy="5956223"/>
                    </a:xfrm>
                    <a:prstGeom prst="rect">
                      <a:avLst/>
                    </a:prstGeom>
                  </pic:spPr>
                </pic:pic>
              </a:graphicData>
            </a:graphic>
          </wp:inline>
        </w:drawing>
      </w:r>
    </w:p>
    <w:p w14:paraId="22878DC0" w14:textId="77777777" w:rsidR="00BF2485" w:rsidRDefault="00BF2485">
      <w:pPr>
        <w:rPr>
          <w:rFonts w:asciiTheme="majorHAnsi" w:eastAsiaTheme="majorEastAsia" w:hAnsiTheme="majorHAnsi" w:cstheme="majorBidi"/>
          <w:b/>
          <w:bCs/>
          <w:sz w:val="32"/>
          <w:szCs w:val="28"/>
        </w:rPr>
      </w:pPr>
      <w:r>
        <w:br w:type="page"/>
      </w:r>
    </w:p>
    <w:p w14:paraId="4555B8BF" w14:textId="77777777" w:rsidR="00BF2485" w:rsidRPr="00CB04B4" w:rsidRDefault="00BF2485" w:rsidP="00BF2485">
      <w:pPr>
        <w:pStyle w:val="CDIFigures"/>
      </w:pPr>
      <w:r w:rsidRPr="00CB04B4">
        <w:rPr>
          <w:rStyle w:val="Strong"/>
          <w:b/>
          <w:bCs w:val="0"/>
        </w:rPr>
        <w:lastRenderedPageBreak/>
        <w:t xml:space="preserve">Table 2: Crude incidence rates (number of cases per 100,000 people per year) and rate ratios for each </w:t>
      </w:r>
      <w:proofErr w:type="gramStart"/>
      <w:r w:rsidRPr="00CB04B4">
        <w:rPr>
          <w:rStyle w:val="Strong"/>
          <w:b/>
          <w:bCs w:val="0"/>
        </w:rPr>
        <w:t>5 year</w:t>
      </w:r>
      <w:proofErr w:type="gramEnd"/>
      <w:r w:rsidRPr="00CB04B4">
        <w:rPr>
          <w:rStyle w:val="Strong"/>
          <w:b/>
          <w:bCs w:val="0"/>
        </w:rPr>
        <w:t xml:space="preserve"> period by staging of syphilis and sex</w:t>
      </w:r>
    </w:p>
    <w:tbl>
      <w:tblPr>
        <w:tblStyle w:val="CDI-StandardTable"/>
        <w:tblW w:w="0" w:type="auto"/>
        <w:tblLook w:val="04A0" w:firstRow="1" w:lastRow="0" w:firstColumn="1" w:lastColumn="0" w:noHBand="0" w:noVBand="1"/>
        <w:tblDescription w:val="Crude incidence rates (number of cases per 100,000 people per year) and rate ratios for each 5 year period by staging of syphilis and sex are presented in this table. Data is presented for syphilis of &gt;2 years or unknown duration and infectious syphilis. Significant increases in syphilis incidence rates were found in infectious syphilis overall as well as in males."/>
      </w:tblPr>
      <w:tblGrid>
        <w:gridCol w:w="3098"/>
        <w:gridCol w:w="648"/>
        <w:gridCol w:w="1984"/>
        <w:gridCol w:w="1984"/>
        <w:gridCol w:w="1311"/>
        <w:gridCol w:w="1415"/>
      </w:tblGrid>
      <w:tr w:rsidR="00BF2485" w:rsidRPr="00CB04B4" w14:paraId="74C1498F" w14:textId="77777777" w:rsidTr="00BF2485">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049D417F" w14:textId="77777777" w:rsidR="00BF2485" w:rsidRPr="00CB04B4" w:rsidRDefault="00BF2485" w:rsidP="00A5557F">
            <w:pPr>
              <w:pStyle w:val="NormalWeb"/>
              <w:rPr>
                <w:sz w:val="18"/>
                <w:szCs w:val="18"/>
                <w:lang w:val="en-GB"/>
              </w:rPr>
            </w:pPr>
            <w:r w:rsidRPr="00CB04B4">
              <w:rPr>
                <w:sz w:val="18"/>
                <w:szCs w:val="18"/>
                <w:lang w:val="en-GB"/>
              </w:rPr>
              <w:t>Condition</w:t>
            </w:r>
          </w:p>
        </w:tc>
        <w:tc>
          <w:tcPr>
            <w:tcW w:w="0" w:type="auto"/>
            <w:vMerge w:val="restart"/>
            <w:hideMark/>
          </w:tcPr>
          <w:p w14:paraId="1FE64AE7" w14:textId="77777777" w:rsidR="00BF2485" w:rsidRPr="00CB04B4" w:rsidRDefault="00BF2485" w:rsidP="00A5557F">
            <w:pPr>
              <w:pStyle w:val="NormalWeb"/>
              <w:rPr>
                <w:sz w:val="18"/>
                <w:szCs w:val="18"/>
                <w:lang w:val="en-GB"/>
              </w:rPr>
            </w:pPr>
            <w:proofErr w:type="spellStart"/>
            <w:r w:rsidRPr="00CB04B4">
              <w:rPr>
                <w:sz w:val="18"/>
                <w:szCs w:val="18"/>
                <w:lang w:val="en-GB"/>
              </w:rPr>
              <w:t>Sex</w:t>
            </w:r>
            <w:r w:rsidRPr="004F7A02">
              <w:rPr>
                <w:sz w:val="18"/>
                <w:szCs w:val="18"/>
                <w:vertAlign w:val="superscript"/>
                <w:lang w:val="en-GB"/>
              </w:rPr>
              <w:t>a</w:t>
            </w:r>
            <w:proofErr w:type="spellEnd"/>
          </w:p>
        </w:tc>
        <w:tc>
          <w:tcPr>
            <w:tcW w:w="0" w:type="auto"/>
            <w:gridSpan w:val="3"/>
            <w:hideMark/>
          </w:tcPr>
          <w:p w14:paraId="60D4485F" w14:textId="77777777" w:rsidR="00BF2485" w:rsidRPr="00CB04B4" w:rsidRDefault="00BF2485" w:rsidP="00A5557F">
            <w:pPr>
              <w:pStyle w:val="NormalWeb"/>
              <w:rPr>
                <w:sz w:val="18"/>
                <w:szCs w:val="18"/>
                <w:lang w:val="en-GB"/>
              </w:rPr>
            </w:pPr>
            <w:r w:rsidRPr="00CB04B4">
              <w:rPr>
                <w:sz w:val="18"/>
                <w:szCs w:val="18"/>
                <w:lang w:val="en-GB"/>
              </w:rPr>
              <w:t>Incidence rate</w:t>
            </w:r>
          </w:p>
        </w:tc>
        <w:tc>
          <w:tcPr>
            <w:tcW w:w="1415" w:type="dxa"/>
            <w:vMerge w:val="restart"/>
            <w:hideMark/>
          </w:tcPr>
          <w:p w14:paraId="4AE95727" w14:textId="77777777" w:rsidR="00BF2485" w:rsidRPr="00CB04B4" w:rsidRDefault="00BF2485" w:rsidP="00A5557F">
            <w:pPr>
              <w:pStyle w:val="NormalWeb"/>
              <w:rPr>
                <w:sz w:val="18"/>
                <w:szCs w:val="18"/>
                <w:lang w:val="en-GB"/>
              </w:rPr>
            </w:pPr>
            <w:r w:rsidRPr="00CB04B4">
              <w:rPr>
                <w:sz w:val="18"/>
                <w:szCs w:val="18"/>
                <w:lang w:val="en-GB"/>
              </w:rPr>
              <w:t xml:space="preserve">p </w:t>
            </w:r>
            <w:proofErr w:type="spellStart"/>
            <w:proofErr w:type="gramStart"/>
            <w:r w:rsidRPr="00CB04B4">
              <w:rPr>
                <w:sz w:val="18"/>
                <w:szCs w:val="18"/>
                <w:lang w:val="en-GB"/>
              </w:rPr>
              <w:t>value</w:t>
            </w:r>
            <w:r w:rsidRPr="004F7A02">
              <w:rPr>
                <w:sz w:val="18"/>
                <w:szCs w:val="18"/>
                <w:vertAlign w:val="superscript"/>
                <w:lang w:val="en-GB"/>
              </w:rPr>
              <w:t>c,d</w:t>
            </w:r>
            <w:proofErr w:type="spellEnd"/>
            <w:proofErr w:type="gramEnd"/>
          </w:p>
        </w:tc>
      </w:tr>
      <w:tr w:rsidR="00BF2485" w:rsidRPr="00CB04B4" w14:paraId="6ABE0A1B" w14:textId="77777777" w:rsidTr="00BF2485">
        <w:trPr>
          <w:cnfStyle w:val="100000000000" w:firstRow="1" w:lastRow="0" w:firstColumn="0" w:lastColumn="0" w:oddVBand="0" w:evenVBand="0" w:oddHBand="0" w:evenHBand="0" w:firstRowFirstColumn="0" w:firstRowLastColumn="0" w:lastRowFirstColumn="0" w:lastRowLastColumn="0"/>
          <w:tblHeader/>
        </w:trPr>
        <w:tc>
          <w:tcPr>
            <w:tcW w:w="0" w:type="auto"/>
            <w:vMerge/>
            <w:tcBorders>
              <w:bottom w:val="single" w:sz="2" w:space="0" w:color="808080" w:themeColor="background1" w:themeShade="80"/>
            </w:tcBorders>
            <w:hideMark/>
          </w:tcPr>
          <w:p w14:paraId="362FDD59" w14:textId="77777777" w:rsidR="00BF2485" w:rsidRPr="00CB04B4" w:rsidRDefault="00BF2485" w:rsidP="00A5557F">
            <w:pPr>
              <w:rPr>
                <w:sz w:val="18"/>
                <w:szCs w:val="18"/>
                <w:lang w:val="en-GB"/>
              </w:rPr>
            </w:pPr>
          </w:p>
        </w:tc>
        <w:tc>
          <w:tcPr>
            <w:tcW w:w="0" w:type="auto"/>
            <w:vMerge/>
            <w:tcBorders>
              <w:bottom w:val="single" w:sz="2" w:space="0" w:color="808080" w:themeColor="background1" w:themeShade="80"/>
            </w:tcBorders>
            <w:hideMark/>
          </w:tcPr>
          <w:p w14:paraId="654B7679" w14:textId="77777777" w:rsidR="00BF2485" w:rsidRPr="00CB04B4" w:rsidRDefault="00BF2485" w:rsidP="00A5557F">
            <w:pPr>
              <w:rPr>
                <w:sz w:val="18"/>
                <w:szCs w:val="18"/>
                <w:lang w:val="en-GB"/>
              </w:rPr>
            </w:pPr>
          </w:p>
        </w:tc>
        <w:tc>
          <w:tcPr>
            <w:tcW w:w="0" w:type="auto"/>
            <w:tcBorders>
              <w:bottom w:val="single" w:sz="2" w:space="0" w:color="808080" w:themeColor="background1" w:themeShade="80"/>
            </w:tcBorders>
            <w:hideMark/>
          </w:tcPr>
          <w:p w14:paraId="1B0CE351" w14:textId="77777777" w:rsidR="00BF2485" w:rsidRPr="00CB04B4" w:rsidRDefault="00BF2485" w:rsidP="00A5557F">
            <w:pPr>
              <w:pStyle w:val="NormalWeb"/>
              <w:rPr>
                <w:sz w:val="18"/>
                <w:szCs w:val="18"/>
                <w:lang w:val="en-GB"/>
              </w:rPr>
            </w:pPr>
            <w:r w:rsidRPr="00CB04B4">
              <w:rPr>
                <w:sz w:val="18"/>
                <w:szCs w:val="18"/>
                <w:lang w:val="en-GB"/>
              </w:rPr>
              <w:t>First period</w:t>
            </w:r>
            <w:r w:rsidRPr="00CB04B4">
              <w:rPr>
                <w:sz w:val="18"/>
                <w:szCs w:val="18"/>
                <w:lang w:val="en-GB"/>
              </w:rPr>
              <w:br/>
              <w:t>1 Oct 2009 – 30 Sep 2014</w:t>
            </w:r>
          </w:p>
        </w:tc>
        <w:tc>
          <w:tcPr>
            <w:tcW w:w="0" w:type="auto"/>
            <w:tcBorders>
              <w:bottom w:val="single" w:sz="2" w:space="0" w:color="808080" w:themeColor="background1" w:themeShade="80"/>
            </w:tcBorders>
            <w:hideMark/>
          </w:tcPr>
          <w:p w14:paraId="5879485B" w14:textId="77777777" w:rsidR="00BF2485" w:rsidRPr="00CB04B4" w:rsidRDefault="00BF2485" w:rsidP="00A5557F">
            <w:pPr>
              <w:pStyle w:val="NormalWeb"/>
              <w:rPr>
                <w:sz w:val="18"/>
                <w:szCs w:val="18"/>
                <w:lang w:val="en-GB"/>
              </w:rPr>
            </w:pPr>
            <w:r w:rsidRPr="00CB04B4">
              <w:rPr>
                <w:sz w:val="18"/>
                <w:szCs w:val="18"/>
                <w:lang w:val="en-GB"/>
              </w:rPr>
              <w:t>Second period</w:t>
            </w:r>
            <w:r w:rsidRPr="00CB04B4">
              <w:rPr>
                <w:sz w:val="18"/>
                <w:szCs w:val="18"/>
                <w:lang w:val="en-GB"/>
              </w:rPr>
              <w:br/>
              <w:t>1 Oct 2014 – 30 Sep 2019</w:t>
            </w:r>
          </w:p>
        </w:tc>
        <w:tc>
          <w:tcPr>
            <w:tcW w:w="0" w:type="auto"/>
            <w:tcBorders>
              <w:bottom w:val="single" w:sz="2" w:space="0" w:color="808080" w:themeColor="background1" w:themeShade="80"/>
            </w:tcBorders>
            <w:hideMark/>
          </w:tcPr>
          <w:p w14:paraId="3FD9B229" w14:textId="77777777" w:rsidR="00BF2485" w:rsidRPr="00CB04B4" w:rsidRDefault="00BF2485" w:rsidP="00A5557F">
            <w:pPr>
              <w:pStyle w:val="NormalWeb"/>
              <w:rPr>
                <w:sz w:val="18"/>
                <w:szCs w:val="18"/>
                <w:lang w:val="en-GB"/>
              </w:rPr>
            </w:pPr>
            <w:r w:rsidRPr="00CB04B4">
              <w:rPr>
                <w:sz w:val="18"/>
                <w:szCs w:val="18"/>
                <w:lang w:val="en-GB"/>
              </w:rPr>
              <w:t xml:space="preserve">RR (95% </w:t>
            </w:r>
            <w:proofErr w:type="gramStart"/>
            <w:r w:rsidRPr="00CB04B4">
              <w:rPr>
                <w:sz w:val="18"/>
                <w:szCs w:val="18"/>
                <w:lang w:val="en-GB"/>
              </w:rPr>
              <w:t>CI)</w:t>
            </w:r>
            <w:r w:rsidRPr="004F7A02">
              <w:rPr>
                <w:sz w:val="18"/>
                <w:szCs w:val="18"/>
                <w:vertAlign w:val="superscript"/>
                <w:lang w:val="en-GB"/>
              </w:rPr>
              <w:t>b</w:t>
            </w:r>
            <w:proofErr w:type="gramEnd"/>
          </w:p>
        </w:tc>
        <w:tc>
          <w:tcPr>
            <w:tcW w:w="1415" w:type="dxa"/>
            <w:vMerge/>
            <w:tcBorders>
              <w:bottom w:val="single" w:sz="2" w:space="0" w:color="808080" w:themeColor="background1" w:themeShade="80"/>
            </w:tcBorders>
            <w:hideMark/>
          </w:tcPr>
          <w:p w14:paraId="1D94A657" w14:textId="77777777" w:rsidR="00BF2485" w:rsidRPr="00CB04B4" w:rsidRDefault="00BF2485" w:rsidP="00A5557F">
            <w:pPr>
              <w:rPr>
                <w:sz w:val="18"/>
                <w:szCs w:val="18"/>
                <w:lang w:val="en-GB"/>
              </w:rPr>
            </w:pPr>
          </w:p>
        </w:tc>
      </w:tr>
      <w:tr w:rsidR="00BF2485" w:rsidRPr="00CB04B4" w14:paraId="58A6C921" w14:textId="77777777" w:rsidTr="00BF2485">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9697FC" w14:textId="77777777" w:rsidR="00BF2485" w:rsidRPr="00CB04B4" w:rsidRDefault="00BF2485" w:rsidP="00A5557F">
            <w:pPr>
              <w:pStyle w:val="NormalWeb"/>
              <w:rPr>
                <w:sz w:val="18"/>
                <w:szCs w:val="18"/>
                <w:lang w:val="en-GB"/>
              </w:rPr>
            </w:pPr>
            <w:r w:rsidRPr="00CB04B4">
              <w:rPr>
                <w:sz w:val="18"/>
                <w:szCs w:val="18"/>
                <w:lang w:val="en-GB"/>
              </w:rPr>
              <w:t>Syphilis of &gt;2 years or unknown duration</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5160CA" w14:textId="77777777" w:rsidR="00BF2485" w:rsidRPr="00CB04B4" w:rsidRDefault="00BF2485" w:rsidP="00A5557F">
            <w:pPr>
              <w:pStyle w:val="NormalWeb"/>
              <w:rPr>
                <w:sz w:val="18"/>
                <w:szCs w:val="18"/>
                <w:lang w:val="en-GB"/>
              </w:rPr>
            </w:pPr>
            <w:r w:rsidRPr="00CB04B4">
              <w:rPr>
                <w:sz w:val="18"/>
                <w:szCs w:val="18"/>
                <w:lang w:val="en-GB"/>
              </w:rPr>
              <w:t>Male</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7FAC860" w14:textId="77777777" w:rsidR="00BF2485" w:rsidRPr="00CB04B4" w:rsidRDefault="00BF2485" w:rsidP="00A5557F">
            <w:pPr>
              <w:pStyle w:val="NormalWeb"/>
              <w:rPr>
                <w:sz w:val="18"/>
                <w:szCs w:val="18"/>
                <w:lang w:val="en-GB"/>
              </w:rPr>
            </w:pPr>
            <w:r w:rsidRPr="00CB04B4">
              <w:rPr>
                <w:sz w:val="18"/>
                <w:szCs w:val="18"/>
                <w:lang w:val="en-GB"/>
              </w:rPr>
              <w:t>7.05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AE5DE0C" w14:textId="77777777" w:rsidR="00BF2485" w:rsidRPr="00CB04B4" w:rsidRDefault="00BF2485" w:rsidP="00A5557F">
            <w:pPr>
              <w:pStyle w:val="NormalWeb"/>
              <w:rPr>
                <w:sz w:val="18"/>
                <w:szCs w:val="18"/>
                <w:lang w:val="en-GB"/>
              </w:rPr>
            </w:pPr>
            <w:r w:rsidRPr="00CB04B4">
              <w:rPr>
                <w:sz w:val="18"/>
                <w:szCs w:val="18"/>
                <w:lang w:val="en-GB"/>
              </w:rPr>
              <w:t>8.74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F843DA9" w14:textId="77777777" w:rsidR="00BF2485" w:rsidRPr="00CB04B4" w:rsidRDefault="00BF2485" w:rsidP="00A5557F">
            <w:pPr>
              <w:pStyle w:val="NormalWeb"/>
              <w:rPr>
                <w:sz w:val="18"/>
                <w:szCs w:val="18"/>
                <w:lang w:val="en-GB"/>
              </w:rPr>
            </w:pPr>
            <w:r w:rsidRPr="00CB04B4">
              <w:rPr>
                <w:sz w:val="18"/>
                <w:szCs w:val="18"/>
                <w:lang w:val="en-GB"/>
              </w:rPr>
              <w:t>1.24 (0.85–1.80)</w:t>
            </w:r>
          </w:p>
        </w:tc>
        <w:tc>
          <w:tcPr>
            <w:tcW w:w="14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F3E6B4A" w14:textId="77777777" w:rsidR="00BF2485" w:rsidRPr="00CB04B4" w:rsidRDefault="00BF2485" w:rsidP="00A5557F">
            <w:pPr>
              <w:pStyle w:val="NormalWeb"/>
              <w:rPr>
                <w:sz w:val="18"/>
                <w:szCs w:val="18"/>
                <w:lang w:val="en-GB"/>
              </w:rPr>
            </w:pPr>
            <w:r w:rsidRPr="00CB04B4">
              <w:rPr>
                <w:sz w:val="18"/>
                <w:szCs w:val="18"/>
                <w:lang w:val="en-GB"/>
              </w:rPr>
              <w:t>NS</w:t>
            </w:r>
          </w:p>
        </w:tc>
      </w:tr>
      <w:tr w:rsidR="00BF2485" w:rsidRPr="00CB04B4" w14:paraId="49D5F45A" w14:textId="77777777" w:rsidTr="00BF2485">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7EC943" w14:textId="77777777" w:rsidR="00BF2485" w:rsidRPr="00CB04B4" w:rsidRDefault="00BF2485" w:rsidP="00A5557F">
            <w:pPr>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7FBD3C0" w14:textId="77777777" w:rsidR="00BF2485" w:rsidRPr="00CB04B4" w:rsidRDefault="00BF2485" w:rsidP="00A5557F">
            <w:pPr>
              <w:pStyle w:val="NormalWeb"/>
              <w:rPr>
                <w:sz w:val="18"/>
                <w:szCs w:val="18"/>
                <w:lang w:val="en-GB"/>
              </w:rPr>
            </w:pPr>
            <w:r w:rsidRPr="00CB04B4">
              <w:rPr>
                <w:sz w:val="18"/>
                <w:szCs w:val="18"/>
                <w:lang w:val="en-GB"/>
              </w:rPr>
              <w:t>Female</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2F7405F" w14:textId="77777777" w:rsidR="00BF2485" w:rsidRPr="00CB04B4" w:rsidRDefault="00BF2485" w:rsidP="00A5557F">
            <w:pPr>
              <w:pStyle w:val="NormalWeb"/>
              <w:rPr>
                <w:sz w:val="18"/>
                <w:szCs w:val="18"/>
                <w:lang w:val="en-GB"/>
              </w:rPr>
            </w:pPr>
            <w:r w:rsidRPr="00CB04B4">
              <w:rPr>
                <w:sz w:val="18"/>
                <w:szCs w:val="18"/>
                <w:lang w:val="en-GB"/>
              </w:rPr>
              <w:t>3.00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26D4B44" w14:textId="77777777" w:rsidR="00BF2485" w:rsidRPr="00CB04B4" w:rsidRDefault="00BF2485" w:rsidP="00A5557F">
            <w:pPr>
              <w:pStyle w:val="NormalWeb"/>
              <w:rPr>
                <w:sz w:val="18"/>
                <w:szCs w:val="18"/>
                <w:lang w:val="en-GB"/>
              </w:rPr>
            </w:pPr>
            <w:r w:rsidRPr="00CB04B4">
              <w:rPr>
                <w:sz w:val="18"/>
                <w:szCs w:val="18"/>
                <w:lang w:val="en-GB"/>
              </w:rPr>
              <w:t>2.95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5ED1F82" w14:textId="77777777" w:rsidR="00BF2485" w:rsidRPr="00CB04B4" w:rsidRDefault="00BF2485" w:rsidP="00A5557F">
            <w:pPr>
              <w:pStyle w:val="NormalWeb"/>
              <w:rPr>
                <w:sz w:val="18"/>
                <w:szCs w:val="18"/>
                <w:lang w:val="en-GB"/>
              </w:rPr>
            </w:pPr>
            <w:r w:rsidRPr="00CB04B4">
              <w:rPr>
                <w:sz w:val="18"/>
                <w:szCs w:val="18"/>
                <w:lang w:val="en-GB"/>
              </w:rPr>
              <w:t>0.98 (0.54–1.79)</w:t>
            </w:r>
          </w:p>
        </w:tc>
        <w:tc>
          <w:tcPr>
            <w:tcW w:w="14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4DE93B8" w14:textId="77777777" w:rsidR="00BF2485" w:rsidRPr="00CB04B4" w:rsidRDefault="00BF2485" w:rsidP="00A5557F">
            <w:pPr>
              <w:pStyle w:val="NormalWeb"/>
              <w:rPr>
                <w:sz w:val="18"/>
                <w:szCs w:val="18"/>
                <w:lang w:val="en-GB"/>
              </w:rPr>
            </w:pPr>
            <w:r w:rsidRPr="00CB04B4">
              <w:rPr>
                <w:sz w:val="18"/>
                <w:szCs w:val="18"/>
                <w:lang w:val="en-GB"/>
              </w:rPr>
              <w:t>NS</w:t>
            </w:r>
          </w:p>
        </w:tc>
      </w:tr>
      <w:tr w:rsidR="00BF2485" w:rsidRPr="00CB04B4" w14:paraId="1A05CDFA" w14:textId="77777777" w:rsidTr="00BF2485">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0BF9DC" w14:textId="77777777" w:rsidR="00BF2485" w:rsidRPr="00CB04B4" w:rsidRDefault="00BF2485" w:rsidP="00A5557F">
            <w:pPr>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7D4C9B" w14:textId="77777777" w:rsidR="00BF2485" w:rsidRPr="00CB04B4" w:rsidRDefault="00BF2485" w:rsidP="00A5557F">
            <w:pPr>
              <w:pStyle w:val="NormalWeb"/>
              <w:rPr>
                <w:sz w:val="18"/>
                <w:szCs w:val="18"/>
                <w:lang w:val="en-GB"/>
              </w:rPr>
            </w:pPr>
            <w:r w:rsidRPr="00CB04B4">
              <w:rPr>
                <w:sz w:val="18"/>
                <w:szCs w:val="18"/>
                <w:lang w:val="en-GB"/>
              </w:rPr>
              <w:t>All</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FF0AE6D" w14:textId="77777777" w:rsidR="00BF2485" w:rsidRPr="00CB04B4" w:rsidRDefault="00BF2485" w:rsidP="00A5557F">
            <w:pPr>
              <w:pStyle w:val="NormalWeb"/>
              <w:rPr>
                <w:sz w:val="18"/>
                <w:szCs w:val="18"/>
                <w:lang w:val="en-GB"/>
              </w:rPr>
            </w:pPr>
            <w:r w:rsidRPr="00CB04B4">
              <w:rPr>
                <w:sz w:val="18"/>
                <w:szCs w:val="18"/>
                <w:lang w:val="en-GB"/>
              </w:rPr>
              <w:t>5.00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F605673" w14:textId="77777777" w:rsidR="00BF2485" w:rsidRPr="00CB04B4" w:rsidRDefault="00BF2485" w:rsidP="00A5557F">
            <w:pPr>
              <w:pStyle w:val="NormalWeb"/>
              <w:rPr>
                <w:sz w:val="18"/>
                <w:szCs w:val="18"/>
                <w:lang w:val="en-GB"/>
              </w:rPr>
            </w:pPr>
            <w:r w:rsidRPr="00CB04B4">
              <w:rPr>
                <w:sz w:val="18"/>
                <w:szCs w:val="18"/>
                <w:lang w:val="en-GB"/>
              </w:rPr>
              <w:t>5.87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E16539" w14:textId="77777777" w:rsidR="00BF2485" w:rsidRPr="00CB04B4" w:rsidRDefault="00BF2485" w:rsidP="00A5557F">
            <w:pPr>
              <w:pStyle w:val="NormalWeb"/>
              <w:rPr>
                <w:sz w:val="18"/>
                <w:szCs w:val="18"/>
                <w:lang w:val="en-GB"/>
              </w:rPr>
            </w:pPr>
            <w:r w:rsidRPr="00CB04B4">
              <w:rPr>
                <w:sz w:val="18"/>
                <w:szCs w:val="18"/>
                <w:lang w:val="en-GB"/>
              </w:rPr>
              <w:t>1.17 (0.86–1.61)</w:t>
            </w:r>
          </w:p>
        </w:tc>
        <w:tc>
          <w:tcPr>
            <w:tcW w:w="14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AF527D5" w14:textId="77777777" w:rsidR="00BF2485" w:rsidRPr="00CB04B4" w:rsidRDefault="00BF2485" w:rsidP="00A5557F">
            <w:pPr>
              <w:pStyle w:val="NormalWeb"/>
              <w:rPr>
                <w:sz w:val="18"/>
                <w:szCs w:val="18"/>
                <w:lang w:val="en-GB"/>
              </w:rPr>
            </w:pPr>
            <w:r w:rsidRPr="00CB04B4">
              <w:rPr>
                <w:sz w:val="18"/>
                <w:szCs w:val="18"/>
                <w:lang w:val="en-GB"/>
              </w:rPr>
              <w:t>NS</w:t>
            </w:r>
          </w:p>
        </w:tc>
      </w:tr>
      <w:tr w:rsidR="00BF2485" w:rsidRPr="00CB04B4" w14:paraId="66927824" w14:textId="77777777" w:rsidTr="00BF2485">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BBBC11D" w14:textId="77777777" w:rsidR="00BF2485" w:rsidRPr="00CB04B4" w:rsidRDefault="00BF2485" w:rsidP="00A5557F">
            <w:pPr>
              <w:pStyle w:val="NormalWeb"/>
              <w:rPr>
                <w:sz w:val="18"/>
                <w:szCs w:val="18"/>
                <w:lang w:val="en-GB"/>
              </w:rPr>
            </w:pPr>
            <w:r w:rsidRPr="00CB04B4">
              <w:rPr>
                <w:sz w:val="18"/>
                <w:szCs w:val="18"/>
                <w:lang w:val="en-GB"/>
              </w:rPr>
              <w:t>Infectious syphilis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EC78D0" w14:textId="77777777" w:rsidR="00BF2485" w:rsidRPr="00CB04B4" w:rsidRDefault="00BF2485" w:rsidP="00A5557F">
            <w:pPr>
              <w:pStyle w:val="NormalWeb"/>
              <w:rPr>
                <w:sz w:val="18"/>
                <w:szCs w:val="18"/>
                <w:lang w:val="en-GB"/>
              </w:rPr>
            </w:pPr>
            <w:r w:rsidRPr="00CB04B4">
              <w:rPr>
                <w:sz w:val="18"/>
                <w:szCs w:val="18"/>
                <w:lang w:val="en-GB"/>
              </w:rPr>
              <w:t>Male</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E38008" w14:textId="77777777" w:rsidR="00BF2485" w:rsidRPr="00CB04B4" w:rsidRDefault="00BF2485" w:rsidP="00A5557F">
            <w:pPr>
              <w:pStyle w:val="NormalWeb"/>
              <w:rPr>
                <w:sz w:val="18"/>
                <w:szCs w:val="18"/>
                <w:lang w:val="en-GB"/>
              </w:rPr>
            </w:pPr>
            <w:r w:rsidRPr="00CB04B4">
              <w:rPr>
                <w:sz w:val="18"/>
                <w:szCs w:val="18"/>
                <w:lang w:val="en-GB"/>
              </w:rPr>
              <w:t>9.70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B37CC9" w14:textId="77777777" w:rsidR="00BF2485" w:rsidRPr="00CB04B4" w:rsidRDefault="00BF2485" w:rsidP="00A5557F">
            <w:pPr>
              <w:pStyle w:val="NormalWeb"/>
              <w:rPr>
                <w:sz w:val="18"/>
                <w:szCs w:val="18"/>
                <w:lang w:val="en-GB"/>
              </w:rPr>
            </w:pPr>
            <w:r w:rsidRPr="00CB04B4">
              <w:rPr>
                <w:sz w:val="18"/>
                <w:szCs w:val="18"/>
                <w:lang w:val="en-GB"/>
              </w:rPr>
              <w:t>14.44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C7089C" w14:textId="77777777" w:rsidR="00BF2485" w:rsidRPr="00CB04B4" w:rsidRDefault="00BF2485" w:rsidP="00A5557F">
            <w:pPr>
              <w:pStyle w:val="NormalWeb"/>
              <w:rPr>
                <w:sz w:val="18"/>
                <w:szCs w:val="18"/>
                <w:lang w:val="en-GB"/>
              </w:rPr>
            </w:pPr>
            <w:r w:rsidRPr="00CB04B4">
              <w:rPr>
                <w:sz w:val="18"/>
                <w:szCs w:val="18"/>
                <w:lang w:val="en-GB"/>
              </w:rPr>
              <w:t>1.49 (1.09–2.03)</w:t>
            </w:r>
          </w:p>
        </w:tc>
        <w:tc>
          <w:tcPr>
            <w:tcW w:w="14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EA1F721" w14:textId="77777777" w:rsidR="00BF2485" w:rsidRPr="00CB04B4" w:rsidRDefault="00BF2485" w:rsidP="00A5557F">
            <w:pPr>
              <w:pStyle w:val="NormalWeb"/>
              <w:rPr>
                <w:sz w:val="18"/>
                <w:szCs w:val="18"/>
                <w:lang w:val="en-GB"/>
              </w:rPr>
            </w:pPr>
            <w:r w:rsidRPr="00CB04B4">
              <w:rPr>
                <w:sz w:val="18"/>
                <w:szCs w:val="18"/>
                <w:lang w:val="en-GB"/>
              </w:rPr>
              <w:t>&lt; 0.01</w:t>
            </w:r>
          </w:p>
        </w:tc>
      </w:tr>
      <w:tr w:rsidR="00BF2485" w:rsidRPr="00CB04B4" w14:paraId="619043F1" w14:textId="77777777" w:rsidTr="00BF2485">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17DE0A" w14:textId="77777777" w:rsidR="00BF2485" w:rsidRPr="00CB04B4" w:rsidRDefault="00BF2485" w:rsidP="00A5557F">
            <w:pPr>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ADDAC1" w14:textId="77777777" w:rsidR="00BF2485" w:rsidRPr="00CB04B4" w:rsidRDefault="00BF2485" w:rsidP="00A5557F">
            <w:pPr>
              <w:pStyle w:val="NormalWeb"/>
              <w:rPr>
                <w:sz w:val="18"/>
                <w:szCs w:val="18"/>
                <w:lang w:val="en-GB"/>
              </w:rPr>
            </w:pPr>
            <w:r w:rsidRPr="00CB04B4">
              <w:rPr>
                <w:sz w:val="18"/>
                <w:szCs w:val="18"/>
                <w:lang w:val="en-GB"/>
              </w:rPr>
              <w:t>Female</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AE15FF" w14:textId="77777777" w:rsidR="00BF2485" w:rsidRPr="00CB04B4" w:rsidRDefault="00BF2485" w:rsidP="00A5557F">
            <w:pPr>
              <w:pStyle w:val="NormalWeb"/>
              <w:rPr>
                <w:sz w:val="18"/>
                <w:szCs w:val="18"/>
                <w:lang w:val="en-GB"/>
              </w:rPr>
            </w:pPr>
            <w:r w:rsidRPr="00CB04B4">
              <w:rPr>
                <w:sz w:val="18"/>
                <w:szCs w:val="18"/>
                <w:lang w:val="en-GB"/>
              </w:rPr>
              <w:t>0.99</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38EC973" w14:textId="77777777" w:rsidR="00BF2485" w:rsidRPr="00CB04B4" w:rsidRDefault="00BF2485" w:rsidP="00A5557F">
            <w:pPr>
              <w:pStyle w:val="NormalWeb"/>
              <w:rPr>
                <w:sz w:val="18"/>
                <w:szCs w:val="18"/>
                <w:lang w:val="en-GB"/>
              </w:rPr>
            </w:pPr>
            <w:r w:rsidRPr="00CB04B4">
              <w:rPr>
                <w:sz w:val="18"/>
                <w:szCs w:val="18"/>
                <w:lang w:val="en-GB"/>
              </w:rPr>
              <w:t>1.34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7D33D9B" w14:textId="77777777" w:rsidR="00BF2485" w:rsidRPr="00CB04B4" w:rsidRDefault="00BF2485" w:rsidP="00A5557F">
            <w:pPr>
              <w:pStyle w:val="NormalWeb"/>
              <w:rPr>
                <w:sz w:val="18"/>
                <w:szCs w:val="18"/>
                <w:lang w:val="en-GB"/>
              </w:rPr>
            </w:pPr>
            <w:r w:rsidRPr="00CB04B4">
              <w:rPr>
                <w:sz w:val="18"/>
                <w:szCs w:val="18"/>
                <w:lang w:val="en-GB"/>
              </w:rPr>
              <w:t>1.34 (0.51–3.53)</w:t>
            </w:r>
          </w:p>
        </w:tc>
        <w:tc>
          <w:tcPr>
            <w:tcW w:w="14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EF54AC" w14:textId="77777777" w:rsidR="00BF2485" w:rsidRPr="00CB04B4" w:rsidRDefault="00BF2485" w:rsidP="00A5557F">
            <w:pPr>
              <w:pStyle w:val="NormalWeb"/>
              <w:rPr>
                <w:sz w:val="18"/>
                <w:szCs w:val="18"/>
                <w:lang w:val="en-GB"/>
              </w:rPr>
            </w:pPr>
            <w:r w:rsidRPr="00CB04B4">
              <w:rPr>
                <w:sz w:val="18"/>
                <w:szCs w:val="18"/>
                <w:lang w:val="en-GB"/>
              </w:rPr>
              <w:t>NS</w:t>
            </w:r>
          </w:p>
        </w:tc>
      </w:tr>
      <w:tr w:rsidR="00BF2485" w:rsidRPr="00CB04B4" w14:paraId="016492EC" w14:textId="77777777" w:rsidTr="00BF2485">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68B5F52" w14:textId="77777777" w:rsidR="00BF2485" w:rsidRPr="00CB04B4" w:rsidRDefault="00BF2485" w:rsidP="00A5557F">
            <w:pPr>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BD4C6C5" w14:textId="77777777" w:rsidR="00BF2485" w:rsidRPr="00CB04B4" w:rsidRDefault="00BF2485" w:rsidP="00A5557F">
            <w:pPr>
              <w:pStyle w:val="NormalWeb"/>
              <w:rPr>
                <w:sz w:val="18"/>
                <w:szCs w:val="18"/>
                <w:lang w:val="en-GB"/>
              </w:rPr>
            </w:pPr>
            <w:r w:rsidRPr="00CB04B4">
              <w:rPr>
                <w:sz w:val="18"/>
                <w:szCs w:val="18"/>
                <w:lang w:val="en-GB"/>
              </w:rPr>
              <w:t>All</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CDA68AF" w14:textId="77777777" w:rsidR="00BF2485" w:rsidRPr="00CB04B4" w:rsidRDefault="00BF2485" w:rsidP="00A5557F">
            <w:pPr>
              <w:pStyle w:val="NormalWeb"/>
              <w:rPr>
                <w:sz w:val="18"/>
                <w:szCs w:val="18"/>
                <w:lang w:val="en-GB"/>
              </w:rPr>
            </w:pPr>
            <w:r w:rsidRPr="00CB04B4">
              <w:rPr>
                <w:sz w:val="18"/>
                <w:szCs w:val="18"/>
                <w:lang w:val="en-GB"/>
              </w:rPr>
              <w:t>5.28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1EEB161" w14:textId="77777777" w:rsidR="00BF2485" w:rsidRPr="00CB04B4" w:rsidRDefault="00BF2485" w:rsidP="00A5557F">
            <w:pPr>
              <w:pStyle w:val="NormalWeb"/>
              <w:rPr>
                <w:sz w:val="18"/>
                <w:szCs w:val="18"/>
                <w:lang w:val="en-GB"/>
              </w:rPr>
            </w:pPr>
            <w:r w:rsidRPr="00CB04B4">
              <w:rPr>
                <w:sz w:val="18"/>
                <w:szCs w:val="18"/>
                <w:lang w:val="en-GB"/>
              </w:rPr>
              <w:t>7.78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D17ABBC" w14:textId="77777777" w:rsidR="00BF2485" w:rsidRPr="00CB04B4" w:rsidRDefault="00BF2485" w:rsidP="00A5557F">
            <w:pPr>
              <w:pStyle w:val="NormalWeb"/>
              <w:rPr>
                <w:sz w:val="18"/>
                <w:szCs w:val="18"/>
                <w:lang w:val="en-GB"/>
              </w:rPr>
            </w:pPr>
            <w:r w:rsidRPr="00CB04B4">
              <w:rPr>
                <w:sz w:val="18"/>
                <w:szCs w:val="18"/>
                <w:lang w:val="en-GB"/>
              </w:rPr>
              <w:t>1.47 (1.10–1.97)</w:t>
            </w:r>
          </w:p>
        </w:tc>
        <w:tc>
          <w:tcPr>
            <w:tcW w:w="14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240871" w14:textId="77777777" w:rsidR="00BF2485" w:rsidRPr="00CB04B4" w:rsidRDefault="00BF2485" w:rsidP="00A5557F">
            <w:pPr>
              <w:pStyle w:val="NormalWeb"/>
              <w:rPr>
                <w:sz w:val="18"/>
                <w:szCs w:val="18"/>
                <w:lang w:val="en-GB"/>
              </w:rPr>
            </w:pPr>
            <w:r w:rsidRPr="00CB04B4">
              <w:rPr>
                <w:sz w:val="18"/>
                <w:szCs w:val="18"/>
                <w:lang w:val="en-GB"/>
              </w:rPr>
              <w:t>&lt; 0.01</w:t>
            </w:r>
          </w:p>
        </w:tc>
      </w:tr>
    </w:tbl>
    <w:p w14:paraId="0A65203C" w14:textId="77777777" w:rsidR="00BF2485" w:rsidRDefault="00BF2485" w:rsidP="00BF2485">
      <w:pPr>
        <w:pStyle w:val="CDIfootnotes"/>
        <w:rPr>
          <w:lang w:val="en-GB"/>
        </w:rPr>
      </w:pPr>
      <w:r>
        <w:rPr>
          <w:lang w:val="en-GB"/>
        </w:rPr>
        <w:t>a</w:t>
      </w:r>
      <w:r>
        <w:rPr>
          <w:lang w:val="en-GB"/>
        </w:rPr>
        <w:tab/>
        <w:t xml:space="preserve">Sex of one person was transgender and omitted from sex </w:t>
      </w:r>
      <w:proofErr w:type="gramStart"/>
      <w:r>
        <w:rPr>
          <w:lang w:val="en-GB"/>
        </w:rPr>
        <w:t>analyses, but</w:t>
      </w:r>
      <w:proofErr w:type="gramEnd"/>
      <w:r>
        <w:rPr>
          <w:lang w:val="en-GB"/>
        </w:rPr>
        <w:t xml:space="preserve"> included in all.</w:t>
      </w:r>
    </w:p>
    <w:p w14:paraId="64925DFF" w14:textId="77777777" w:rsidR="00BF2485" w:rsidRDefault="00BF2485" w:rsidP="00BF2485">
      <w:pPr>
        <w:pStyle w:val="CDIfootnotes"/>
        <w:rPr>
          <w:lang w:val="en-GB"/>
        </w:rPr>
      </w:pPr>
      <w:r>
        <w:rPr>
          <w:lang w:val="en-GB"/>
        </w:rPr>
        <w:t>b</w:t>
      </w:r>
      <w:r>
        <w:rPr>
          <w:lang w:val="en-GB"/>
        </w:rPr>
        <w:tab/>
        <w:t>RR: rate ratio calculated as second period rate/ first period rate; CI: confidence interval.</w:t>
      </w:r>
    </w:p>
    <w:p w14:paraId="5E2CE7A3" w14:textId="77777777" w:rsidR="00BF2485" w:rsidRDefault="00BF2485" w:rsidP="00BF2485">
      <w:pPr>
        <w:pStyle w:val="CDIfootnotes"/>
        <w:rPr>
          <w:lang w:val="en-GB"/>
        </w:rPr>
      </w:pPr>
      <w:r>
        <w:rPr>
          <w:lang w:val="en-GB"/>
        </w:rPr>
        <w:t>c</w:t>
      </w:r>
      <w:r>
        <w:rPr>
          <w:lang w:val="en-GB"/>
        </w:rPr>
        <w:tab/>
        <w:t>Fisher’s exact text.</w:t>
      </w:r>
    </w:p>
    <w:p w14:paraId="7BBF368C" w14:textId="77777777" w:rsidR="00BF2485" w:rsidRDefault="00BF2485" w:rsidP="00BF2485">
      <w:pPr>
        <w:pStyle w:val="CDIfootnotes"/>
        <w:rPr>
          <w:lang w:val="en-GB"/>
        </w:rPr>
      </w:pPr>
      <w:r>
        <w:rPr>
          <w:lang w:val="en-GB"/>
        </w:rPr>
        <w:t>d</w:t>
      </w:r>
      <w:r>
        <w:rPr>
          <w:lang w:val="en-GB"/>
        </w:rPr>
        <w:tab/>
        <w:t>NS: not significant.</w:t>
      </w:r>
    </w:p>
    <w:p w14:paraId="7496346F" w14:textId="77777777" w:rsidR="005F41CD" w:rsidRDefault="005F41CD">
      <w:pPr>
        <w:rPr>
          <w:rFonts w:asciiTheme="majorHAnsi" w:eastAsiaTheme="majorEastAsia" w:hAnsiTheme="majorHAnsi" w:cstheme="majorBidi"/>
          <w:b/>
          <w:bCs/>
          <w:sz w:val="32"/>
          <w:szCs w:val="28"/>
        </w:rPr>
      </w:pPr>
      <w:r>
        <w:br w:type="page"/>
      </w:r>
    </w:p>
    <w:p w14:paraId="41667538" w14:textId="77777777" w:rsidR="005F41CD" w:rsidRPr="00CB04B4" w:rsidRDefault="005F41CD" w:rsidP="005F41CD">
      <w:pPr>
        <w:pStyle w:val="CDIFigures"/>
      </w:pPr>
      <w:r w:rsidRPr="00CB04B4">
        <w:rPr>
          <w:rStyle w:val="Strong"/>
          <w:b/>
          <w:bCs w:val="0"/>
        </w:rPr>
        <w:lastRenderedPageBreak/>
        <w:t>Table 3: Comparison between numbers of notifications in the first and second five-year periods of the study interval, in relation to sex, age and geographical area</w:t>
      </w:r>
    </w:p>
    <w:tbl>
      <w:tblPr>
        <w:tblStyle w:val="CDI-StandardTable"/>
        <w:tblW w:w="0" w:type="auto"/>
        <w:tblLook w:val="04A0" w:firstRow="1" w:lastRow="0" w:firstColumn="1" w:lastColumn="0" w:noHBand="0" w:noVBand="1"/>
        <w:tblDescription w:val="Comparison between numbers of notifications in the first and second five-year periods of the study interval, in relation to sex, age and geographical area are presented in this table. Overall, for notifications of all syphilis, there were significant increases in males &lt; 35 years of age and increase in the percentage of cases from Penrith LGA. Infectious syphilis notifications also increased from first five-year period to in the second five-year period."/>
      </w:tblPr>
      <w:tblGrid>
        <w:gridCol w:w="1446"/>
        <w:gridCol w:w="2247"/>
        <w:gridCol w:w="936"/>
        <w:gridCol w:w="1048"/>
        <w:gridCol w:w="936"/>
        <w:gridCol w:w="1048"/>
        <w:gridCol w:w="525"/>
        <w:gridCol w:w="2254"/>
      </w:tblGrid>
      <w:tr w:rsidR="005F41CD" w:rsidRPr="00CB04B4" w14:paraId="0237D63F" w14:textId="77777777" w:rsidTr="005F41CD">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12ABB898" w14:textId="77777777" w:rsidR="005F41CD" w:rsidRPr="00CB04B4" w:rsidRDefault="005F41CD" w:rsidP="00A5557F">
            <w:pPr>
              <w:rPr>
                <w:sz w:val="18"/>
                <w:szCs w:val="18"/>
                <w:lang w:val="en-GB"/>
              </w:rPr>
            </w:pPr>
          </w:p>
        </w:tc>
        <w:tc>
          <w:tcPr>
            <w:tcW w:w="0" w:type="auto"/>
            <w:vMerge w:val="restart"/>
            <w:hideMark/>
          </w:tcPr>
          <w:p w14:paraId="60D54B20" w14:textId="77777777" w:rsidR="005F41CD" w:rsidRPr="00CB04B4" w:rsidRDefault="005F41CD" w:rsidP="00A5557F">
            <w:pPr>
              <w:rPr>
                <w:rFonts w:eastAsia="Times New Roman"/>
                <w:sz w:val="18"/>
                <w:szCs w:val="18"/>
              </w:rPr>
            </w:pPr>
          </w:p>
        </w:tc>
        <w:tc>
          <w:tcPr>
            <w:tcW w:w="0" w:type="auto"/>
            <w:gridSpan w:val="2"/>
            <w:hideMark/>
          </w:tcPr>
          <w:p w14:paraId="71AFF565" w14:textId="77777777" w:rsidR="005F41CD" w:rsidRPr="00CB04B4" w:rsidRDefault="005F41CD" w:rsidP="00A5557F">
            <w:pPr>
              <w:pStyle w:val="NormalWeb"/>
              <w:rPr>
                <w:sz w:val="18"/>
                <w:szCs w:val="18"/>
                <w:lang w:val="en-GB"/>
              </w:rPr>
            </w:pPr>
            <w:r w:rsidRPr="00CB04B4">
              <w:rPr>
                <w:sz w:val="18"/>
                <w:szCs w:val="18"/>
                <w:lang w:val="en-GB"/>
              </w:rPr>
              <w:t>First five-year period</w:t>
            </w:r>
            <w:r w:rsidRPr="00CB04B4">
              <w:rPr>
                <w:sz w:val="18"/>
                <w:szCs w:val="18"/>
                <w:lang w:val="en-GB"/>
              </w:rPr>
              <w:br/>
              <w:t>1 Oct 2009 – 30 Sep 2014</w:t>
            </w:r>
          </w:p>
        </w:tc>
        <w:tc>
          <w:tcPr>
            <w:tcW w:w="0" w:type="auto"/>
            <w:gridSpan w:val="2"/>
            <w:hideMark/>
          </w:tcPr>
          <w:p w14:paraId="06661DAE" w14:textId="77777777" w:rsidR="005F41CD" w:rsidRPr="00CB04B4" w:rsidRDefault="005F41CD" w:rsidP="00A5557F">
            <w:pPr>
              <w:pStyle w:val="NormalWeb"/>
              <w:rPr>
                <w:sz w:val="18"/>
                <w:szCs w:val="18"/>
                <w:lang w:val="en-GB"/>
              </w:rPr>
            </w:pPr>
            <w:r w:rsidRPr="00CB04B4">
              <w:rPr>
                <w:sz w:val="18"/>
                <w:szCs w:val="18"/>
                <w:lang w:val="en-GB"/>
              </w:rPr>
              <w:t>Second five-year period</w:t>
            </w:r>
            <w:r w:rsidRPr="00CB04B4">
              <w:rPr>
                <w:sz w:val="18"/>
                <w:szCs w:val="18"/>
                <w:lang w:val="en-GB"/>
              </w:rPr>
              <w:br/>
              <w:t>1 Oct 2014 – 30 Sep 2019</w:t>
            </w:r>
          </w:p>
        </w:tc>
        <w:tc>
          <w:tcPr>
            <w:tcW w:w="0" w:type="auto"/>
            <w:vMerge w:val="restart"/>
            <w:hideMark/>
          </w:tcPr>
          <w:p w14:paraId="168D449A" w14:textId="77777777" w:rsidR="005F41CD" w:rsidRPr="00CB04B4" w:rsidRDefault="005F41CD" w:rsidP="00A5557F">
            <w:pPr>
              <w:pStyle w:val="NormalWeb"/>
              <w:rPr>
                <w:sz w:val="18"/>
                <w:szCs w:val="18"/>
                <w:lang w:val="en-GB"/>
              </w:rPr>
            </w:pPr>
            <w:r w:rsidRPr="00CB04B4">
              <w:rPr>
                <w:sz w:val="18"/>
                <w:szCs w:val="18"/>
                <w:lang w:val="en-GB"/>
              </w:rPr>
              <w:t>χ</w:t>
            </w:r>
            <w:r w:rsidRPr="002421B4">
              <w:rPr>
                <w:sz w:val="18"/>
                <w:szCs w:val="18"/>
                <w:vertAlign w:val="superscript"/>
                <w:lang w:val="en-GB"/>
              </w:rPr>
              <w:t>2</w:t>
            </w:r>
            <w:r w:rsidRPr="00CB04B4">
              <w:rPr>
                <w:sz w:val="18"/>
                <w:szCs w:val="18"/>
                <w:lang w:val="en-GB"/>
              </w:rPr>
              <w:t xml:space="preserve"> </w:t>
            </w:r>
            <w:r w:rsidRPr="00F741C8">
              <w:rPr>
                <w:sz w:val="18"/>
                <w:szCs w:val="18"/>
                <w:vertAlign w:val="superscript"/>
                <w:lang w:val="en-GB"/>
              </w:rPr>
              <w:t>a</w:t>
            </w:r>
          </w:p>
        </w:tc>
        <w:tc>
          <w:tcPr>
            <w:tcW w:w="2254" w:type="dxa"/>
            <w:vMerge w:val="restart"/>
            <w:hideMark/>
          </w:tcPr>
          <w:p w14:paraId="448D77C0" w14:textId="77777777" w:rsidR="005F41CD" w:rsidRPr="00CB04B4" w:rsidRDefault="005F41CD" w:rsidP="00A5557F">
            <w:pPr>
              <w:pStyle w:val="NormalWeb"/>
              <w:rPr>
                <w:sz w:val="18"/>
                <w:szCs w:val="18"/>
                <w:lang w:val="en-GB"/>
              </w:rPr>
            </w:pPr>
            <w:r w:rsidRPr="002421B4">
              <w:rPr>
                <w:i/>
                <w:iCs/>
                <w:sz w:val="18"/>
                <w:szCs w:val="18"/>
                <w:lang w:val="en-GB"/>
              </w:rPr>
              <w:t>p</w:t>
            </w:r>
            <w:r w:rsidRPr="00CB04B4">
              <w:rPr>
                <w:sz w:val="18"/>
                <w:szCs w:val="18"/>
                <w:lang w:val="en-GB"/>
              </w:rPr>
              <w:t xml:space="preserve"> </w:t>
            </w:r>
            <w:proofErr w:type="spellStart"/>
            <w:r w:rsidRPr="00CB04B4">
              <w:rPr>
                <w:sz w:val="18"/>
                <w:szCs w:val="18"/>
                <w:lang w:val="en-GB"/>
              </w:rPr>
              <w:t>value</w:t>
            </w:r>
            <w:r w:rsidRPr="00F741C8">
              <w:rPr>
                <w:sz w:val="18"/>
                <w:szCs w:val="18"/>
                <w:vertAlign w:val="superscript"/>
                <w:lang w:val="en-GB"/>
              </w:rPr>
              <w:t>b</w:t>
            </w:r>
            <w:proofErr w:type="spellEnd"/>
          </w:p>
        </w:tc>
      </w:tr>
      <w:tr w:rsidR="005F41CD" w:rsidRPr="00CB04B4" w14:paraId="50850280" w14:textId="77777777" w:rsidTr="005F41CD">
        <w:trPr>
          <w:cnfStyle w:val="100000000000" w:firstRow="1" w:lastRow="0" w:firstColumn="0" w:lastColumn="0" w:oddVBand="0" w:evenVBand="0" w:oddHBand="0" w:evenHBand="0" w:firstRowFirstColumn="0" w:firstRowLastColumn="0" w:lastRowFirstColumn="0" w:lastRowLastColumn="0"/>
          <w:tblHeader/>
        </w:trPr>
        <w:tc>
          <w:tcPr>
            <w:tcW w:w="0" w:type="auto"/>
            <w:vMerge/>
            <w:tcBorders>
              <w:bottom w:val="single" w:sz="2" w:space="0" w:color="808080" w:themeColor="background1" w:themeShade="80"/>
            </w:tcBorders>
            <w:hideMark/>
          </w:tcPr>
          <w:p w14:paraId="3322EC08" w14:textId="77777777" w:rsidR="005F41CD" w:rsidRPr="00CB04B4" w:rsidRDefault="005F41CD" w:rsidP="00A5557F">
            <w:pPr>
              <w:rPr>
                <w:sz w:val="18"/>
                <w:szCs w:val="18"/>
                <w:lang w:val="en-GB"/>
              </w:rPr>
            </w:pPr>
          </w:p>
        </w:tc>
        <w:tc>
          <w:tcPr>
            <w:tcW w:w="0" w:type="auto"/>
            <w:vMerge/>
            <w:tcBorders>
              <w:bottom w:val="single" w:sz="2" w:space="0" w:color="808080" w:themeColor="background1" w:themeShade="80"/>
            </w:tcBorders>
            <w:hideMark/>
          </w:tcPr>
          <w:p w14:paraId="5DC5AAC6" w14:textId="77777777" w:rsidR="005F41CD" w:rsidRPr="00CB04B4" w:rsidRDefault="005F41CD" w:rsidP="00A5557F">
            <w:pPr>
              <w:rPr>
                <w:rFonts w:eastAsia="Times New Roman"/>
                <w:sz w:val="18"/>
                <w:szCs w:val="18"/>
              </w:rPr>
            </w:pPr>
          </w:p>
        </w:tc>
        <w:tc>
          <w:tcPr>
            <w:tcW w:w="0" w:type="auto"/>
            <w:tcBorders>
              <w:bottom w:val="single" w:sz="2" w:space="0" w:color="808080" w:themeColor="background1" w:themeShade="80"/>
            </w:tcBorders>
            <w:hideMark/>
          </w:tcPr>
          <w:p w14:paraId="033563CC" w14:textId="77777777" w:rsidR="005F41CD" w:rsidRPr="00CB04B4" w:rsidRDefault="005F41CD" w:rsidP="00A5557F">
            <w:pPr>
              <w:pStyle w:val="NormalWeb"/>
              <w:rPr>
                <w:sz w:val="18"/>
                <w:szCs w:val="18"/>
                <w:lang w:val="en-GB"/>
              </w:rPr>
            </w:pPr>
            <w:r w:rsidRPr="00CB04B4">
              <w:rPr>
                <w:sz w:val="18"/>
                <w:szCs w:val="18"/>
                <w:lang w:val="en-GB"/>
              </w:rPr>
              <w:t>n</w:t>
            </w:r>
          </w:p>
        </w:tc>
        <w:tc>
          <w:tcPr>
            <w:tcW w:w="0" w:type="auto"/>
            <w:tcBorders>
              <w:bottom w:val="single" w:sz="2" w:space="0" w:color="808080" w:themeColor="background1" w:themeShade="80"/>
            </w:tcBorders>
            <w:hideMark/>
          </w:tcPr>
          <w:p w14:paraId="324231DF" w14:textId="77777777" w:rsidR="005F41CD" w:rsidRPr="00CB04B4" w:rsidRDefault="005F41CD" w:rsidP="00A5557F">
            <w:pPr>
              <w:pStyle w:val="NormalWeb"/>
              <w:rPr>
                <w:sz w:val="18"/>
                <w:szCs w:val="18"/>
                <w:lang w:val="en-GB"/>
              </w:rPr>
            </w:pPr>
            <w:r w:rsidRPr="00CB04B4">
              <w:rPr>
                <w:sz w:val="18"/>
                <w:szCs w:val="18"/>
                <w:lang w:val="en-GB"/>
              </w:rPr>
              <w:t>%</w:t>
            </w:r>
          </w:p>
        </w:tc>
        <w:tc>
          <w:tcPr>
            <w:tcW w:w="0" w:type="auto"/>
            <w:tcBorders>
              <w:bottom w:val="single" w:sz="2" w:space="0" w:color="808080" w:themeColor="background1" w:themeShade="80"/>
            </w:tcBorders>
            <w:hideMark/>
          </w:tcPr>
          <w:p w14:paraId="30800AA9" w14:textId="77777777" w:rsidR="005F41CD" w:rsidRPr="00CB04B4" w:rsidRDefault="005F41CD" w:rsidP="00A5557F">
            <w:pPr>
              <w:pStyle w:val="NormalWeb"/>
              <w:rPr>
                <w:sz w:val="18"/>
                <w:szCs w:val="18"/>
                <w:lang w:val="en-GB"/>
              </w:rPr>
            </w:pPr>
            <w:r w:rsidRPr="00CB04B4">
              <w:rPr>
                <w:sz w:val="18"/>
                <w:szCs w:val="18"/>
                <w:lang w:val="en-GB"/>
              </w:rPr>
              <w:t>n</w:t>
            </w:r>
          </w:p>
        </w:tc>
        <w:tc>
          <w:tcPr>
            <w:tcW w:w="0" w:type="auto"/>
            <w:tcBorders>
              <w:bottom w:val="single" w:sz="2" w:space="0" w:color="808080" w:themeColor="background1" w:themeShade="80"/>
            </w:tcBorders>
            <w:hideMark/>
          </w:tcPr>
          <w:p w14:paraId="3B25CD49" w14:textId="77777777" w:rsidR="005F41CD" w:rsidRPr="00CB04B4" w:rsidRDefault="005F41CD" w:rsidP="00A5557F">
            <w:pPr>
              <w:pStyle w:val="NormalWeb"/>
              <w:rPr>
                <w:sz w:val="18"/>
                <w:szCs w:val="18"/>
                <w:lang w:val="en-GB"/>
              </w:rPr>
            </w:pPr>
            <w:r w:rsidRPr="00CB04B4">
              <w:rPr>
                <w:sz w:val="18"/>
                <w:szCs w:val="18"/>
                <w:lang w:val="en-GB"/>
              </w:rPr>
              <w:t>%</w:t>
            </w:r>
          </w:p>
        </w:tc>
        <w:tc>
          <w:tcPr>
            <w:tcW w:w="0" w:type="auto"/>
            <w:vMerge/>
            <w:tcBorders>
              <w:bottom w:val="single" w:sz="2" w:space="0" w:color="808080" w:themeColor="background1" w:themeShade="80"/>
            </w:tcBorders>
            <w:hideMark/>
          </w:tcPr>
          <w:p w14:paraId="344145D5" w14:textId="77777777" w:rsidR="005F41CD" w:rsidRPr="00CB04B4" w:rsidRDefault="005F41CD" w:rsidP="00A5557F">
            <w:pPr>
              <w:rPr>
                <w:sz w:val="18"/>
                <w:szCs w:val="18"/>
                <w:lang w:val="en-GB"/>
              </w:rPr>
            </w:pPr>
          </w:p>
        </w:tc>
        <w:tc>
          <w:tcPr>
            <w:tcW w:w="2254" w:type="dxa"/>
            <w:vMerge/>
            <w:tcBorders>
              <w:bottom w:val="single" w:sz="2" w:space="0" w:color="808080" w:themeColor="background1" w:themeShade="80"/>
            </w:tcBorders>
            <w:hideMark/>
          </w:tcPr>
          <w:p w14:paraId="4720CDD3" w14:textId="77777777" w:rsidR="005F41CD" w:rsidRPr="00CB04B4" w:rsidRDefault="005F41CD" w:rsidP="00A5557F">
            <w:pPr>
              <w:rPr>
                <w:sz w:val="18"/>
                <w:szCs w:val="18"/>
                <w:lang w:val="en-GB"/>
              </w:rPr>
            </w:pPr>
          </w:p>
        </w:tc>
      </w:tr>
      <w:tr w:rsidR="005F41CD" w:rsidRPr="00E3164C" w14:paraId="1FF213FD" w14:textId="77777777" w:rsidTr="005F41CD">
        <w:tc>
          <w:tcPr>
            <w:tcW w:w="10440"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BA991"/>
            <w:hideMark/>
          </w:tcPr>
          <w:p w14:paraId="19BDC317" w14:textId="77777777" w:rsidR="005F41CD" w:rsidRPr="00E3164C" w:rsidRDefault="005F41CD" w:rsidP="00A5557F">
            <w:pPr>
              <w:pStyle w:val="NormalWeb"/>
              <w:jc w:val="left"/>
              <w:rPr>
                <w:b/>
                <w:bCs/>
                <w:sz w:val="18"/>
                <w:szCs w:val="18"/>
                <w:lang w:val="en-GB"/>
              </w:rPr>
            </w:pPr>
            <w:r w:rsidRPr="00E3164C">
              <w:rPr>
                <w:b/>
                <w:bCs/>
                <w:sz w:val="18"/>
                <w:szCs w:val="18"/>
                <w:lang w:val="en-GB"/>
              </w:rPr>
              <w:t>All syphilis notifications</w:t>
            </w:r>
          </w:p>
        </w:tc>
      </w:tr>
      <w:tr w:rsidR="005F41CD" w:rsidRPr="00CB04B4" w14:paraId="5E499C3F" w14:textId="77777777" w:rsidTr="005F41CD">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F58117" w14:textId="77777777" w:rsidR="005F41CD" w:rsidRPr="00CB04B4" w:rsidRDefault="005F41CD" w:rsidP="00A5557F">
            <w:pPr>
              <w:pStyle w:val="NormalWeb"/>
              <w:rPr>
                <w:sz w:val="18"/>
                <w:szCs w:val="18"/>
                <w:lang w:val="en-GB"/>
              </w:rPr>
            </w:pPr>
            <w:r w:rsidRPr="00CB04B4">
              <w:rPr>
                <w:sz w:val="18"/>
                <w:szCs w:val="18"/>
                <w:lang w:val="en-GB"/>
              </w:rPr>
              <w:t>Condition</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9662153" w14:textId="77777777" w:rsidR="005F41CD" w:rsidRPr="00CB04B4" w:rsidRDefault="005F41CD" w:rsidP="00A5557F">
            <w:pPr>
              <w:pStyle w:val="NormalWeb"/>
              <w:rPr>
                <w:sz w:val="18"/>
                <w:szCs w:val="18"/>
                <w:lang w:val="en-GB"/>
              </w:rPr>
            </w:pPr>
            <w:r w:rsidRPr="00CB04B4">
              <w:rPr>
                <w:sz w:val="18"/>
                <w:szCs w:val="18"/>
                <w:lang w:val="en-GB"/>
              </w:rPr>
              <w:t>Syphilis of unknown duration</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E19626A" w14:textId="77777777" w:rsidR="005F41CD" w:rsidRPr="00CB04B4" w:rsidRDefault="005F41CD" w:rsidP="00A5557F">
            <w:pPr>
              <w:pStyle w:val="NormalWeb"/>
              <w:rPr>
                <w:sz w:val="18"/>
                <w:szCs w:val="18"/>
                <w:lang w:val="en-GB"/>
              </w:rPr>
            </w:pPr>
            <w:r w:rsidRPr="00CB04B4">
              <w:rPr>
                <w:sz w:val="18"/>
                <w:szCs w:val="18"/>
                <w:lang w:val="en-GB"/>
              </w:rPr>
              <w:t>69</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E160B1" w14:textId="77777777" w:rsidR="005F41CD" w:rsidRPr="00CB04B4" w:rsidRDefault="005F41CD" w:rsidP="00A5557F">
            <w:pPr>
              <w:pStyle w:val="NormalWeb"/>
              <w:rPr>
                <w:sz w:val="18"/>
                <w:szCs w:val="18"/>
                <w:lang w:val="en-GB"/>
              </w:rPr>
            </w:pPr>
            <w:r w:rsidRPr="00CB04B4">
              <w:rPr>
                <w:sz w:val="18"/>
                <w:szCs w:val="18"/>
                <w:lang w:val="en-GB"/>
              </w:rPr>
              <w:t>48.6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7471427" w14:textId="77777777" w:rsidR="005F41CD" w:rsidRPr="00CB04B4" w:rsidRDefault="005F41CD" w:rsidP="00A5557F">
            <w:pPr>
              <w:pStyle w:val="NormalWeb"/>
              <w:rPr>
                <w:sz w:val="18"/>
                <w:szCs w:val="18"/>
                <w:lang w:val="en-GB"/>
              </w:rPr>
            </w:pPr>
            <w:r w:rsidRPr="00CB04B4">
              <w:rPr>
                <w:sz w:val="18"/>
                <w:szCs w:val="18"/>
                <w:lang w:val="en-GB"/>
              </w:rPr>
              <w:t>86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CDD22A9" w14:textId="77777777" w:rsidR="005F41CD" w:rsidRPr="00CB04B4" w:rsidRDefault="005F41CD" w:rsidP="00A5557F">
            <w:pPr>
              <w:pStyle w:val="NormalWeb"/>
              <w:rPr>
                <w:sz w:val="18"/>
                <w:szCs w:val="18"/>
                <w:lang w:val="en-GB"/>
              </w:rPr>
            </w:pPr>
            <w:r w:rsidRPr="00CB04B4">
              <w:rPr>
                <w:sz w:val="18"/>
                <w:szCs w:val="18"/>
                <w:lang w:val="en-GB"/>
              </w:rPr>
              <w:t>43.0</w:t>
            </w:r>
          </w:p>
        </w:t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A87AF65" w14:textId="77777777" w:rsidR="005F41CD" w:rsidRPr="00CB04B4" w:rsidRDefault="005F41CD" w:rsidP="00A5557F">
            <w:pPr>
              <w:pStyle w:val="NormalWeb"/>
              <w:rPr>
                <w:sz w:val="18"/>
                <w:szCs w:val="18"/>
                <w:lang w:val="en-GB"/>
              </w:rPr>
            </w:pPr>
            <w:r w:rsidRPr="00CB04B4">
              <w:rPr>
                <w:sz w:val="18"/>
                <w:szCs w:val="18"/>
                <w:lang w:val="en-GB"/>
              </w:rPr>
              <w:t>0.83</w:t>
            </w:r>
          </w:p>
        </w:tc>
        <w:tc>
          <w:tcPr>
            <w:tcW w:w="225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2609539" w14:textId="77777777" w:rsidR="005F41CD" w:rsidRPr="00CB04B4" w:rsidRDefault="005F41CD" w:rsidP="00A5557F">
            <w:pPr>
              <w:pStyle w:val="NormalWeb"/>
              <w:rPr>
                <w:sz w:val="18"/>
                <w:szCs w:val="18"/>
                <w:lang w:val="en-GB"/>
              </w:rPr>
            </w:pPr>
            <w:r w:rsidRPr="00CB04B4">
              <w:rPr>
                <w:sz w:val="18"/>
                <w:szCs w:val="18"/>
                <w:lang w:val="en-GB"/>
              </w:rPr>
              <w:t>NS</w:t>
            </w:r>
          </w:p>
        </w:tc>
      </w:tr>
      <w:tr w:rsidR="005F41CD" w:rsidRPr="00CB04B4" w14:paraId="627AAE15" w14:textId="77777777" w:rsidTr="005F41CD">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FC1658" w14:textId="77777777" w:rsidR="005F41CD" w:rsidRPr="00CB04B4" w:rsidRDefault="005F41CD" w:rsidP="00A5557F">
            <w:pPr>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F218AC" w14:textId="77777777" w:rsidR="005F41CD" w:rsidRPr="00CB04B4" w:rsidRDefault="005F41CD" w:rsidP="00A5557F">
            <w:pPr>
              <w:pStyle w:val="NormalWeb"/>
              <w:rPr>
                <w:sz w:val="18"/>
                <w:szCs w:val="18"/>
                <w:lang w:val="en-GB"/>
              </w:rPr>
            </w:pPr>
            <w:r w:rsidRPr="00CB04B4">
              <w:rPr>
                <w:sz w:val="18"/>
                <w:szCs w:val="18"/>
                <w:lang w:val="en-GB"/>
              </w:rPr>
              <w:t>Infectious syphilis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A924C6" w14:textId="77777777" w:rsidR="005F41CD" w:rsidRPr="00CB04B4" w:rsidRDefault="005F41CD" w:rsidP="00A5557F">
            <w:pPr>
              <w:pStyle w:val="NormalWeb"/>
              <w:rPr>
                <w:sz w:val="18"/>
                <w:szCs w:val="18"/>
                <w:lang w:val="en-GB"/>
              </w:rPr>
            </w:pPr>
            <w:r w:rsidRPr="00CB04B4">
              <w:rPr>
                <w:sz w:val="18"/>
                <w:szCs w:val="18"/>
                <w:lang w:val="en-GB"/>
              </w:rPr>
              <w:t>73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EF492CD" w14:textId="77777777" w:rsidR="005F41CD" w:rsidRPr="00CB04B4" w:rsidRDefault="005F41CD" w:rsidP="00A5557F">
            <w:pPr>
              <w:pStyle w:val="NormalWeb"/>
              <w:rPr>
                <w:sz w:val="18"/>
                <w:szCs w:val="18"/>
                <w:lang w:val="en-GB"/>
              </w:rPr>
            </w:pPr>
            <w:r w:rsidRPr="00CB04B4">
              <w:rPr>
                <w:sz w:val="18"/>
                <w:szCs w:val="18"/>
                <w:lang w:val="en-GB"/>
              </w:rPr>
              <w:t>51.4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B09844" w14:textId="77777777" w:rsidR="005F41CD" w:rsidRPr="00CB04B4" w:rsidRDefault="005F41CD" w:rsidP="00A5557F">
            <w:pPr>
              <w:pStyle w:val="NormalWeb"/>
              <w:rPr>
                <w:sz w:val="18"/>
                <w:szCs w:val="18"/>
                <w:lang w:val="en-GB"/>
              </w:rPr>
            </w:pPr>
            <w:r w:rsidRPr="00CB04B4">
              <w:rPr>
                <w:sz w:val="18"/>
                <w:szCs w:val="18"/>
                <w:lang w:val="en-GB"/>
              </w:rPr>
              <w:t>114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CE41B8" w14:textId="77777777" w:rsidR="005F41CD" w:rsidRPr="00CB04B4" w:rsidRDefault="005F41CD" w:rsidP="00A5557F">
            <w:pPr>
              <w:pStyle w:val="NormalWeb"/>
              <w:rPr>
                <w:sz w:val="18"/>
                <w:szCs w:val="18"/>
                <w:lang w:val="en-GB"/>
              </w:rPr>
            </w:pPr>
            <w:r w:rsidRPr="00CB04B4">
              <w:rPr>
                <w:sz w:val="18"/>
                <w:szCs w:val="18"/>
                <w:lang w:val="en-GB"/>
              </w:rPr>
              <w:t>57.0</w:t>
            </w: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BC0197" w14:textId="77777777" w:rsidR="005F41CD" w:rsidRPr="00CB04B4" w:rsidRDefault="005F41CD" w:rsidP="00A5557F">
            <w:pPr>
              <w:rPr>
                <w:sz w:val="18"/>
                <w:szCs w:val="18"/>
                <w:lang w:val="en-GB"/>
              </w:rPr>
            </w:pPr>
          </w:p>
        </w:tc>
        <w:tc>
          <w:tcPr>
            <w:tcW w:w="225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95DE36" w14:textId="77777777" w:rsidR="005F41CD" w:rsidRPr="00CB04B4" w:rsidRDefault="005F41CD" w:rsidP="00A5557F">
            <w:pPr>
              <w:rPr>
                <w:sz w:val="18"/>
                <w:szCs w:val="18"/>
                <w:lang w:val="en-GB"/>
              </w:rPr>
            </w:pPr>
          </w:p>
        </w:tc>
      </w:tr>
      <w:tr w:rsidR="005F41CD" w:rsidRPr="00CB04B4" w14:paraId="1A56DE2E" w14:textId="77777777" w:rsidTr="005F41CD">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754E32" w14:textId="77777777" w:rsidR="005F41CD" w:rsidRPr="00CB04B4" w:rsidRDefault="005F41CD" w:rsidP="00A5557F">
            <w:pPr>
              <w:pStyle w:val="NormalWeb"/>
              <w:rPr>
                <w:sz w:val="18"/>
                <w:szCs w:val="18"/>
                <w:lang w:val="en-GB"/>
              </w:rPr>
            </w:pPr>
            <w:proofErr w:type="spellStart"/>
            <w:r w:rsidRPr="00CB04B4">
              <w:rPr>
                <w:sz w:val="18"/>
                <w:szCs w:val="18"/>
                <w:lang w:val="en-GB"/>
              </w:rPr>
              <w:t>Sex</w:t>
            </w:r>
            <w:r w:rsidRPr="00F80DA9">
              <w:rPr>
                <w:sz w:val="18"/>
                <w:szCs w:val="18"/>
                <w:vertAlign w:val="superscript"/>
                <w:lang w:val="en-GB"/>
              </w:rPr>
              <w:t>c</w:t>
            </w:r>
            <w:proofErr w:type="spellEnd"/>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A45A397" w14:textId="77777777" w:rsidR="005F41CD" w:rsidRPr="00CB04B4" w:rsidRDefault="005F41CD" w:rsidP="00A5557F">
            <w:pPr>
              <w:pStyle w:val="NormalWeb"/>
              <w:rPr>
                <w:sz w:val="18"/>
                <w:szCs w:val="18"/>
                <w:lang w:val="en-GB"/>
              </w:rPr>
            </w:pPr>
            <w:r w:rsidRPr="00CB04B4">
              <w:rPr>
                <w:sz w:val="18"/>
                <w:szCs w:val="18"/>
                <w:lang w:val="en-GB"/>
              </w:rPr>
              <w:t>Female</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A1A003" w14:textId="77777777" w:rsidR="005F41CD" w:rsidRPr="00CB04B4" w:rsidRDefault="005F41CD" w:rsidP="00A5557F">
            <w:pPr>
              <w:pStyle w:val="NormalWeb"/>
              <w:rPr>
                <w:sz w:val="18"/>
                <w:szCs w:val="18"/>
                <w:lang w:val="en-GB"/>
              </w:rPr>
            </w:pPr>
            <w:r w:rsidRPr="00CB04B4">
              <w:rPr>
                <w:sz w:val="18"/>
                <w:szCs w:val="18"/>
                <w:lang w:val="en-GB"/>
              </w:rPr>
              <w:t>28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8469DB" w14:textId="77777777" w:rsidR="005F41CD" w:rsidRPr="00CB04B4" w:rsidRDefault="005F41CD" w:rsidP="00A5557F">
            <w:pPr>
              <w:pStyle w:val="NormalWeb"/>
              <w:rPr>
                <w:sz w:val="18"/>
                <w:szCs w:val="18"/>
                <w:lang w:val="en-GB"/>
              </w:rPr>
            </w:pPr>
            <w:r w:rsidRPr="00CB04B4">
              <w:rPr>
                <w:sz w:val="18"/>
                <w:szCs w:val="18"/>
                <w:lang w:val="en-GB"/>
              </w:rPr>
              <w:t>19.7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DDDD70" w14:textId="77777777" w:rsidR="005F41CD" w:rsidRPr="00CB04B4" w:rsidRDefault="005F41CD" w:rsidP="00A5557F">
            <w:pPr>
              <w:pStyle w:val="NormalWeb"/>
              <w:rPr>
                <w:sz w:val="18"/>
                <w:szCs w:val="18"/>
                <w:lang w:val="en-GB"/>
              </w:rPr>
            </w:pPr>
            <w:r w:rsidRPr="00CB04B4">
              <w:rPr>
                <w:sz w:val="18"/>
                <w:szCs w:val="18"/>
                <w:lang w:val="en-GB"/>
              </w:rPr>
              <w:t>32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B84D439" w14:textId="77777777" w:rsidR="005F41CD" w:rsidRPr="00CB04B4" w:rsidRDefault="005F41CD" w:rsidP="00A5557F">
            <w:pPr>
              <w:pStyle w:val="NormalWeb"/>
              <w:rPr>
                <w:sz w:val="18"/>
                <w:szCs w:val="18"/>
                <w:lang w:val="en-GB"/>
              </w:rPr>
            </w:pPr>
            <w:r w:rsidRPr="00CB04B4">
              <w:rPr>
                <w:sz w:val="18"/>
                <w:szCs w:val="18"/>
                <w:lang w:val="en-GB"/>
              </w:rPr>
              <w:t>16.1</w:t>
            </w:r>
          </w:p>
        </w:t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CE73EF" w14:textId="77777777" w:rsidR="005F41CD" w:rsidRPr="00CB04B4" w:rsidRDefault="005F41CD" w:rsidP="00A5557F">
            <w:pPr>
              <w:pStyle w:val="NormalWeb"/>
              <w:rPr>
                <w:sz w:val="18"/>
                <w:szCs w:val="18"/>
                <w:lang w:val="en-GB"/>
              </w:rPr>
            </w:pPr>
            <w:r w:rsidRPr="00CB04B4">
              <w:rPr>
                <w:sz w:val="18"/>
                <w:szCs w:val="18"/>
                <w:lang w:val="en-GB"/>
              </w:rPr>
              <w:t>0.53</w:t>
            </w:r>
          </w:p>
        </w:tc>
        <w:tc>
          <w:tcPr>
            <w:tcW w:w="225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4280E0" w14:textId="77777777" w:rsidR="005F41CD" w:rsidRPr="00CB04B4" w:rsidRDefault="005F41CD" w:rsidP="00A5557F">
            <w:pPr>
              <w:pStyle w:val="NormalWeb"/>
              <w:rPr>
                <w:sz w:val="18"/>
                <w:szCs w:val="18"/>
                <w:lang w:val="en-GB"/>
              </w:rPr>
            </w:pPr>
            <w:r w:rsidRPr="00CB04B4">
              <w:rPr>
                <w:sz w:val="18"/>
                <w:szCs w:val="18"/>
                <w:lang w:val="en-GB"/>
              </w:rPr>
              <w:t>NS</w:t>
            </w:r>
          </w:p>
        </w:tc>
      </w:tr>
      <w:tr w:rsidR="005F41CD" w:rsidRPr="00CB04B4" w14:paraId="1110B32F" w14:textId="77777777" w:rsidTr="005F41CD">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964528" w14:textId="77777777" w:rsidR="005F41CD" w:rsidRPr="00CB04B4" w:rsidRDefault="005F41CD" w:rsidP="00A5557F">
            <w:pPr>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CE7DD15" w14:textId="77777777" w:rsidR="005F41CD" w:rsidRPr="00CB04B4" w:rsidRDefault="005F41CD" w:rsidP="00A5557F">
            <w:pPr>
              <w:pStyle w:val="NormalWeb"/>
              <w:rPr>
                <w:sz w:val="18"/>
                <w:szCs w:val="18"/>
                <w:lang w:val="en-GB"/>
              </w:rPr>
            </w:pPr>
            <w:r w:rsidRPr="00CB04B4">
              <w:rPr>
                <w:sz w:val="18"/>
                <w:szCs w:val="18"/>
                <w:lang w:val="en-GB"/>
              </w:rPr>
              <w:t>Male</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6194864" w14:textId="77777777" w:rsidR="005F41CD" w:rsidRPr="00CB04B4" w:rsidRDefault="005F41CD" w:rsidP="00A5557F">
            <w:pPr>
              <w:pStyle w:val="NormalWeb"/>
              <w:rPr>
                <w:sz w:val="18"/>
                <w:szCs w:val="18"/>
                <w:lang w:val="en-GB"/>
              </w:rPr>
            </w:pPr>
            <w:r w:rsidRPr="00CB04B4">
              <w:rPr>
                <w:sz w:val="18"/>
                <w:szCs w:val="18"/>
                <w:lang w:val="en-GB"/>
              </w:rPr>
              <w:t>114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2FB1565" w14:textId="77777777" w:rsidR="005F41CD" w:rsidRPr="00CB04B4" w:rsidRDefault="005F41CD" w:rsidP="00A5557F">
            <w:pPr>
              <w:pStyle w:val="NormalWeb"/>
              <w:rPr>
                <w:sz w:val="18"/>
                <w:szCs w:val="18"/>
                <w:lang w:val="en-GB"/>
              </w:rPr>
            </w:pPr>
            <w:r w:rsidRPr="00CB04B4">
              <w:rPr>
                <w:sz w:val="18"/>
                <w:szCs w:val="18"/>
                <w:lang w:val="en-GB"/>
              </w:rPr>
              <w:t>80.3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570A147" w14:textId="77777777" w:rsidR="005F41CD" w:rsidRPr="00CB04B4" w:rsidRDefault="005F41CD" w:rsidP="00A5557F">
            <w:pPr>
              <w:pStyle w:val="NormalWeb"/>
              <w:rPr>
                <w:sz w:val="18"/>
                <w:szCs w:val="18"/>
                <w:lang w:val="en-GB"/>
              </w:rPr>
            </w:pPr>
            <w:r w:rsidRPr="00CB04B4">
              <w:rPr>
                <w:sz w:val="18"/>
                <w:szCs w:val="18"/>
                <w:lang w:val="en-GB"/>
              </w:rPr>
              <w:t>167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E7F59D" w14:textId="77777777" w:rsidR="005F41CD" w:rsidRPr="00CB04B4" w:rsidRDefault="005F41CD" w:rsidP="00A5557F">
            <w:pPr>
              <w:pStyle w:val="NormalWeb"/>
              <w:rPr>
                <w:sz w:val="18"/>
                <w:szCs w:val="18"/>
                <w:lang w:val="en-GB"/>
              </w:rPr>
            </w:pPr>
            <w:r w:rsidRPr="00CB04B4">
              <w:rPr>
                <w:sz w:val="18"/>
                <w:szCs w:val="18"/>
                <w:lang w:val="en-GB"/>
              </w:rPr>
              <w:t>83.9</w:t>
            </w: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C65331" w14:textId="77777777" w:rsidR="005F41CD" w:rsidRPr="00CB04B4" w:rsidRDefault="005F41CD" w:rsidP="00A5557F">
            <w:pPr>
              <w:rPr>
                <w:sz w:val="18"/>
                <w:szCs w:val="18"/>
                <w:lang w:val="en-GB"/>
              </w:rPr>
            </w:pPr>
          </w:p>
        </w:tc>
        <w:tc>
          <w:tcPr>
            <w:tcW w:w="225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8723965" w14:textId="77777777" w:rsidR="005F41CD" w:rsidRPr="00CB04B4" w:rsidRDefault="005F41CD" w:rsidP="00A5557F">
            <w:pPr>
              <w:rPr>
                <w:sz w:val="18"/>
                <w:szCs w:val="18"/>
                <w:lang w:val="en-GB"/>
              </w:rPr>
            </w:pPr>
          </w:p>
        </w:tc>
      </w:tr>
      <w:tr w:rsidR="005F41CD" w:rsidRPr="00CB04B4" w14:paraId="1069568B" w14:textId="77777777" w:rsidTr="005F41CD">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B6BD3C" w14:textId="77777777" w:rsidR="005F41CD" w:rsidRPr="00CB04B4" w:rsidRDefault="005F41CD" w:rsidP="00A5557F">
            <w:pPr>
              <w:pStyle w:val="NormalWeb"/>
              <w:rPr>
                <w:sz w:val="18"/>
                <w:szCs w:val="18"/>
                <w:lang w:val="en-GB"/>
              </w:rPr>
            </w:pPr>
            <w:r w:rsidRPr="00CB04B4">
              <w:rPr>
                <w:sz w:val="18"/>
                <w:szCs w:val="18"/>
                <w:lang w:val="en-GB"/>
              </w:rPr>
              <w:t>Age group</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867240" w14:textId="77777777" w:rsidR="005F41CD" w:rsidRPr="00CB04B4" w:rsidRDefault="005F41CD" w:rsidP="00A5557F">
            <w:pPr>
              <w:pStyle w:val="NormalWeb"/>
              <w:rPr>
                <w:sz w:val="18"/>
                <w:szCs w:val="18"/>
                <w:lang w:val="en-GB"/>
              </w:rPr>
            </w:pPr>
            <w:r w:rsidRPr="00CB04B4">
              <w:rPr>
                <w:sz w:val="18"/>
                <w:szCs w:val="18"/>
                <w:lang w:val="en-GB"/>
              </w:rPr>
              <w:t>15-34 years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1D9D7B8" w14:textId="77777777" w:rsidR="005F41CD" w:rsidRPr="00CB04B4" w:rsidRDefault="005F41CD" w:rsidP="00A5557F">
            <w:pPr>
              <w:pStyle w:val="NormalWeb"/>
              <w:rPr>
                <w:sz w:val="18"/>
                <w:szCs w:val="18"/>
                <w:lang w:val="en-GB"/>
              </w:rPr>
            </w:pPr>
            <w:r w:rsidRPr="00CB04B4">
              <w:rPr>
                <w:sz w:val="18"/>
                <w:szCs w:val="18"/>
                <w:lang w:val="en-GB"/>
              </w:rPr>
              <w:t>39</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3578DA" w14:textId="77777777" w:rsidR="005F41CD" w:rsidRPr="00CB04B4" w:rsidRDefault="005F41CD" w:rsidP="00A5557F">
            <w:pPr>
              <w:pStyle w:val="NormalWeb"/>
              <w:rPr>
                <w:sz w:val="18"/>
                <w:szCs w:val="18"/>
                <w:lang w:val="en-GB"/>
              </w:rPr>
            </w:pPr>
            <w:r w:rsidRPr="00CB04B4">
              <w:rPr>
                <w:sz w:val="18"/>
                <w:szCs w:val="18"/>
                <w:lang w:val="en-GB"/>
              </w:rPr>
              <w:t>27.5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769EFDA" w14:textId="77777777" w:rsidR="005F41CD" w:rsidRPr="00CB04B4" w:rsidRDefault="005F41CD" w:rsidP="00A5557F">
            <w:pPr>
              <w:pStyle w:val="NormalWeb"/>
              <w:rPr>
                <w:sz w:val="18"/>
                <w:szCs w:val="18"/>
                <w:lang w:val="en-GB"/>
              </w:rPr>
            </w:pPr>
            <w:r w:rsidRPr="00CB04B4">
              <w:rPr>
                <w:sz w:val="18"/>
                <w:szCs w:val="18"/>
                <w:lang w:val="en-GB"/>
              </w:rPr>
              <w:t>83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62361EE" w14:textId="77777777" w:rsidR="005F41CD" w:rsidRPr="00CB04B4" w:rsidRDefault="005F41CD" w:rsidP="00A5557F">
            <w:pPr>
              <w:pStyle w:val="NormalWeb"/>
              <w:rPr>
                <w:sz w:val="18"/>
                <w:szCs w:val="18"/>
                <w:lang w:val="en-GB"/>
              </w:rPr>
            </w:pPr>
            <w:r w:rsidRPr="00CB04B4">
              <w:rPr>
                <w:sz w:val="18"/>
                <w:szCs w:val="18"/>
                <w:lang w:val="en-GB"/>
              </w:rPr>
              <w:t>42.1</w:t>
            </w:r>
          </w:p>
        </w:t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7091DE" w14:textId="77777777" w:rsidR="005F41CD" w:rsidRPr="00CB04B4" w:rsidRDefault="005F41CD" w:rsidP="00A5557F">
            <w:pPr>
              <w:pStyle w:val="NormalWeb"/>
              <w:rPr>
                <w:sz w:val="18"/>
                <w:szCs w:val="18"/>
                <w:lang w:val="en-GB"/>
              </w:rPr>
            </w:pPr>
            <w:r w:rsidRPr="00CB04B4">
              <w:rPr>
                <w:sz w:val="18"/>
                <w:szCs w:val="18"/>
                <w:lang w:val="en-GB"/>
              </w:rPr>
              <w:t>7.13</w:t>
            </w:r>
          </w:p>
        </w:tc>
        <w:tc>
          <w:tcPr>
            <w:tcW w:w="225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98EA83" w14:textId="77777777" w:rsidR="005F41CD" w:rsidRPr="00CB04B4" w:rsidRDefault="005F41CD" w:rsidP="00A5557F">
            <w:pPr>
              <w:pStyle w:val="NormalWeb"/>
              <w:rPr>
                <w:sz w:val="18"/>
                <w:szCs w:val="18"/>
                <w:lang w:val="en-GB"/>
              </w:rPr>
            </w:pPr>
            <w:r w:rsidRPr="00CB04B4">
              <w:rPr>
                <w:sz w:val="18"/>
                <w:szCs w:val="18"/>
                <w:lang w:val="en-GB"/>
              </w:rPr>
              <w:t>&lt; 0.05</w:t>
            </w:r>
          </w:p>
        </w:tc>
      </w:tr>
      <w:tr w:rsidR="005F41CD" w:rsidRPr="00CB04B4" w14:paraId="72452C6D" w14:textId="77777777" w:rsidTr="005F41CD">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29D9C1" w14:textId="77777777" w:rsidR="005F41CD" w:rsidRPr="00CB04B4" w:rsidRDefault="005F41CD" w:rsidP="00A5557F">
            <w:pPr>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49390FD" w14:textId="77777777" w:rsidR="005F41CD" w:rsidRPr="00CB04B4" w:rsidRDefault="005F41CD" w:rsidP="00A5557F">
            <w:pPr>
              <w:pStyle w:val="NormalWeb"/>
              <w:rPr>
                <w:sz w:val="18"/>
                <w:szCs w:val="18"/>
                <w:lang w:val="en-GB"/>
              </w:rPr>
            </w:pPr>
            <w:r w:rsidRPr="00CB04B4">
              <w:rPr>
                <w:sz w:val="18"/>
                <w:szCs w:val="18"/>
                <w:lang w:val="en-GB"/>
              </w:rPr>
              <w:t>≥ 35 years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2E0583" w14:textId="77777777" w:rsidR="005F41CD" w:rsidRPr="00CB04B4" w:rsidRDefault="005F41CD" w:rsidP="00A5557F">
            <w:pPr>
              <w:pStyle w:val="NormalWeb"/>
              <w:rPr>
                <w:sz w:val="18"/>
                <w:szCs w:val="18"/>
                <w:lang w:val="en-GB"/>
              </w:rPr>
            </w:pPr>
            <w:r w:rsidRPr="00CB04B4">
              <w:rPr>
                <w:sz w:val="18"/>
                <w:szCs w:val="18"/>
                <w:lang w:val="en-GB"/>
              </w:rPr>
              <w:t>103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9656FF" w14:textId="77777777" w:rsidR="005F41CD" w:rsidRPr="00CB04B4" w:rsidRDefault="005F41CD" w:rsidP="00A5557F">
            <w:pPr>
              <w:pStyle w:val="NormalWeb"/>
              <w:rPr>
                <w:sz w:val="18"/>
                <w:szCs w:val="18"/>
                <w:lang w:val="en-GB"/>
              </w:rPr>
            </w:pPr>
            <w:r w:rsidRPr="00CB04B4">
              <w:rPr>
                <w:sz w:val="18"/>
                <w:szCs w:val="18"/>
                <w:lang w:val="en-GB"/>
              </w:rPr>
              <w:t>72.5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943765" w14:textId="77777777" w:rsidR="005F41CD" w:rsidRPr="00CB04B4" w:rsidRDefault="005F41CD" w:rsidP="00A5557F">
            <w:pPr>
              <w:pStyle w:val="NormalWeb"/>
              <w:rPr>
                <w:sz w:val="18"/>
                <w:szCs w:val="18"/>
                <w:lang w:val="en-GB"/>
              </w:rPr>
            </w:pPr>
            <w:r w:rsidRPr="00CB04B4">
              <w:rPr>
                <w:sz w:val="18"/>
                <w:szCs w:val="18"/>
                <w:lang w:val="en-GB"/>
              </w:rPr>
              <w:t>114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71E17D3" w14:textId="77777777" w:rsidR="005F41CD" w:rsidRPr="00CB04B4" w:rsidRDefault="005F41CD" w:rsidP="00A5557F">
            <w:pPr>
              <w:pStyle w:val="NormalWeb"/>
              <w:rPr>
                <w:sz w:val="18"/>
                <w:szCs w:val="18"/>
                <w:lang w:val="en-GB"/>
              </w:rPr>
            </w:pPr>
            <w:r w:rsidRPr="00CB04B4">
              <w:rPr>
                <w:sz w:val="18"/>
                <w:szCs w:val="18"/>
                <w:lang w:val="en-GB"/>
              </w:rPr>
              <w:t>57.9</w:t>
            </w: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884D67D" w14:textId="77777777" w:rsidR="005F41CD" w:rsidRPr="00CB04B4" w:rsidRDefault="005F41CD" w:rsidP="00A5557F">
            <w:pPr>
              <w:rPr>
                <w:sz w:val="18"/>
                <w:szCs w:val="18"/>
                <w:lang w:val="en-GB"/>
              </w:rPr>
            </w:pPr>
          </w:p>
        </w:tc>
        <w:tc>
          <w:tcPr>
            <w:tcW w:w="225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B255546" w14:textId="77777777" w:rsidR="005F41CD" w:rsidRPr="00CB04B4" w:rsidRDefault="005F41CD" w:rsidP="00A5557F">
            <w:pPr>
              <w:rPr>
                <w:sz w:val="18"/>
                <w:szCs w:val="18"/>
                <w:lang w:val="en-GB"/>
              </w:rPr>
            </w:pPr>
          </w:p>
        </w:tc>
      </w:tr>
      <w:tr w:rsidR="005F41CD" w:rsidRPr="00CB04B4" w14:paraId="7E2F1923" w14:textId="77777777" w:rsidTr="005F41CD">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C6552C" w14:textId="77777777" w:rsidR="005F41CD" w:rsidRPr="00CB04B4" w:rsidRDefault="005F41CD" w:rsidP="00A5557F">
            <w:pPr>
              <w:pStyle w:val="NormalWeb"/>
              <w:rPr>
                <w:sz w:val="18"/>
                <w:szCs w:val="18"/>
                <w:lang w:val="en-GB"/>
              </w:rPr>
            </w:pPr>
            <w:r w:rsidRPr="00CB04B4">
              <w:rPr>
                <w:sz w:val="18"/>
                <w:szCs w:val="18"/>
                <w:lang w:val="en-GB"/>
              </w:rPr>
              <w:t>Geographical area</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BE5153" w14:textId="77777777" w:rsidR="005F41CD" w:rsidRPr="00CB04B4" w:rsidRDefault="005F41CD" w:rsidP="00A5557F">
            <w:pPr>
              <w:pStyle w:val="NormalWeb"/>
              <w:rPr>
                <w:sz w:val="18"/>
                <w:szCs w:val="18"/>
                <w:lang w:val="en-GB"/>
              </w:rPr>
            </w:pPr>
            <w:r w:rsidRPr="00CB04B4">
              <w:rPr>
                <w:sz w:val="18"/>
                <w:szCs w:val="18"/>
                <w:lang w:val="en-GB"/>
              </w:rPr>
              <w:t>Penrith LGA</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942BCE9" w14:textId="77777777" w:rsidR="005F41CD" w:rsidRPr="00CB04B4" w:rsidRDefault="005F41CD" w:rsidP="00A5557F">
            <w:pPr>
              <w:pStyle w:val="NormalWeb"/>
              <w:rPr>
                <w:sz w:val="18"/>
                <w:szCs w:val="18"/>
                <w:lang w:val="en-GB"/>
              </w:rPr>
            </w:pPr>
            <w:r w:rsidRPr="00CB04B4">
              <w:rPr>
                <w:sz w:val="18"/>
                <w:szCs w:val="18"/>
                <w:lang w:val="en-GB"/>
              </w:rPr>
              <w:t>83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5615E1" w14:textId="77777777" w:rsidR="005F41CD" w:rsidRPr="00CB04B4" w:rsidRDefault="005F41CD" w:rsidP="00A5557F">
            <w:pPr>
              <w:pStyle w:val="NormalWeb"/>
              <w:rPr>
                <w:sz w:val="18"/>
                <w:szCs w:val="18"/>
                <w:lang w:val="en-GB"/>
              </w:rPr>
            </w:pPr>
            <w:r w:rsidRPr="00CB04B4">
              <w:rPr>
                <w:sz w:val="18"/>
                <w:szCs w:val="18"/>
                <w:lang w:val="en-GB"/>
              </w:rPr>
              <w:t>58.5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922D69" w14:textId="77777777" w:rsidR="005F41CD" w:rsidRPr="00CB04B4" w:rsidRDefault="005F41CD" w:rsidP="00A5557F">
            <w:pPr>
              <w:pStyle w:val="NormalWeb"/>
              <w:rPr>
                <w:sz w:val="18"/>
                <w:szCs w:val="18"/>
                <w:lang w:val="en-GB"/>
              </w:rPr>
            </w:pPr>
            <w:r w:rsidRPr="00CB04B4">
              <w:rPr>
                <w:sz w:val="18"/>
                <w:szCs w:val="18"/>
                <w:lang w:val="en-GB"/>
              </w:rPr>
              <w:t>134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FE4D25D" w14:textId="77777777" w:rsidR="005F41CD" w:rsidRPr="00CB04B4" w:rsidRDefault="005F41CD" w:rsidP="00A5557F">
            <w:pPr>
              <w:pStyle w:val="NormalWeb"/>
              <w:rPr>
                <w:sz w:val="18"/>
                <w:szCs w:val="18"/>
                <w:lang w:val="en-GB"/>
              </w:rPr>
            </w:pPr>
            <w:r w:rsidRPr="00CB04B4">
              <w:rPr>
                <w:sz w:val="18"/>
                <w:szCs w:val="18"/>
                <w:lang w:val="en-GB"/>
              </w:rPr>
              <w:t>67.0</w:t>
            </w:r>
          </w:p>
        </w:t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66FC9E" w14:textId="77777777" w:rsidR="005F41CD" w:rsidRPr="00CB04B4" w:rsidRDefault="005F41CD" w:rsidP="00A5557F">
            <w:pPr>
              <w:pStyle w:val="NormalWeb"/>
              <w:rPr>
                <w:sz w:val="18"/>
                <w:szCs w:val="18"/>
                <w:lang w:val="en-GB"/>
              </w:rPr>
            </w:pPr>
            <w:r w:rsidRPr="00CB04B4">
              <w:rPr>
                <w:sz w:val="18"/>
                <w:szCs w:val="18"/>
                <w:lang w:val="en-GB"/>
              </w:rPr>
              <w:t>2.16</w:t>
            </w:r>
          </w:p>
        </w:tc>
        <w:tc>
          <w:tcPr>
            <w:tcW w:w="225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F63A81" w14:textId="77777777" w:rsidR="005F41CD" w:rsidRPr="00CB04B4" w:rsidRDefault="005F41CD" w:rsidP="00A5557F">
            <w:pPr>
              <w:pStyle w:val="NormalWeb"/>
              <w:rPr>
                <w:sz w:val="18"/>
                <w:szCs w:val="18"/>
                <w:lang w:val="en-GB"/>
              </w:rPr>
            </w:pPr>
            <w:r w:rsidRPr="00CB04B4">
              <w:rPr>
                <w:sz w:val="18"/>
                <w:szCs w:val="18"/>
                <w:lang w:val="en-GB"/>
              </w:rPr>
              <w:t>&lt; 0.05</w:t>
            </w:r>
          </w:p>
        </w:tc>
      </w:tr>
      <w:tr w:rsidR="005F41CD" w:rsidRPr="00CB04B4" w14:paraId="58362B8D" w14:textId="77777777" w:rsidTr="005F41CD">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FE44F58" w14:textId="77777777" w:rsidR="005F41CD" w:rsidRPr="00CB04B4" w:rsidRDefault="005F41CD" w:rsidP="00A5557F">
            <w:pPr>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C4D815" w14:textId="77777777" w:rsidR="005F41CD" w:rsidRPr="00CB04B4" w:rsidRDefault="005F41CD" w:rsidP="00A5557F">
            <w:pPr>
              <w:pStyle w:val="NormalWeb"/>
              <w:rPr>
                <w:sz w:val="18"/>
                <w:szCs w:val="18"/>
                <w:lang w:val="en-GB"/>
              </w:rPr>
            </w:pPr>
            <w:r w:rsidRPr="00CB04B4">
              <w:rPr>
                <w:sz w:val="18"/>
                <w:szCs w:val="18"/>
                <w:lang w:val="en-GB"/>
              </w:rPr>
              <w:t>Remainder of NBMLHD</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A273DF" w14:textId="77777777" w:rsidR="005F41CD" w:rsidRPr="00CB04B4" w:rsidRDefault="005F41CD" w:rsidP="00A5557F">
            <w:pPr>
              <w:pStyle w:val="NormalWeb"/>
              <w:rPr>
                <w:sz w:val="18"/>
                <w:szCs w:val="18"/>
                <w:lang w:val="en-GB"/>
              </w:rPr>
            </w:pPr>
            <w:r w:rsidRPr="00CB04B4">
              <w:rPr>
                <w:sz w:val="18"/>
                <w:szCs w:val="18"/>
                <w:lang w:val="en-GB"/>
              </w:rPr>
              <w:t>59</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440E7A" w14:textId="77777777" w:rsidR="005F41CD" w:rsidRPr="00CB04B4" w:rsidRDefault="005F41CD" w:rsidP="00A5557F">
            <w:pPr>
              <w:pStyle w:val="NormalWeb"/>
              <w:rPr>
                <w:sz w:val="18"/>
                <w:szCs w:val="18"/>
                <w:lang w:val="en-GB"/>
              </w:rPr>
            </w:pPr>
            <w:r w:rsidRPr="00CB04B4">
              <w:rPr>
                <w:sz w:val="18"/>
                <w:szCs w:val="18"/>
                <w:lang w:val="en-GB"/>
              </w:rPr>
              <w:t>41.5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EC1758" w14:textId="77777777" w:rsidR="005F41CD" w:rsidRPr="00CB04B4" w:rsidRDefault="005F41CD" w:rsidP="00A5557F">
            <w:pPr>
              <w:pStyle w:val="NormalWeb"/>
              <w:rPr>
                <w:sz w:val="18"/>
                <w:szCs w:val="18"/>
                <w:lang w:val="en-GB"/>
              </w:rPr>
            </w:pPr>
            <w:r w:rsidRPr="00CB04B4">
              <w:rPr>
                <w:sz w:val="18"/>
                <w:szCs w:val="18"/>
                <w:lang w:val="en-GB"/>
              </w:rPr>
              <w:t>66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484737" w14:textId="77777777" w:rsidR="005F41CD" w:rsidRPr="00CB04B4" w:rsidRDefault="005F41CD" w:rsidP="00A5557F">
            <w:pPr>
              <w:pStyle w:val="NormalWeb"/>
              <w:rPr>
                <w:sz w:val="18"/>
                <w:szCs w:val="18"/>
                <w:lang w:val="en-GB"/>
              </w:rPr>
            </w:pPr>
            <w:r w:rsidRPr="00CB04B4">
              <w:rPr>
                <w:sz w:val="18"/>
                <w:szCs w:val="18"/>
                <w:lang w:val="en-GB"/>
              </w:rPr>
              <w:t>33.0</w:t>
            </w: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DE0BDF5" w14:textId="77777777" w:rsidR="005F41CD" w:rsidRPr="00CB04B4" w:rsidRDefault="005F41CD" w:rsidP="00A5557F">
            <w:pPr>
              <w:rPr>
                <w:sz w:val="18"/>
                <w:szCs w:val="18"/>
                <w:lang w:val="en-GB"/>
              </w:rPr>
            </w:pPr>
          </w:p>
        </w:tc>
        <w:tc>
          <w:tcPr>
            <w:tcW w:w="225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1E42396" w14:textId="77777777" w:rsidR="005F41CD" w:rsidRPr="00CB04B4" w:rsidRDefault="005F41CD" w:rsidP="00A5557F">
            <w:pPr>
              <w:rPr>
                <w:sz w:val="18"/>
                <w:szCs w:val="18"/>
                <w:lang w:val="en-GB"/>
              </w:rPr>
            </w:pPr>
          </w:p>
        </w:tc>
      </w:tr>
      <w:tr w:rsidR="005F41CD" w:rsidRPr="00E3164C" w14:paraId="5654F078" w14:textId="77777777" w:rsidTr="005F41CD">
        <w:trPr>
          <w:cnfStyle w:val="000000010000" w:firstRow="0" w:lastRow="0" w:firstColumn="0" w:lastColumn="0" w:oddVBand="0" w:evenVBand="0" w:oddHBand="0" w:evenHBand="1" w:firstRowFirstColumn="0" w:firstRowLastColumn="0" w:lastRowFirstColumn="0" w:lastRowLastColumn="0"/>
        </w:trPr>
        <w:tc>
          <w:tcPr>
            <w:tcW w:w="10440"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BA991"/>
            <w:hideMark/>
          </w:tcPr>
          <w:p w14:paraId="31319604" w14:textId="77777777" w:rsidR="005F41CD" w:rsidRPr="00E3164C" w:rsidRDefault="005F41CD" w:rsidP="00A5557F">
            <w:pPr>
              <w:pStyle w:val="NormalWeb"/>
              <w:jc w:val="left"/>
              <w:rPr>
                <w:b/>
                <w:bCs/>
                <w:sz w:val="18"/>
                <w:szCs w:val="18"/>
                <w:lang w:val="en-GB"/>
              </w:rPr>
            </w:pPr>
            <w:r w:rsidRPr="00E3164C">
              <w:rPr>
                <w:b/>
                <w:bCs/>
                <w:sz w:val="18"/>
                <w:szCs w:val="18"/>
                <w:lang w:val="en-GB"/>
              </w:rPr>
              <w:t>Infectious syphilis</w:t>
            </w:r>
          </w:p>
        </w:tc>
      </w:tr>
      <w:tr w:rsidR="005F41CD" w:rsidRPr="00CB04B4" w14:paraId="43E6C4F0" w14:textId="77777777" w:rsidTr="005F41CD">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399FD58" w14:textId="77777777" w:rsidR="005F41CD" w:rsidRPr="00CB04B4" w:rsidRDefault="005F41CD" w:rsidP="00A5557F">
            <w:pPr>
              <w:pStyle w:val="NormalWeb"/>
              <w:rPr>
                <w:sz w:val="18"/>
                <w:szCs w:val="18"/>
                <w:lang w:val="en-GB"/>
              </w:rPr>
            </w:pPr>
            <w:proofErr w:type="spellStart"/>
            <w:r w:rsidRPr="00CB04B4">
              <w:rPr>
                <w:sz w:val="18"/>
                <w:szCs w:val="18"/>
                <w:lang w:val="en-GB"/>
              </w:rPr>
              <w:t>Sex</w:t>
            </w:r>
            <w:r w:rsidRPr="00F80DA9">
              <w:rPr>
                <w:sz w:val="18"/>
                <w:szCs w:val="18"/>
                <w:vertAlign w:val="superscript"/>
                <w:lang w:val="en-GB"/>
              </w:rPr>
              <w:t>c</w:t>
            </w:r>
            <w:proofErr w:type="spellEnd"/>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98D2F7" w14:textId="77777777" w:rsidR="005F41CD" w:rsidRPr="00CB04B4" w:rsidRDefault="005F41CD" w:rsidP="00A5557F">
            <w:pPr>
              <w:pStyle w:val="NormalWeb"/>
              <w:rPr>
                <w:sz w:val="18"/>
                <w:szCs w:val="18"/>
                <w:lang w:val="en-GB"/>
              </w:rPr>
            </w:pPr>
            <w:r w:rsidRPr="00CB04B4">
              <w:rPr>
                <w:sz w:val="18"/>
                <w:szCs w:val="18"/>
                <w:lang w:val="en-GB"/>
              </w:rPr>
              <w:t>Female</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2E217D6" w14:textId="77777777" w:rsidR="005F41CD" w:rsidRPr="00CB04B4" w:rsidRDefault="005F41CD" w:rsidP="00A5557F">
            <w:pPr>
              <w:pStyle w:val="NormalWeb"/>
              <w:rPr>
                <w:sz w:val="18"/>
                <w:szCs w:val="18"/>
                <w:lang w:val="en-GB"/>
              </w:rPr>
            </w:pPr>
            <w:r w:rsidRPr="00CB04B4">
              <w:rPr>
                <w:sz w:val="18"/>
                <w:szCs w:val="18"/>
                <w:lang w:val="en-GB"/>
              </w:rPr>
              <w:t>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B938DE" w14:textId="77777777" w:rsidR="005F41CD" w:rsidRPr="00CB04B4" w:rsidRDefault="005F41CD" w:rsidP="00A5557F">
            <w:pPr>
              <w:pStyle w:val="NormalWeb"/>
              <w:rPr>
                <w:sz w:val="18"/>
                <w:szCs w:val="18"/>
                <w:lang w:val="en-GB"/>
              </w:rPr>
            </w:pPr>
            <w:r w:rsidRPr="00CB04B4">
              <w:rPr>
                <w:sz w:val="18"/>
                <w:szCs w:val="18"/>
                <w:lang w:val="en-GB"/>
              </w:rPr>
              <w:t>9.6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AC78B78" w14:textId="77777777" w:rsidR="005F41CD" w:rsidRPr="00CB04B4" w:rsidRDefault="005F41CD" w:rsidP="00A5557F">
            <w:pPr>
              <w:pStyle w:val="NormalWeb"/>
              <w:rPr>
                <w:sz w:val="18"/>
                <w:szCs w:val="18"/>
                <w:lang w:val="en-GB"/>
              </w:rPr>
            </w:pPr>
            <w:r w:rsidRPr="00CB04B4">
              <w:rPr>
                <w:sz w:val="18"/>
                <w:szCs w:val="18"/>
                <w:lang w:val="en-GB"/>
              </w:rPr>
              <w:t>10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3E46DE" w14:textId="77777777" w:rsidR="005F41CD" w:rsidRPr="00CB04B4" w:rsidRDefault="005F41CD" w:rsidP="00A5557F">
            <w:pPr>
              <w:pStyle w:val="NormalWeb"/>
              <w:rPr>
                <w:sz w:val="18"/>
                <w:szCs w:val="18"/>
                <w:lang w:val="en-GB"/>
              </w:rPr>
            </w:pPr>
            <w:r w:rsidRPr="00CB04B4">
              <w:rPr>
                <w:sz w:val="18"/>
                <w:szCs w:val="18"/>
                <w:lang w:val="en-GB"/>
              </w:rPr>
              <w:t>8.8</w:t>
            </w:r>
          </w:p>
        </w:t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31AF68" w14:textId="77777777" w:rsidR="005F41CD" w:rsidRPr="00CB04B4" w:rsidRDefault="005F41CD" w:rsidP="00A5557F">
            <w:pPr>
              <w:pStyle w:val="NormalWeb"/>
              <w:rPr>
                <w:sz w:val="18"/>
                <w:szCs w:val="18"/>
                <w:lang w:val="en-GB"/>
              </w:rPr>
            </w:pPr>
            <w:r w:rsidRPr="00CB04B4">
              <w:rPr>
                <w:sz w:val="18"/>
                <w:szCs w:val="18"/>
                <w:lang w:val="en-GB"/>
              </w:rPr>
              <w:t>0.005</w:t>
            </w:r>
          </w:p>
        </w:tc>
        <w:tc>
          <w:tcPr>
            <w:tcW w:w="225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122ECE4" w14:textId="77777777" w:rsidR="005F41CD" w:rsidRPr="00CB04B4" w:rsidRDefault="005F41CD" w:rsidP="00A5557F">
            <w:pPr>
              <w:pStyle w:val="NormalWeb"/>
              <w:rPr>
                <w:sz w:val="18"/>
                <w:szCs w:val="18"/>
                <w:lang w:val="en-GB"/>
              </w:rPr>
            </w:pPr>
            <w:r w:rsidRPr="00CB04B4">
              <w:rPr>
                <w:sz w:val="18"/>
                <w:szCs w:val="18"/>
                <w:lang w:val="en-GB"/>
              </w:rPr>
              <w:t>NS</w:t>
            </w:r>
          </w:p>
        </w:tc>
      </w:tr>
      <w:tr w:rsidR="005F41CD" w:rsidRPr="00CB04B4" w14:paraId="2EB97746" w14:textId="77777777" w:rsidTr="005F41CD">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1E0A6D" w14:textId="77777777" w:rsidR="005F41CD" w:rsidRPr="00CB04B4" w:rsidRDefault="005F41CD" w:rsidP="00A5557F">
            <w:pPr>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82A5E8" w14:textId="77777777" w:rsidR="005F41CD" w:rsidRPr="00CB04B4" w:rsidRDefault="005F41CD" w:rsidP="00A5557F">
            <w:pPr>
              <w:pStyle w:val="NormalWeb"/>
              <w:rPr>
                <w:sz w:val="18"/>
                <w:szCs w:val="18"/>
                <w:lang w:val="en-GB"/>
              </w:rPr>
            </w:pPr>
            <w:r w:rsidRPr="00CB04B4">
              <w:rPr>
                <w:sz w:val="18"/>
                <w:szCs w:val="18"/>
                <w:lang w:val="en-GB"/>
              </w:rPr>
              <w:t>Male</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23727F" w14:textId="77777777" w:rsidR="005F41CD" w:rsidRPr="00CB04B4" w:rsidRDefault="005F41CD" w:rsidP="00A5557F">
            <w:pPr>
              <w:pStyle w:val="NormalWeb"/>
              <w:rPr>
                <w:sz w:val="18"/>
                <w:szCs w:val="18"/>
                <w:lang w:val="en-GB"/>
              </w:rPr>
            </w:pPr>
            <w:r w:rsidRPr="00CB04B4">
              <w:rPr>
                <w:sz w:val="18"/>
                <w:szCs w:val="18"/>
                <w:lang w:val="en-GB"/>
              </w:rPr>
              <w:t>66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3EC5B56" w14:textId="77777777" w:rsidR="005F41CD" w:rsidRPr="00CB04B4" w:rsidRDefault="005F41CD" w:rsidP="00A5557F">
            <w:pPr>
              <w:pStyle w:val="NormalWeb"/>
              <w:rPr>
                <w:sz w:val="18"/>
                <w:szCs w:val="18"/>
                <w:lang w:val="en-GB"/>
              </w:rPr>
            </w:pPr>
            <w:r w:rsidRPr="00CB04B4">
              <w:rPr>
                <w:sz w:val="18"/>
                <w:szCs w:val="18"/>
                <w:lang w:val="en-GB"/>
              </w:rPr>
              <w:t>90.4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D78CCFB" w14:textId="77777777" w:rsidR="005F41CD" w:rsidRPr="00CB04B4" w:rsidRDefault="005F41CD" w:rsidP="00A5557F">
            <w:pPr>
              <w:pStyle w:val="NormalWeb"/>
              <w:rPr>
                <w:sz w:val="18"/>
                <w:szCs w:val="18"/>
                <w:lang w:val="en-GB"/>
              </w:rPr>
            </w:pPr>
            <w:r w:rsidRPr="00CB04B4">
              <w:rPr>
                <w:sz w:val="18"/>
                <w:szCs w:val="18"/>
                <w:lang w:val="en-GB"/>
              </w:rPr>
              <w:t>104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5C91C1" w14:textId="77777777" w:rsidR="005F41CD" w:rsidRPr="00CB04B4" w:rsidRDefault="005F41CD" w:rsidP="00A5557F">
            <w:pPr>
              <w:pStyle w:val="NormalWeb"/>
              <w:rPr>
                <w:sz w:val="18"/>
                <w:szCs w:val="18"/>
                <w:lang w:val="en-GB"/>
              </w:rPr>
            </w:pPr>
            <w:r w:rsidRPr="00CB04B4">
              <w:rPr>
                <w:sz w:val="18"/>
                <w:szCs w:val="18"/>
                <w:lang w:val="en-GB"/>
              </w:rPr>
              <w:t>91.2</w:t>
            </w: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50410E" w14:textId="77777777" w:rsidR="005F41CD" w:rsidRPr="00CB04B4" w:rsidRDefault="005F41CD" w:rsidP="00A5557F">
            <w:pPr>
              <w:rPr>
                <w:sz w:val="18"/>
                <w:szCs w:val="18"/>
                <w:lang w:val="en-GB"/>
              </w:rPr>
            </w:pPr>
          </w:p>
        </w:tc>
        <w:tc>
          <w:tcPr>
            <w:tcW w:w="225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1DC6271" w14:textId="77777777" w:rsidR="005F41CD" w:rsidRPr="00CB04B4" w:rsidRDefault="005F41CD" w:rsidP="00A5557F">
            <w:pPr>
              <w:rPr>
                <w:sz w:val="18"/>
                <w:szCs w:val="18"/>
                <w:lang w:val="en-GB"/>
              </w:rPr>
            </w:pPr>
          </w:p>
        </w:tc>
      </w:tr>
      <w:tr w:rsidR="005F41CD" w:rsidRPr="00CB04B4" w14:paraId="721004FB" w14:textId="77777777" w:rsidTr="005F41CD">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217367" w14:textId="77777777" w:rsidR="005F41CD" w:rsidRPr="00CB04B4" w:rsidRDefault="005F41CD" w:rsidP="00A5557F">
            <w:pPr>
              <w:pStyle w:val="NormalWeb"/>
              <w:rPr>
                <w:sz w:val="18"/>
                <w:szCs w:val="18"/>
                <w:lang w:val="en-GB"/>
              </w:rPr>
            </w:pPr>
            <w:r w:rsidRPr="00CB04B4">
              <w:rPr>
                <w:sz w:val="18"/>
                <w:szCs w:val="18"/>
                <w:lang w:val="en-GB"/>
              </w:rPr>
              <w:t>Age group</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A54E805" w14:textId="77777777" w:rsidR="005F41CD" w:rsidRPr="00CB04B4" w:rsidRDefault="005F41CD" w:rsidP="00A5557F">
            <w:pPr>
              <w:pStyle w:val="NormalWeb"/>
              <w:rPr>
                <w:sz w:val="18"/>
                <w:szCs w:val="18"/>
                <w:lang w:val="en-GB"/>
              </w:rPr>
            </w:pPr>
            <w:r w:rsidRPr="00CB04B4">
              <w:rPr>
                <w:sz w:val="18"/>
                <w:szCs w:val="18"/>
                <w:lang w:val="en-GB"/>
              </w:rPr>
              <w:t>15-34 years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55EB19" w14:textId="77777777" w:rsidR="005F41CD" w:rsidRPr="00CB04B4" w:rsidRDefault="005F41CD" w:rsidP="00A5557F">
            <w:pPr>
              <w:pStyle w:val="NormalWeb"/>
              <w:rPr>
                <w:sz w:val="18"/>
                <w:szCs w:val="18"/>
                <w:lang w:val="en-GB"/>
              </w:rPr>
            </w:pPr>
            <w:r w:rsidRPr="00CB04B4">
              <w:rPr>
                <w:sz w:val="18"/>
                <w:szCs w:val="18"/>
                <w:lang w:val="en-GB"/>
              </w:rPr>
              <w:t>25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28EB69" w14:textId="77777777" w:rsidR="005F41CD" w:rsidRPr="00CB04B4" w:rsidRDefault="005F41CD" w:rsidP="00A5557F">
            <w:pPr>
              <w:pStyle w:val="NormalWeb"/>
              <w:rPr>
                <w:sz w:val="18"/>
                <w:szCs w:val="18"/>
                <w:lang w:val="en-GB"/>
              </w:rPr>
            </w:pPr>
            <w:r w:rsidRPr="00CB04B4">
              <w:rPr>
                <w:sz w:val="18"/>
                <w:szCs w:val="18"/>
                <w:lang w:val="en-GB"/>
              </w:rPr>
              <w:t>34.2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1DBE001" w14:textId="77777777" w:rsidR="005F41CD" w:rsidRPr="00CB04B4" w:rsidRDefault="005F41CD" w:rsidP="00A5557F">
            <w:pPr>
              <w:pStyle w:val="NormalWeb"/>
              <w:rPr>
                <w:sz w:val="18"/>
                <w:szCs w:val="18"/>
                <w:lang w:val="en-GB"/>
              </w:rPr>
            </w:pPr>
            <w:r w:rsidRPr="00CB04B4">
              <w:rPr>
                <w:sz w:val="18"/>
                <w:szCs w:val="18"/>
                <w:lang w:val="en-GB"/>
              </w:rPr>
              <w:t>60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2D5D6D" w14:textId="77777777" w:rsidR="005F41CD" w:rsidRPr="00CB04B4" w:rsidRDefault="005F41CD" w:rsidP="00A5557F">
            <w:pPr>
              <w:pStyle w:val="NormalWeb"/>
              <w:rPr>
                <w:sz w:val="18"/>
                <w:szCs w:val="18"/>
                <w:lang w:val="en-GB"/>
              </w:rPr>
            </w:pPr>
            <w:r w:rsidRPr="00CB04B4">
              <w:rPr>
                <w:sz w:val="18"/>
                <w:szCs w:val="18"/>
                <w:lang w:val="en-GB"/>
              </w:rPr>
              <w:t>52.6</w:t>
            </w:r>
          </w:p>
        </w:t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666215A" w14:textId="77777777" w:rsidR="005F41CD" w:rsidRPr="00CB04B4" w:rsidRDefault="005F41CD" w:rsidP="00A5557F">
            <w:pPr>
              <w:pStyle w:val="NormalWeb"/>
              <w:rPr>
                <w:sz w:val="18"/>
                <w:szCs w:val="18"/>
                <w:lang w:val="en-GB"/>
              </w:rPr>
            </w:pPr>
            <w:r w:rsidRPr="00CB04B4">
              <w:rPr>
                <w:sz w:val="18"/>
                <w:szCs w:val="18"/>
                <w:lang w:val="en-GB"/>
              </w:rPr>
              <w:t>5.35</w:t>
            </w:r>
          </w:p>
        </w:tc>
        <w:tc>
          <w:tcPr>
            <w:tcW w:w="225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1A2BD2" w14:textId="77777777" w:rsidR="005F41CD" w:rsidRPr="00CB04B4" w:rsidRDefault="005F41CD" w:rsidP="00A5557F">
            <w:pPr>
              <w:pStyle w:val="NormalWeb"/>
              <w:rPr>
                <w:sz w:val="18"/>
                <w:szCs w:val="18"/>
                <w:lang w:val="en-GB"/>
              </w:rPr>
            </w:pPr>
            <w:r w:rsidRPr="00CB04B4">
              <w:rPr>
                <w:sz w:val="18"/>
                <w:szCs w:val="18"/>
                <w:lang w:val="en-GB"/>
              </w:rPr>
              <w:t>&lt; 0.05</w:t>
            </w:r>
          </w:p>
        </w:tc>
      </w:tr>
      <w:tr w:rsidR="005F41CD" w:rsidRPr="00CB04B4" w14:paraId="49E8C100" w14:textId="77777777" w:rsidTr="005F41CD">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B9C0E63" w14:textId="77777777" w:rsidR="005F41CD" w:rsidRPr="00CB04B4" w:rsidRDefault="005F41CD" w:rsidP="00A5557F">
            <w:pPr>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CE0D9E2" w14:textId="77777777" w:rsidR="005F41CD" w:rsidRPr="00CB04B4" w:rsidRDefault="005F41CD" w:rsidP="00A5557F">
            <w:pPr>
              <w:pStyle w:val="NormalWeb"/>
              <w:rPr>
                <w:sz w:val="18"/>
                <w:szCs w:val="18"/>
                <w:lang w:val="en-GB"/>
              </w:rPr>
            </w:pPr>
            <w:r w:rsidRPr="00CB04B4">
              <w:rPr>
                <w:sz w:val="18"/>
                <w:szCs w:val="18"/>
                <w:lang w:val="en-GB"/>
              </w:rPr>
              <w:t>≥ 35 years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9139EED" w14:textId="77777777" w:rsidR="005F41CD" w:rsidRPr="00CB04B4" w:rsidRDefault="005F41CD" w:rsidP="00A5557F">
            <w:pPr>
              <w:pStyle w:val="NormalWeb"/>
              <w:rPr>
                <w:sz w:val="18"/>
                <w:szCs w:val="18"/>
                <w:lang w:val="en-GB"/>
              </w:rPr>
            </w:pPr>
            <w:r w:rsidRPr="00CB04B4">
              <w:rPr>
                <w:sz w:val="18"/>
                <w:szCs w:val="18"/>
                <w:lang w:val="en-GB"/>
              </w:rPr>
              <w:t>48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C4AC2F" w14:textId="77777777" w:rsidR="005F41CD" w:rsidRPr="00CB04B4" w:rsidRDefault="005F41CD" w:rsidP="00A5557F">
            <w:pPr>
              <w:pStyle w:val="NormalWeb"/>
              <w:rPr>
                <w:sz w:val="18"/>
                <w:szCs w:val="18"/>
                <w:lang w:val="en-GB"/>
              </w:rPr>
            </w:pPr>
            <w:r w:rsidRPr="00CB04B4">
              <w:rPr>
                <w:sz w:val="18"/>
                <w:szCs w:val="18"/>
                <w:lang w:val="en-GB"/>
              </w:rPr>
              <w:t>65.8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40E68DB" w14:textId="77777777" w:rsidR="005F41CD" w:rsidRPr="00CB04B4" w:rsidRDefault="005F41CD" w:rsidP="00A5557F">
            <w:pPr>
              <w:pStyle w:val="NormalWeb"/>
              <w:rPr>
                <w:sz w:val="18"/>
                <w:szCs w:val="18"/>
                <w:lang w:val="en-GB"/>
              </w:rPr>
            </w:pPr>
            <w:r w:rsidRPr="00CB04B4">
              <w:rPr>
                <w:sz w:val="18"/>
                <w:szCs w:val="18"/>
                <w:lang w:val="en-GB"/>
              </w:rPr>
              <w:t>54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7D974F9" w14:textId="77777777" w:rsidR="005F41CD" w:rsidRPr="00CB04B4" w:rsidRDefault="005F41CD" w:rsidP="00A5557F">
            <w:pPr>
              <w:pStyle w:val="NormalWeb"/>
              <w:rPr>
                <w:sz w:val="18"/>
                <w:szCs w:val="18"/>
                <w:lang w:val="en-GB"/>
              </w:rPr>
            </w:pPr>
            <w:r w:rsidRPr="00CB04B4">
              <w:rPr>
                <w:sz w:val="18"/>
                <w:szCs w:val="18"/>
                <w:lang w:val="en-GB"/>
              </w:rPr>
              <w:t>47.4</w:t>
            </w: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C693F02" w14:textId="77777777" w:rsidR="005F41CD" w:rsidRPr="00CB04B4" w:rsidRDefault="005F41CD" w:rsidP="00A5557F">
            <w:pPr>
              <w:rPr>
                <w:sz w:val="18"/>
                <w:szCs w:val="18"/>
                <w:lang w:val="en-GB"/>
              </w:rPr>
            </w:pPr>
          </w:p>
        </w:tc>
        <w:tc>
          <w:tcPr>
            <w:tcW w:w="225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A325A9" w14:textId="77777777" w:rsidR="005F41CD" w:rsidRPr="00CB04B4" w:rsidRDefault="005F41CD" w:rsidP="00A5557F">
            <w:pPr>
              <w:rPr>
                <w:sz w:val="18"/>
                <w:szCs w:val="18"/>
                <w:lang w:val="en-GB"/>
              </w:rPr>
            </w:pPr>
          </w:p>
        </w:tc>
      </w:tr>
      <w:tr w:rsidR="005F41CD" w:rsidRPr="00CB04B4" w14:paraId="384D4870" w14:textId="77777777" w:rsidTr="005F41CD">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40F98A" w14:textId="77777777" w:rsidR="005F41CD" w:rsidRPr="00CB04B4" w:rsidRDefault="005F41CD" w:rsidP="00A5557F">
            <w:pPr>
              <w:pStyle w:val="NormalWeb"/>
              <w:rPr>
                <w:sz w:val="18"/>
                <w:szCs w:val="18"/>
                <w:lang w:val="en-GB"/>
              </w:rPr>
            </w:pPr>
            <w:r w:rsidRPr="00CB04B4">
              <w:rPr>
                <w:sz w:val="18"/>
                <w:szCs w:val="18"/>
                <w:lang w:val="en-GB"/>
              </w:rPr>
              <w:t>Geographical area</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B1E31F" w14:textId="77777777" w:rsidR="005F41CD" w:rsidRPr="00CB04B4" w:rsidRDefault="005F41CD" w:rsidP="00A5557F">
            <w:pPr>
              <w:pStyle w:val="NormalWeb"/>
              <w:rPr>
                <w:sz w:val="18"/>
                <w:szCs w:val="18"/>
                <w:lang w:val="en-GB"/>
              </w:rPr>
            </w:pPr>
            <w:r w:rsidRPr="00CB04B4">
              <w:rPr>
                <w:sz w:val="18"/>
                <w:szCs w:val="18"/>
                <w:lang w:val="en-GB"/>
              </w:rPr>
              <w:t>Penrith LGA</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62FAC0" w14:textId="77777777" w:rsidR="005F41CD" w:rsidRPr="00CB04B4" w:rsidRDefault="005F41CD" w:rsidP="00A5557F">
            <w:pPr>
              <w:pStyle w:val="NormalWeb"/>
              <w:rPr>
                <w:sz w:val="18"/>
                <w:szCs w:val="18"/>
                <w:lang w:val="en-GB"/>
              </w:rPr>
            </w:pPr>
            <w:r w:rsidRPr="00CB04B4">
              <w:rPr>
                <w:sz w:val="18"/>
                <w:szCs w:val="18"/>
                <w:lang w:val="en-GB"/>
              </w:rPr>
              <w:t>45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B3A589A" w14:textId="77777777" w:rsidR="005F41CD" w:rsidRPr="00CB04B4" w:rsidRDefault="005F41CD" w:rsidP="00A5557F">
            <w:pPr>
              <w:pStyle w:val="NormalWeb"/>
              <w:rPr>
                <w:sz w:val="18"/>
                <w:szCs w:val="18"/>
                <w:lang w:val="en-GB"/>
              </w:rPr>
            </w:pPr>
            <w:r w:rsidRPr="00CB04B4">
              <w:rPr>
                <w:sz w:val="18"/>
                <w:szCs w:val="18"/>
                <w:lang w:val="en-GB"/>
              </w:rPr>
              <w:t>61.6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65DAA9" w14:textId="77777777" w:rsidR="005F41CD" w:rsidRPr="00CB04B4" w:rsidRDefault="005F41CD" w:rsidP="00A5557F">
            <w:pPr>
              <w:pStyle w:val="NormalWeb"/>
              <w:rPr>
                <w:sz w:val="18"/>
                <w:szCs w:val="18"/>
                <w:lang w:val="en-GB"/>
              </w:rPr>
            </w:pPr>
            <w:r w:rsidRPr="00CB04B4">
              <w:rPr>
                <w:sz w:val="18"/>
                <w:szCs w:val="18"/>
                <w:lang w:val="en-GB"/>
              </w:rPr>
              <w:t>72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8244E5" w14:textId="77777777" w:rsidR="005F41CD" w:rsidRPr="00CB04B4" w:rsidRDefault="005F41CD" w:rsidP="00A5557F">
            <w:pPr>
              <w:pStyle w:val="NormalWeb"/>
              <w:rPr>
                <w:sz w:val="18"/>
                <w:szCs w:val="18"/>
                <w:lang w:val="en-GB"/>
              </w:rPr>
            </w:pPr>
            <w:r w:rsidRPr="00CB04B4">
              <w:rPr>
                <w:sz w:val="18"/>
                <w:szCs w:val="18"/>
                <w:lang w:val="en-GB"/>
              </w:rPr>
              <w:t>63.2</w:t>
            </w:r>
          </w:p>
        </w:t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99EFEE" w14:textId="77777777" w:rsidR="005F41CD" w:rsidRPr="00CB04B4" w:rsidRDefault="005F41CD" w:rsidP="00A5557F">
            <w:pPr>
              <w:pStyle w:val="NormalWeb"/>
              <w:rPr>
                <w:sz w:val="18"/>
                <w:szCs w:val="18"/>
                <w:lang w:val="en-GB"/>
              </w:rPr>
            </w:pPr>
            <w:r w:rsidRPr="00CB04B4">
              <w:rPr>
                <w:sz w:val="18"/>
                <w:szCs w:val="18"/>
                <w:lang w:val="en-GB"/>
              </w:rPr>
              <w:t>0.003</w:t>
            </w:r>
          </w:p>
        </w:tc>
        <w:tc>
          <w:tcPr>
            <w:tcW w:w="225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963A73" w14:textId="77777777" w:rsidR="005F41CD" w:rsidRPr="00CB04B4" w:rsidRDefault="005F41CD" w:rsidP="00A5557F">
            <w:pPr>
              <w:pStyle w:val="NormalWeb"/>
              <w:rPr>
                <w:sz w:val="18"/>
                <w:szCs w:val="18"/>
                <w:lang w:val="en-GB"/>
              </w:rPr>
            </w:pPr>
            <w:r w:rsidRPr="00CB04B4">
              <w:rPr>
                <w:sz w:val="18"/>
                <w:szCs w:val="18"/>
                <w:lang w:val="en-GB"/>
              </w:rPr>
              <w:t>NS</w:t>
            </w:r>
          </w:p>
        </w:tc>
      </w:tr>
      <w:tr w:rsidR="005F41CD" w:rsidRPr="00CB04B4" w14:paraId="6DB014CB" w14:textId="77777777" w:rsidTr="005F41CD">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E0B16E" w14:textId="77777777" w:rsidR="005F41CD" w:rsidRPr="00CB04B4" w:rsidRDefault="005F41CD" w:rsidP="00A5557F">
            <w:pPr>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2037A0A" w14:textId="77777777" w:rsidR="005F41CD" w:rsidRPr="00CB04B4" w:rsidRDefault="005F41CD" w:rsidP="00A5557F">
            <w:pPr>
              <w:pStyle w:val="NormalWeb"/>
              <w:rPr>
                <w:sz w:val="18"/>
                <w:szCs w:val="18"/>
                <w:lang w:val="en-GB"/>
              </w:rPr>
            </w:pPr>
            <w:r w:rsidRPr="00CB04B4">
              <w:rPr>
                <w:sz w:val="18"/>
                <w:szCs w:val="18"/>
                <w:lang w:val="en-GB"/>
              </w:rPr>
              <w:t>Remainder of NBMLHD</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6DAA7F" w14:textId="77777777" w:rsidR="005F41CD" w:rsidRPr="00CB04B4" w:rsidRDefault="005F41CD" w:rsidP="00A5557F">
            <w:pPr>
              <w:pStyle w:val="NormalWeb"/>
              <w:rPr>
                <w:sz w:val="18"/>
                <w:szCs w:val="18"/>
                <w:lang w:val="en-GB"/>
              </w:rPr>
            </w:pPr>
            <w:r w:rsidRPr="00CB04B4">
              <w:rPr>
                <w:sz w:val="18"/>
                <w:szCs w:val="18"/>
                <w:lang w:val="en-GB"/>
              </w:rPr>
              <w:t>28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C32B450" w14:textId="77777777" w:rsidR="005F41CD" w:rsidRPr="00CB04B4" w:rsidRDefault="005F41CD" w:rsidP="00A5557F">
            <w:pPr>
              <w:pStyle w:val="NormalWeb"/>
              <w:rPr>
                <w:sz w:val="18"/>
                <w:szCs w:val="18"/>
                <w:lang w:val="en-GB"/>
              </w:rPr>
            </w:pPr>
            <w:r w:rsidRPr="00CB04B4">
              <w:rPr>
                <w:sz w:val="18"/>
                <w:szCs w:val="18"/>
                <w:lang w:val="en-GB"/>
              </w:rPr>
              <w:t>38.4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3C234D" w14:textId="77777777" w:rsidR="005F41CD" w:rsidRPr="00CB04B4" w:rsidRDefault="005F41CD" w:rsidP="00A5557F">
            <w:pPr>
              <w:pStyle w:val="NormalWeb"/>
              <w:rPr>
                <w:sz w:val="18"/>
                <w:szCs w:val="18"/>
                <w:lang w:val="en-GB"/>
              </w:rPr>
            </w:pPr>
            <w:r w:rsidRPr="00CB04B4">
              <w:rPr>
                <w:sz w:val="18"/>
                <w:szCs w:val="18"/>
                <w:lang w:val="en-GB"/>
              </w:rPr>
              <w:t>42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230A53" w14:textId="77777777" w:rsidR="005F41CD" w:rsidRPr="00CB04B4" w:rsidRDefault="005F41CD" w:rsidP="00A5557F">
            <w:pPr>
              <w:pStyle w:val="NormalWeb"/>
              <w:rPr>
                <w:sz w:val="18"/>
                <w:szCs w:val="18"/>
                <w:lang w:val="en-GB"/>
              </w:rPr>
            </w:pPr>
            <w:r w:rsidRPr="00CB04B4">
              <w:rPr>
                <w:sz w:val="18"/>
                <w:szCs w:val="18"/>
                <w:lang w:val="en-GB"/>
              </w:rPr>
              <w:t>36.8</w:t>
            </w: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1500BAF" w14:textId="77777777" w:rsidR="005F41CD" w:rsidRPr="00CB04B4" w:rsidRDefault="005F41CD" w:rsidP="00A5557F">
            <w:pPr>
              <w:rPr>
                <w:sz w:val="18"/>
                <w:szCs w:val="18"/>
                <w:lang w:val="en-GB"/>
              </w:rPr>
            </w:pPr>
          </w:p>
        </w:tc>
        <w:tc>
          <w:tcPr>
            <w:tcW w:w="225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6DD2A65" w14:textId="77777777" w:rsidR="005F41CD" w:rsidRPr="00CB04B4" w:rsidRDefault="005F41CD" w:rsidP="00A5557F">
            <w:pPr>
              <w:rPr>
                <w:sz w:val="18"/>
                <w:szCs w:val="18"/>
                <w:lang w:val="en-GB"/>
              </w:rPr>
            </w:pPr>
          </w:p>
        </w:tc>
      </w:tr>
      <w:tr w:rsidR="005F41CD" w:rsidRPr="00E3164C" w14:paraId="73A3A8A1" w14:textId="77777777" w:rsidTr="005F41CD">
        <w:tc>
          <w:tcPr>
            <w:tcW w:w="10440"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BA991"/>
            <w:hideMark/>
          </w:tcPr>
          <w:p w14:paraId="171AA11E" w14:textId="77777777" w:rsidR="005F41CD" w:rsidRPr="00E3164C" w:rsidRDefault="005F41CD" w:rsidP="00A5557F">
            <w:pPr>
              <w:pStyle w:val="NormalWeb"/>
              <w:jc w:val="left"/>
              <w:rPr>
                <w:b/>
                <w:bCs/>
                <w:sz w:val="18"/>
                <w:szCs w:val="18"/>
                <w:lang w:val="en-GB"/>
              </w:rPr>
            </w:pPr>
            <w:r w:rsidRPr="00E3164C">
              <w:rPr>
                <w:b/>
                <w:bCs/>
                <w:sz w:val="18"/>
                <w:szCs w:val="18"/>
                <w:lang w:val="en-GB"/>
              </w:rPr>
              <w:t>Infectious syphilis in men</w:t>
            </w:r>
          </w:p>
        </w:tc>
      </w:tr>
      <w:tr w:rsidR="005F41CD" w:rsidRPr="00CB04B4" w14:paraId="3BD29994" w14:textId="77777777" w:rsidTr="005F41CD">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889132F" w14:textId="77777777" w:rsidR="005F41CD" w:rsidRPr="00CB04B4" w:rsidRDefault="005F41CD" w:rsidP="00A5557F">
            <w:pPr>
              <w:pStyle w:val="NormalWeb"/>
              <w:rPr>
                <w:sz w:val="18"/>
                <w:szCs w:val="18"/>
                <w:lang w:val="en-GB"/>
              </w:rPr>
            </w:pPr>
            <w:r w:rsidRPr="00CB04B4">
              <w:rPr>
                <w:sz w:val="18"/>
                <w:szCs w:val="18"/>
                <w:lang w:val="en-GB"/>
              </w:rPr>
              <w:t>Age group</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B1E516" w14:textId="77777777" w:rsidR="005F41CD" w:rsidRPr="00CB04B4" w:rsidRDefault="005F41CD" w:rsidP="00A5557F">
            <w:pPr>
              <w:pStyle w:val="NormalWeb"/>
              <w:rPr>
                <w:sz w:val="18"/>
                <w:szCs w:val="18"/>
                <w:lang w:val="en-GB"/>
              </w:rPr>
            </w:pPr>
            <w:r w:rsidRPr="00CB04B4">
              <w:rPr>
                <w:sz w:val="18"/>
                <w:szCs w:val="18"/>
                <w:lang w:val="en-GB"/>
              </w:rPr>
              <w:t>15-34 years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CAE763A" w14:textId="77777777" w:rsidR="005F41CD" w:rsidRPr="00CB04B4" w:rsidRDefault="005F41CD" w:rsidP="00A5557F">
            <w:pPr>
              <w:pStyle w:val="NormalWeb"/>
              <w:rPr>
                <w:sz w:val="18"/>
                <w:szCs w:val="18"/>
                <w:lang w:val="en-GB"/>
              </w:rPr>
            </w:pPr>
            <w:r w:rsidRPr="00CB04B4">
              <w:rPr>
                <w:sz w:val="18"/>
                <w:szCs w:val="18"/>
                <w:lang w:val="en-GB"/>
              </w:rPr>
              <w:t>25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BFA6504" w14:textId="77777777" w:rsidR="005F41CD" w:rsidRPr="00CB04B4" w:rsidRDefault="005F41CD" w:rsidP="00A5557F">
            <w:pPr>
              <w:pStyle w:val="NormalWeb"/>
              <w:rPr>
                <w:sz w:val="18"/>
                <w:szCs w:val="18"/>
                <w:lang w:val="en-GB"/>
              </w:rPr>
            </w:pPr>
            <w:r w:rsidRPr="00CB04B4">
              <w:rPr>
                <w:sz w:val="18"/>
                <w:szCs w:val="18"/>
                <w:lang w:val="en-GB"/>
              </w:rPr>
              <w:t>37.9</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020B0B" w14:textId="77777777" w:rsidR="005F41CD" w:rsidRPr="00CB04B4" w:rsidRDefault="005F41CD" w:rsidP="00A5557F">
            <w:pPr>
              <w:pStyle w:val="NormalWeb"/>
              <w:rPr>
                <w:sz w:val="18"/>
                <w:szCs w:val="18"/>
                <w:lang w:val="en-GB"/>
              </w:rPr>
            </w:pPr>
            <w:r w:rsidRPr="00CB04B4">
              <w:rPr>
                <w:sz w:val="18"/>
                <w:szCs w:val="18"/>
                <w:lang w:val="en-GB"/>
              </w:rPr>
              <w:t>53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6E6E81" w14:textId="77777777" w:rsidR="005F41CD" w:rsidRPr="00CB04B4" w:rsidRDefault="005F41CD" w:rsidP="00A5557F">
            <w:pPr>
              <w:pStyle w:val="NormalWeb"/>
              <w:rPr>
                <w:sz w:val="18"/>
                <w:szCs w:val="18"/>
                <w:lang w:val="en-GB"/>
              </w:rPr>
            </w:pPr>
            <w:r w:rsidRPr="00CB04B4">
              <w:rPr>
                <w:sz w:val="18"/>
                <w:szCs w:val="18"/>
                <w:lang w:val="en-GB"/>
              </w:rPr>
              <w:t>51.0</w:t>
            </w:r>
          </w:p>
        </w:t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C92059C" w14:textId="77777777" w:rsidR="005F41CD" w:rsidRPr="00CB04B4" w:rsidRDefault="005F41CD" w:rsidP="00A5557F">
            <w:pPr>
              <w:pStyle w:val="NormalWeb"/>
              <w:rPr>
                <w:sz w:val="18"/>
                <w:szCs w:val="18"/>
                <w:lang w:val="en-GB"/>
              </w:rPr>
            </w:pPr>
            <w:r w:rsidRPr="00CB04B4">
              <w:rPr>
                <w:sz w:val="18"/>
                <w:szCs w:val="18"/>
                <w:lang w:val="en-GB"/>
              </w:rPr>
              <w:t>2.28</w:t>
            </w:r>
          </w:p>
        </w:tc>
        <w:tc>
          <w:tcPr>
            <w:tcW w:w="225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8EDF4BB" w14:textId="77777777" w:rsidR="005F41CD" w:rsidRPr="00CB04B4" w:rsidRDefault="005F41CD" w:rsidP="00A5557F">
            <w:pPr>
              <w:pStyle w:val="NormalWeb"/>
              <w:rPr>
                <w:sz w:val="18"/>
                <w:szCs w:val="18"/>
                <w:lang w:val="en-GB"/>
              </w:rPr>
            </w:pPr>
            <w:r w:rsidRPr="00CB04B4">
              <w:rPr>
                <w:sz w:val="18"/>
                <w:szCs w:val="18"/>
                <w:lang w:val="en-GB"/>
              </w:rPr>
              <w:t>NS</w:t>
            </w:r>
          </w:p>
        </w:tc>
      </w:tr>
      <w:tr w:rsidR="005F41CD" w:rsidRPr="00CB04B4" w14:paraId="3901AAB3" w14:textId="77777777" w:rsidTr="005F41CD">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5A8EF8" w14:textId="77777777" w:rsidR="005F41CD" w:rsidRPr="00CB04B4" w:rsidRDefault="005F41CD" w:rsidP="00A5557F">
            <w:pPr>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22B8F85" w14:textId="77777777" w:rsidR="005F41CD" w:rsidRPr="00CB04B4" w:rsidRDefault="005F41CD" w:rsidP="00A5557F">
            <w:pPr>
              <w:pStyle w:val="NormalWeb"/>
              <w:rPr>
                <w:sz w:val="18"/>
                <w:szCs w:val="18"/>
                <w:lang w:val="en-GB"/>
              </w:rPr>
            </w:pPr>
            <w:r w:rsidRPr="00CB04B4">
              <w:rPr>
                <w:sz w:val="18"/>
                <w:szCs w:val="18"/>
                <w:lang w:val="en-GB"/>
              </w:rPr>
              <w:t>≥ 35 years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2DA97A" w14:textId="77777777" w:rsidR="005F41CD" w:rsidRPr="00CB04B4" w:rsidRDefault="005F41CD" w:rsidP="00A5557F">
            <w:pPr>
              <w:pStyle w:val="NormalWeb"/>
              <w:rPr>
                <w:sz w:val="18"/>
                <w:szCs w:val="18"/>
                <w:lang w:val="en-GB"/>
              </w:rPr>
            </w:pPr>
            <w:r w:rsidRPr="00CB04B4">
              <w:rPr>
                <w:sz w:val="18"/>
                <w:szCs w:val="18"/>
                <w:lang w:val="en-GB"/>
              </w:rPr>
              <w:t>41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ECB5DBA" w14:textId="77777777" w:rsidR="005F41CD" w:rsidRPr="00CB04B4" w:rsidRDefault="005F41CD" w:rsidP="00A5557F">
            <w:pPr>
              <w:pStyle w:val="NormalWeb"/>
              <w:rPr>
                <w:sz w:val="18"/>
                <w:szCs w:val="18"/>
                <w:lang w:val="en-GB"/>
              </w:rPr>
            </w:pPr>
            <w:r w:rsidRPr="00CB04B4">
              <w:rPr>
                <w:sz w:val="18"/>
                <w:szCs w:val="18"/>
                <w:lang w:val="en-GB"/>
              </w:rPr>
              <w:t>62.1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D76915" w14:textId="77777777" w:rsidR="005F41CD" w:rsidRPr="00CB04B4" w:rsidRDefault="005F41CD" w:rsidP="00A5557F">
            <w:pPr>
              <w:pStyle w:val="NormalWeb"/>
              <w:rPr>
                <w:sz w:val="18"/>
                <w:szCs w:val="18"/>
                <w:lang w:val="en-GB"/>
              </w:rPr>
            </w:pPr>
            <w:r w:rsidRPr="00CB04B4">
              <w:rPr>
                <w:sz w:val="18"/>
                <w:szCs w:val="18"/>
                <w:lang w:val="en-GB"/>
              </w:rPr>
              <w:t>51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E73388" w14:textId="77777777" w:rsidR="005F41CD" w:rsidRPr="00CB04B4" w:rsidRDefault="005F41CD" w:rsidP="00A5557F">
            <w:pPr>
              <w:pStyle w:val="NormalWeb"/>
              <w:rPr>
                <w:sz w:val="18"/>
                <w:szCs w:val="18"/>
                <w:lang w:val="en-GB"/>
              </w:rPr>
            </w:pPr>
            <w:r w:rsidRPr="00CB04B4">
              <w:rPr>
                <w:sz w:val="18"/>
                <w:szCs w:val="18"/>
                <w:lang w:val="en-GB"/>
              </w:rPr>
              <w:t>49.0</w:t>
            </w: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B0A746" w14:textId="77777777" w:rsidR="005F41CD" w:rsidRPr="00CB04B4" w:rsidRDefault="005F41CD" w:rsidP="00A5557F">
            <w:pPr>
              <w:rPr>
                <w:sz w:val="18"/>
                <w:szCs w:val="18"/>
                <w:lang w:val="en-GB"/>
              </w:rPr>
            </w:pPr>
          </w:p>
        </w:tc>
        <w:tc>
          <w:tcPr>
            <w:tcW w:w="225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0DEB1E" w14:textId="77777777" w:rsidR="005F41CD" w:rsidRPr="00CB04B4" w:rsidRDefault="005F41CD" w:rsidP="00A5557F">
            <w:pPr>
              <w:rPr>
                <w:sz w:val="18"/>
                <w:szCs w:val="18"/>
                <w:lang w:val="en-GB"/>
              </w:rPr>
            </w:pPr>
          </w:p>
        </w:tc>
      </w:tr>
      <w:tr w:rsidR="005F41CD" w:rsidRPr="00CB04B4" w14:paraId="7187493D" w14:textId="77777777" w:rsidTr="005F41CD">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FFE75D7" w14:textId="77777777" w:rsidR="005F41CD" w:rsidRPr="00CB04B4" w:rsidRDefault="005F41CD" w:rsidP="00A5557F">
            <w:pPr>
              <w:pStyle w:val="NormalWeb"/>
              <w:rPr>
                <w:sz w:val="18"/>
                <w:szCs w:val="18"/>
                <w:lang w:val="en-GB"/>
              </w:rPr>
            </w:pPr>
            <w:r w:rsidRPr="00CB04B4">
              <w:rPr>
                <w:sz w:val="18"/>
                <w:szCs w:val="18"/>
                <w:lang w:val="en-GB"/>
              </w:rPr>
              <w:t>Geographical area</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FFB604B" w14:textId="77777777" w:rsidR="005F41CD" w:rsidRPr="00CB04B4" w:rsidRDefault="005F41CD" w:rsidP="00A5557F">
            <w:pPr>
              <w:pStyle w:val="NormalWeb"/>
              <w:rPr>
                <w:sz w:val="18"/>
                <w:szCs w:val="18"/>
                <w:lang w:val="en-GB"/>
              </w:rPr>
            </w:pPr>
            <w:r w:rsidRPr="00CB04B4">
              <w:rPr>
                <w:sz w:val="18"/>
                <w:szCs w:val="18"/>
                <w:lang w:val="en-GB"/>
              </w:rPr>
              <w:t>Penrith LGA</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9A9F702" w14:textId="77777777" w:rsidR="005F41CD" w:rsidRPr="00CB04B4" w:rsidRDefault="005F41CD" w:rsidP="00A5557F">
            <w:pPr>
              <w:pStyle w:val="NormalWeb"/>
              <w:rPr>
                <w:sz w:val="18"/>
                <w:szCs w:val="18"/>
                <w:lang w:val="en-GB"/>
              </w:rPr>
            </w:pPr>
            <w:r w:rsidRPr="00CB04B4">
              <w:rPr>
                <w:sz w:val="18"/>
                <w:szCs w:val="18"/>
                <w:lang w:val="en-GB"/>
              </w:rPr>
              <w:t>40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875F8CB" w14:textId="77777777" w:rsidR="005F41CD" w:rsidRPr="00CB04B4" w:rsidRDefault="005F41CD" w:rsidP="00A5557F">
            <w:pPr>
              <w:pStyle w:val="NormalWeb"/>
              <w:rPr>
                <w:sz w:val="18"/>
                <w:szCs w:val="18"/>
                <w:lang w:val="en-GB"/>
              </w:rPr>
            </w:pPr>
            <w:r w:rsidRPr="00CB04B4">
              <w:rPr>
                <w:sz w:val="18"/>
                <w:szCs w:val="18"/>
                <w:lang w:val="en-GB"/>
              </w:rPr>
              <w:t>60.6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D66143" w14:textId="77777777" w:rsidR="005F41CD" w:rsidRPr="00CB04B4" w:rsidRDefault="005F41CD" w:rsidP="00A5557F">
            <w:pPr>
              <w:pStyle w:val="NormalWeb"/>
              <w:rPr>
                <w:sz w:val="18"/>
                <w:szCs w:val="18"/>
                <w:lang w:val="en-GB"/>
              </w:rPr>
            </w:pPr>
            <w:r w:rsidRPr="00CB04B4">
              <w:rPr>
                <w:sz w:val="18"/>
                <w:szCs w:val="18"/>
                <w:lang w:val="en-GB"/>
              </w:rPr>
              <w:t>63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B5DEED5" w14:textId="77777777" w:rsidR="005F41CD" w:rsidRPr="00CB04B4" w:rsidRDefault="005F41CD" w:rsidP="00A5557F">
            <w:pPr>
              <w:pStyle w:val="NormalWeb"/>
              <w:rPr>
                <w:sz w:val="18"/>
                <w:szCs w:val="18"/>
                <w:lang w:val="en-GB"/>
              </w:rPr>
            </w:pPr>
            <w:r w:rsidRPr="00CB04B4">
              <w:rPr>
                <w:sz w:val="18"/>
                <w:szCs w:val="18"/>
                <w:lang w:val="en-GB"/>
              </w:rPr>
              <w:t>60.6</w:t>
            </w:r>
          </w:p>
        </w:t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DA00A4B" w14:textId="77777777" w:rsidR="005F41CD" w:rsidRPr="00CB04B4" w:rsidRDefault="005F41CD" w:rsidP="00A5557F">
            <w:pPr>
              <w:pStyle w:val="NormalWeb"/>
              <w:rPr>
                <w:sz w:val="18"/>
                <w:szCs w:val="18"/>
                <w:lang w:val="en-GB"/>
              </w:rPr>
            </w:pPr>
            <w:r w:rsidRPr="00CB04B4">
              <w:rPr>
                <w:sz w:val="18"/>
                <w:szCs w:val="18"/>
                <w:lang w:val="en-GB"/>
              </w:rPr>
              <w:t>0.02</w:t>
            </w:r>
          </w:p>
        </w:tc>
        <w:tc>
          <w:tcPr>
            <w:tcW w:w="225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FB79976" w14:textId="77777777" w:rsidR="005F41CD" w:rsidRPr="00CB04B4" w:rsidRDefault="005F41CD" w:rsidP="00A5557F">
            <w:pPr>
              <w:pStyle w:val="NormalWeb"/>
              <w:rPr>
                <w:sz w:val="18"/>
                <w:szCs w:val="18"/>
                <w:lang w:val="en-GB"/>
              </w:rPr>
            </w:pPr>
            <w:r w:rsidRPr="00CB04B4">
              <w:rPr>
                <w:sz w:val="18"/>
                <w:szCs w:val="18"/>
                <w:lang w:val="en-GB"/>
              </w:rPr>
              <w:t>NS</w:t>
            </w:r>
          </w:p>
        </w:tc>
      </w:tr>
      <w:tr w:rsidR="005F41CD" w:rsidRPr="00CB04B4" w14:paraId="5A3DCB58" w14:textId="77777777" w:rsidTr="005F41CD">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118F49" w14:textId="77777777" w:rsidR="005F41CD" w:rsidRPr="00CB04B4" w:rsidRDefault="005F41CD" w:rsidP="00A5557F">
            <w:pPr>
              <w:rPr>
                <w:sz w:val="18"/>
                <w:szCs w:val="18"/>
                <w:lang w:val="en-GB"/>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B2D38A" w14:textId="77777777" w:rsidR="005F41CD" w:rsidRPr="00CB04B4" w:rsidRDefault="005F41CD" w:rsidP="00A5557F">
            <w:pPr>
              <w:pStyle w:val="NormalWeb"/>
              <w:rPr>
                <w:sz w:val="18"/>
                <w:szCs w:val="18"/>
                <w:lang w:val="en-GB"/>
              </w:rPr>
            </w:pPr>
            <w:r w:rsidRPr="00CB04B4">
              <w:rPr>
                <w:sz w:val="18"/>
                <w:szCs w:val="18"/>
                <w:lang w:val="en-GB"/>
              </w:rPr>
              <w:t>Remainder of NBMLHD</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6A1DE4" w14:textId="77777777" w:rsidR="005F41CD" w:rsidRPr="00CB04B4" w:rsidRDefault="005F41CD" w:rsidP="00A5557F">
            <w:pPr>
              <w:pStyle w:val="NormalWeb"/>
              <w:rPr>
                <w:sz w:val="18"/>
                <w:szCs w:val="18"/>
                <w:lang w:val="en-GB"/>
              </w:rPr>
            </w:pPr>
            <w:r w:rsidRPr="00CB04B4">
              <w:rPr>
                <w:sz w:val="18"/>
                <w:szCs w:val="18"/>
                <w:lang w:val="en-GB"/>
              </w:rPr>
              <w:t>26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F09759E" w14:textId="77777777" w:rsidR="005F41CD" w:rsidRPr="00CB04B4" w:rsidRDefault="005F41CD" w:rsidP="00A5557F">
            <w:pPr>
              <w:pStyle w:val="NormalWeb"/>
              <w:rPr>
                <w:sz w:val="18"/>
                <w:szCs w:val="18"/>
                <w:lang w:val="en-GB"/>
              </w:rPr>
            </w:pPr>
            <w:r w:rsidRPr="00CB04B4">
              <w:rPr>
                <w:sz w:val="18"/>
                <w:szCs w:val="18"/>
                <w:lang w:val="en-GB"/>
              </w:rPr>
              <w:t>39.4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F1F44F" w14:textId="77777777" w:rsidR="005F41CD" w:rsidRPr="00CB04B4" w:rsidRDefault="005F41CD" w:rsidP="00A5557F">
            <w:pPr>
              <w:pStyle w:val="NormalWeb"/>
              <w:rPr>
                <w:sz w:val="18"/>
                <w:szCs w:val="18"/>
                <w:lang w:val="en-GB"/>
              </w:rPr>
            </w:pPr>
            <w:r w:rsidRPr="00CB04B4">
              <w:rPr>
                <w:sz w:val="18"/>
                <w:szCs w:val="18"/>
                <w:lang w:val="en-GB"/>
              </w:rPr>
              <w:t>41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36403C" w14:textId="77777777" w:rsidR="005F41CD" w:rsidRPr="00CB04B4" w:rsidRDefault="005F41CD" w:rsidP="00A5557F">
            <w:pPr>
              <w:pStyle w:val="NormalWeb"/>
              <w:rPr>
                <w:sz w:val="18"/>
                <w:szCs w:val="18"/>
                <w:lang w:val="en-GB"/>
              </w:rPr>
            </w:pPr>
            <w:r w:rsidRPr="00CB04B4">
              <w:rPr>
                <w:sz w:val="18"/>
                <w:szCs w:val="18"/>
                <w:lang w:val="en-GB"/>
              </w:rPr>
              <w:t>39.4</w:t>
            </w: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4B06DA" w14:textId="77777777" w:rsidR="005F41CD" w:rsidRPr="00CB04B4" w:rsidRDefault="005F41CD" w:rsidP="00A5557F">
            <w:pPr>
              <w:rPr>
                <w:sz w:val="18"/>
                <w:szCs w:val="18"/>
                <w:lang w:val="en-GB"/>
              </w:rPr>
            </w:pPr>
          </w:p>
        </w:tc>
        <w:tc>
          <w:tcPr>
            <w:tcW w:w="225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252B6DC" w14:textId="77777777" w:rsidR="005F41CD" w:rsidRPr="00CB04B4" w:rsidRDefault="005F41CD" w:rsidP="00A5557F">
            <w:pPr>
              <w:rPr>
                <w:sz w:val="18"/>
                <w:szCs w:val="18"/>
                <w:lang w:val="en-GB"/>
              </w:rPr>
            </w:pPr>
          </w:p>
        </w:tc>
      </w:tr>
    </w:tbl>
    <w:p w14:paraId="0FAEDC5E" w14:textId="77777777" w:rsidR="005F41CD" w:rsidRDefault="005F41CD" w:rsidP="005F41CD">
      <w:pPr>
        <w:pStyle w:val="CDIfootnotes"/>
        <w:rPr>
          <w:lang w:val="en-GB"/>
        </w:rPr>
      </w:pPr>
      <w:r>
        <w:rPr>
          <w:lang w:val="en-GB"/>
        </w:rPr>
        <w:t>a</w:t>
      </w:r>
      <w:r>
        <w:rPr>
          <w:lang w:val="en-GB"/>
        </w:rPr>
        <w:tab/>
        <w:t>Degrees of freedom for all tests = 1.</w:t>
      </w:r>
    </w:p>
    <w:p w14:paraId="4248BD1E" w14:textId="77777777" w:rsidR="005F41CD" w:rsidRDefault="005F41CD" w:rsidP="005F41CD">
      <w:pPr>
        <w:pStyle w:val="CDIfootnotes"/>
        <w:rPr>
          <w:lang w:val="en-GB"/>
        </w:rPr>
      </w:pPr>
      <w:r>
        <w:rPr>
          <w:lang w:val="en-GB"/>
        </w:rPr>
        <w:t>b</w:t>
      </w:r>
      <w:r>
        <w:rPr>
          <w:lang w:val="en-GB"/>
        </w:rPr>
        <w:tab/>
        <w:t>NS: not significant.</w:t>
      </w:r>
    </w:p>
    <w:p w14:paraId="7B8BFFDC" w14:textId="77777777" w:rsidR="005F41CD" w:rsidRDefault="005F41CD" w:rsidP="005F41CD">
      <w:pPr>
        <w:pStyle w:val="CDIfootnotes"/>
        <w:rPr>
          <w:lang w:val="en-GB"/>
        </w:rPr>
      </w:pPr>
      <w:r>
        <w:rPr>
          <w:lang w:val="en-GB"/>
        </w:rPr>
        <w:t>c</w:t>
      </w:r>
      <w:r>
        <w:rPr>
          <w:lang w:val="en-GB"/>
        </w:rPr>
        <w:tab/>
        <w:t>Sex of one person was transgender and omitted from sex analyses.</w:t>
      </w:r>
    </w:p>
    <w:p w14:paraId="0EAF9DF2" w14:textId="3D25F78A" w:rsidR="00264999" w:rsidRPr="00795092" w:rsidRDefault="00264999" w:rsidP="00795092">
      <w:pPr>
        <w:pStyle w:val="Heading1"/>
      </w:pPr>
      <w:r w:rsidRPr="00795092">
        <w:t xml:space="preserve">Discussion </w:t>
      </w:r>
    </w:p>
    <w:p w14:paraId="024AFDD9" w14:textId="77777777" w:rsidR="00264999" w:rsidRDefault="00264999" w:rsidP="00795092">
      <w:r>
        <w:t xml:space="preserve">This study is the only published comprehensive epidemiological assessment of syphilis notifications in the greater Western Sydney region to date. We found that all syphilis notifications had increased in the ten-year study period. Crude incidence rates of infectious syphilis had increased significantly in the second half of the study period overall and in men. Increases in all syphilis notifications were </w:t>
      </w:r>
      <w:proofErr w:type="gramStart"/>
      <w:r>
        <w:t>likely driven</w:t>
      </w:r>
      <w:proofErr w:type="gramEnd"/>
      <w:r>
        <w:t xml:space="preserve"> by increases in men &lt; 35 years of age and amongst people residing in Penrith LGA. Men aged &lt; 35 years also had significant increases in infectious syphilis notifications in the second half of the study period. </w:t>
      </w:r>
    </w:p>
    <w:p w14:paraId="11F91266" w14:textId="77777777" w:rsidR="00264999" w:rsidRDefault="00264999" w:rsidP="00795092">
      <w:r>
        <w:t xml:space="preserve">Notifications of syphilis increased in men, particularly those under 35 years of age. It is likely that this transmission is </w:t>
      </w:r>
      <w:proofErr w:type="gramStart"/>
      <w:r>
        <w:t>predominantly accounted</w:t>
      </w:r>
      <w:proofErr w:type="gramEnd"/>
      <w:r>
        <w:t xml:space="preserve"> for by </w:t>
      </w:r>
      <w:proofErr w:type="spellStart"/>
      <w:r>
        <w:t>maletomale</w:t>
      </w:r>
      <w:proofErr w:type="spellEnd"/>
      <w:r>
        <w:t xml:space="preserve"> sexual contact, in keeping with national trends.</w:t>
      </w:r>
      <w:r>
        <w:rPr>
          <w:vertAlign w:val="superscript"/>
        </w:rPr>
        <w:t>1</w:t>
      </w:r>
      <w:r>
        <w:t xml:space="preserve"> The increased uptake of HIV </w:t>
      </w:r>
      <w:proofErr w:type="spellStart"/>
      <w:r>
        <w:t>PrEP</w:t>
      </w:r>
      <w:proofErr w:type="spellEnd"/>
      <w:r>
        <w:t xml:space="preserve"> may have had a part to play in this increase in notifications, though we were unable to show association in our study. While we found a small proportion of people (18; 5.3%) reported using </w:t>
      </w:r>
      <w:proofErr w:type="spellStart"/>
      <w:r>
        <w:t>PrEP</w:t>
      </w:r>
      <w:proofErr w:type="spellEnd"/>
      <w:r>
        <w:t xml:space="preserve">, </w:t>
      </w:r>
      <w:proofErr w:type="gramStart"/>
      <w:r>
        <w:t>a majority of</w:t>
      </w:r>
      <w:proofErr w:type="gramEnd"/>
      <w:r>
        <w:t xml:space="preserve"> notifications </w:t>
      </w:r>
      <w:r>
        <w:lastRenderedPageBreak/>
        <w:t xml:space="preserve">(236; 67.3%) lacked any </w:t>
      </w:r>
      <w:proofErr w:type="spellStart"/>
      <w:r>
        <w:t>PrEP</w:t>
      </w:r>
      <w:proofErr w:type="spellEnd"/>
      <w:r>
        <w:t xml:space="preserve">-related data. However, it is important to note that this field </w:t>
      </w:r>
      <w:proofErr w:type="gramStart"/>
      <w:r>
        <w:t>was only added</w:t>
      </w:r>
      <w:proofErr w:type="gramEnd"/>
      <w:r>
        <w:t xml:space="preserve"> in 2018 in the surveillance form. Since 1 April 2018, </w:t>
      </w:r>
      <w:proofErr w:type="spellStart"/>
      <w:r>
        <w:t>PrEP</w:t>
      </w:r>
      <w:proofErr w:type="spellEnd"/>
      <w:r>
        <w:t xml:space="preserve"> has been available on the Pharmaceutical Benefits Scheme (PBS). Prior to this it was only available via private script or in clinical trials. There is evidence of behaviour change following uptake of </w:t>
      </w:r>
      <w:proofErr w:type="spellStart"/>
      <w:r>
        <w:t>PrEP</w:t>
      </w:r>
      <w:proofErr w:type="spellEnd"/>
      <w:r>
        <w:t>, such as an increase in number of sexual partners and decrease in condom use.</w:t>
      </w:r>
      <w:r>
        <w:rPr>
          <w:vertAlign w:val="superscript"/>
        </w:rPr>
        <w:t>7–9</w:t>
      </w:r>
      <w:r>
        <w:t xml:space="preserve"> Further, amongst </w:t>
      </w:r>
      <w:proofErr w:type="spellStart"/>
      <w:r>
        <w:t>PrEP</w:t>
      </w:r>
      <w:proofErr w:type="spellEnd"/>
      <w:r>
        <w:t xml:space="preserve"> users in Australia, STI notification had increased compared to rates in the group in the pre-enrolment period.</w:t>
      </w:r>
      <w:r>
        <w:rPr>
          <w:vertAlign w:val="superscript"/>
        </w:rPr>
        <w:t>9</w:t>
      </w:r>
      <w:r>
        <w:t xml:space="preserve"> Other research suggests that rates of STIs in similar subgroups of </w:t>
      </w:r>
      <w:proofErr w:type="spellStart"/>
      <w:r>
        <w:t>PrEP</w:t>
      </w:r>
      <w:proofErr w:type="spellEnd"/>
      <w:r>
        <w:t xml:space="preserve"> users were on an upward trend before </w:t>
      </w:r>
      <w:proofErr w:type="spellStart"/>
      <w:r>
        <w:t>PrEP</w:t>
      </w:r>
      <w:proofErr w:type="spellEnd"/>
      <w:r>
        <w:t xml:space="preserve"> was introduced and that this trend has continued.</w:t>
      </w:r>
      <w:r>
        <w:rPr>
          <w:vertAlign w:val="superscript"/>
        </w:rPr>
        <w:t>10</w:t>
      </w:r>
      <w:r>
        <w:t xml:space="preserve"> The increase in local notifications in men is likely to be partly explained by the expanding uptake of </w:t>
      </w:r>
      <w:proofErr w:type="spellStart"/>
      <w:r>
        <w:t>PrEP</w:t>
      </w:r>
      <w:proofErr w:type="spellEnd"/>
      <w:r>
        <w:t xml:space="preserve">; the existing upward trajectory prior to </w:t>
      </w:r>
      <w:proofErr w:type="spellStart"/>
      <w:r>
        <w:t>theintroduction</w:t>
      </w:r>
      <w:proofErr w:type="spellEnd"/>
      <w:r>
        <w:t xml:space="preserve"> of </w:t>
      </w:r>
      <w:proofErr w:type="spellStart"/>
      <w:r>
        <w:t>PrEP</w:t>
      </w:r>
      <w:proofErr w:type="spellEnd"/>
      <w:r>
        <w:t xml:space="preserve"> is also in keeping with current evidence. Overall, in our district, more detailed socio-demographic and behavioural predictors are needed to draw </w:t>
      </w:r>
      <w:proofErr w:type="gramStart"/>
      <w:r>
        <w:t>appropriate conclusions</w:t>
      </w:r>
      <w:proofErr w:type="gramEnd"/>
      <w:r>
        <w:t xml:space="preserve"> about these trends. </w:t>
      </w:r>
    </w:p>
    <w:p w14:paraId="1B439F1D" w14:textId="77777777" w:rsidR="00264999" w:rsidRDefault="00264999" w:rsidP="00795092">
      <w:r>
        <w:t xml:space="preserve">The increase in number of notifications in females is also noteworthy, despite lacking statistical significance. Similar pattern of increase has been </w:t>
      </w:r>
      <w:proofErr w:type="gramStart"/>
      <w:r>
        <w:t>observed</w:t>
      </w:r>
      <w:proofErr w:type="gramEnd"/>
      <w:r>
        <w:t xml:space="preserve"> in female notifications nationally, suggesting heterosexual spread, and is accompanied by the risk of congenital syphilis.</w:t>
      </w:r>
      <w:r>
        <w:rPr>
          <w:vertAlign w:val="superscript"/>
        </w:rPr>
        <w:t>11</w:t>
      </w:r>
      <w:r>
        <w:t xml:space="preserve"> Of note, there were no congenital syphilis notifications in our district in the period of interest and only one female reported pregnancy (with syphilis of unknown duration). In comparison, nationally from 2009 to 2018 there were 46 cases of congenital syphilis notified in Australia with eight cases notified in 2018.</w:t>
      </w:r>
      <w:r>
        <w:rPr>
          <w:vertAlign w:val="superscript"/>
        </w:rPr>
        <w:t>1</w:t>
      </w:r>
      <w:r>
        <w:t xml:space="preserve"> Special emphasis needs to be given to pregnant women and rescreening in pregnancy closer to term.</w:t>
      </w:r>
      <w:r>
        <w:rPr>
          <w:vertAlign w:val="superscript"/>
        </w:rPr>
        <w:t>12,13</w:t>
      </w:r>
      <w:r>
        <w:t xml:space="preserve"> Locally in the NBMLHD, we have developed closer ties between the sexual health clinic and the PHU to identify notifications in women of reproductive age and to ensure rapid access to clinical services. Development of national and state guidelines would </w:t>
      </w:r>
      <w:proofErr w:type="gramStart"/>
      <w:r>
        <w:t>assist</w:t>
      </w:r>
      <w:proofErr w:type="gramEnd"/>
      <w:r>
        <w:t xml:space="preserve"> in early linkage into appropriate management. Studies </w:t>
      </w:r>
      <w:proofErr w:type="gramStart"/>
      <w:r>
        <w:t>indicate</w:t>
      </w:r>
      <w:proofErr w:type="gramEnd"/>
      <w:r>
        <w:t xml:space="preserve"> that STI rates in older women are also on the increase, even as the burden of disease remains higher in the younger population.</w:t>
      </w:r>
      <w:r>
        <w:rPr>
          <w:vertAlign w:val="superscript"/>
        </w:rPr>
        <w:t>14</w:t>
      </w:r>
      <w:r>
        <w:t xml:space="preserve"> This remains an important consideration for screening in the older age group. </w:t>
      </w:r>
    </w:p>
    <w:p w14:paraId="0C3BCDAA" w14:textId="77777777" w:rsidR="00264999" w:rsidRDefault="00264999" w:rsidP="00795092">
      <w:r>
        <w:t xml:space="preserve">Across the district, the largest increases in notification </w:t>
      </w:r>
      <w:proofErr w:type="gramStart"/>
      <w:r>
        <w:t>were found</w:t>
      </w:r>
      <w:proofErr w:type="gramEnd"/>
      <w:r>
        <w:t xml:space="preserve"> in Penrith LGA, with the limitation that this refers to postcode of residence and may not be indicative of where the infection was acquired. Penrith is home to 196,066 people. It is a </w:t>
      </w:r>
      <w:proofErr w:type="gramStart"/>
      <w:r>
        <w:t>relatively young</w:t>
      </w:r>
      <w:proofErr w:type="gramEnd"/>
      <w:r>
        <w:t xml:space="preserve"> district with a median age of 34 years. Its diversity is </w:t>
      </w:r>
      <w:proofErr w:type="gramStart"/>
      <w:r>
        <w:t>similar to</w:t>
      </w:r>
      <w:proofErr w:type="gramEnd"/>
      <w:r>
        <w:t xml:space="preserve"> Australia on the whole, with 68% of the population born in Australia. This proportion is comparable to the Australian population data at 66.7%.</w:t>
      </w:r>
      <w:r>
        <w:rPr>
          <w:vertAlign w:val="superscript"/>
        </w:rPr>
        <w:t>15</w:t>
      </w:r>
      <w:r>
        <w:t xml:space="preserve"> Our study was conducted between 2009 and 2019, with very similar findings to </w:t>
      </w:r>
      <w:proofErr w:type="gramStart"/>
      <w:r>
        <w:t>nationally-collected</w:t>
      </w:r>
      <w:proofErr w:type="gramEnd"/>
      <w:r>
        <w:t xml:space="preserve"> data in a similar period (2009-2018). This does suggest that syphilis notifications in this region follow national epidemiological trends, despite the variations in demographics across NBMLHD. Thus, national screening recommendations </w:t>
      </w:r>
      <w:proofErr w:type="gramStart"/>
      <w:r>
        <w:t>remain</w:t>
      </w:r>
      <w:proofErr w:type="gramEnd"/>
      <w:r>
        <w:t xml:space="preserve"> applicable to this population. </w:t>
      </w:r>
    </w:p>
    <w:p w14:paraId="6D4DBA16" w14:textId="77777777" w:rsidR="00264999" w:rsidRDefault="00264999" w:rsidP="00795092">
      <w:proofErr w:type="gramStart"/>
      <w:r>
        <w:t>A large number of</w:t>
      </w:r>
      <w:proofErr w:type="gramEnd"/>
      <w:r>
        <w:t xml:space="preserve"> notifications were from sexual health clinics, followed closely by general practitioners. It </w:t>
      </w:r>
      <w:proofErr w:type="gramStart"/>
      <w:r>
        <w:t>is widely recognised</w:t>
      </w:r>
      <w:proofErr w:type="gramEnd"/>
      <w:r>
        <w:t xml:space="preserve"> that GPs play a key role in screening and managing STIs across Australia and they are likely to see more asymptomatic attendees.</w:t>
      </w:r>
      <w:r>
        <w:rPr>
          <w:vertAlign w:val="superscript"/>
        </w:rPr>
        <w:t>16</w:t>
      </w:r>
      <w:r>
        <w:t xml:space="preserve"> On the other hand, sexual health clinics are anecdotally more likely to see more symptomatic people and are mandated to care for high-risk population groups. A larger number of people attend GP clinics compared to the sexual health services and increased opportunistic testing is likely to detect asymptomatic syphilis. This highlights an area for intervention to increase testing and sustain the screening efforts and therefore to </w:t>
      </w:r>
      <w:proofErr w:type="gramStart"/>
      <w:r>
        <w:t>assist</w:t>
      </w:r>
      <w:proofErr w:type="gramEnd"/>
      <w:r>
        <w:t xml:space="preserve"> in diagnosis of syphilis and other STIs via general practice. </w:t>
      </w:r>
    </w:p>
    <w:p w14:paraId="59E8DB32" w14:textId="77777777" w:rsidR="00264999" w:rsidRDefault="00264999" w:rsidP="00795092">
      <w:r>
        <w:t xml:space="preserve">The study validity is limited by data incompleteness, which was </w:t>
      </w:r>
      <w:proofErr w:type="gramStart"/>
      <w:r>
        <w:t>encountered</w:t>
      </w:r>
      <w:proofErr w:type="gramEnd"/>
      <w:r>
        <w:t xml:space="preserve"> in several fields. As these fields are reliant on clinician notifications, working with local Primary Health Networks to increase awareness of the purpose of these notifications may help to improve completion rates. Indigenous status was not presented or analysed on account on </w:t>
      </w:r>
      <w:proofErr w:type="gramStart"/>
      <w:r>
        <w:t>very small</w:t>
      </w:r>
      <w:proofErr w:type="gramEnd"/>
      <w:r>
        <w:t xml:space="preserve"> numbers. </w:t>
      </w:r>
    </w:p>
    <w:p w14:paraId="552DFB15" w14:textId="77777777" w:rsidR="00264999" w:rsidRDefault="00264999" w:rsidP="00795092">
      <w:r>
        <w:t xml:space="preserve">This research can </w:t>
      </w:r>
      <w:proofErr w:type="gramStart"/>
      <w:r>
        <w:t>be extended</w:t>
      </w:r>
      <w:proofErr w:type="gramEnd"/>
      <w:r>
        <w:t xml:space="preserve"> by reviewing notifications of syphilis in 2020 and 2021, years that had coronavirus disease 2019 (COVID-19)-related lockdowns. Research in Melbourne suggests that people continued to seek healthcare when symptomatic, but the impact of COVID-19 on asymptomatic screening has not been quantified.</w:t>
      </w:r>
      <w:r>
        <w:rPr>
          <w:vertAlign w:val="superscript"/>
        </w:rPr>
        <w:t>17</w:t>
      </w:r>
      <w:r>
        <w:t xml:space="preserve"> </w:t>
      </w:r>
      <w:r>
        <w:lastRenderedPageBreak/>
        <w:t xml:space="preserve">Recent surveys </w:t>
      </w:r>
      <w:proofErr w:type="gramStart"/>
      <w:r>
        <w:t>indicate</w:t>
      </w:r>
      <w:proofErr w:type="gramEnd"/>
      <w:r>
        <w:t xml:space="preserve"> that while self-reported sexual activity in the lockdown periods slowed, it did not completely stop,</w:t>
      </w:r>
      <w:r>
        <w:rPr>
          <w:vertAlign w:val="superscript"/>
        </w:rPr>
        <w:t>18</w:t>
      </w:r>
      <w:r>
        <w:t xml:space="preserve"> highlighting the importance of encouraging populations back into screening routines. Reviewing syphilis notification data in the years with lockdowns and the </w:t>
      </w:r>
      <w:proofErr w:type="gramStart"/>
      <w:r>
        <w:t>subsequent</w:t>
      </w:r>
      <w:proofErr w:type="gramEnd"/>
      <w:r>
        <w:t xml:space="preserve"> years will help ascertain if the transmission of syphilis has slowed or increased and to what extent. </w:t>
      </w:r>
    </w:p>
    <w:p w14:paraId="60064060" w14:textId="77777777" w:rsidR="00264999" w:rsidRPr="00795092" w:rsidRDefault="00264999" w:rsidP="00795092">
      <w:pPr>
        <w:pStyle w:val="Heading1"/>
      </w:pPr>
      <w:r w:rsidRPr="00795092">
        <w:t xml:space="preserve">Conclusion </w:t>
      </w:r>
    </w:p>
    <w:p w14:paraId="6C37DBE5" w14:textId="7FCAFC2A" w:rsidR="004C2149" w:rsidRPr="00AE6F96" w:rsidRDefault="00264999" w:rsidP="00AE6F96">
      <w:r>
        <w:t xml:space="preserve">This improved understanding of syphilis epidemiology in our district will help inform sexual health promotion strategies locally but also across NSW. While men who have sex with men are </w:t>
      </w:r>
      <w:proofErr w:type="gramStart"/>
      <w:r>
        <w:t>frequently</w:t>
      </w:r>
      <w:proofErr w:type="gramEnd"/>
      <w:r>
        <w:t xml:space="preserve"> described as at higher risk of syphilis (and other STIs) in NSW, our data suggests that notifications in females were also on the increase, therefore this population should also have tailored health promotion messaging. The study supports the continued investment in sexual health promotion activities aimed at young sexually active males. The expansion of traditional risk groups to include women and older people would help detect any increase in cases in these groups. Finally, it </w:t>
      </w:r>
      <w:proofErr w:type="gramStart"/>
      <w:r>
        <w:t>is recommended</w:t>
      </w:r>
      <w:proofErr w:type="gramEnd"/>
      <w:r>
        <w:t xml:space="preserve"> that sexual health clinics and public health units increase local engagement with GPs and primary health networks. Supporting primary health care providers in offering STI screens to their sexually active populations will help reach people who may be less likely to visit a sexual health clinic. This is particularly relevant in the current post-COVID-19 context, with the reopening of society and potentially increased sexual activity.</w:t>
      </w:r>
    </w:p>
    <w:p w14:paraId="42427CF6" w14:textId="1E603758" w:rsidR="00264999" w:rsidRPr="00795092" w:rsidRDefault="00264999" w:rsidP="00795092">
      <w:pPr>
        <w:pStyle w:val="Heading1"/>
      </w:pPr>
      <w:r w:rsidRPr="00795092">
        <w:t xml:space="preserve">Author details </w:t>
      </w:r>
    </w:p>
    <w:p w14:paraId="0BC0C469" w14:textId="77777777" w:rsidR="00264999" w:rsidRDefault="00264999" w:rsidP="00795092">
      <w:r>
        <w:t>Dr Sheena R Kakar</w:t>
      </w:r>
      <w:r>
        <w:rPr>
          <w:vertAlign w:val="superscript"/>
        </w:rPr>
        <w:t xml:space="preserve">1,2 </w:t>
      </w:r>
    </w:p>
    <w:p w14:paraId="7D3B97DA" w14:textId="77777777" w:rsidR="00264999" w:rsidRDefault="00264999" w:rsidP="00795092">
      <w:r>
        <w:t>Mr George Truman</w:t>
      </w:r>
      <w:r>
        <w:rPr>
          <w:vertAlign w:val="superscript"/>
        </w:rPr>
        <w:t>2</w:t>
      </w:r>
      <w:r>
        <w:t xml:space="preserve"> </w:t>
      </w:r>
    </w:p>
    <w:p w14:paraId="723D90BC" w14:textId="77777777" w:rsidR="00264999" w:rsidRDefault="00264999" w:rsidP="00795092">
      <w:r>
        <w:t>Ms Jane Thomas</w:t>
      </w:r>
      <w:r>
        <w:rPr>
          <w:vertAlign w:val="superscript"/>
        </w:rPr>
        <w:t xml:space="preserve">2 </w:t>
      </w:r>
    </w:p>
    <w:p w14:paraId="3EE676F4" w14:textId="77777777" w:rsidR="00264999" w:rsidRDefault="00264999" w:rsidP="00795092">
      <w:r>
        <w:t>Dr Eva YH Jackson</w:t>
      </w:r>
      <w:r>
        <w:rPr>
          <w:vertAlign w:val="superscript"/>
        </w:rPr>
        <w:t>1</w:t>
      </w:r>
      <w:r>
        <w:t xml:space="preserve"> </w:t>
      </w:r>
    </w:p>
    <w:p w14:paraId="2A6E55D2" w14:textId="77777777" w:rsidR="00264999" w:rsidRDefault="00264999" w:rsidP="00795092">
      <w:r>
        <w:t>Associate Professor Bradley L Forssman</w:t>
      </w:r>
      <w:r>
        <w:rPr>
          <w:vertAlign w:val="superscript"/>
        </w:rPr>
        <w:t>1</w:t>
      </w:r>
      <w:r>
        <w:t xml:space="preserve"> </w:t>
      </w:r>
    </w:p>
    <w:p w14:paraId="65DF1155" w14:textId="77777777" w:rsidR="00264999" w:rsidRPr="00795092" w:rsidRDefault="00264999" w:rsidP="00795092">
      <w:pPr>
        <w:pStyle w:val="ListParagraph"/>
        <w:numPr>
          <w:ilvl w:val="0"/>
          <w:numId w:val="9"/>
        </w:numPr>
        <w:rPr>
          <w:rFonts w:eastAsia="Times New Roman"/>
        </w:rPr>
      </w:pPr>
      <w:r w:rsidRPr="00795092">
        <w:rPr>
          <w:rFonts w:eastAsia="Times New Roman"/>
        </w:rPr>
        <w:t xml:space="preserve">Nepean and Nepean and Blue Mountains Sexual Health and HIV Service, </w:t>
      </w:r>
      <w:proofErr w:type="gramStart"/>
      <w:r w:rsidRPr="00795092">
        <w:rPr>
          <w:rFonts w:eastAsia="Times New Roman"/>
        </w:rPr>
        <w:t>Nepean</w:t>
      </w:r>
      <w:proofErr w:type="gramEnd"/>
      <w:r w:rsidRPr="00795092">
        <w:rPr>
          <w:rFonts w:eastAsia="Times New Roman"/>
        </w:rPr>
        <w:t xml:space="preserve"> and Blue Mountains Local Health District </w:t>
      </w:r>
    </w:p>
    <w:p w14:paraId="39A8E4FD" w14:textId="77777777" w:rsidR="00264999" w:rsidRPr="00795092" w:rsidRDefault="00264999" w:rsidP="00795092">
      <w:pPr>
        <w:pStyle w:val="ListParagraph"/>
        <w:numPr>
          <w:ilvl w:val="0"/>
          <w:numId w:val="9"/>
        </w:numPr>
        <w:rPr>
          <w:rFonts w:eastAsia="Times New Roman"/>
        </w:rPr>
      </w:pPr>
      <w:r w:rsidRPr="00795092">
        <w:rPr>
          <w:rFonts w:eastAsia="Times New Roman"/>
        </w:rPr>
        <w:t xml:space="preserve">Nepean and Blue Mountains Public Health Unit, </w:t>
      </w:r>
      <w:proofErr w:type="gramStart"/>
      <w:r w:rsidRPr="00795092">
        <w:rPr>
          <w:rFonts w:eastAsia="Times New Roman"/>
        </w:rPr>
        <w:t>Nepean</w:t>
      </w:r>
      <w:proofErr w:type="gramEnd"/>
      <w:r w:rsidRPr="00795092">
        <w:rPr>
          <w:rFonts w:eastAsia="Times New Roman"/>
        </w:rPr>
        <w:t xml:space="preserve"> and Blue Mountains Local Health District</w:t>
      </w:r>
    </w:p>
    <w:p w14:paraId="1F658219" w14:textId="77777777" w:rsidR="00264999" w:rsidRPr="00795092" w:rsidRDefault="00264999" w:rsidP="00F6263D">
      <w:pPr>
        <w:pStyle w:val="Heading2"/>
        <w:spacing w:after="200"/>
      </w:pPr>
      <w:r w:rsidRPr="00795092">
        <w:t xml:space="preserve">Corresponding author </w:t>
      </w:r>
    </w:p>
    <w:p w14:paraId="143CB7CD" w14:textId="77777777" w:rsidR="00264999" w:rsidRDefault="00264999" w:rsidP="00795092">
      <w:r>
        <w:t xml:space="preserve">Dr Sheena R Kakar </w:t>
      </w:r>
    </w:p>
    <w:p w14:paraId="7863E838" w14:textId="77777777" w:rsidR="00264999" w:rsidRDefault="00264999" w:rsidP="00795092">
      <w:r>
        <w:t xml:space="preserve">Nepean and Blue Mountains Sexual Health and HIV Service, Court Building, Derby St, Kingswood NSW 2747 </w:t>
      </w:r>
    </w:p>
    <w:p w14:paraId="2BD0A7C1" w14:textId="77777777" w:rsidR="00264999" w:rsidRDefault="00264999" w:rsidP="00795092">
      <w:r>
        <w:t xml:space="preserve">Phone: 47342057 </w:t>
      </w:r>
    </w:p>
    <w:p w14:paraId="7EC050E1" w14:textId="77777777" w:rsidR="00264999" w:rsidRDefault="00264999" w:rsidP="00795092">
      <w:r>
        <w:t>Email: Sheena.Kakar@health.nsw.gov.au</w:t>
      </w:r>
    </w:p>
    <w:p w14:paraId="014D629F" w14:textId="77777777" w:rsidR="00AE6F96" w:rsidRDefault="00AE6F96">
      <w:pPr>
        <w:rPr>
          <w:rFonts w:asciiTheme="majorHAnsi" w:eastAsiaTheme="majorEastAsia" w:hAnsiTheme="majorHAnsi" w:cstheme="majorBidi"/>
          <w:b/>
          <w:bCs/>
          <w:sz w:val="32"/>
          <w:szCs w:val="28"/>
        </w:rPr>
      </w:pPr>
      <w:r>
        <w:br w:type="page"/>
      </w:r>
    </w:p>
    <w:p w14:paraId="32EBC9AA" w14:textId="2938C0E9" w:rsidR="00264999" w:rsidRPr="00795092" w:rsidRDefault="00264999" w:rsidP="00795092">
      <w:pPr>
        <w:pStyle w:val="Heading1"/>
      </w:pPr>
      <w:r w:rsidRPr="00795092">
        <w:lastRenderedPageBreak/>
        <w:t xml:space="preserve">References </w:t>
      </w:r>
    </w:p>
    <w:p w14:paraId="1AA45767" w14:textId="77777777" w:rsidR="00264999" w:rsidRPr="00795092" w:rsidRDefault="00264999" w:rsidP="00795092">
      <w:pPr>
        <w:pStyle w:val="ListParagraph"/>
        <w:numPr>
          <w:ilvl w:val="0"/>
          <w:numId w:val="10"/>
        </w:numPr>
        <w:rPr>
          <w:rFonts w:eastAsia="Times New Roman"/>
        </w:rPr>
      </w:pPr>
      <w:r w:rsidRPr="00795092">
        <w:rPr>
          <w:rFonts w:eastAsia="Times New Roman"/>
        </w:rPr>
        <w:t xml:space="preserve">Kirby Institute. </w:t>
      </w:r>
      <w:r w:rsidRPr="00795092">
        <w:rPr>
          <w:rStyle w:val="Emphasis"/>
          <w:rFonts w:eastAsia="Times New Roman"/>
          <w:b w:val="0"/>
          <w:bCs w:val="0"/>
        </w:rPr>
        <w:t xml:space="preserve">HIV, viral </w:t>
      </w:r>
      <w:proofErr w:type="gramStart"/>
      <w:r w:rsidRPr="00795092">
        <w:rPr>
          <w:rStyle w:val="Emphasis"/>
          <w:rFonts w:eastAsia="Times New Roman"/>
          <w:b w:val="0"/>
          <w:bCs w:val="0"/>
        </w:rPr>
        <w:t>hepatitis</w:t>
      </w:r>
      <w:proofErr w:type="gramEnd"/>
      <w:r w:rsidRPr="00795092">
        <w:rPr>
          <w:rStyle w:val="Emphasis"/>
          <w:rFonts w:eastAsia="Times New Roman"/>
          <w:b w:val="0"/>
          <w:bCs w:val="0"/>
        </w:rPr>
        <w:t xml:space="preserve"> and sexually transmissible infections in Australia. Annual surveillance report 2018</w:t>
      </w:r>
      <w:r w:rsidRPr="00795092">
        <w:rPr>
          <w:rFonts w:eastAsia="Times New Roman"/>
        </w:rPr>
        <w:t xml:space="preserve">. Sydney: University of New South Wales, Kirby Institute; 2018. Available from: https://kirby.unsw.edu.au/sites/default/files/kirby/report/KI_Annual-Surveillance-Report-2018.pdf. </w:t>
      </w:r>
    </w:p>
    <w:p w14:paraId="2DB9B953" w14:textId="77777777" w:rsidR="00264999" w:rsidRPr="00795092" w:rsidRDefault="00264999" w:rsidP="00795092">
      <w:pPr>
        <w:pStyle w:val="ListParagraph"/>
        <w:numPr>
          <w:ilvl w:val="0"/>
          <w:numId w:val="10"/>
        </w:numPr>
        <w:rPr>
          <w:rFonts w:eastAsia="Times New Roman"/>
        </w:rPr>
      </w:pPr>
      <w:r w:rsidRPr="00795092">
        <w:rPr>
          <w:rFonts w:eastAsia="Times New Roman"/>
        </w:rPr>
        <w:t xml:space="preserve">New South Wales Government Department of Health (NSW Health), Nepean Blue Mountains Local Health District (NBMLHD). Our Region. [Internet.] Sydney: NSW Health, NBMLHD; 27 April 2022. [Accessed on 25 July 2022.] Available from: https://www.nbmlhd.health.nsw.gov.au/about-us/about-our-region. </w:t>
      </w:r>
    </w:p>
    <w:p w14:paraId="490773C0" w14:textId="77777777" w:rsidR="00264999" w:rsidRPr="00795092" w:rsidRDefault="00264999" w:rsidP="00795092">
      <w:pPr>
        <w:pStyle w:val="ListParagraph"/>
        <w:numPr>
          <w:ilvl w:val="0"/>
          <w:numId w:val="10"/>
        </w:numPr>
        <w:rPr>
          <w:rFonts w:eastAsia="Times New Roman"/>
        </w:rPr>
      </w:pPr>
      <w:r w:rsidRPr="00795092">
        <w:rPr>
          <w:rFonts w:eastAsia="Times New Roman"/>
        </w:rPr>
        <w:t xml:space="preserve">Kimball AA, Torrone EA, Bernstein KT, Grey JA, Bowen VB, </w:t>
      </w:r>
      <w:proofErr w:type="spellStart"/>
      <w:r w:rsidRPr="00795092">
        <w:rPr>
          <w:rFonts w:eastAsia="Times New Roman"/>
        </w:rPr>
        <w:t>Rickless</w:t>
      </w:r>
      <w:proofErr w:type="spellEnd"/>
      <w:r w:rsidRPr="00795092">
        <w:rPr>
          <w:rFonts w:eastAsia="Times New Roman"/>
        </w:rPr>
        <w:t xml:space="preserve"> DS et al. Predicting emergence of primary and secondary syphilis among women of reproductive age in US counties. </w:t>
      </w:r>
      <w:r w:rsidRPr="00795092">
        <w:rPr>
          <w:rStyle w:val="Emphasis"/>
          <w:rFonts w:eastAsia="Times New Roman"/>
          <w:b w:val="0"/>
          <w:bCs w:val="0"/>
        </w:rPr>
        <w:t xml:space="preserve">Sex </w:t>
      </w:r>
      <w:proofErr w:type="spellStart"/>
      <w:r w:rsidRPr="00795092">
        <w:rPr>
          <w:rStyle w:val="Emphasis"/>
          <w:rFonts w:eastAsia="Times New Roman"/>
          <w:b w:val="0"/>
          <w:bCs w:val="0"/>
        </w:rPr>
        <w:t>Transm</w:t>
      </w:r>
      <w:proofErr w:type="spellEnd"/>
      <w:r w:rsidRPr="00795092">
        <w:rPr>
          <w:rStyle w:val="Emphasis"/>
          <w:rFonts w:eastAsia="Times New Roman"/>
          <w:b w:val="0"/>
          <w:bCs w:val="0"/>
        </w:rPr>
        <w:t xml:space="preserve"> Dis</w:t>
      </w:r>
      <w:r w:rsidRPr="00795092">
        <w:rPr>
          <w:rFonts w:eastAsia="Times New Roman"/>
        </w:rPr>
        <w:t xml:space="preserve">. 2021;49(3):177–183. </w:t>
      </w:r>
      <w:proofErr w:type="spellStart"/>
      <w:r w:rsidRPr="00795092">
        <w:rPr>
          <w:rFonts w:eastAsia="Times New Roman"/>
        </w:rPr>
        <w:t>doi</w:t>
      </w:r>
      <w:proofErr w:type="spellEnd"/>
      <w:r w:rsidRPr="00795092">
        <w:rPr>
          <w:rFonts w:eastAsia="Times New Roman"/>
        </w:rPr>
        <w:t xml:space="preserve">: https://doi.org/10.1097/OLQ.0000000000001573. </w:t>
      </w:r>
    </w:p>
    <w:p w14:paraId="3DF07B58" w14:textId="77777777" w:rsidR="00264999" w:rsidRPr="00795092" w:rsidRDefault="00264999" w:rsidP="00795092">
      <w:pPr>
        <w:pStyle w:val="ListParagraph"/>
        <w:numPr>
          <w:ilvl w:val="0"/>
          <w:numId w:val="10"/>
        </w:numPr>
        <w:rPr>
          <w:rFonts w:eastAsia="Times New Roman"/>
        </w:rPr>
      </w:pPr>
      <w:r w:rsidRPr="00795092">
        <w:rPr>
          <w:rFonts w:eastAsia="Times New Roman"/>
        </w:rPr>
        <w:t xml:space="preserve">Johnson KA, Snyder RE, Tang EC, de Guzman NS, </w:t>
      </w:r>
      <w:proofErr w:type="spellStart"/>
      <w:r w:rsidRPr="00795092">
        <w:rPr>
          <w:rFonts w:eastAsia="Times New Roman"/>
        </w:rPr>
        <w:t>Plotzker</w:t>
      </w:r>
      <w:proofErr w:type="spellEnd"/>
      <w:r w:rsidRPr="00795092">
        <w:rPr>
          <w:rFonts w:eastAsia="Times New Roman"/>
        </w:rPr>
        <w:t xml:space="preserve"> RE, Murphy R et al. Geospatial social determinants of health correlate with disparities in syphilis and congenital syphilis cases in California. </w:t>
      </w:r>
      <w:r w:rsidRPr="00795092">
        <w:rPr>
          <w:rStyle w:val="Emphasis"/>
          <w:rFonts w:eastAsia="Times New Roman"/>
          <w:b w:val="0"/>
          <w:bCs w:val="0"/>
        </w:rPr>
        <w:t>Pathogens</w:t>
      </w:r>
      <w:r w:rsidRPr="00795092">
        <w:rPr>
          <w:rFonts w:eastAsia="Times New Roman"/>
        </w:rPr>
        <w:t xml:space="preserve">. 2022;11(5):547. </w:t>
      </w:r>
      <w:proofErr w:type="spellStart"/>
      <w:r w:rsidRPr="00795092">
        <w:rPr>
          <w:rFonts w:eastAsia="Times New Roman"/>
        </w:rPr>
        <w:t>doi</w:t>
      </w:r>
      <w:proofErr w:type="spellEnd"/>
      <w:r w:rsidRPr="00795092">
        <w:rPr>
          <w:rFonts w:eastAsia="Times New Roman"/>
        </w:rPr>
        <w:t xml:space="preserve">: https://doi.org/10.3390/pathogens11050547. </w:t>
      </w:r>
    </w:p>
    <w:p w14:paraId="4DB8BCB4" w14:textId="77777777" w:rsidR="00264999" w:rsidRPr="00795092" w:rsidRDefault="00264999" w:rsidP="00795092">
      <w:pPr>
        <w:pStyle w:val="ListParagraph"/>
        <w:numPr>
          <w:ilvl w:val="0"/>
          <w:numId w:val="10"/>
        </w:numPr>
        <w:rPr>
          <w:rFonts w:eastAsia="Times New Roman"/>
        </w:rPr>
      </w:pPr>
      <w:r w:rsidRPr="00795092">
        <w:rPr>
          <w:rFonts w:eastAsia="Times New Roman"/>
        </w:rPr>
        <w:t xml:space="preserve">Aung E, Chen M, Fairley C, Higgins N, Williamson D, </w:t>
      </w:r>
      <w:proofErr w:type="spellStart"/>
      <w:r w:rsidRPr="00795092">
        <w:rPr>
          <w:rFonts w:eastAsia="Times New Roman"/>
        </w:rPr>
        <w:t>Tomnay</w:t>
      </w:r>
      <w:proofErr w:type="spellEnd"/>
      <w:r w:rsidRPr="00795092">
        <w:rPr>
          <w:rFonts w:eastAsia="Times New Roman"/>
        </w:rPr>
        <w:t xml:space="preserve"> J et al. Spatial and temporal epidemiology of infectious syphilis in Victoria, Australia, 2015–2018. </w:t>
      </w:r>
      <w:r w:rsidRPr="00795092">
        <w:rPr>
          <w:rStyle w:val="Emphasis"/>
          <w:rFonts w:eastAsia="Times New Roman"/>
          <w:b w:val="0"/>
          <w:bCs w:val="0"/>
        </w:rPr>
        <w:t xml:space="preserve">Sex </w:t>
      </w:r>
      <w:proofErr w:type="spellStart"/>
      <w:r w:rsidRPr="00795092">
        <w:rPr>
          <w:rStyle w:val="Emphasis"/>
          <w:rFonts w:eastAsia="Times New Roman"/>
          <w:b w:val="0"/>
          <w:bCs w:val="0"/>
        </w:rPr>
        <w:t>Transm</w:t>
      </w:r>
      <w:proofErr w:type="spellEnd"/>
      <w:r w:rsidRPr="00795092">
        <w:rPr>
          <w:rStyle w:val="Emphasis"/>
          <w:rFonts w:eastAsia="Times New Roman"/>
          <w:b w:val="0"/>
          <w:bCs w:val="0"/>
        </w:rPr>
        <w:t xml:space="preserve"> Dis</w:t>
      </w:r>
      <w:r w:rsidRPr="00795092">
        <w:rPr>
          <w:rFonts w:eastAsia="Times New Roman"/>
        </w:rPr>
        <w:t>. 2021;48(12</w:t>
      </w:r>
      <w:proofErr w:type="gramStart"/>
      <w:r w:rsidRPr="00795092">
        <w:rPr>
          <w:rFonts w:eastAsia="Times New Roman"/>
        </w:rPr>
        <w:t>):e</w:t>
      </w:r>
      <w:proofErr w:type="gramEnd"/>
      <w:r w:rsidRPr="00795092">
        <w:rPr>
          <w:rFonts w:eastAsia="Times New Roman"/>
        </w:rPr>
        <w:t xml:space="preserve">178–82. </w:t>
      </w:r>
      <w:proofErr w:type="spellStart"/>
      <w:r w:rsidRPr="00795092">
        <w:rPr>
          <w:rFonts w:eastAsia="Times New Roman"/>
        </w:rPr>
        <w:t>doi</w:t>
      </w:r>
      <w:proofErr w:type="spellEnd"/>
      <w:r w:rsidRPr="00795092">
        <w:rPr>
          <w:rFonts w:eastAsia="Times New Roman"/>
        </w:rPr>
        <w:t xml:space="preserve">: https://doi.org/10.1097/OLQ.0000000000001438. </w:t>
      </w:r>
    </w:p>
    <w:p w14:paraId="432C2825" w14:textId="77777777" w:rsidR="00264999" w:rsidRPr="00795092" w:rsidRDefault="00264999" w:rsidP="00795092">
      <w:pPr>
        <w:pStyle w:val="ListParagraph"/>
        <w:numPr>
          <w:ilvl w:val="0"/>
          <w:numId w:val="10"/>
        </w:numPr>
        <w:rPr>
          <w:rFonts w:eastAsia="Times New Roman"/>
        </w:rPr>
      </w:pPr>
      <w:r w:rsidRPr="00795092">
        <w:rPr>
          <w:rFonts w:eastAsia="Times New Roman"/>
        </w:rPr>
        <w:t xml:space="preserve">New South Wales Register of Legislation. </w:t>
      </w:r>
      <w:r w:rsidRPr="00795092">
        <w:rPr>
          <w:rStyle w:val="Emphasis"/>
          <w:rFonts w:eastAsia="Times New Roman"/>
          <w:b w:val="0"/>
          <w:bCs w:val="0"/>
        </w:rPr>
        <w:t>Public Health Act 2010 No 127</w:t>
      </w:r>
      <w:r w:rsidRPr="00795092">
        <w:rPr>
          <w:rFonts w:eastAsia="Times New Roman"/>
        </w:rPr>
        <w:t xml:space="preserve">. [Legislation.] Sydney: Government of New South Wales; 4 October 2022. [Accessed on 13 January 2023.] Available from: https://legislation.nsw.gov.au/view/html/inforce/current/act-2010-127#sec.81. </w:t>
      </w:r>
    </w:p>
    <w:p w14:paraId="100CFCB8" w14:textId="77777777" w:rsidR="00264999" w:rsidRPr="00795092" w:rsidRDefault="00264999" w:rsidP="00795092">
      <w:pPr>
        <w:pStyle w:val="ListParagraph"/>
        <w:numPr>
          <w:ilvl w:val="0"/>
          <w:numId w:val="10"/>
        </w:numPr>
        <w:rPr>
          <w:rFonts w:eastAsia="Times New Roman"/>
        </w:rPr>
      </w:pPr>
      <w:r w:rsidRPr="00795092">
        <w:rPr>
          <w:rFonts w:eastAsia="Times New Roman"/>
        </w:rPr>
        <w:t xml:space="preserve">Oldenburg CE, Nunn AS, Montgomery M, Almonte A, Mena L, Patel RR et al. </w:t>
      </w:r>
      <w:proofErr w:type="spellStart"/>
      <w:r w:rsidRPr="00795092">
        <w:rPr>
          <w:rFonts w:eastAsia="Times New Roman"/>
        </w:rPr>
        <w:t>Behavioral</w:t>
      </w:r>
      <w:proofErr w:type="spellEnd"/>
      <w:r w:rsidRPr="00795092">
        <w:rPr>
          <w:rFonts w:eastAsia="Times New Roman"/>
        </w:rPr>
        <w:t xml:space="preserve"> changes following uptake of HIV pre-exposure prophylaxis among men who have sex with men in a clinical setting. </w:t>
      </w:r>
      <w:r w:rsidRPr="00795092">
        <w:rPr>
          <w:rStyle w:val="Emphasis"/>
          <w:rFonts w:eastAsia="Times New Roman"/>
          <w:b w:val="0"/>
          <w:bCs w:val="0"/>
        </w:rPr>
        <w:t xml:space="preserve">AIDS </w:t>
      </w:r>
      <w:proofErr w:type="spellStart"/>
      <w:r w:rsidRPr="00795092">
        <w:rPr>
          <w:rStyle w:val="Emphasis"/>
          <w:rFonts w:eastAsia="Times New Roman"/>
          <w:b w:val="0"/>
          <w:bCs w:val="0"/>
        </w:rPr>
        <w:t>Behav</w:t>
      </w:r>
      <w:proofErr w:type="spellEnd"/>
      <w:r w:rsidRPr="00795092">
        <w:rPr>
          <w:rFonts w:eastAsia="Times New Roman"/>
        </w:rPr>
        <w:t xml:space="preserve">. 2017;22(4):1075-1079. </w:t>
      </w:r>
      <w:proofErr w:type="spellStart"/>
      <w:r w:rsidRPr="00795092">
        <w:rPr>
          <w:rFonts w:eastAsia="Times New Roman"/>
        </w:rPr>
        <w:t>doi</w:t>
      </w:r>
      <w:proofErr w:type="spellEnd"/>
      <w:r w:rsidRPr="00795092">
        <w:rPr>
          <w:rFonts w:eastAsia="Times New Roman"/>
        </w:rPr>
        <w:t xml:space="preserve">: https://doi.org/10.1007/s10461-017-1701-1. </w:t>
      </w:r>
    </w:p>
    <w:p w14:paraId="5D47DA2F" w14:textId="77777777" w:rsidR="00264999" w:rsidRPr="00795092" w:rsidRDefault="00264999" w:rsidP="00795092">
      <w:pPr>
        <w:pStyle w:val="ListParagraph"/>
        <w:numPr>
          <w:ilvl w:val="0"/>
          <w:numId w:val="10"/>
        </w:numPr>
        <w:rPr>
          <w:rFonts w:eastAsia="Times New Roman"/>
        </w:rPr>
      </w:pPr>
      <w:proofErr w:type="spellStart"/>
      <w:r w:rsidRPr="00795092">
        <w:rPr>
          <w:rFonts w:eastAsia="Times New Roman"/>
        </w:rPr>
        <w:t>Prestage</w:t>
      </w:r>
      <w:proofErr w:type="spellEnd"/>
      <w:r w:rsidRPr="00795092">
        <w:rPr>
          <w:rFonts w:eastAsia="Times New Roman"/>
        </w:rPr>
        <w:t xml:space="preserve"> G, Maher L, </w:t>
      </w:r>
      <w:proofErr w:type="spellStart"/>
      <w:r w:rsidRPr="00795092">
        <w:rPr>
          <w:rFonts w:eastAsia="Times New Roman"/>
        </w:rPr>
        <w:t>Grulich</w:t>
      </w:r>
      <w:proofErr w:type="spellEnd"/>
      <w:r w:rsidRPr="00795092">
        <w:rPr>
          <w:rFonts w:eastAsia="Times New Roman"/>
        </w:rPr>
        <w:t xml:space="preserve"> A, </w:t>
      </w:r>
      <w:proofErr w:type="spellStart"/>
      <w:r w:rsidRPr="00795092">
        <w:rPr>
          <w:rFonts w:eastAsia="Times New Roman"/>
        </w:rPr>
        <w:t>Bourne</w:t>
      </w:r>
      <w:proofErr w:type="spellEnd"/>
      <w:r w:rsidRPr="00795092">
        <w:rPr>
          <w:rFonts w:eastAsia="Times New Roman"/>
        </w:rPr>
        <w:t xml:space="preserve"> A, Hammoud M, </w:t>
      </w:r>
      <w:proofErr w:type="spellStart"/>
      <w:r w:rsidRPr="00795092">
        <w:rPr>
          <w:rFonts w:eastAsia="Times New Roman"/>
        </w:rPr>
        <w:t>Vaccher</w:t>
      </w:r>
      <w:proofErr w:type="spellEnd"/>
      <w:r w:rsidRPr="00795092">
        <w:rPr>
          <w:rFonts w:eastAsia="Times New Roman"/>
        </w:rPr>
        <w:t xml:space="preserve"> S et al. Brief report: changes in </w:t>
      </w:r>
      <w:proofErr w:type="spellStart"/>
      <w:r w:rsidRPr="00795092">
        <w:rPr>
          <w:rFonts w:eastAsia="Times New Roman"/>
        </w:rPr>
        <w:t>behavior</w:t>
      </w:r>
      <w:proofErr w:type="spellEnd"/>
      <w:r w:rsidRPr="00795092">
        <w:rPr>
          <w:rFonts w:eastAsia="Times New Roman"/>
        </w:rPr>
        <w:t xml:space="preserve"> after </w:t>
      </w:r>
      <w:proofErr w:type="spellStart"/>
      <w:r w:rsidRPr="00795092">
        <w:rPr>
          <w:rFonts w:eastAsia="Times New Roman"/>
        </w:rPr>
        <w:t>PrEP</w:t>
      </w:r>
      <w:proofErr w:type="spellEnd"/>
      <w:r w:rsidRPr="00795092">
        <w:rPr>
          <w:rFonts w:eastAsia="Times New Roman"/>
        </w:rPr>
        <w:t xml:space="preserve"> initiation among Australian </w:t>
      </w:r>
      <w:proofErr w:type="gramStart"/>
      <w:r w:rsidRPr="00795092">
        <w:rPr>
          <w:rFonts w:eastAsia="Times New Roman"/>
        </w:rPr>
        <w:t>gay</w:t>
      </w:r>
      <w:proofErr w:type="gramEnd"/>
      <w:r w:rsidRPr="00795092">
        <w:rPr>
          <w:rFonts w:eastAsia="Times New Roman"/>
        </w:rPr>
        <w:t xml:space="preserve"> and bisexual men.</w:t>
      </w:r>
      <w:r w:rsidRPr="00795092">
        <w:rPr>
          <w:rStyle w:val="Emphasis"/>
          <w:rFonts w:eastAsia="Times New Roman"/>
          <w:b w:val="0"/>
          <w:bCs w:val="0"/>
        </w:rPr>
        <w:t xml:space="preserve"> J </w:t>
      </w:r>
      <w:proofErr w:type="spellStart"/>
      <w:r w:rsidRPr="00795092">
        <w:rPr>
          <w:rStyle w:val="Emphasis"/>
          <w:rFonts w:eastAsia="Times New Roman"/>
          <w:b w:val="0"/>
          <w:bCs w:val="0"/>
        </w:rPr>
        <w:t>Acquir</w:t>
      </w:r>
      <w:proofErr w:type="spellEnd"/>
      <w:r w:rsidRPr="00795092">
        <w:rPr>
          <w:rStyle w:val="Emphasis"/>
          <w:rFonts w:eastAsia="Times New Roman"/>
          <w:b w:val="0"/>
          <w:bCs w:val="0"/>
        </w:rPr>
        <w:t xml:space="preserve"> Immune </w:t>
      </w:r>
      <w:proofErr w:type="spellStart"/>
      <w:r w:rsidRPr="00795092">
        <w:rPr>
          <w:rStyle w:val="Emphasis"/>
          <w:rFonts w:eastAsia="Times New Roman"/>
          <w:b w:val="0"/>
          <w:bCs w:val="0"/>
        </w:rPr>
        <w:t>Defic</w:t>
      </w:r>
      <w:proofErr w:type="spellEnd"/>
      <w:r w:rsidRPr="00795092">
        <w:rPr>
          <w:rStyle w:val="Emphasis"/>
          <w:rFonts w:eastAsia="Times New Roman"/>
          <w:b w:val="0"/>
          <w:bCs w:val="0"/>
        </w:rPr>
        <w:t xml:space="preserve"> </w:t>
      </w:r>
      <w:proofErr w:type="spellStart"/>
      <w:r w:rsidRPr="00795092">
        <w:rPr>
          <w:rStyle w:val="Emphasis"/>
          <w:rFonts w:eastAsia="Times New Roman"/>
          <w:b w:val="0"/>
          <w:bCs w:val="0"/>
        </w:rPr>
        <w:t>Syndr</w:t>
      </w:r>
      <w:proofErr w:type="spellEnd"/>
      <w:r w:rsidRPr="00795092">
        <w:rPr>
          <w:rFonts w:eastAsia="Times New Roman"/>
        </w:rPr>
        <w:t xml:space="preserve">. 2019;81(1):52–6. </w:t>
      </w:r>
      <w:proofErr w:type="spellStart"/>
      <w:r w:rsidRPr="00795092">
        <w:rPr>
          <w:rFonts w:eastAsia="Times New Roman"/>
        </w:rPr>
        <w:t>doi</w:t>
      </w:r>
      <w:proofErr w:type="spellEnd"/>
      <w:r w:rsidRPr="00795092">
        <w:rPr>
          <w:rFonts w:eastAsia="Times New Roman"/>
        </w:rPr>
        <w:t xml:space="preserve">: https://doi.org/10.1097/QAI.0000000000001976. </w:t>
      </w:r>
    </w:p>
    <w:p w14:paraId="288A37E2" w14:textId="77777777" w:rsidR="00264999" w:rsidRPr="00795092" w:rsidRDefault="00264999" w:rsidP="00795092">
      <w:pPr>
        <w:pStyle w:val="ListParagraph"/>
        <w:numPr>
          <w:ilvl w:val="0"/>
          <w:numId w:val="10"/>
        </w:numPr>
        <w:rPr>
          <w:rFonts w:eastAsia="Times New Roman"/>
        </w:rPr>
      </w:pPr>
      <w:r w:rsidRPr="00795092">
        <w:rPr>
          <w:rFonts w:eastAsia="Times New Roman"/>
        </w:rPr>
        <w:t xml:space="preserve">Traeger MW, </w:t>
      </w:r>
      <w:proofErr w:type="spellStart"/>
      <w:r w:rsidRPr="00795092">
        <w:rPr>
          <w:rFonts w:eastAsia="Times New Roman"/>
        </w:rPr>
        <w:t>Cornelisse</w:t>
      </w:r>
      <w:proofErr w:type="spellEnd"/>
      <w:r w:rsidRPr="00795092">
        <w:rPr>
          <w:rFonts w:eastAsia="Times New Roman"/>
        </w:rPr>
        <w:t xml:space="preserve"> VJ, Asselin J, Price B, Roth NJ, Willcox J et al. Association of HIV preexposure prophylaxis with incidence of sexually transmitted infections among individuals at </w:t>
      </w:r>
      <w:proofErr w:type="gramStart"/>
      <w:r w:rsidRPr="00795092">
        <w:rPr>
          <w:rFonts w:eastAsia="Times New Roman"/>
        </w:rPr>
        <w:t>high risk</w:t>
      </w:r>
      <w:proofErr w:type="gramEnd"/>
      <w:r w:rsidRPr="00795092">
        <w:rPr>
          <w:rFonts w:eastAsia="Times New Roman"/>
        </w:rPr>
        <w:t xml:space="preserve"> of HIV infection. </w:t>
      </w:r>
      <w:r w:rsidRPr="00795092">
        <w:rPr>
          <w:rStyle w:val="Emphasis"/>
          <w:rFonts w:eastAsia="Times New Roman"/>
          <w:b w:val="0"/>
          <w:bCs w:val="0"/>
        </w:rPr>
        <w:t>JAMA</w:t>
      </w:r>
      <w:r w:rsidRPr="00795092">
        <w:rPr>
          <w:rFonts w:eastAsia="Times New Roman"/>
        </w:rPr>
        <w:t xml:space="preserve">. 2019;321(14):1380–90. </w:t>
      </w:r>
      <w:proofErr w:type="spellStart"/>
      <w:r w:rsidRPr="00795092">
        <w:rPr>
          <w:rFonts w:eastAsia="Times New Roman"/>
        </w:rPr>
        <w:t>doi</w:t>
      </w:r>
      <w:proofErr w:type="spellEnd"/>
      <w:r w:rsidRPr="00795092">
        <w:rPr>
          <w:rFonts w:eastAsia="Times New Roman"/>
        </w:rPr>
        <w:t xml:space="preserve">: https://doi.org/10.1001/jama.2019.2947. </w:t>
      </w:r>
    </w:p>
    <w:p w14:paraId="598EA7C6" w14:textId="77777777" w:rsidR="00264999" w:rsidRPr="00795092" w:rsidRDefault="00264999" w:rsidP="00795092">
      <w:pPr>
        <w:pStyle w:val="ListParagraph"/>
        <w:numPr>
          <w:ilvl w:val="0"/>
          <w:numId w:val="10"/>
        </w:numPr>
        <w:rPr>
          <w:rFonts w:eastAsia="Times New Roman"/>
        </w:rPr>
      </w:pPr>
      <w:r w:rsidRPr="00795092">
        <w:rPr>
          <w:rFonts w:eastAsia="Times New Roman"/>
        </w:rPr>
        <w:t xml:space="preserve">McManus H, </w:t>
      </w:r>
      <w:proofErr w:type="spellStart"/>
      <w:r w:rsidRPr="00795092">
        <w:rPr>
          <w:rFonts w:eastAsia="Times New Roman"/>
        </w:rPr>
        <w:t>Grulich</w:t>
      </w:r>
      <w:proofErr w:type="spellEnd"/>
      <w:r w:rsidRPr="00795092">
        <w:rPr>
          <w:rFonts w:eastAsia="Times New Roman"/>
        </w:rPr>
        <w:t xml:space="preserve"> AE, Amin J, Selvey C, Vickers T, </w:t>
      </w:r>
      <w:proofErr w:type="spellStart"/>
      <w:r w:rsidRPr="00795092">
        <w:rPr>
          <w:rFonts w:eastAsia="Times New Roman"/>
        </w:rPr>
        <w:t>Bavinton</w:t>
      </w:r>
      <w:proofErr w:type="spellEnd"/>
      <w:r w:rsidRPr="00795092">
        <w:rPr>
          <w:rFonts w:eastAsia="Times New Roman"/>
        </w:rPr>
        <w:t xml:space="preserve"> B et al. Comparison of trends in rates of sexually transmitted infections before vs after initiation of HIV preexposure prophylaxis among men who have sex with men. </w:t>
      </w:r>
      <w:r w:rsidRPr="00795092">
        <w:rPr>
          <w:rStyle w:val="Emphasis"/>
          <w:rFonts w:eastAsia="Times New Roman"/>
          <w:b w:val="0"/>
          <w:bCs w:val="0"/>
        </w:rPr>
        <w:t xml:space="preserve">JAMA </w:t>
      </w:r>
      <w:proofErr w:type="spellStart"/>
      <w:r w:rsidRPr="00795092">
        <w:rPr>
          <w:rStyle w:val="Emphasis"/>
          <w:rFonts w:eastAsia="Times New Roman"/>
          <w:b w:val="0"/>
          <w:bCs w:val="0"/>
        </w:rPr>
        <w:t>Netw</w:t>
      </w:r>
      <w:proofErr w:type="spellEnd"/>
      <w:r w:rsidRPr="00795092">
        <w:rPr>
          <w:rStyle w:val="Emphasis"/>
          <w:rFonts w:eastAsia="Times New Roman"/>
          <w:b w:val="0"/>
          <w:bCs w:val="0"/>
        </w:rPr>
        <w:t xml:space="preserve"> Open</w:t>
      </w:r>
      <w:r w:rsidRPr="00795092">
        <w:rPr>
          <w:rFonts w:eastAsia="Times New Roman"/>
        </w:rPr>
        <w:t>. 2020;3(12</w:t>
      </w:r>
      <w:proofErr w:type="gramStart"/>
      <w:r w:rsidRPr="00795092">
        <w:rPr>
          <w:rFonts w:eastAsia="Times New Roman"/>
        </w:rPr>
        <w:t>):e</w:t>
      </w:r>
      <w:proofErr w:type="gramEnd"/>
      <w:r w:rsidRPr="00795092">
        <w:rPr>
          <w:rFonts w:eastAsia="Times New Roman"/>
        </w:rPr>
        <w:t xml:space="preserve">2030806. </w:t>
      </w:r>
      <w:proofErr w:type="spellStart"/>
      <w:r w:rsidRPr="00795092">
        <w:rPr>
          <w:rFonts w:eastAsia="Times New Roman"/>
        </w:rPr>
        <w:t>doi</w:t>
      </w:r>
      <w:proofErr w:type="spellEnd"/>
      <w:r w:rsidRPr="00795092">
        <w:rPr>
          <w:rFonts w:eastAsia="Times New Roman"/>
        </w:rPr>
        <w:t xml:space="preserve">: https://doi.org/10.1001/jamanetworkopen.2020.30806. </w:t>
      </w:r>
    </w:p>
    <w:p w14:paraId="50C74C7E" w14:textId="77777777" w:rsidR="00264999" w:rsidRPr="00795092" w:rsidRDefault="00264999" w:rsidP="00795092">
      <w:pPr>
        <w:pStyle w:val="ListParagraph"/>
        <w:numPr>
          <w:ilvl w:val="0"/>
          <w:numId w:val="10"/>
        </w:numPr>
        <w:rPr>
          <w:rFonts w:eastAsia="Times New Roman"/>
        </w:rPr>
      </w:pPr>
      <w:r w:rsidRPr="00795092">
        <w:rPr>
          <w:rFonts w:eastAsia="Times New Roman"/>
        </w:rPr>
        <w:t xml:space="preserve">Gomez GB, </w:t>
      </w:r>
      <w:proofErr w:type="spellStart"/>
      <w:r w:rsidRPr="00795092">
        <w:rPr>
          <w:rFonts w:eastAsia="Times New Roman"/>
        </w:rPr>
        <w:t>Kamb</w:t>
      </w:r>
      <w:proofErr w:type="spellEnd"/>
      <w:r w:rsidRPr="00795092">
        <w:rPr>
          <w:rFonts w:eastAsia="Times New Roman"/>
        </w:rPr>
        <w:t xml:space="preserve"> ML, Newman LM, Mark J, </w:t>
      </w:r>
      <w:proofErr w:type="spellStart"/>
      <w:r w:rsidRPr="00795092">
        <w:rPr>
          <w:rFonts w:eastAsia="Times New Roman"/>
        </w:rPr>
        <w:t>Broutet</w:t>
      </w:r>
      <w:proofErr w:type="spellEnd"/>
      <w:r w:rsidRPr="00795092">
        <w:rPr>
          <w:rFonts w:eastAsia="Times New Roman"/>
        </w:rPr>
        <w:t xml:space="preserve"> N, Hawkes SJ. Untreated maternal syphilis and adverse outcomes of pregnancy: a systematic review and meta-analysis. </w:t>
      </w:r>
      <w:r w:rsidRPr="00795092">
        <w:rPr>
          <w:rStyle w:val="Emphasis"/>
          <w:rFonts w:eastAsia="Times New Roman"/>
          <w:b w:val="0"/>
          <w:bCs w:val="0"/>
        </w:rPr>
        <w:t>Bull World Health Organ</w:t>
      </w:r>
      <w:r w:rsidRPr="00795092">
        <w:rPr>
          <w:rFonts w:eastAsia="Times New Roman"/>
        </w:rPr>
        <w:t xml:space="preserve">. 2013;91(3):217–26. </w:t>
      </w:r>
      <w:proofErr w:type="spellStart"/>
      <w:r w:rsidRPr="00795092">
        <w:rPr>
          <w:rFonts w:eastAsia="Times New Roman"/>
        </w:rPr>
        <w:t>doi</w:t>
      </w:r>
      <w:proofErr w:type="spellEnd"/>
      <w:r w:rsidRPr="00795092">
        <w:rPr>
          <w:rFonts w:eastAsia="Times New Roman"/>
        </w:rPr>
        <w:t xml:space="preserve">: https://doi.org/10.2471/BLT.12.107623. </w:t>
      </w:r>
    </w:p>
    <w:p w14:paraId="08CE5764" w14:textId="77777777" w:rsidR="00264999" w:rsidRPr="00795092" w:rsidRDefault="00264999" w:rsidP="00795092">
      <w:pPr>
        <w:pStyle w:val="ListParagraph"/>
        <w:numPr>
          <w:ilvl w:val="0"/>
          <w:numId w:val="10"/>
        </w:numPr>
        <w:rPr>
          <w:rFonts w:eastAsia="Times New Roman"/>
        </w:rPr>
      </w:pPr>
      <w:proofErr w:type="spellStart"/>
      <w:r w:rsidRPr="00795092">
        <w:rPr>
          <w:rFonts w:eastAsia="Times New Roman"/>
        </w:rPr>
        <w:t>Shahrook</w:t>
      </w:r>
      <w:proofErr w:type="spellEnd"/>
      <w:r w:rsidRPr="00795092">
        <w:rPr>
          <w:rFonts w:eastAsia="Times New Roman"/>
        </w:rPr>
        <w:t xml:space="preserve"> S, Mori R, </w:t>
      </w:r>
      <w:proofErr w:type="spellStart"/>
      <w:r w:rsidRPr="00795092">
        <w:rPr>
          <w:rFonts w:eastAsia="Times New Roman"/>
        </w:rPr>
        <w:t>Ochirbat</w:t>
      </w:r>
      <w:proofErr w:type="spellEnd"/>
      <w:r w:rsidRPr="00795092">
        <w:rPr>
          <w:rFonts w:eastAsia="Times New Roman"/>
        </w:rPr>
        <w:t xml:space="preserve"> T, </w:t>
      </w:r>
      <w:proofErr w:type="spellStart"/>
      <w:r w:rsidRPr="00795092">
        <w:rPr>
          <w:rFonts w:eastAsia="Times New Roman"/>
        </w:rPr>
        <w:t>Gomi</w:t>
      </w:r>
      <w:proofErr w:type="spellEnd"/>
      <w:r w:rsidRPr="00795092">
        <w:rPr>
          <w:rFonts w:eastAsia="Times New Roman"/>
        </w:rPr>
        <w:t xml:space="preserve"> H. Strategies of testing for syphilis during pregnancy. </w:t>
      </w:r>
      <w:r w:rsidRPr="00795092">
        <w:rPr>
          <w:rStyle w:val="Emphasis"/>
          <w:rFonts w:eastAsia="Times New Roman"/>
          <w:b w:val="0"/>
          <w:bCs w:val="0"/>
        </w:rPr>
        <w:t>Cochrane Database Syst Rev</w:t>
      </w:r>
      <w:r w:rsidRPr="00795092">
        <w:rPr>
          <w:rFonts w:eastAsia="Times New Roman"/>
        </w:rPr>
        <w:t xml:space="preserve">. 2014;(10):CD010385. </w:t>
      </w:r>
      <w:proofErr w:type="spellStart"/>
      <w:r w:rsidRPr="00795092">
        <w:rPr>
          <w:rFonts w:eastAsia="Times New Roman"/>
        </w:rPr>
        <w:t>doi</w:t>
      </w:r>
      <w:proofErr w:type="spellEnd"/>
      <w:r w:rsidRPr="00795092">
        <w:rPr>
          <w:rFonts w:eastAsia="Times New Roman"/>
        </w:rPr>
        <w:t xml:space="preserve">: https://doi.org/10.1002/14651858.CD010385.pub2. </w:t>
      </w:r>
    </w:p>
    <w:p w14:paraId="6EFB5418" w14:textId="77777777" w:rsidR="00264999" w:rsidRPr="00795092" w:rsidRDefault="00264999" w:rsidP="00795092">
      <w:pPr>
        <w:pStyle w:val="ListParagraph"/>
        <w:numPr>
          <w:ilvl w:val="0"/>
          <w:numId w:val="10"/>
        </w:numPr>
        <w:rPr>
          <w:rFonts w:eastAsia="Times New Roman"/>
        </w:rPr>
      </w:pPr>
      <w:r w:rsidRPr="00795092">
        <w:rPr>
          <w:rFonts w:eastAsia="Times New Roman"/>
        </w:rPr>
        <w:t xml:space="preserve">Albright CM, Emerson JB, Werner EF, Hughes BL. Third-trimester prenatal syphilis screening: a cost-effectiveness analysis. </w:t>
      </w:r>
      <w:proofErr w:type="spellStart"/>
      <w:r w:rsidRPr="00795092">
        <w:rPr>
          <w:rStyle w:val="Emphasis"/>
          <w:rFonts w:eastAsia="Times New Roman"/>
          <w:b w:val="0"/>
          <w:bCs w:val="0"/>
        </w:rPr>
        <w:t>Obstet</w:t>
      </w:r>
      <w:proofErr w:type="spellEnd"/>
      <w:r w:rsidRPr="00795092">
        <w:rPr>
          <w:rStyle w:val="Emphasis"/>
          <w:rFonts w:eastAsia="Times New Roman"/>
          <w:b w:val="0"/>
          <w:bCs w:val="0"/>
        </w:rPr>
        <w:t xml:space="preserve"> Gynecol</w:t>
      </w:r>
      <w:r w:rsidRPr="00795092">
        <w:rPr>
          <w:rFonts w:eastAsia="Times New Roman"/>
        </w:rPr>
        <w:t xml:space="preserve">. 2015;126(3):479–85. </w:t>
      </w:r>
      <w:proofErr w:type="spellStart"/>
      <w:r w:rsidRPr="00795092">
        <w:rPr>
          <w:rFonts w:eastAsia="Times New Roman"/>
        </w:rPr>
        <w:t>doi</w:t>
      </w:r>
      <w:proofErr w:type="spellEnd"/>
      <w:r w:rsidRPr="00795092">
        <w:rPr>
          <w:rFonts w:eastAsia="Times New Roman"/>
        </w:rPr>
        <w:t xml:space="preserve">: https://doi.org/10.1097/AOG.0000000000000997. </w:t>
      </w:r>
    </w:p>
    <w:p w14:paraId="3AD60279" w14:textId="77777777" w:rsidR="00264999" w:rsidRPr="00795092" w:rsidRDefault="00264999" w:rsidP="00795092">
      <w:pPr>
        <w:pStyle w:val="ListParagraph"/>
        <w:numPr>
          <w:ilvl w:val="0"/>
          <w:numId w:val="10"/>
        </w:numPr>
        <w:rPr>
          <w:rFonts w:eastAsia="Times New Roman"/>
        </w:rPr>
      </w:pPr>
      <w:proofErr w:type="spellStart"/>
      <w:r w:rsidRPr="00795092">
        <w:rPr>
          <w:rFonts w:eastAsia="Times New Roman"/>
        </w:rPr>
        <w:t>Bourchier</w:t>
      </w:r>
      <w:proofErr w:type="spellEnd"/>
      <w:r w:rsidRPr="00795092">
        <w:rPr>
          <w:rFonts w:eastAsia="Times New Roman"/>
        </w:rPr>
        <w:t xml:space="preserve"> L, Malta S, Temple-Smith M, Hocking J. Do we need to worry about sexually transmissible infections (STIs) in older women in Australia? An investigation of STI trends between 2000 and 2018. </w:t>
      </w:r>
      <w:r w:rsidRPr="00795092">
        <w:rPr>
          <w:rStyle w:val="Emphasis"/>
          <w:rFonts w:eastAsia="Times New Roman"/>
          <w:b w:val="0"/>
          <w:bCs w:val="0"/>
        </w:rPr>
        <w:t>Sex Health</w:t>
      </w:r>
      <w:r w:rsidRPr="00795092">
        <w:rPr>
          <w:rFonts w:eastAsia="Times New Roman"/>
        </w:rPr>
        <w:t xml:space="preserve">. 2020;17(6):517–24. </w:t>
      </w:r>
      <w:proofErr w:type="spellStart"/>
      <w:r w:rsidRPr="00795092">
        <w:rPr>
          <w:rFonts w:eastAsia="Times New Roman"/>
        </w:rPr>
        <w:t>doi</w:t>
      </w:r>
      <w:proofErr w:type="spellEnd"/>
      <w:r w:rsidRPr="00795092">
        <w:rPr>
          <w:rFonts w:eastAsia="Times New Roman"/>
        </w:rPr>
        <w:t xml:space="preserve">: https://doi.org/10.1071/SH20130. </w:t>
      </w:r>
    </w:p>
    <w:p w14:paraId="3F29A935" w14:textId="77777777" w:rsidR="00264999" w:rsidRPr="00795092" w:rsidRDefault="00264999" w:rsidP="00795092">
      <w:pPr>
        <w:pStyle w:val="ListParagraph"/>
        <w:numPr>
          <w:ilvl w:val="0"/>
          <w:numId w:val="10"/>
        </w:numPr>
        <w:rPr>
          <w:rFonts w:eastAsia="Times New Roman"/>
        </w:rPr>
      </w:pPr>
      <w:r w:rsidRPr="00795092">
        <w:rPr>
          <w:rFonts w:eastAsia="Times New Roman"/>
        </w:rPr>
        <w:lastRenderedPageBreak/>
        <w:t xml:space="preserve">Australian Bureau of Statistics (ABS). Penrith (C). 2016 Census All persons </w:t>
      </w:r>
      <w:proofErr w:type="spellStart"/>
      <w:r w:rsidRPr="00795092">
        <w:rPr>
          <w:rFonts w:eastAsia="Times New Roman"/>
        </w:rPr>
        <w:t>QuickStats</w:t>
      </w:r>
      <w:proofErr w:type="spellEnd"/>
      <w:r w:rsidRPr="00795092">
        <w:rPr>
          <w:rFonts w:eastAsia="Times New Roman"/>
        </w:rPr>
        <w:t xml:space="preserve">. [Webpage.] Canberra: ABS. [Accessed on 15 July 2022.] Available from: https://www.abs.gov.au/census/find-census-data/quickstats/2016/LGA16350. </w:t>
      </w:r>
    </w:p>
    <w:p w14:paraId="3C4D3A82" w14:textId="77777777" w:rsidR="00264999" w:rsidRPr="00795092" w:rsidRDefault="00264999" w:rsidP="00795092">
      <w:pPr>
        <w:pStyle w:val="ListParagraph"/>
        <w:numPr>
          <w:ilvl w:val="0"/>
          <w:numId w:val="10"/>
        </w:numPr>
        <w:rPr>
          <w:rFonts w:eastAsia="Times New Roman"/>
        </w:rPr>
      </w:pPr>
      <w:proofErr w:type="spellStart"/>
      <w:r w:rsidRPr="00795092">
        <w:rPr>
          <w:rFonts w:eastAsia="Times New Roman"/>
        </w:rPr>
        <w:t>Santella</w:t>
      </w:r>
      <w:proofErr w:type="spellEnd"/>
      <w:r w:rsidRPr="00795092">
        <w:rPr>
          <w:rFonts w:eastAsia="Times New Roman"/>
        </w:rPr>
        <w:t xml:space="preserve"> AJ, Pollack A, Harrison C, </w:t>
      </w:r>
      <w:proofErr w:type="spellStart"/>
      <w:r w:rsidRPr="00795092">
        <w:rPr>
          <w:rFonts w:eastAsia="Times New Roman"/>
        </w:rPr>
        <w:t>Sawleshwarkar</w:t>
      </w:r>
      <w:proofErr w:type="spellEnd"/>
      <w:r w:rsidRPr="00795092">
        <w:rPr>
          <w:rFonts w:eastAsia="Times New Roman"/>
        </w:rPr>
        <w:t xml:space="preserve"> SN, Britt HC, Hillman RJ. Management rates of sexually transmissible infections by Australian general practitioners, 2000–2012. </w:t>
      </w:r>
      <w:r w:rsidRPr="00795092">
        <w:rPr>
          <w:rStyle w:val="Emphasis"/>
          <w:rFonts w:eastAsia="Times New Roman"/>
          <w:b w:val="0"/>
          <w:bCs w:val="0"/>
        </w:rPr>
        <w:t>Sex Health</w:t>
      </w:r>
      <w:r w:rsidRPr="00795092">
        <w:rPr>
          <w:rFonts w:eastAsia="Times New Roman"/>
        </w:rPr>
        <w:t xml:space="preserve">. 2014;11(1):52–7. </w:t>
      </w:r>
      <w:proofErr w:type="spellStart"/>
      <w:r w:rsidRPr="00795092">
        <w:rPr>
          <w:rFonts w:eastAsia="Times New Roman"/>
        </w:rPr>
        <w:t>doi</w:t>
      </w:r>
      <w:proofErr w:type="spellEnd"/>
      <w:r w:rsidRPr="00795092">
        <w:rPr>
          <w:rFonts w:eastAsia="Times New Roman"/>
        </w:rPr>
        <w:t xml:space="preserve">: https://doi.org/10.1071/SH13179. </w:t>
      </w:r>
    </w:p>
    <w:p w14:paraId="79CA6869" w14:textId="77777777" w:rsidR="00264999" w:rsidRPr="00795092" w:rsidRDefault="00264999" w:rsidP="00795092">
      <w:pPr>
        <w:pStyle w:val="ListParagraph"/>
        <w:numPr>
          <w:ilvl w:val="0"/>
          <w:numId w:val="10"/>
        </w:numPr>
        <w:rPr>
          <w:rFonts w:eastAsia="Times New Roman"/>
        </w:rPr>
      </w:pPr>
      <w:r w:rsidRPr="00795092">
        <w:rPr>
          <w:rFonts w:eastAsia="Times New Roman"/>
        </w:rPr>
        <w:t xml:space="preserve">Gilbert M, Chang HJ, </w:t>
      </w:r>
      <w:proofErr w:type="spellStart"/>
      <w:r w:rsidRPr="00795092">
        <w:rPr>
          <w:rFonts w:eastAsia="Times New Roman"/>
        </w:rPr>
        <w:t>Ablona</w:t>
      </w:r>
      <w:proofErr w:type="spellEnd"/>
      <w:r w:rsidRPr="00795092">
        <w:rPr>
          <w:rFonts w:eastAsia="Times New Roman"/>
        </w:rPr>
        <w:t xml:space="preserve"> A, </w:t>
      </w:r>
      <w:proofErr w:type="spellStart"/>
      <w:r w:rsidRPr="00795092">
        <w:rPr>
          <w:rFonts w:eastAsia="Times New Roman"/>
        </w:rPr>
        <w:t>Salway</w:t>
      </w:r>
      <w:proofErr w:type="spellEnd"/>
      <w:r w:rsidRPr="00795092">
        <w:rPr>
          <w:rFonts w:eastAsia="Times New Roman"/>
        </w:rPr>
        <w:t xml:space="preserve"> T, Ogilvie GS, Wong J et al. Accessing needed sexual health services during the COVID-19 pandemic in British Columbia, Canada: a survey of sexual health service clients. </w:t>
      </w:r>
      <w:r w:rsidRPr="00795092">
        <w:rPr>
          <w:rStyle w:val="Emphasis"/>
          <w:rFonts w:eastAsia="Times New Roman"/>
          <w:b w:val="0"/>
          <w:bCs w:val="0"/>
        </w:rPr>
        <w:t xml:space="preserve">Sex </w:t>
      </w:r>
      <w:proofErr w:type="spellStart"/>
      <w:r w:rsidRPr="00795092">
        <w:rPr>
          <w:rStyle w:val="Emphasis"/>
          <w:rFonts w:eastAsia="Times New Roman"/>
          <w:b w:val="0"/>
          <w:bCs w:val="0"/>
        </w:rPr>
        <w:t>Transm</w:t>
      </w:r>
      <w:proofErr w:type="spellEnd"/>
      <w:r w:rsidRPr="00795092">
        <w:rPr>
          <w:rStyle w:val="Emphasis"/>
          <w:rFonts w:eastAsia="Times New Roman"/>
          <w:b w:val="0"/>
          <w:bCs w:val="0"/>
        </w:rPr>
        <w:t xml:space="preserve"> Infect</w:t>
      </w:r>
      <w:r w:rsidRPr="00795092">
        <w:rPr>
          <w:rFonts w:eastAsia="Times New Roman"/>
        </w:rPr>
        <w:t xml:space="preserve">. 2022;98(5):360–5. </w:t>
      </w:r>
      <w:proofErr w:type="spellStart"/>
      <w:r w:rsidRPr="00795092">
        <w:rPr>
          <w:rFonts w:eastAsia="Times New Roman"/>
        </w:rPr>
        <w:t>doi</w:t>
      </w:r>
      <w:proofErr w:type="spellEnd"/>
      <w:r w:rsidRPr="00795092">
        <w:rPr>
          <w:rFonts w:eastAsia="Times New Roman"/>
        </w:rPr>
        <w:t xml:space="preserve">: https://doi.org/10.1136/sextrans-2021-055013. </w:t>
      </w:r>
    </w:p>
    <w:p w14:paraId="65148685" w14:textId="77777777" w:rsidR="00264999" w:rsidRPr="00795092" w:rsidRDefault="00264999" w:rsidP="00795092">
      <w:pPr>
        <w:pStyle w:val="ListParagraph"/>
        <w:numPr>
          <w:ilvl w:val="0"/>
          <w:numId w:val="10"/>
        </w:numPr>
        <w:rPr>
          <w:rFonts w:eastAsia="Times New Roman"/>
        </w:rPr>
      </w:pPr>
      <w:r w:rsidRPr="00795092">
        <w:rPr>
          <w:rFonts w:eastAsia="Times New Roman"/>
        </w:rPr>
        <w:t xml:space="preserve">Coombe J, Kong FYS, </w:t>
      </w:r>
      <w:proofErr w:type="spellStart"/>
      <w:r w:rsidRPr="00795092">
        <w:rPr>
          <w:rFonts w:eastAsia="Times New Roman"/>
        </w:rPr>
        <w:t>Bittleston</w:t>
      </w:r>
      <w:proofErr w:type="spellEnd"/>
      <w:r w:rsidRPr="00795092">
        <w:rPr>
          <w:rFonts w:eastAsia="Times New Roman"/>
        </w:rPr>
        <w:t xml:space="preserve"> H, Williams H, </w:t>
      </w:r>
      <w:proofErr w:type="spellStart"/>
      <w:r w:rsidRPr="00795092">
        <w:rPr>
          <w:rFonts w:eastAsia="Times New Roman"/>
        </w:rPr>
        <w:t>Tomnay</w:t>
      </w:r>
      <w:proofErr w:type="spellEnd"/>
      <w:r w:rsidRPr="00795092">
        <w:rPr>
          <w:rFonts w:eastAsia="Times New Roman"/>
        </w:rPr>
        <w:t xml:space="preserve"> J, Vaisey A et al. Love during lockdown: findings from an online survey examining the impact of COVID-19 on the sexual health of people living in Australia. </w:t>
      </w:r>
      <w:r w:rsidRPr="00795092">
        <w:rPr>
          <w:rStyle w:val="Emphasis"/>
          <w:rFonts w:eastAsia="Times New Roman"/>
          <w:b w:val="0"/>
          <w:bCs w:val="0"/>
        </w:rPr>
        <w:t xml:space="preserve">Sex </w:t>
      </w:r>
      <w:proofErr w:type="spellStart"/>
      <w:r w:rsidRPr="00795092">
        <w:rPr>
          <w:rStyle w:val="Emphasis"/>
          <w:rFonts w:eastAsia="Times New Roman"/>
          <w:b w:val="0"/>
          <w:bCs w:val="0"/>
        </w:rPr>
        <w:t>Transm</w:t>
      </w:r>
      <w:proofErr w:type="spellEnd"/>
      <w:r w:rsidRPr="00795092">
        <w:rPr>
          <w:rStyle w:val="Emphasis"/>
          <w:rFonts w:eastAsia="Times New Roman"/>
          <w:b w:val="0"/>
          <w:bCs w:val="0"/>
        </w:rPr>
        <w:t xml:space="preserve"> Infect</w:t>
      </w:r>
      <w:r w:rsidRPr="00795092">
        <w:rPr>
          <w:rFonts w:eastAsia="Times New Roman"/>
        </w:rPr>
        <w:t xml:space="preserve">. 2020;97(5):357–62. </w:t>
      </w:r>
      <w:proofErr w:type="spellStart"/>
      <w:r w:rsidRPr="00795092">
        <w:rPr>
          <w:rFonts w:eastAsia="Times New Roman"/>
        </w:rPr>
        <w:t>doi</w:t>
      </w:r>
      <w:proofErr w:type="spellEnd"/>
      <w:r w:rsidRPr="00795092">
        <w:rPr>
          <w:rFonts w:eastAsia="Times New Roman"/>
        </w:rPr>
        <w:t>: https://doi.org/10.1136/sextrans-2020-054688.</w:t>
      </w:r>
    </w:p>
    <w:p w14:paraId="2986EF48" w14:textId="77777777" w:rsidR="008B5348" w:rsidRDefault="008B5348">
      <w:pPr>
        <w:rPr>
          <w:rStyle w:val="A10"/>
        </w:rPr>
        <w:sectPr w:rsidR="008B5348" w:rsidSect="00A30C37">
          <w:headerReference w:type="default" r:id="rId10"/>
          <w:footerReference w:type="default" r:id="rId11"/>
          <w:footerReference w:type="first" r:id="rId12"/>
          <w:footnotePr>
            <w:numFmt w:val="lowerRoman"/>
          </w:footnotePr>
          <w:pgSz w:w="11906" w:h="16838"/>
          <w:pgMar w:top="720" w:right="720" w:bottom="1134" w:left="720" w:header="709" w:footer="284" w:gutter="0"/>
          <w:cols w:space="708"/>
          <w:titlePg/>
          <w:docGrid w:linePitch="360"/>
        </w:sectPr>
      </w:pPr>
    </w:p>
    <w:p w14:paraId="3896634A"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C6BE851"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52BC74D8" w14:textId="77777777" w:rsidR="000A5F42" w:rsidRPr="000606CC" w:rsidRDefault="000A5F42" w:rsidP="000A5F42">
      <w:pPr>
        <w:pStyle w:val="NoSpacing"/>
        <w:rPr>
          <w:rStyle w:val="URI"/>
          <w:rFonts w:cstheme="minorHAnsi"/>
          <w:sz w:val="20"/>
          <w:szCs w:val="18"/>
        </w:rPr>
      </w:pPr>
    </w:p>
    <w:p w14:paraId="22DB6168"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Department of Health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55348B93" w14:textId="77777777" w:rsidR="000A5F42" w:rsidRPr="000606CC" w:rsidRDefault="000A5F42" w:rsidP="000A5F42">
      <w:pPr>
        <w:pStyle w:val="NoSpacing"/>
        <w:rPr>
          <w:rStyle w:val="Strong"/>
          <w:rFonts w:cstheme="minorHAnsi"/>
          <w:sz w:val="20"/>
          <w:szCs w:val="18"/>
        </w:rPr>
      </w:pPr>
    </w:p>
    <w:p w14:paraId="5BDB7A7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7E5CA0" w:rsidRPr="007E5CA0">
        <w:rPr>
          <w:rFonts w:cstheme="minorHAnsi"/>
          <w:sz w:val="20"/>
          <w:szCs w:val="18"/>
        </w:rPr>
        <w:t>Noel Lally</w:t>
      </w:r>
    </w:p>
    <w:p w14:paraId="0DF60EE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33A7A949"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421633C8"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w:t>
      </w:r>
      <w:proofErr w:type="spellStart"/>
      <w:r w:rsidR="00CF75DF" w:rsidRPr="00CF75DF">
        <w:rPr>
          <w:rFonts w:cstheme="minorHAnsi"/>
          <w:sz w:val="20"/>
          <w:szCs w:val="18"/>
        </w:rPr>
        <w:t>Durrheim</w:t>
      </w:r>
      <w:proofErr w:type="spellEnd"/>
      <w:r w:rsidR="00CF75DF" w:rsidRPr="00CF75DF">
        <w:rPr>
          <w:rFonts w:cstheme="minorHAnsi"/>
          <w:sz w:val="20"/>
          <w:szCs w:val="18"/>
        </w:rPr>
        <w:t>, Mark Ferson, Clare Huppatz, John Kaldor, Martyn Kirk, Meru Sheel and Steph</w:t>
      </w:r>
      <w:r w:rsidR="00CF75DF">
        <w:rPr>
          <w:rFonts w:cstheme="minorHAnsi"/>
          <w:sz w:val="20"/>
          <w:szCs w:val="18"/>
        </w:rPr>
        <w:t> </w:t>
      </w:r>
      <w:r w:rsidR="00CF75DF" w:rsidRPr="00CF75DF">
        <w:rPr>
          <w:rFonts w:cstheme="minorHAnsi"/>
          <w:sz w:val="20"/>
          <w:szCs w:val="18"/>
        </w:rPr>
        <w:t>Williams</w:t>
      </w:r>
    </w:p>
    <w:p w14:paraId="68CD4676" w14:textId="77777777" w:rsidR="000A5F42" w:rsidRPr="000606CC" w:rsidRDefault="000A5F42" w:rsidP="000A5F42">
      <w:pPr>
        <w:pStyle w:val="NoSpacing"/>
        <w:rPr>
          <w:rStyle w:val="Strong"/>
          <w:rFonts w:cstheme="minorHAnsi"/>
          <w:sz w:val="20"/>
          <w:szCs w:val="18"/>
        </w:rPr>
      </w:pPr>
    </w:p>
    <w:p w14:paraId="26150FA9" w14:textId="26389EB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1106845D" w14:textId="77777777" w:rsidR="000A5F42" w:rsidRPr="000606CC" w:rsidRDefault="000A5F42" w:rsidP="000A5F42">
      <w:pPr>
        <w:pStyle w:val="NoSpacing"/>
        <w:rPr>
          <w:rStyle w:val="Strong"/>
          <w:rFonts w:cstheme="minorHAnsi"/>
          <w:sz w:val="20"/>
          <w:szCs w:val="18"/>
        </w:rPr>
      </w:pPr>
    </w:p>
    <w:p w14:paraId="42109F94"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12C6C8A9" w14:textId="77777777" w:rsidR="000A5F42" w:rsidRPr="000606CC" w:rsidRDefault="000A5F42" w:rsidP="000A5F42">
      <w:pPr>
        <w:pStyle w:val="NoSpacing"/>
        <w:rPr>
          <w:rStyle w:val="Strong"/>
          <w:rFonts w:cstheme="minorHAnsi"/>
          <w:sz w:val="20"/>
          <w:szCs w:val="18"/>
        </w:rPr>
      </w:pPr>
    </w:p>
    <w:p w14:paraId="6F0CB157" w14:textId="1681837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54FC4E6A" w14:textId="77777777" w:rsidR="000A5F42" w:rsidRPr="000606CC" w:rsidRDefault="000A5F42" w:rsidP="000A5F42">
      <w:pPr>
        <w:pStyle w:val="NoSpacing"/>
        <w:rPr>
          <w:rStyle w:val="Strong"/>
          <w:rFonts w:cstheme="minorHAnsi"/>
          <w:sz w:val="20"/>
          <w:szCs w:val="18"/>
        </w:rPr>
      </w:pPr>
    </w:p>
    <w:p w14:paraId="6E59236E" w14:textId="59D84230"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6CB11484" w14:textId="26589A34"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606CF8F9" w14:textId="77777777" w:rsidR="000A5F42" w:rsidRPr="000606CC" w:rsidRDefault="000A5F42" w:rsidP="000A5F42">
      <w:pPr>
        <w:pStyle w:val="NoSpacing"/>
        <w:pBdr>
          <w:bottom w:val="single" w:sz="6" w:space="1" w:color="auto"/>
        </w:pBdr>
        <w:rPr>
          <w:rStyle w:val="Strong"/>
          <w:rFonts w:cstheme="minorHAnsi"/>
          <w:sz w:val="12"/>
          <w:szCs w:val="18"/>
        </w:rPr>
      </w:pPr>
    </w:p>
    <w:p w14:paraId="4F984D63" w14:textId="77777777" w:rsidR="000A5F42" w:rsidRPr="000606CC" w:rsidRDefault="000A5F42" w:rsidP="000A5F42">
      <w:pPr>
        <w:pStyle w:val="NoSpacing"/>
        <w:rPr>
          <w:rFonts w:cstheme="minorHAnsi"/>
          <w:sz w:val="20"/>
          <w:szCs w:val="18"/>
        </w:rPr>
      </w:pPr>
    </w:p>
    <w:p w14:paraId="20DD9C25"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Medicus and Medline.</w:t>
      </w:r>
    </w:p>
    <w:p w14:paraId="70BBEE5C" w14:textId="77777777" w:rsidR="000A5F42" w:rsidRPr="000606CC" w:rsidRDefault="000A5F42" w:rsidP="000A5F42">
      <w:pPr>
        <w:pStyle w:val="NoSpacing"/>
        <w:rPr>
          <w:rFonts w:cstheme="minorHAnsi"/>
          <w:sz w:val="20"/>
          <w:szCs w:val="18"/>
        </w:rPr>
      </w:pPr>
    </w:p>
    <w:p w14:paraId="74B44517"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42CB855B"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4F01CA">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14C7D398" w14:textId="41C0DD92"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510D3866" w14:textId="77777777" w:rsidR="000A5F42" w:rsidRPr="000606CC" w:rsidRDefault="000A5F42" w:rsidP="000A5F42">
      <w:pPr>
        <w:pStyle w:val="NoSpacing"/>
        <w:rPr>
          <w:rFonts w:cstheme="minorHAnsi"/>
          <w:sz w:val="20"/>
          <w:szCs w:val="18"/>
        </w:rPr>
      </w:pPr>
    </w:p>
    <w:p w14:paraId="0339742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4E29C081" w14:textId="498221F8"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32CAE18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2C3A6ED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58BA87B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06F65DD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347BB8F5" w14:textId="77777777" w:rsidR="000A5F42" w:rsidRPr="000606CC" w:rsidRDefault="000A5F42" w:rsidP="000A5F42">
      <w:pPr>
        <w:pStyle w:val="NoSpacing"/>
        <w:rPr>
          <w:rStyle w:val="Strong"/>
          <w:rFonts w:cstheme="minorHAnsi"/>
          <w:sz w:val="20"/>
          <w:szCs w:val="18"/>
        </w:rPr>
      </w:pPr>
    </w:p>
    <w:p w14:paraId="09736866"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2B78B8EB" w14:textId="77777777" w:rsidR="000A5F42" w:rsidRPr="000606CC" w:rsidRDefault="000A5F42" w:rsidP="000A5F42">
      <w:pPr>
        <w:pStyle w:val="NoSpacing"/>
        <w:rPr>
          <w:rStyle w:val="Strong"/>
          <w:rFonts w:cstheme="minorHAnsi"/>
          <w:sz w:val="20"/>
          <w:szCs w:val="18"/>
        </w:rPr>
      </w:pPr>
    </w:p>
    <w:p w14:paraId="515ADB1F" w14:textId="2DC07B8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595269B" w14:textId="77777777" w:rsidR="000A5F42" w:rsidRPr="000606CC" w:rsidRDefault="000A5F42" w:rsidP="000A5F42">
      <w:pPr>
        <w:pStyle w:val="NoSpacing"/>
        <w:rPr>
          <w:rStyle w:val="URI"/>
          <w:rFonts w:cstheme="minorHAnsi"/>
          <w:sz w:val="20"/>
          <w:szCs w:val="18"/>
        </w:rPr>
      </w:pPr>
    </w:p>
    <w:p w14:paraId="65F6C2D3" w14:textId="2F1157F1"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1"/>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8848E" w14:textId="77777777" w:rsidR="004F01CA" w:rsidRDefault="004F01CA" w:rsidP="00E54DBA">
      <w:r>
        <w:separator/>
      </w:r>
    </w:p>
    <w:p w14:paraId="51F22708" w14:textId="77777777" w:rsidR="004F01CA" w:rsidRDefault="004F01CA"/>
    <w:p w14:paraId="51D04A07" w14:textId="77777777" w:rsidR="004F01CA" w:rsidRDefault="004F01CA" w:rsidP="008714B0"/>
  </w:endnote>
  <w:endnote w:type="continuationSeparator" w:id="0">
    <w:p w14:paraId="39164229" w14:textId="77777777" w:rsidR="004F01CA" w:rsidRDefault="004F01CA" w:rsidP="00E54DBA">
      <w:r>
        <w:continuationSeparator/>
      </w:r>
    </w:p>
    <w:p w14:paraId="25F4FBCF" w14:textId="77777777" w:rsidR="004F01CA" w:rsidRDefault="004F01CA"/>
    <w:p w14:paraId="426CF0AB" w14:textId="77777777" w:rsidR="004F01CA" w:rsidRDefault="004F01C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0237" w14:textId="3750BCF9"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264999">
      <w:rPr>
        <w:i/>
        <w:sz w:val="18"/>
      </w:rPr>
      <w:t>Commun</w:t>
    </w:r>
    <w:proofErr w:type="spellEnd"/>
    <w:r w:rsidR="00CE342B" w:rsidRPr="00264999">
      <w:rPr>
        <w:i/>
        <w:sz w:val="18"/>
      </w:rPr>
      <w:t xml:space="preserve"> Dis </w:t>
    </w:r>
    <w:proofErr w:type="spellStart"/>
    <w:r w:rsidR="00CE342B" w:rsidRPr="00264999">
      <w:rPr>
        <w:i/>
        <w:sz w:val="18"/>
      </w:rPr>
      <w:t>Intell</w:t>
    </w:r>
    <w:proofErr w:type="spellEnd"/>
    <w:r w:rsidR="00CE342B" w:rsidRPr="00264999">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4F01CA">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4F01CA">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F70579">
      <w:rPr>
        <w:sz w:val="18"/>
      </w:rPr>
      <w:t>https://doi.org/10.33321/cdi.2023.47.17</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F70579">
      <w:rPr>
        <w:sz w:val="18"/>
      </w:rPr>
      <w:t>23/03/2023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4AAE" w14:textId="16612651"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264999">
      <w:rPr>
        <w:i/>
        <w:sz w:val="18"/>
      </w:rPr>
      <w:t>Commun</w:t>
    </w:r>
    <w:proofErr w:type="spellEnd"/>
    <w:r w:rsidR="00A164D5" w:rsidRPr="00264999">
      <w:rPr>
        <w:i/>
        <w:sz w:val="18"/>
      </w:rPr>
      <w:t xml:space="preserve"> Dis </w:t>
    </w:r>
    <w:proofErr w:type="spellStart"/>
    <w:r w:rsidR="00A164D5" w:rsidRPr="00264999">
      <w:rPr>
        <w:i/>
        <w:sz w:val="18"/>
      </w:rPr>
      <w:t>Intell</w:t>
    </w:r>
    <w:proofErr w:type="spellEnd"/>
    <w:r w:rsidR="00A164D5" w:rsidRPr="00264999">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4F01CA">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4F01CA">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F70579">
      <w:rPr>
        <w:sz w:val="18"/>
      </w:rPr>
      <w:t>https://doi.org/10.33321/cdi.2023.47.17</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F70579">
      <w:rPr>
        <w:sz w:val="18"/>
      </w:rPr>
      <w:t>23/03/2023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D1389" w14:textId="77777777" w:rsidR="004F01CA" w:rsidRPr="00B91FB5" w:rsidRDefault="004F01CA" w:rsidP="00B91FB5">
      <w:pPr>
        <w:spacing w:after="0" w:line="240" w:lineRule="auto"/>
        <w:rPr>
          <w:sz w:val="18"/>
          <w:szCs w:val="18"/>
        </w:rPr>
      </w:pPr>
      <w:r w:rsidRPr="00B91FB5">
        <w:rPr>
          <w:sz w:val="18"/>
          <w:szCs w:val="18"/>
        </w:rPr>
        <w:separator/>
      </w:r>
    </w:p>
  </w:footnote>
  <w:footnote w:type="continuationSeparator" w:id="0">
    <w:p w14:paraId="7F646195" w14:textId="77777777" w:rsidR="004F01CA" w:rsidRDefault="004F01CA" w:rsidP="00E54DBA">
      <w:r>
        <w:continuationSeparator/>
      </w:r>
    </w:p>
  </w:footnote>
  <w:footnote w:type="continuationNotice" w:id="1">
    <w:p w14:paraId="35D9FB5E" w14:textId="77777777" w:rsidR="004F01CA" w:rsidRPr="00224EFF" w:rsidRDefault="004F01CA" w:rsidP="00224EFF">
      <w:pPr>
        <w:pStyle w:val="Footer"/>
      </w:pPr>
    </w:p>
  </w:footnote>
  <w:footnote w:id="2">
    <w:p w14:paraId="7436E8EF" w14:textId="6244EF95" w:rsidR="00AE6F96" w:rsidRPr="00AE6F96" w:rsidRDefault="00AE6F96" w:rsidP="00AE6F96">
      <w:pPr>
        <w:pStyle w:val="CDIfootnotes"/>
      </w:pPr>
      <w:r w:rsidRPr="00AE6F96">
        <w:rPr>
          <w:rStyle w:val="FootnoteReference"/>
          <w:vertAlign w:val="baseline"/>
        </w:rPr>
        <w:footnoteRef/>
      </w:r>
      <w:r w:rsidRPr="00AE6F96">
        <w:t xml:space="preserve"> </w:t>
      </w:r>
      <w:r>
        <w:tab/>
      </w:r>
      <w:r w:rsidRPr="00AE6F96">
        <w:t>See https://www.abs.gov.au/ausstats/abs@.nsf/mf/2039.0.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CF96" w14:textId="7AF54F42" w:rsidR="00257484" w:rsidRPr="00A153B6" w:rsidRDefault="004C5848"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64534B">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27F8"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6C158B6D" wp14:editId="1192D5A1">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6F"/>
    <w:multiLevelType w:val="hybridMultilevel"/>
    <w:tmpl w:val="5D2858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ED250E"/>
    <w:multiLevelType w:val="hybridMultilevel"/>
    <w:tmpl w:val="8A86BB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8A2CFC"/>
    <w:multiLevelType w:val="multilevel"/>
    <w:tmpl w:val="0944F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E2128F"/>
    <w:multiLevelType w:val="multilevel"/>
    <w:tmpl w:val="6C28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8"/>
  </w:num>
  <w:num w:numId="6">
    <w:abstractNumId w:val="9"/>
  </w:num>
  <w:num w:numId="7">
    <w:abstractNumId w:val="6"/>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noPunctuationKerning/>
  <w:characterSpacingControl w:val="doNotCompress"/>
  <w:hdrShapeDefaults>
    <o:shapedefaults v:ext="edit" spidmax="10241"/>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CA"/>
    <w:rsid w:val="00000B5B"/>
    <w:rsid w:val="00001611"/>
    <w:rsid w:val="000104A8"/>
    <w:rsid w:val="0001246E"/>
    <w:rsid w:val="000124B1"/>
    <w:rsid w:val="00016FE6"/>
    <w:rsid w:val="00031064"/>
    <w:rsid w:val="00031692"/>
    <w:rsid w:val="00032531"/>
    <w:rsid w:val="000325A0"/>
    <w:rsid w:val="000471BF"/>
    <w:rsid w:val="0004791A"/>
    <w:rsid w:val="00047B68"/>
    <w:rsid w:val="000502B3"/>
    <w:rsid w:val="00052600"/>
    <w:rsid w:val="0005643C"/>
    <w:rsid w:val="000610B7"/>
    <w:rsid w:val="0006264A"/>
    <w:rsid w:val="00073D77"/>
    <w:rsid w:val="00076A7C"/>
    <w:rsid w:val="00081655"/>
    <w:rsid w:val="000864E0"/>
    <w:rsid w:val="000969B3"/>
    <w:rsid w:val="000A5F42"/>
    <w:rsid w:val="000D4B4D"/>
    <w:rsid w:val="00113D58"/>
    <w:rsid w:val="001200CB"/>
    <w:rsid w:val="00122CEA"/>
    <w:rsid w:val="001378A3"/>
    <w:rsid w:val="00155582"/>
    <w:rsid w:val="00161590"/>
    <w:rsid w:val="00171CC0"/>
    <w:rsid w:val="001723AC"/>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E4E1D"/>
    <w:rsid w:val="00224EFF"/>
    <w:rsid w:val="002276DC"/>
    <w:rsid w:val="00227E00"/>
    <w:rsid w:val="002307CB"/>
    <w:rsid w:val="00231046"/>
    <w:rsid w:val="00234F21"/>
    <w:rsid w:val="002421B4"/>
    <w:rsid w:val="00242659"/>
    <w:rsid w:val="002428F7"/>
    <w:rsid w:val="0024315F"/>
    <w:rsid w:val="0024631C"/>
    <w:rsid w:val="00252C9A"/>
    <w:rsid w:val="00256309"/>
    <w:rsid w:val="00257484"/>
    <w:rsid w:val="00260636"/>
    <w:rsid w:val="00264999"/>
    <w:rsid w:val="00275C5C"/>
    <w:rsid w:val="00275C78"/>
    <w:rsid w:val="00280594"/>
    <w:rsid w:val="00281EE3"/>
    <w:rsid w:val="00284E4A"/>
    <w:rsid w:val="002902F9"/>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C7841"/>
    <w:rsid w:val="003D79B1"/>
    <w:rsid w:val="003E568F"/>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8530A"/>
    <w:rsid w:val="004A2125"/>
    <w:rsid w:val="004A38F6"/>
    <w:rsid w:val="004B4EB6"/>
    <w:rsid w:val="004C083C"/>
    <w:rsid w:val="004C2149"/>
    <w:rsid w:val="004C67C6"/>
    <w:rsid w:val="004D29DE"/>
    <w:rsid w:val="004F01CA"/>
    <w:rsid w:val="004F7A02"/>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0F35"/>
    <w:rsid w:val="005D2465"/>
    <w:rsid w:val="005E33DD"/>
    <w:rsid w:val="005E4229"/>
    <w:rsid w:val="005E5181"/>
    <w:rsid w:val="005E540E"/>
    <w:rsid w:val="005E55FB"/>
    <w:rsid w:val="005F16BB"/>
    <w:rsid w:val="005F41CD"/>
    <w:rsid w:val="00607115"/>
    <w:rsid w:val="00620768"/>
    <w:rsid w:val="0062594B"/>
    <w:rsid w:val="00631406"/>
    <w:rsid w:val="006324FF"/>
    <w:rsid w:val="006351D6"/>
    <w:rsid w:val="00636E0D"/>
    <w:rsid w:val="0064142F"/>
    <w:rsid w:val="00643CB4"/>
    <w:rsid w:val="0064534B"/>
    <w:rsid w:val="00656427"/>
    <w:rsid w:val="00660255"/>
    <w:rsid w:val="00663EA5"/>
    <w:rsid w:val="006971F3"/>
    <w:rsid w:val="006C74A3"/>
    <w:rsid w:val="006D1381"/>
    <w:rsid w:val="006D31BC"/>
    <w:rsid w:val="006E7943"/>
    <w:rsid w:val="006F24EA"/>
    <w:rsid w:val="00704CA9"/>
    <w:rsid w:val="0071048D"/>
    <w:rsid w:val="00710F86"/>
    <w:rsid w:val="007111A8"/>
    <w:rsid w:val="00723B5F"/>
    <w:rsid w:val="007253BB"/>
    <w:rsid w:val="00731BC3"/>
    <w:rsid w:val="00741192"/>
    <w:rsid w:val="00743A33"/>
    <w:rsid w:val="00746080"/>
    <w:rsid w:val="0075144A"/>
    <w:rsid w:val="00786329"/>
    <w:rsid w:val="00792C7D"/>
    <w:rsid w:val="00794A4D"/>
    <w:rsid w:val="00795092"/>
    <w:rsid w:val="007A5234"/>
    <w:rsid w:val="007B7854"/>
    <w:rsid w:val="007C56A1"/>
    <w:rsid w:val="007C6454"/>
    <w:rsid w:val="007D242D"/>
    <w:rsid w:val="007E01E0"/>
    <w:rsid w:val="007E5CA0"/>
    <w:rsid w:val="007F0B93"/>
    <w:rsid w:val="007F2ECA"/>
    <w:rsid w:val="00811708"/>
    <w:rsid w:val="00812E56"/>
    <w:rsid w:val="00816B90"/>
    <w:rsid w:val="00817799"/>
    <w:rsid w:val="00822F5F"/>
    <w:rsid w:val="00824FD3"/>
    <w:rsid w:val="00826589"/>
    <w:rsid w:val="00834BCC"/>
    <w:rsid w:val="00850D54"/>
    <w:rsid w:val="00852E2B"/>
    <w:rsid w:val="008714B0"/>
    <w:rsid w:val="00876331"/>
    <w:rsid w:val="00880726"/>
    <w:rsid w:val="008A3544"/>
    <w:rsid w:val="008A5D85"/>
    <w:rsid w:val="008B48B8"/>
    <w:rsid w:val="008B5348"/>
    <w:rsid w:val="008B58F8"/>
    <w:rsid w:val="008C0712"/>
    <w:rsid w:val="008C4520"/>
    <w:rsid w:val="008C5F09"/>
    <w:rsid w:val="008D470F"/>
    <w:rsid w:val="008E1F8F"/>
    <w:rsid w:val="008E4072"/>
    <w:rsid w:val="008E4768"/>
    <w:rsid w:val="008E761E"/>
    <w:rsid w:val="008F77B3"/>
    <w:rsid w:val="009008F5"/>
    <w:rsid w:val="00904CC1"/>
    <w:rsid w:val="009066AF"/>
    <w:rsid w:val="00912050"/>
    <w:rsid w:val="00912E48"/>
    <w:rsid w:val="00912E68"/>
    <w:rsid w:val="0092746F"/>
    <w:rsid w:val="00935DC9"/>
    <w:rsid w:val="009446C0"/>
    <w:rsid w:val="0096082E"/>
    <w:rsid w:val="00960EAF"/>
    <w:rsid w:val="00961347"/>
    <w:rsid w:val="00967410"/>
    <w:rsid w:val="00967D73"/>
    <w:rsid w:val="0098119A"/>
    <w:rsid w:val="00984AAF"/>
    <w:rsid w:val="00991B09"/>
    <w:rsid w:val="00993CB2"/>
    <w:rsid w:val="009A5166"/>
    <w:rsid w:val="009A76F8"/>
    <w:rsid w:val="009B2B83"/>
    <w:rsid w:val="009C49F8"/>
    <w:rsid w:val="009D77CC"/>
    <w:rsid w:val="009D797A"/>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0209"/>
    <w:rsid w:val="00AE3DCF"/>
    <w:rsid w:val="00AE4452"/>
    <w:rsid w:val="00AE6F96"/>
    <w:rsid w:val="00AE7C38"/>
    <w:rsid w:val="00B01F99"/>
    <w:rsid w:val="00B02B37"/>
    <w:rsid w:val="00B05276"/>
    <w:rsid w:val="00B132DB"/>
    <w:rsid w:val="00B31427"/>
    <w:rsid w:val="00B33861"/>
    <w:rsid w:val="00B40DE2"/>
    <w:rsid w:val="00B50210"/>
    <w:rsid w:val="00B53955"/>
    <w:rsid w:val="00B63C79"/>
    <w:rsid w:val="00B63EE0"/>
    <w:rsid w:val="00B6408A"/>
    <w:rsid w:val="00B6478A"/>
    <w:rsid w:val="00B714B8"/>
    <w:rsid w:val="00B82C2C"/>
    <w:rsid w:val="00B8720B"/>
    <w:rsid w:val="00B876EF"/>
    <w:rsid w:val="00B91FB5"/>
    <w:rsid w:val="00BA4697"/>
    <w:rsid w:val="00BB5378"/>
    <w:rsid w:val="00BC0BD3"/>
    <w:rsid w:val="00BD0107"/>
    <w:rsid w:val="00BE0C33"/>
    <w:rsid w:val="00BE262C"/>
    <w:rsid w:val="00BE4C25"/>
    <w:rsid w:val="00BE6C3D"/>
    <w:rsid w:val="00BE7B0C"/>
    <w:rsid w:val="00BF2485"/>
    <w:rsid w:val="00C07606"/>
    <w:rsid w:val="00C12542"/>
    <w:rsid w:val="00C130EE"/>
    <w:rsid w:val="00C24725"/>
    <w:rsid w:val="00C30BA9"/>
    <w:rsid w:val="00C3541E"/>
    <w:rsid w:val="00C36A8F"/>
    <w:rsid w:val="00C42834"/>
    <w:rsid w:val="00C42FFA"/>
    <w:rsid w:val="00C507D8"/>
    <w:rsid w:val="00C51F5A"/>
    <w:rsid w:val="00C62EAC"/>
    <w:rsid w:val="00C63F9F"/>
    <w:rsid w:val="00C7723C"/>
    <w:rsid w:val="00C838F5"/>
    <w:rsid w:val="00C841C0"/>
    <w:rsid w:val="00CA1AF4"/>
    <w:rsid w:val="00CA6068"/>
    <w:rsid w:val="00CB04B4"/>
    <w:rsid w:val="00CB15E1"/>
    <w:rsid w:val="00CB3D46"/>
    <w:rsid w:val="00CD1A87"/>
    <w:rsid w:val="00CD35F3"/>
    <w:rsid w:val="00CD5C93"/>
    <w:rsid w:val="00CE342B"/>
    <w:rsid w:val="00CF320C"/>
    <w:rsid w:val="00CF3A4B"/>
    <w:rsid w:val="00CF4001"/>
    <w:rsid w:val="00CF75DF"/>
    <w:rsid w:val="00D05837"/>
    <w:rsid w:val="00D12D8A"/>
    <w:rsid w:val="00D13E0C"/>
    <w:rsid w:val="00D25896"/>
    <w:rsid w:val="00D373A1"/>
    <w:rsid w:val="00D37C0F"/>
    <w:rsid w:val="00D45661"/>
    <w:rsid w:val="00D45943"/>
    <w:rsid w:val="00D47D22"/>
    <w:rsid w:val="00D51865"/>
    <w:rsid w:val="00D51D0C"/>
    <w:rsid w:val="00D74140"/>
    <w:rsid w:val="00DA6E56"/>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3164C"/>
    <w:rsid w:val="00E41455"/>
    <w:rsid w:val="00E42AD2"/>
    <w:rsid w:val="00E50856"/>
    <w:rsid w:val="00E51D31"/>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3E29"/>
    <w:rsid w:val="00EE489F"/>
    <w:rsid w:val="00F016F3"/>
    <w:rsid w:val="00F0647F"/>
    <w:rsid w:val="00F10CE3"/>
    <w:rsid w:val="00F12006"/>
    <w:rsid w:val="00F13443"/>
    <w:rsid w:val="00F14F3B"/>
    <w:rsid w:val="00F16362"/>
    <w:rsid w:val="00F207C7"/>
    <w:rsid w:val="00F36B6D"/>
    <w:rsid w:val="00F43FA3"/>
    <w:rsid w:val="00F55648"/>
    <w:rsid w:val="00F6263D"/>
    <w:rsid w:val="00F70046"/>
    <w:rsid w:val="00F70579"/>
    <w:rsid w:val="00F741C8"/>
    <w:rsid w:val="00F748C2"/>
    <w:rsid w:val="00F74958"/>
    <w:rsid w:val="00F76C5C"/>
    <w:rsid w:val="00F80DA9"/>
    <w:rsid w:val="00F81EF3"/>
    <w:rsid w:val="00F84496"/>
    <w:rsid w:val="00F85DCB"/>
    <w:rsid w:val="00F86916"/>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38475F"/>
  <w15:docId w15:val="{D2E9099C-CFB4-4E51-889F-C16CEBA7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5935914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7</TotalTime>
  <Pages>12</Pages>
  <Words>4630</Words>
  <Characters>27051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Communicable Diseases Intelligence - Epidemiology of syphilis in the Nepean and Blue Mountains Local Health District between 1 October 2009 and 30 September 2019</vt:lpstr>
    </vt:vector>
  </TitlesOfParts>
  <Company>Australian Government, Department of Health</Company>
  <LinksUpToDate>false</LinksUpToDate>
  <CharactersWithSpaces>31618</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Epidemiology of syphilis in the Nepean and Blue Mountains Local Health District between 1 October 2009 and 30 September 2019</dc:title>
  <dc:creator>Sheena R Kakar; George Truman; Jane Thomas; Eva YH Jackson; Bradley L Forssman</dc:creator>
  <cp:keywords>Syphilis; sexually transmitted infections; men who have sex with men; MSM; sexual health</cp:keywords>
  <dc:description>© Commonwealth of Australia CC BY-NC-ND ISSN: 2209-6051 (Online)</dc:description>
  <cp:lastModifiedBy>YOUSEFI, Kasra</cp:lastModifiedBy>
  <cp:revision>5</cp:revision>
  <cp:lastPrinted>2018-05-10T02:19:00Z</cp:lastPrinted>
  <dcterms:created xsi:type="dcterms:W3CDTF">2023-03-08T23:16:00Z</dcterms:created>
  <dcterms:modified xsi:type="dcterms:W3CDTF">2023-03-14T05:22:00Z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23/03/2023</vt:lpwstr>
  </property>
  <property fmtid="{D5CDD505-2E9C-101B-9397-08002B2CF9AE}" pid="5" name="DOI">
    <vt:lpwstr>https://doi.org/10.33321/cdi.2023.47.17</vt:lpwstr>
  </property>
</Properties>
</file>