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DE0A" w14:textId="77777777" w:rsidR="00702FEE" w:rsidRDefault="00702FEE" w:rsidP="00702FEE">
      <w:pPr>
        <w:pStyle w:val="Title"/>
        <w:rPr>
          <w:rFonts w:eastAsia="Times New Roman"/>
          <w:sz w:val="48"/>
          <w:szCs w:val="48"/>
        </w:rPr>
      </w:pPr>
      <w:r>
        <w:rPr>
          <w:rFonts w:eastAsia="Times New Roman"/>
        </w:rPr>
        <w:t xml:space="preserve">Identifying a more severe emergent COVID-19 variant using Emergency </w:t>
      </w:r>
      <w:proofErr w:type="gramStart"/>
      <w:r>
        <w:rPr>
          <w:rFonts w:eastAsia="Times New Roman"/>
        </w:rPr>
        <w:t>Departments’</w:t>
      </w:r>
      <w:proofErr w:type="gramEnd"/>
      <w:r>
        <w:rPr>
          <w:rFonts w:eastAsia="Times New Roman"/>
        </w:rPr>
        <w:t xml:space="preserve"> routinely collected clinical measures </w:t>
      </w:r>
    </w:p>
    <w:p w14:paraId="7C3722D6" w14:textId="77777777" w:rsidR="00702FEE" w:rsidRDefault="00702FEE" w:rsidP="00702FEE">
      <w:r>
        <w:t xml:space="preserve">Adelaide Nyinawingeri, Michael Staff </w:t>
      </w:r>
    </w:p>
    <w:p w14:paraId="6A4059A9" w14:textId="77777777" w:rsidR="00702FEE" w:rsidRPr="00C61919" w:rsidRDefault="00702FEE" w:rsidP="00C61919">
      <w:pPr>
        <w:pStyle w:val="Heading1"/>
      </w:pPr>
      <w:r w:rsidRPr="00C61919">
        <w:t xml:space="preserve">Abstract </w:t>
      </w:r>
    </w:p>
    <w:p w14:paraId="41BC9437" w14:textId="77777777" w:rsidR="00702FEE" w:rsidRPr="00C61919" w:rsidRDefault="00702FEE" w:rsidP="00C61919">
      <w:pPr>
        <w:pStyle w:val="Heading2"/>
      </w:pPr>
      <w:r w:rsidRPr="00C61919">
        <w:t xml:space="preserve">Objective </w:t>
      </w:r>
    </w:p>
    <w:p w14:paraId="7A8EEA6D" w14:textId="77777777" w:rsidR="00702FEE" w:rsidRDefault="00702FEE" w:rsidP="00C61919">
      <w:r>
        <w:t xml:space="preserve">To </w:t>
      </w:r>
      <w:proofErr w:type="gramStart"/>
      <w:r>
        <w:t>determine</w:t>
      </w:r>
      <w:proofErr w:type="gramEnd"/>
      <w:r>
        <w:t xml:space="preserve"> whether a clinical scoring system (the </w:t>
      </w:r>
      <w:proofErr w:type="spellStart"/>
      <w:r w:rsidRPr="00C61919">
        <w:rPr>
          <w:rStyle w:val="Emphasis"/>
          <w:b w:val="0"/>
          <w:bCs w:val="0"/>
        </w:rPr>
        <w:t>m</w:t>
      </w:r>
      <w:r>
        <w:t>PRIEST</w:t>
      </w:r>
      <w:proofErr w:type="spellEnd"/>
      <w:r>
        <w:t xml:space="preserve"> score) could be used to identify an emerging coronavirus disease 2019 (COVID-19) variant with increased clinical severity. </w:t>
      </w:r>
    </w:p>
    <w:p w14:paraId="57C45FBE" w14:textId="77777777" w:rsidR="00702FEE" w:rsidRPr="00C61919" w:rsidRDefault="00702FEE" w:rsidP="00C61919">
      <w:pPr>
        <w:pStyle w:val="Heading2"/>
      </w:pPr>
      <w:r w:rsidRPr="00C61919">
        <w:t xml:space="preserve">Design </w:t>
      </w:r>
    </w:p>
    <w:p w14:paraId="2399D783" w14:textId="77777777" w:rsidR="00702FEE" w:rsidRDefault="00702FEE" w:rsidP="00C61919">
      <w:r>
        <w:t xml:space="preserve">Cross sectional study comparing two time periods (Delta and Omicron waves). </w:t>
      </w:r>
    </w:p>
    <w:p w14:paraId="5FED8E1C" w14:textId="77777777" w:rsidR="00702FEE" w:rsidRPr="00C61919" w:rsidRDefault="00702FEE" w:rsidP="00C61919">
      <w:pPr>
        <w:pStyle w:val="Heading2"/>
      </w:pPr>
      <w:r w:rsidRPr="00C61919">
        <w:t xml:space="preserve">Setting </w:t>
      </w:r>
    </w:p>
    <w:p w14:paraId="3771B9FD" w14:textId="77777777" w:rsidR="00702FEE" w:rsidRDefault="00702FEE" w:rsidP="00C61919">
      <w:r>
        <w:t xml:space="preserve">Public Emergency Departments in Northern Sydney Local Health District. </w:t>
      </w:r>
    </w:p>
    <w:p w14:paraId="20F8F561" w14:textId="77777777" w:rsidR="00702FEE" w:rsidRPr="00C61919" w:rsidRDefault="00702FEE" w:rsidP="00C61919">
      <w:pPr>
        <w:pStyle w:val="Heading2"/>
      </w:pPr>
      <w:r w:rsidRPr="00C61919">
        <w:t xml:space="preserve">Participants </w:t>
      </w:r>
    </w:p>
    <w:p w14:paraId="09EA553F" w14:textId="0CB43FCB" w:rsidR="00702FEE" w:rsidRDefault="00702FEE" w:rsidP="00C61919">
      <w:r>
        <w:t xml:space="preserve">Patients presenting during August 2021 (Delta wave) and January 2022 (Omicron wave) with confirmed COVID-19. Data on age, gender, temperature, heart rate, systolic blood pressure, respiratory rate, oxygen saturation and mental status </w:t>
      </w:r>
      <w:proofErr w:type="gramStart"/>
      <w:r>
        <w:t>were extracted</w:t>
      </w:r>
      <w:proofErr w:type="gramEnd"/>
      <w:r>
        <w:t xml:space="preserve"> from patients’ electronic medical records to assess clinical disease severity at</w:t>
      </w:r>
      <w:r w:rsidR="00BB04C4">
        <w:t> </w:t>
      </w:r>
      <w:r>
        <w:t xml:space="preserve">presentation. </w:t>
      </w:r>
    </w:p>
    <w:p w14:paraId="7DD4FE8A" w14:textId="77777777" w:rsidR="00702FEE" w:rsidRPr="00C61919" w:rsidRDefault="00702FEE" w:rsidP="00C61919">
      <w:pPr>
        <w:pStyle w:val="Heading2"/>
      </w:pPr>
      <w:r w:rsidRPr="00C61919">
        <w:t xml:space="preserve">Main outcome measures </w:t>
      </w:r>
    </w:p>
    <w:p w14:paraId="6F35FE39" w14:textId="77777777" w:rsidR="00702FEE" w:rsidRDefault="00702FEE" w:rsidP="00C61919">
      <w:r>
        <w:t>Modified Pandemic Respiratory Infection Emergency System Triage (</w:t>
      </w:r>
      <w:proofErr w:type="spellStart"/>
      <w:r w:rsidRPr="00C61919">
        <w:rPr>
          <w:rStyle w:val="Emphasis"/>
          <w:b w:val="0"/>
          <w:bCs w:val="0"/>
        </w:rPr>
        <w:t>m</w:t>
      </w:r>
      <w:r>
        <w:t>PRIEST</w:t>
      </w:r>
      <w:proofErr w:type="spellEnd"/>
      <w:r>
        <w:t xml:space="preserve">) score calculated using routinely collected data. </w:t>
      </w:r>
    </w:p>
    <w:p w14:paraId="0566C7EC" w14:textId="77777777" w:rsidR="00702FEE" w:rsidRPr="00C61919" w:rsidRDefault="00702FEE" w:rsidP="00C61919">
      <w:pPr>
        <w:pStyle w:val="Heading2"/>
      </w:pPr>
      <w:r w:rsidRPr="00C61919">
        <w:t xml:space="preserve">Results </w:t>
      </w:r>
    </w:p>
    <w:p w14:paraId="53105BE9" w14:textId="77777777" w:rsidR="00702FEE" w:rsidRDefault="00702FEE" w:rsidP="00C61919">
      <w:r>
        <w:t xml:space="preserve">A sample of 262 records of COVID-19 positive patients presenting during the Delta and initial Omicron waves </w:t>
      </w:r>
      <w:proofErr w:type="gramStart"/>
      <w:r>
        <w:t>were reviewed</w:t>
      </w:r>
      <w:proofErr w:type="gramEnd"/>
      <w:r>
        <w:t xml:space="preserve"> with 205 having COVID-19 as their primary diagnosis. During the Delta wave 48.1% had scores above 4 compared to 35.1% for the Omicron wave (p = 0.03). The median score was also significantly higher for the Delta group (4 vs 3; p = 0.01). Hospitalisations, admissions to ICU and deaths during admission were higher among patients presenting during the Delta wave than among those presenting during the Omicron wave. </w:t>
      </w:r>
    </w:p>
    <w:p w14:paraId="35A2D5CF" w14:textId="77777777" w:rsidR="00702FEE" w:rsidRPr="00C61919" w:rsidRDefault="00702FEE" w:rsidP="00C61919">
      <w:pPr>
        <w:pStyle w:val="Heading2"/>
      </w:pPr>
      <w:r w:rsidRPr="00C61919">
        <w:t xml:space="preserve">Conclusion </w:t>
      </w:r>
    </w:p>
    <w:p w14:paraId="42F129B6" w14:textId="77777777" w:rsidR="00702FEE" w:rsidRDefault="00702FEE" w:rsidP="00C61919">
      <w:r>
        <w:t xml:space="preserve">The </w:t>
      </w:r>
      <w:proofErr w:type="spellStart"/>
      <w:r w:rsidRPr="00C61919">
        <w:rPr>
          <w:rStyle w:val="Emphasis"/>
          <w:b w:val="0"/>
          <w:bCs w:val="0"/>
        </w:rPr>
        <w:t>m</w:t>
      </w:r>
      <w:r>
        <w:t>PRIEST</w:t>
      </w:r>
      <w:proofErr w:type="spellEnd"/>
      <w:r>
        <w:t xml:space="preserve"> score was significantly higher for patients for whom the predominant circulating variant was Delta than those for whom the predominant circulating variant was Omicron. This finding is consistent with international reporting of severity measured by hospital admission data and </w:t>
      </w:r>
      <w:proofErr w:type="gramStart"/>
      <w:r>
        <w:t>demonstrates</w:t>
      </w:r>
      <w:proofErr w:type="gramEnd"/>
      <w:r>
        <w:t xml:space="preserve"> the score’s possible ability to identify an emergent strain with higher morbidity and mortality. </w:t>
      </w:r>
    </w:p>
    <w:p w14:paraId="38D9F7D8" w14:textId="77777777" w:rsidR="00702FEE" w:rsidRDefault="00702FEE" w:rsidP="00C61919">
      <w:r>
        <w:t>Keywords:</w:t>
      </w:r>
      <w:r>
        <w:rPr>
          <w:rStyle w:val="Strong"/>
        </w:rPr>
        <w:t xml:space="preserve"> </w:t>
      </w:r>
      <w:r>
        <w:t xml:space="preserve">COVID-19; COVID-19 variants; </w:t>
      </w:r>
      <w:proofErr w:type="spellStart"/>
      <w:r w:rsidRPr="00C61919">
        <w:rPr>
          <w:rStyle w:val="Emphasis"/>
          <w:b w:val="0"/>
          <w:bCs w:val="0"/>
        </w:rPr>
        <w:t>m</w:t>
      </w:r>
      <w:r>
        <w:t>PRIEST</w:t>
      </w:r>
      <w:proofErr w:type="spellEnd"/>
      <w:r>
        <w:t xml:space="preserve"> score; emergency departments </w:t>
      </w:r>
    </w:p>
    <w:p w14:paraId="54C1504D" w14:textId="77777777" w:rsidR="00F307AD" w:rsidRDefault="00F307AD">
      <w:pPr>
        <w:rPr>
          <w:rFonts w:asciiTheme="majorHAnsi" w:eastAsiaTheme="majorEastAsia" w:hAnsiTheme="majorHAnsi" w:cstheme="majorBidi"/>
          <w:b/>
          <w:bCs/>
          <w:sz w:val="32"/>
          <w:szCs w:val="28"/>
        </w:rPr>
      </w:pPr>
      <w:r>
        <w:br w:type="page"/>
      </w:r>
    </w:p>
    <w:p w14:paraId="1D05F34F" w14:textId="174BDF46" w:rsidR="00702FEE" w:rsidRPr="00C61919" w:rsidRDefault="00702FEE" w:rsidP="00C61919">
      <w:pPr>
        <w:pStyle w:val="Heading1"/>
      </w:pPr>
      <w:r w:rsidRPr="00C61919">
        <w:lastRenderedPageBreak/>
        <w:t xml:space="preserve">Introduction </w:t>
      </w:r>
    </w:p>
    <w:p w14:paraId="0853EF60" w14:textId="77777777" w:rsidR="00702FEE" w:rsidRDefault="00702FEE" w:rsidP="00C61919">
      <w:r>
        <w:t>Australia has experienced several waves of coronavirus disease 2019 (COVID-19) infections, with recent population-wide outbreaks caused by the Delta and Omicron variants of concern.</w:t>
      </w:r>
      <w:r>
        <w:rPr>
          <w:vertAlign w:val="superscript"/>
        </w:rPr>
        <w:t>1,2</w:t>
      </w:r>
      <w:r>
        <w:t xml:space="preserve"> These variants differ in their transmissibility, ability to escape immunity from vaccination, and disease severity.</w:t>
      </w:r>
      <w:r>
        <w:rPr>
          <w:vertAlign w:val="superscript"/>
        </w:rPr>
        <w:t>3,4</w:t>
      </w:r>
      <w:r>
        <w:t xml:space="preserve"> In New South Wales (NSW), the Delta variant was responsible for a wave beginning in July 2021 and was largely replaced by another wave due to the Omicron variant that commenced in December of that year. A report by the World Health Organization in 2022 confirmed that the Delta variant had higher morbidity and mortality than the more recent Omicron variants.</w:t>
      </w:r>
      <w:r>
        <w:rPr>
          <w:vertAlign w:val="superscript"/>
        </w:rPr>
        <w:t xml:space="preserve">5 </w:t>
      </w:r>
    </w:p>
    <w:p w14:paraId="1712E8E7" w14:textId="77777777" w:rsidR="00702FEE" w:rsidRDefault="00702FEE" w:rsidP="00C61919">
      <w:r>
        <w:t>Current COVID-19 surveillance activity in Australia includes notifications based upon laboratory polymerase chain reaction (PCR) testing or patient administered rapid antigen testing, whole genome sequencing, hospital admission data and death data.</w:t>
      </w:r>
      <w:r>
        <w:rPr>
          <w:vertAlign w:val="superscript"/>
        </w:rPr>
        <w:t>2, 6–7</w:t>
      </w:r>
      <w:r>
        <w:t xml:space="preserve"> Although whole genome sequencing can confirm the presence of new variants, the public health community still needs to determine whether their detection warrants an intensified public health response.</w:t>
      </w:r>
      <w:r>
        <w:rPr>
          <w:vertAlign w:val="superscript"/>
        </w:rPr>
        <w:t>8</w:t>
      </w:r>
      <w:r>
        <w:t xml:space="preserve"> Hospital admission and death data are indicators of disease severity, although they lag behind changes in disease prevalence.</w:t>
      </w:r>
      <w:r>
        <w:rPr>
          <w:vertAlign w:val="superscript"/>
        </w:rPr>
        <w:t>9,10</w:t>
      </w:r>
      <w:r>
        <w:t xml:space="preserve"> At an individual level, hospitalisation and death outcomes have been estimated to occur on the order of 8 to 10 days and 18 to 25 days after onset of illness respectively.</w:t>
      </w:r>
      <w:r>
        <w:rPr>
          <w:vertAlign w:val="superscript"/>
        </w:rPr>
        <w:t xml:space="preserve">9 </w:t>
      </w:r>
      <w:r>
        <w:t xml:space="preserve">At a population level, these lags can limit the responsiveness—and hence likely effectiveness—of public health responses, such as calls for increased social distancing and mask wearing and the broadening of the use of antiviral medications should emergence occur of a new variant with increased clinical severity. </w:t>
      </w:r>
    </w:p>
    <w:p w14:paraId="4B7DB425" w14:textId="77777777" w:rsidR="00702FEE" w:rsidRDefault="00702FEE" w:rsidP="00C61919">
      <w:r>
        <w:t>In New South Wales, a near real-time monitoring system that analyses electronic medical record data (the Public Health Rapid Emergency Disease Syndromic Surveillance)</w:t>
      </w:r>
      <w:proofErr w:type="gramStart"/>
      <w:r>
        <w:rPr>
          <w:vertAlign w:val="superscript"/>
        </w:rPr>
        <w:t>11</w:t>
      </w:r>
      <w:proofErr w:type="gramEnd"/>
      <w:r>
        <w:rPr>
          <w:rStyle w:val="Strong"/>
        </w:rPr>
        <w:t xml:space="preserve"> </w:t>
      </w:r>
      <w:r>
        <w:t xml:space="preserve">reports the number of hospital Emergency Department (ED) presentations by patients with COVID-19. By including more clinical data into this system it could be used to </w:t>
      </w:r>
      <w:proofErr w:type="gramStart"/>
      <w:r>
        <w:t>monitor</w:t>
      </w:r>
      <w:proofErr w:type="gramEnd"/>
      <w:r>
        <w:t xml:space="preserve"> the illness severity of patients presenting with COVID-19 and enhance our current surveillance system. </w:t>
      </w:r>
    </w:p>
    <w:p w14:paraId="3074BB32" w14:textId="77777777" w:rsidR="00702FEE" w:rsidRDefault="00702FEE" w:rsidP="00C61919">
      <w:r>
        <w:t>United Kingdom (UK) Emergency clinicians and researchers have developed an ED triage tool, based on clinical assessment alone, to predict the outcome of patients presenting with COVID-19 infection (the Pandemic Respiratory Infection Emergency System Triage [PRIEST] score).</w:t>
      </w:r>
      <w:r>
        <w:rPr>
          <w:vertAlign w:val="superscript"/>
        </w:rPr>
        <w:t>12</w:t>
      </w:r>
      <w:r>
        <w:t xml:space="preserve"> The score has subsequently been validated in settings outside the UK</w:t>
      </w:r>
      <w:r>
        <w:rPr>
          <w:vertAlign w:val="superscript"/>
        </w:rPr>
        <w:t>13</w:t>
      </w:r>
      <w:r>
        <w:t xml:space="preserve"> and its use has been further promoted as a decision-making support tool in emergency care.</w:t>
      </w:r>
      <w:r>
        <w:rPr>
          <w:vertAlign w:val="superscript"/>
        </w:rPr>
        <w:t xml:space="preserve">14 </w:t>
      </w:r>
    </w:p>
    <w:p w14:paraId="093E3925" w14:textId="77777777" w:rsidR="00702FEE" w:rsidRDefault="00702FEE" w:rsidP="00C61919">
      <w:r>
        <w:t xml:space="preserve">There is the potential to </w:t>
      </w:r>
      <w:proofErr w:type="gramStart"/>
      <w:r>
        <w:t>utilise</w:t>
      </w:r>
      <w:proofErr w:type="gramEnd"/>
      <w:r>
        <w:t xml:space="preserve"> clinical scoring systems such as the PRIEST score to not only assist in clinical decision making at a patient level, but to also provide an early warning of a population-level change in clinical severity of COVID-19 patients that warrants an increased public health response. The </w:t>
      </w:r>
      <w:proofErr w:type="gramStart"/>
      <w:r>
        <w:t>objective</w:t>
      </w:r>
      <w:proofErr w:type="gramEnd"/>
      <w:r>
        <w:t xml:space="preserve"> of our study was to determine whether the PRIEST score, which utilises routinely collected emergency department data recorded in existing electronic medical records, could be used to identify an emerging COVID-19 variant with increased clinical severity in a near real-time manner. </w:t>
      </w:r>
    </w:p>
    <w:p w14:paraId="3322FAF6" w14:textId="77777777" w:rsidR="00702FEE" w:rsidRPr="00C61919" w:rsidRDefault="00702FEE" w:rsidP="00C61919">
      <w:pPr>
        <w:pStyle w:val="Heading1"/>
      </w:pPr>
      <w:r w:rsidRPr="00C61919">
        <w:t xml:space="preserve">Method </w:t>
      </w:r>
    </w:p>
    <w:p w14:paraId="600283E2" w14:textId="77777777" w:rsidR="00702FEE" w:rsidRPr="00C61919" w:rsidRDefault="00702FEE" w:rsidP="00C61919">
      <w:pPr>
        <w:pStyle w:val="Heading2"/>
      </w:pPr>
      <w:r w:rsidRPr="00C61919">
        <w:t xml:space="preserve">Participants </w:t>
      </w:r>
    </w:p>
    <w:p w14:paraId="5B8A711B" w14:textId="77777777" w:rsidR="00702FEE" w:rsidRDefault="00702FEE" w:rsidP="00C61919">
      <w:r>
        <w:t xml:space="preserve">Emergency Department (ED) attendance lists for one tertiary referral and two district hospitals in the Northern Sydney Local Health District (NSLHD) were cross-referenced with notifications received by NSW Health and recorded in the Notifiable Conditions Information Management System (NCIMS) to </w:t>
      </w:r>
      <w:proofErr w:type="gramStart"/>
      <w:r>
        <w:t>identify</w:t>
      </w:r>
      <w:proofErr w:type="gramEnd"/>
      <w:r>
        <w:t xml:space="preserve"> patients with a confirmed COVID-19 diagnosis within seven days before or after the date of ED presentation. A total of 131 patients that presented to NSLHD EDs in August 2021 (presumed to be part of the Delta wave) and a random sample of 131 patients drawn from 1,043 attendances in January 2022 (presumed to be part of an Omicron wave) </w:t>
      </w:r>
      <w:proofErr w:type="gramStart"/>
      <w:r>
        <w:t>were included</w:t>
      </w:r>
      <w:proofErr w:type="gramEnd"/>
      <w:r>
        <w:t xml:space="preserve"> in the study. The sample of January 2022 cases </w:t>
      </w:r>
      <w:proofErr w:type="gramStart"/>
      <w:r>
        <w:t>was randomly selected</w:t>
      </w:r>
      <w:proofErr w:type="gramEnd"/>
      <w:r>
        <w:t xml:space="preserve"> using the STATA package. </w:t>
      </w:r>
    </w:p>
    <w:p w14:paraId="69220A3F" w14:textId="77777777" w:rsidR="00702FEE" w:rsidRPr="00C61919" w:rsidRDefault="00702FEE" w:rsidP="00C61919">
      <w:pPr>
        <w:pStyle w:val="Heading2"/>
      </w:pPr>
      <w:r w:rsidRPr="00C61919">
        <w:lastRenderedPageBreak/>
        <w:t xml:space="preserve">Data collection </w:t>
      </w:r>
    </w:p>
    <w:p w14:paraId="59F0133D" w14:textId="77777777" w:rsidR="00702FEE" w:rsidRDefault="00702FEE" w:rsidP="00C61919">
      <w:r>
        <w:t xml:space="preserve">The electronic medical records of patients </w:t>
      </w:r>
      <w:proofErr w:type="gramStart"/>
      <w:r>
        <w:t>were manually reviewed</w:t>
      </w:r>
      <w:proofErr w:type="gramEnd"/>
      <w:r>
        <w:t xml:space="preserve"> to collect basic demographic data; clinical observations; whether they were admitted (either to the general ward or the intensive care unit); and whether they had died whilst in hospital. As part of this </w:t>
      </w:r>
      <w:proofErr w:type="gramStart"/>
      <w:r>
        <w:t>review</w:t>
      </w:r>
      <w:proofErr w:type="gramEnd"/>
      <w:r>
        <w:t xml:space="preserve"> it was determined whether COVID-19 was the primary cause for their presentation or an incidental finding. </w:t>
      </w:r>
    </w:p>
    <w:p w14:paraId="6A1EEAC4" w14:textId="77777777" w:rsidR="00702FEE" w:rsidRDefault="00702FEE" w:rsidP="00C61919">
      <w:r>
        <w:t>The clinical observations collected were those recorded on initial presentation to the ED prior to the commencement of treatment (</w:t>
      </w:r>
      <w:proofErr w:type="gramStart"/>
      <w:r>
        <w:t>e.g.</w:t>
      </w:r>
      <w:proofErr w:type="gramEnd"/>
      <w:r>
        <w:t xml:space="preserve"> supplementary oxygen). These observations consisted of those necessary to calculate the PRIEST score (see Appendix A, Table A.1), with the exception of ‘performance </w:t>
      </w:r>
      <w:proofErr w:type="gramStart"/>
      <w:r>
        <w:t>status’</w:t>
      </w:r>
      <w:proofErr w:type="gramEnd"/>
      <w:r>
        <w:t xml:space="preserve">. This variable </w:t>
      </w:r>
      <w:proofErr w:type="gramStart"/>
      <w:r>
        <w:t>was excluded</w:t>
      </w:r>
      <w:proofErr w:type="gramEnd"/>
      <w:r>
        <w:t xml:space="preserve"> from the score due to concerns about the accuracy and reliability of recording in ED records and resulted in the calculation of a modified PRIEST (</w:t>
      </w:r>
      <w:proofErr w:type="spellStart"/>
      <w:r w:rsidRPr="00C61919">
        <w:rPr>
          <w:rStyle w:val="Emphasis"/>
          <w:b w:val="0"/>
          <w:bCs w:val="0"/>
        </w:rPr>
        <w:t>m</w:t>
      </w:r>
      <w:r>
        <w:t>PRIEST</w:t>
      </w:r>
      <w:proofErr w:type="spellEnd"/>
      <w:r>
        <w:t xml:space="preserve">) score. This approach was </w:t>
      </w:r>
      <w:proofErr w:type="gramStart"/>
      <w:r>
        <w:t>similar to</w:t>
      </w:r>
      <w:proofErr w:type="gramEnd"/>
      <w:r>
        <w:t xml:space="preserve"> that adopted by others who have validated the ability of this modified score to predict clinical outcomes.</w:t>
      </w:r>
      <w:r>
        <w:rPr>
          <w:vertAlign w:val="superscript"/>
        </w:rPr>
        <w:t xml:space="preserve">12 </w:t>
      </w:r>
    </w:p>
    <w:p w14:paraId="3F2158B7" w14:textId="77777777" w:rsidR="00702FEE" w:rsidRPr="00C61919" w:rsidRDefault="00702FEE" w:rsidP="00C61919">
      <w:pPr>
        <w:pStyle w:val="Heading1"/>
      </w:pPr>
      <w:r w:rsidRPr="00C61919">
        <w:t xml:space="preserve">Analysis </w:t>
      </w:r>
    </w:p>
    <w:p w14:paraId="7D553374" w14:textId="77777777" w:rsidR="00702FEE" w:rsidRDefault="00702FEE" w:rsidP="00C61919">
      <w:r>
        <w:t xml:space="preserve">Data were analysed both as </w:t>
      </w:r>
      <w:proofErr w:type="gramStart"/>
      <w:r>
        <w:t>a single group</w:t>
      </w:r>
      <w:proofErr w:type="gramEnd"/>
      <w:r>
        <w:t xml:space="preserve"> and as a subgroup of participants where COVID-19 was the primary cause for presentation. </w:t>
      </w:r>
      <w:proofErr w:type="spellStart"/>
      <w:r w:rsidRPr="00C61919">
        <w:rPr>
          <w:rStyle w:val="Emphasis"/>
          <w:b w:val="0"/>
          <w:bCs w:val="0"/>
        </w:rPr>
        <w:t>m</w:t>
      </w:r>
      <w:r>
        <w:t>PRIEST</w:t>
      </w:r>
      <w:proofErr w:type="spellEnd"/>
      <w:r>
        <w:t xml:space="preserve"> scores were dichotomised into lower probability (score less than or equal to 4) and higher probability (score greater than 4) of adverse outcome.</w:t>
      </w:r>
      <w:r>
        <w:rPr>
          <w:vertAlign w:val="superscript"/>
        </w:rPr>
        <w:t>11</w:t>
      </w:r>
      <w:r>
        <w:t xml:space="preserve"> This threshold was chosen as </w:t>
      </w:r>
      <w:proofErr w:type="gramStart"/>
      <w:r>
        <w:t>previous</w:t>
      </w:r>
      <w:proofErr w:type="gramEnd"/>
      <w:r>
        <w:t xml:space="preserve"> validation of the score demonstrated a clear threshold for increased probability of adverse outcomes above a score of 4.</w:t>
      </w:r>
      <w:r>
        <w:rPr>
          <w:vertAlign w:val="superscript"/>
        </w:rPr>
        <w:t>11,12</w:t>
      </w:r>
      <w:r>
        <w:t xml:space="preserve"> Chi-square tests were performed to compare the two time periods. Raw </w:t>
      </w:r>
      <w:proofErr w:type="spellStart"/>
      <w:r w:rsidRPr="00C61919">
        <w:rPr>
          <w:rStyle w:val="Emphasis"/>
          <w:b w:val="0"/>
          <w:bCs w:val="0"/>
        </w:rPr>
        <w:t>m</w:t>
      </w:r>
      <w:r>
        <w:t>PRIEST</w:t>
      </w:r>
      <w:proofErr w:type="spellEnd"/>
      <w:r>
        <w:t xml:space="preserve"> scores </w:t>
      </w:r>
      <w:proofErr w:type="gramStart"/>
      <w:r>
        <w:t>were also compared</w:t>
      </w:r>
      <w:proofErr w:type="gramEnd"/>
      <w:r>
        <w:t xml:space="preserve"> between time periods using a log rank test. Although not a primary </w:t>
      </w:r>
      <w:proofErr w:type="gramStart"/>
      <w:r>
        <w:t>objective</w:t>
      </w:r>
      <w:proofErr w:type="gramEnd"/>
      <w:r>
        <w:t xml:space="preserve"> of the study, hospital admission and death whilst in hospital were compared across scores and study periods. </w:t>
      </w:r>
    </w:p>
    <w:p w14:paraId="48A3D437" w14:textId="77777777" w:rsidR="00702FEE" w:rsidRDefault="00702FEE" w:rsidP="00C61919">
      <w:r>
        <w:t xml:space="preserve">As the </w:t>
      </w:r>
      <w:proofErr w:type="spellStart"/>
      <w:r w:rsidRPr="00C61919">
        <w:rPr>
          <w:rStyle w:val="Emphasis"/>
          <w:b w:val="0"/>
          <w:bCs w:val="0"/>
        </w:rPr>
        <w:t>m</w:t>
      </w:r>
      <w:r>
        <w:t>PRIEST</w:t>
      </w:r>
      <w:proofErr w:type="spellEnd"/>
      <w:r>
        <w:t xml:space="preserve"> score includes age and sex as inputs, no adjustment was </w:t>
      </w:r>
      <w:proofErr w:type="gramStart"/>
      <w:r>
        <w:t>attempted</w:t>
      </w:r>
      <w:proofErr w:type="gramEnd"/>
      <w:r>
        <w:t xml:space="preserve"> for these variables. However, it is possible that patients presenting to a tertiary hospital may have a higher level of clinical </w:t>
      </w:r>
      <w:proofErr w:type="gramStart"/>
      <w:r>
        <w:t>severity</w:t>
      </w:r>
      <w:proofErr w:type="gramEnd"/>
      <w:r>
        <w:t xml:space="preserve"> so adjustment was made using a logistic regression model. All analyses </w:t>
      </w:r>
      <w:proofErr w:type="gramStart"/>
      <w:r>
        <w:t>were done</w:t>
      </w:r>
      <w:proofErr w:type="gramEnd"/>
      <w:r>
        <w:t xml:space="preserve"> in STATA.</w:t>
      </w:r>
      <w:r>
        <w:rPr>
          <w:vertAlign w:val="superscript"/>
        </w:rPr>
        <w:t xml:space="preserve">15 </w:t>
      </w:r>
    </w:p>
    <w:p w14:paraId="50110B2F" w14:textId="77777777" w:rsidR="00702FEE" w:rsidRPr="00C61919" w:rsidRDefault="00702FEE" w:rsidP="00C61919">
      <w:pPr>
        <w:pStyle w:val="Heading1"/>
      </w:pPr>
      <w:r w:rsidRPr="00C61919">
        <w:t xml:space="preserve">Ethics </w:t>
      </w:r>
    </w:p>
    <w:p w14:paraId="38E6F5AC" w14:textId="77777777" w:rsidR="00702FEE" w:rsidRDefault="00702FEE" w:rsidP="00C61919">
      <w:r>
        <w:t xml:space="preserve">Ethics approval </w:t>
      </w:r>
      <w:proofErr w:type="gramStart"/>
      <w:r>
        <w:t>was gained</w:t>
      </w:r>
      <w:proofErr w:type="gramEnd"/>
      <w:r>
        <w:t xml:space="preserve"> from the Northern Sydney Local Health District Human Research Ethics Committee to conduct this research, approval reference number 2022/ETH00732. </w:t>
      </w:r>
    </w:p>
    <w:p w14:paraId="0F6B9B08" w14:textId="77777777" w:rsidR="00702FEE" w:rsidRPr="00C61919" w:rsidRDefault="00702FEE" w:rsidP="00C61919">
      <w:pPr>
        <w:pStyle w:val="Heading1"/>
      </w:pPr>
      <w:r w:rsidRPr="00C61919">
        <w:t xml:space="preserve">Results </w:t>
      </w:r>
    </w:p>
    <w:p w14:paraId="2E2749B0" w14:textId="77777777" w:rsidR="00702FEE" w:rsidRDefault="00702FEE" w:rsidP="00C61919">
      <w:r>
        <w:t xml:space="preserve">A total of 262 medical records were reviewed, with 205 (78%) patients presenting </w:t>
      </w:r>
      <w:proofErr w:type="gramStart"/>
      <w:r>
        <w:t>as a result of</w:t>
      </w:r>
      <w:proofErr w:type="gramEnd"/>
      <w:r>
        <w:t xml:space="preserve"> COVID-19. There was a higher proportion of males and younger patients in the Delta wave group. Looking at the study </w:t>
      </w:r>
      <w:proofErr w:type="gramStart"/>
      <w:r>
        <w:t>group as a whole, both</w:t>
      </w:r>
      <w:proofErr w:type="gramEnd"/>
      <w:r>
        <w:t xml:space="preserve"> the median score and the proportion of patients with a score greater than four were statistically significantly higher for the Delta wave group (one point and 13% respectively). When restricted to patients presenting primarily due to COVID-19, a similar pattern was </w:t>
      </w:r>
      <w:proofErr w:type="gramStart"/>
      <w:r>
        <w:t>observed</w:t>
      </w:r>
      <w:proofErr w:type="gramEnd"/>
      <w:r>
        <w:t xml:space="preserve"> (Table 1). </w:t>
      </w:r>
    </w:p>
    <w:p w14:paraId="3442BF3A" w14:textId="77777777" w:rsidR="00702FEE" w:rsidRDefault="00702FEE" w:rsidP="00C61919">
      <w:r>
        <w:t xml:space="preserve">Admission and death data </w:t>
      </w:r>
      <w:proofErr w:type="gramStart"/>
      <w:r>
        <w:t>are reported</w:t>
      </w:r>
      <w:proofErr w:type="gramEnd"/>
      <w:r>
        <w:t xml:space="preserve"> in Table 2. These data confirmed that patients with higher scores were more likely to </w:t>
      </w:r>
      <w:proofErr w:type="gramStart"/>
      <w:r>
        <w:t>be admitted</w:t>
      </w:r>
      <w:proofErr w:type="gramEnd"/>
      <w:r>
        <w:t xml:space="preserve"> to hospital; to be admitted to an intensive care unit (ICU); and to die in hospital. A similar pattern of increased severity was </w:t>
      </w:r>
      <w:proofErr w:type="gramStart"/>
      <w:r>
        <w:t>demonstrated</w:t>
      </w:r>
      <w:proofErr w:type="gramEnd"/>
      <w:r>
        <w:t xml:space="preserve"> for patients who presented during the Delta wave and to the tertiary hospital. The logistic regression modelling showed that both Delta wave and tertiary hospital attendance </w:t>
      </w:r>
      <w:r>
        <w:lastRenderedPageBreak/>
        <w:t xml:space="preserve">were significantly associated with increased odds of having a score greater than four, with adjusted odds ratios of 1.8 (95% confidence interval [95% CI]: 1.1–3.0; </w:t>
      </w:r>
      <w:r w:rsidRPr="00C61919">
        <w:rPr>
          <w:rStyle w:val="Emphasis"/>
          <w:b w:val="0"/>
          <w:bCs w:val="0"/>
        </w:rPr>
        <w:t>p</w:t>
      </w:r>
      <w:r>
        <w:t xml:space="preserve"> = 0.02) and 2.3 (95% CI: 1.4–3.8; </w:t>
      </w:r>
      <w:r w:rsidRPr="00C61919">
        <w:rPr>
          <w:rStyle w:val="Emphasis"/>
          <w:b w:val="0"/>
          <w:bCs w:val="0"/>
        </w:rPr>
        <w:t>p</w:t>
      </w:r>
      <w:r>
        <w:t xml:space="preserve"> &lt; 0.01) respectively. </w:t>
      </w:r>
    </w:p>
    <w:p w14:paraId="0F191C8B" w14:textId="77777777" w:rsidR="00BE0799" w:rsidRPr="004670D5" w:rsidRDefault="00BE0799" w:rsidP="00BE0799">
      <w:pPr>
        <w:pStyle w:val="CDIFigures"/>
      </w:pPr>
      <w:r w:rsidRPr="004670D5">
        <w:rPr>
          <w:rStyle w:val="Strong"/>
          <w:b/>
          <w:bCs w:val="0"/>
        </w:rPr>
        <w:t xml:space="preserve">Table 1: Gender, age and </w:t>
      </w:r>
      <w:proofErr w:type="spellStart"/>
      <w:r w:rsidRPr="007A4623">
        <w:rPr>
          <w:rStyle w:val="Strong"/>
          <w:b/>
          <w:bCs w:val="0"/>
          <w:i/>
          <w:iCs/>
        </w:rPr>
        <w:t>m</w:t>
      </w:r>
      <w:r w:rsidRPr="004670D5">
        <w:rPr>
          <w:rStyle w:val="Strong"/>
          <w:b/>
          <w:bCs w:val="0"/>
        </w:rPr>
        <w:t>PRIEST</w:t>
      </w:r>
      <w:proofErr w:type="spellEnd"/>
      <w:r w:rsidRPr="004670D5">
        <w:rPr>
          <w:rStyle w:val="Strong"/>
          <w:b/>
          <w:bCs w:val="0"/>
        </w:rPr>
        <w:t xml:space="preserve"> Score by </w:t>
      </w:r>
      <w:proofErr w:type="gramStart"/>
      <w:r w:rsidRPr="004670D5">
        <w:rPr>
          <w:rStyle w:val="Strong"/>
          <w:b/>
          <w:bCs w:val="0"/>
        </w:rPr>
        <w:t>time period</w:t>
      </w:r>
      <w:proofErr w:type="gramEnd"/>
      <w:r w:rsidRPr="004670D5">
        <w:rPr>
          <w:rStyle w:val="Strong"/>
          <w:b/>
          <w:bCs w:val="0"/>
        </w:rPr>
        <w:t xml:space="preserve"> (August 2021 Delta wave; January 2022 Omicron wave)</w:t>
      </w:r>
    </w:p>
    <w:tbl>
      <w:tblPr>
        <w:tblStyle w:val="CDI-StandardTable"/>
        <w:tblW w:w="0" w:type="auto"/>
        <w:tblLook w:val="04A0" w:firstRow="1" w:lastRow="0" w:firstColumn="1" w:lastColumn="0" w:noHBand="0" w:noVBand="1"/>
        <w:tblDescription w:val="Table 1 shows that there was a higher proportion of males and younger patients in the Delta wave. Looking at the study group as a whole both the median score and the proportion of patients with a score greater than four were significantly higher for the Delta wave group. When restricted to patients presenting primarily due to COVID-19 a similar pattern was observed."/>
      </w:tblPr>
      <w:tblGrid>
        <w:gridCol w:w="6096"/>
        <w:gridCol w:w="1701"/>
        <w:gridCol w:w="1417"/>
        <w:gridCol w:w="1226"/>
      </w:tblGrid>
      <w:tr w:rsidR="00474E08" w:rsidRPr="00474E08" w14:paraId="4C6333E3" w14:textId="77777777" w:rsidTr="007A4623">
        <w:trPr>
          <w:cnfStyle w:val="100000000000" w:firstRow="1" w:lastRow="0" w:firstColumn="0" w:lastColumn="0" w:oddVBand="0" w:evenVBand="0" w:oddHBand="0" w:evenHBand="0" w:firstRowFirstColumn="0" w:firstRowLastColumn="0" w:lastRowFirstColumn="0" w:lastRowLastColumn="0"/>
        </w:trPr>
        <w:tc>
          <w:tcPr>
            <w:tcW w:w="6096" w:type="dxa"/>
            <w:hideMark/>
          </w:tcPr>
          <w:p w14:paraId="5168C32E" w14:textId="77777777" w:rsidR="00BE0799" w:rsidRPr="00474E08" w:rsidRDefault="00BE0799" w:rsidP="007A4623">
            <w:pPr>
              <w:pStyle w:val="NormalWeb"/>
              <w:jc w:val="left"/>
              <w:rPr>
                <w:sz w:val="18"/>
                <w:szCs w:val="18"/>
                <w:lang w:val="en-GB"/>
              </w:rPr>
            </w:pPr>
            <w:proofErr w:type="spellStart"/>
            <w:r w:rsidRPr="00474E08">
              <w:rPr>
                <w:sz w:val="18"/>
                <w:szCs w:val="18"/>
                <w:lang w:val="en-GB"/>
              </w:rPr>
              <w:t>Category</w:t>
            </w:r>
            <w:r w:rsidRPr="00474E08">
              <w:rPr>
                <w:sz w:val="18"/>
                <w:szCs w:val="18"/>
                <w:vertAlign w:val="superscript"/>
                <w:lang w:val="en-GB"/>
              </w:rPr>
              <w:t>a</w:t>
            </w:r>
            <w:proofErr w:type="spellEnd"/>
          </w:p>
        </w:tc>
        <w:tc>
          <w:tcPr>
            <w:tcW w:w="1701" w:type="dxa"/>
            <w:hideMark/>
          </w:tcPr>
          <w:p w14:paraId="3B14AEE0" w14:textId="77777777" w:rsidR="00BE0799" w:rsidRPr="00474E08" w:rsidRDefault="00BE0799" w:rsidP="009A2651">
            <w:pPr>
              <w:pStyle w:val="NormalWeb"/>
              <w:rPr>
                <w:sz w:val="18"/>
                <w:szCs w:val="18"/>
                <w:lang w:val="en-GB"/>
              </w:rPr>
            </w:pPr>
            <w:r w:rsidRPr="00474E08">
              <w:rPr>
                <w:sz w:val="18"/>
                <w:szCs w:val="18"/>
                <w:lang w:val="en-GB"/>
              </w:rPr>
              <w:t>August 2021</w:t>
            </w:r>
          </w:p>
        </w:tc>
        <w:tc>
          <w:tcPr>
            <w:tcW w:w="1417" w:type="dxa"/>
            <w:hideMark/>
          </w:tcPr>
          <w:p w14:paraId="2385A82F" w14:textId="77777777" w:rsidR="00BE0799" w:rsidRPr="00474E08" w:rsidRDefault="00BE0799" w:rsidP="009A2651">
            <w:pPr>
              <w:pStyle w:val="NormalWeb"/>
              <w:rPr>
                <w:sz w:val="18"/>
                <w:szCs w:val="18"/>
                <w:lang w:val="en-GB"/>
              </w:rPr>
            </w:pPr>
            <w:r w:rsidRPr="00474E08">
              <w:rPr>
                <w:sz w:val="18"/>
                <w:szCs w:val="18"/>
                <w:lang w:val="en-GB"/>
              </w:rPr>
              <w:t>January 2022</w:t>
            </w:r>
          </w:p>
        </w:tc>
        <w:tc>
          <w:tcPr>
            <w:tcW w:w="1226" w:type="dxa"/>
            <w:hideMark/>
          </w:tcPr>
          <w:p w14:paraId="5991E0A0" w14:textId="77777777" w:rsidR="00BE0799" w:rsidRPr="00474E08" w:rsidRDefault="00BE0799" w:rsidP="009A2651">
            <w:pPr>
              <w:pStyle w:val="NormalWeb"/>
              <w:rPr>
                <w:sz w:val="18"/>
                <w:szCs w:val="18"/>
                <w:lang w:val="en-GB"/>
              </w:rPr>
            </w:pPr>
            <w:r w:rsidRPr="000D1B28">
              <w:rPr>
                <w:i/>
                <w:iCs/>
                <w:sz w:val="18"/>
                <w:szCs w:val="18"/>
                <w:lang w:val="en-GB"/>
              </w:rPr>
              <w:t xml:space="preserve">p </w:t>
            </w:r>
            <w:r w:rsidRPr="00474E08">
              <w:rPr>
                <w:sz w:val="18"/>
                <w:szCs w:val="18"/>
                <w:lang w:val="en-GB"/>
              </w:rPr>
              <w:t>value</w:t>
            </w:r>
          </w:p>
        </w:tc>
      </w:tr>
      <w:tr w:rsidR="00474E08" w:rsidRPr="00474E08" w14:paraId="2FD831C4" w14:textId="77777777" w:rsidTr="00474E08">
        <w:tc>
          <w:tcPr>
            <w:tcW w:w="6096" w:type="dxa"/>
            <w:shd w:val="clear" w:color="auto" w:fill="BBA991"/>
            <w:hideMark/>
          </w:tcPr>
          <w:p w14:paraId="14CA7C89" w14:textId="77777777" w:rsidR="00BE0799" w:rsidRPr="00474E08" w:rsidRDefault="00BE0799" w:rsidP="009A2651">
            <w:pPr>
              <w:pStyle w:val="NormalWeb"/>
              <w:jc w:val="left"/>
              <w:rPr>
                <w:b/>
                <w:bCs/>
                <w:sz w:val="18"/>
                <w:szCs w:val="18"/>
                <w:lang w:val="en-GB"/>
              </w:rPr>
            </w:pPr>
            <w:r w:rsidRPr="00474E08">
              <w:rPr>
                <w:b/>
                <w:bCs/>
                <w:sz w:val="18"/>
                <w:szCs w:val="18"/>
                <w:lang w:val="en-GB"/>
              </w:rPr>
              <w:t>All presentations (N = 262)</w:t>
            </w:r>
          </w:p>
        </w:tc>
        <w:tc>
          <w:tcPr>
            <w:tcW w:w="1701" w:type="dxa"/>
            <w:shd w:val="clear" w:color="auto" w:fill="BBA991"/>
            <w:hideMark/>
          </w:tcPr>
          <w:p w14:paraId="37184AEB" w14:textId="77777777" w:rsidR="00BE0799" w:rsidRPr="00474E08" w:rsidRDefault="00BE0799" w:rsidP="009A2651">
            <w:pPr>
              <w:pStyle w:val="NormalWeb"/>
              <w:rPr>
                <w:b/>
                <w:bCs/>
                <w:sz w:val="18"/>
                <w:szCs w:val="18"/>
                <w:lang w:val="en-GB"/>
              </w:rPr>
            </w:pPr>
            <w:r w:rsidRPr="00474E08">
              <w:rPr>
                <w:b/>
                <w:bCs/>
                <w:sz w:val="18"/>
                <w:szCs w:val="18"/>
                <w:lang w:val="en-GB"/>
              </w:rPr>
              <w:t>N = 131</w:t>
            </w:r>
          </w:p>
        </w:tc>
        <w:tc>
          <w:tcPr>
            <w:tcW w:w="1417" w:type="dxa"/>
            <w:shd w:val="clear" w:color="auto" w:fill="BBA991"/>
            <w:hideMark/>
          </w:tcPr>
          <w:p w14:paraId="39FEE739" w14:textId="77777777" w:rsidR="00BE0799" w:rsidRPr="00474E08" w:rsidRDefault="00BE0799" w:rsidP="009A2651">
            <w:pPr>
              <w:pStyle w:val="NormalWeb"/>
              <w:rPr>
                <w:b/>
                <w:bCs/>
                <w:sz w:val="18"/>
                <w:szCs w:val="18"/>
                <w:lang w:val="en-GB"/>
              </w:rPr>
            </w:pPr>
            <w:r w:rsidRPr="00474E08">
              <w:rPr>
                <w:b/>
                <w:bCs/>
                <w:sz w:val="18"/>
                <w:szCs w:val="18"/>
                <w:lang w:val="en-GB"/>
              </w:rPr>
              <w:t>N = 131</w:t>
            </w:r>
          </w:p>
        </w:tc>
        <w:tc>
          <w:tcPr>
            <w:tcW w:w="1226" w:type="dxa"/>
            <w:shd w:val="clear" w:color="auto" w:fill="BBA991"/>
            <w:hideMark/>
          </w:tcPr>
          <w:p w14:paraId="02F944FC" w14:textId="77777777" w:rsidR="00BE0799" w:rsidRPr="00474E08" w:rsidRDefault="00BE0799" w:rsidP="009A2651">
            <w:pPr>
              <w:rPr>
                <w:b/>
                <w:bCs/>
                <w:sz w:val="18"/>
                <w:szCs w:val="18"/>
                <w:lang w:val="en-GB"/>
              </w:rPr>
            </w:pPr>
          </w:p>
        </w:tc>
      </w:tr>
      <w:tr w:rsidR="00474E08" w:rsidRPr="00474E08" w14:paraId="14A2C543" w14:textId="77777777" w:rsidTr="00474E08">
        <w:trPr>
          <w:cnfStyle w:val="000000010000" w:firstRow="0" w:lastRow="0" w:firstColumn="0" w:lastColumn="0" w:oddVBand="0" w:evenVBand="0" w:oddHBand="0" w:evenHBand="1" w:firstRowFirstColumn="0" w:firstRowLastColumn="0" w:lastRowFirstColumn="0" w:lastRowLastColumn="0"/>
        </w:trPr>
        <w:tc>
          <w:tcPr>
            <w:tcW w:w="6096" w:type="dxa"/>
            <w:hideMark/>
          </w:tcPr>
          <w:p w14:paraId="13FA0B38" w14:textId="77777777" w:rsidR="00BE0799" w:rsidRPr="00474E08" w:rsidRDefault="00BE0799" w:rsidP="009A2651">
            <w:pPr>
              <w:pStyle w:val="NormalWeb"/>
              <w:jc w:val="left"/>
              <w:rPr>
                <w:sz w:val="18"/>
                <w:szCs w:val="18"/>
                <w:lang w:val="en-GB"/>
              </w:rPr>
            </w:pPr>
            <w:r w:rsidRPr="00474E08">
              <w:rPr>
                <w:sz w:val="18"/>
                <w:szCs w:val="18"/>
                <w:lang w:val="en-GB"/>
              </w:rPr>
              <w:t>Male (%)</w:t>
            </w:r>
          </w:p>
        </w:tc>
        <w:tc>
          <w:tcPr>
            <w:tcW w:w="1701" w:type="dxa"/>
            <w:hideMark/>
          </w:tcPr>
          <w:p w14:paraId="7A8D13BF" w14:textId="77777777" w:rsidR="00BE0799" w:rsidRPr="00474E08" w:rsidRDefault="00BE0799" w:rsidP="009A2651">
            <w:pPr>
              <w:pStyle w:val="NormalWeb"/>
              <w:rPr>
                <w:sz w:val="18"/>
                <w:szCs w:val="18"/>
                <w:lang w:val="en-GB"/>
              </w:rPr>
            </w:pPr>
            <w:r w:rsidRPr="00474E08">
              <w:rPr>
                <w:sz w:val="18"/>
                <w:szCs w:val="18"/>
                <w:lang w:val="en-GB"/>
              </w:rPr>
              <w:t>66 (50.4)</w:t>
            </w:r>
          </w:p>
        </w:tc>
        <w:tc>
          <w:tcPr>
            <w:tcW w:w="1417" w:type="dxa"/>
            <w:hideMark/>
          </w:tcPr>
          <w:p w14:paraId="113B6D44" w14:textId="77777777" w:rsidR="00BE0799" w:rsidRPr="00474E08" w:rsidRDefault="00BE0799" w:rsidP="009A2651">
            <w:pPr>
              <w:pStyle w:val="NormalWeb"/>
              <w:rPr>
                <w:sz w:val="18"/>
                <w:szCs w:val="18"/>
                <w:lang w:val="en-GB"/>
              </w:rPr>
            </w:pPr>
            <w:r w:rsidRPr="00474E08">
              <w:rPr>
                <w:sz w:val="18"/>
                <w:szCs w:val="18"/>
                <w:lang w:val="en-GB"/>
              </w:rPr>
              <w:t>59 (45.0)</w:t>
            </w:r>
          </w:p>
        </w:tc>
        <w:tc>
          <w:tcPr>
            <w:tcW w:w="1226" w:type="dxa"/>
            <w:hideMark/>
          </w:tcPr>
          <w:p w14:paraId="2FDB8C51" w14:textId="77777777" w:rsidR="00BE0799" w:rsidRPr="00474E08" w:rsidRDefault="00BE0799" w:rsidP="009A2651">
            <w:pPr>
              <w:pStyle w:val="NormalWeb"/>
              <w:rPr>
                <w:sz w:val="18"/>
                <w:szCs w:val="18"/>
                <w:lang w:val="en-GB"/>
              </w:rPr>
            </w:pPr>
            <w:r w:rsidRPr="00474E08">
              <w:rPr>
                <w:sz w:val="18"/>
                <w:szCs w:val="18"/>
                <w:lang w:val="en-GB"/>
              </w:rPr>
              <w:t>0.39</w:t>
            </w:r>
          </w:p>
        </w:tc>
      </w:tr>
      <w:tr w:rsidR="00BE0799" w:rsidRPr="00474E08" w14:paraId="7D3D40EF" w14:textId="77777777" w:rsidTr="00474E08">
        <w:tc>
          <w:tcPr>
            <w:tcW w:w="6096" w:type="dxa"/>
            <w:hideMark/>
          </w:tcPr>
          <w:p w14:paraId="437659E8" w14:textId="77777777" w:rsidR="00BE0799" w:rsidRPr="00474E08" w:rsidRDefault="00BE0799" w:rsidP="009A2651">
            <w:pPr>
              <w:pStyle w:val="NormalWeb"/>
              <w:jc w:val="left"/>
              <w:rPr>
                <w:sz w:val="18"/>
                <w:szCs w:val="18"/>
                <w:lang w:val="en-GB"/>
              </w:rPr>
            </w:pPr>
            <w:r w:rsidRPr="00474E08">
              <w:rPr>
                <w:sz w:val="18"/>
                <w:szCs w:val="18"/>
                <w:lang w:val="en-GB"/>
              </w:rPr>
              <w:t>Median age in years (IQR)</w:t>
            </w:r>
          </w:p>
        </w:tc>
        <w:tc>
          <w:tcPr>
            <w:tcW w:w="1701" w:type="dxa"/>
            <w:hideMark/>
          </w:tcPr>
          <w:p w14:paraId="2E63E675" w14:textId="77777777" w:rsidR="00BE0799" w:rsidRPr="00474E08" w:rsidRDefault="00BE0799" w:rsidP="009A2651">
            <w:pPr>
              <w:pStyle w:val="NormalWeb"/>
              <w:rPr>
                <w:sz w:val="18"/>
                <w:szCs w:val="18"/>
                <w:lang w:val="en-GB"/>
              </w:rPr>
            </w:pPr>
            <w:r w:rsidRPr="00474E08">
              <w:rPr>
                <w:sz w:val="18"/>
                <w:szCs w:val="18"/>
                <w:lang w:val="en-GB"/>
              </w:rPr>
              <w:t>42 (29–57)</w:t>
            </w:r>
          </w:p>
        </w:tc>
        <w:tc>
          <w:tcPr>
            <w:tcW w:w="1417" w:type="dxa"/>
            <w:hideMark/>
          </w:tcPr>
          <w:p w14:paraId="498CF3CA" w14:textId="77777777" w:rsidR="00BE0799" w:rsidRPr="00474E08" w:rsidRDefault="00BE0799" w:rsidP="009A2651">
            <w:pPr>
              <w:pStyle w:val="NormalWeb"/>
              <w:rPr>
                <w:sz w:val="18"/>
                <w:szCs w:val="18"/>
                <w:lang w:val="en-GB"/>
              </w:rPr>
            </w:pPr>
            <w:r w:rsidRPr="00474E08">
              <w:rPr>
                <w:sz w:val="18"/>
                <w:szCs w:val="18"/>
                <w:lang w:val="en-GB"/>
              </w:rPr>
              <w:t>49 (32–71)</w:t>
            </w:r>
          </w:p>
        </w:tc>
        <w:tc>
          <w:tcPr>
            <w:tcW w:w="1226" w:type="dxa"/>
            <w:hideMark/>
          </w:tcPr>
          <w:p w14:paraId="3F716BB1" w14:textId="77777777" w:rsidR="00BE0799" w:rsidRPr="00474E08" w:rsidRDefault="00BE0799" w:rsidP="009A2651">
            <w:pPr>
              <w:pStyle w:val="NormalWeb"/>
              <w:rPr>
                <w:sz w:val="18"/>
                <w:szCs w:val="18"/>
                <w:lang w:val="en-GB"/>
              </w:rPr>
            </w:pPr>
            <w:r w:rsidRPr="00474E08">
              <w:rPr>
                <w:sz w:val="18"/>
                <w:szCs w:val="18"/>
                <w:lang w:val="en-GB"/>
              </w:rPr>
              <w:t>&lt; 0.01</w:t>
            </w:r>
          </w:p>
        </w:tc>
      </w:tr>
      <w:tr w:rsidR="00474E08" w:rsidRPr="00474E08" w14:paraId="2814BF7F" w14:textId="77777777" w:rsidTr="00474E08">
        <w:trPr>
          <w:cnfStyle w:val="000000010000" w:firstRow="0" w:lastRow="0" w:firstColumn="0" w:lastColumn="0" w:oddVBand="0" w:evenVBand="0" w:oddHBand="0" w:evenHBand="1" w:firstRowFirstColumn="0" w:firstRowLastColumn="0" w:lastRowFirstColumn="0" w:lastRowLastColumn="0"/>
        </w:trPr>
        <w:tc>
          <w:tcPr>
            <w:tcW w:w="6096" w:type="dxa"/>
            <w:hideMark/>
          </w:tcPr>
          <w:p w14:paraId="31F116A6" w14:textId="77777777" w:rsidR="00BE0799" w:rsidRPr="00474E08" w:rsidRDefault="00BE0799" w:rsidP="009A2651">
            <w:pPr>
              <w:pStyle w:val="NormalWeb"/>
              <w:jc w:val="left"/>
              <w:rPr>
                <w:sz w:val="18"/>
                <w:szCs w:val="18"/>
                <w:lang w:val="en-GB"/>
              </w:rPr>
            </w:pPr>
            <w:r w:rsidRPr="00474E08">
              <w:rPr>
                <w:sz w:val="18"/>
                <w:szCs w:val="18"/>
                <w:lang w:val="en-GB"/>
              </w:rPr>
              <w:t>Median score (IQR)</w:t>
            </w:r>
          </w:p>
        </w:tc>
        <w:tc>
          <w:tcPr>
            <w:tcW w:w="1701" w:type="dxa"/>
            <w:hideMark/>
          </w:tcPr>
          <w:p w14:paraId="08FEA1AB" w14:textId="77777777" w:rsidR="00BE0799" w:rsidRPr="00474E08" w:rsidRDefault="00BE0799" w:rsidP="009A2651">
            <w:pPr>
              <w:pStyle w:val="NormalWeb"/>
              <w:rPr>
                <w:sz w:val="18"/>
                <w:szCs w:val="18"/>
                <w:lang w:val="en-GB"/>
              </w:rPr>
            </w:pPr>
            <w:r w:rsidRPr="00474E08">
              <w:rPr>
                <w:sz w:val="18"/>
                <w:szCs w:val="18"/>
                <w:lang w:val="en-GB"/>
              </w:rPr>
              <w:t>4 (2–7)</w:t>
            </w:r>
          </w:p>
        </w:tc>
        <w:tc>
          <w:tcPr>
            <w:tcW w:w="1417" w:type="dxa"/>
            <w:hideMark/>
          </w:tcPr>
          <w:p w14:paraId="2B8CDBEA" w14:textId="77777777" w:rsidR="00BE0799" w:rsidRPr="00474E08" w:rsidRDefault="00BE0799" w:rsidP="009A2651">
            <w:pPr>
              <w:pStyle w:val="NormalWeb"/>
              <w:rPr>
                <w:sz w:val="18"/>
                <w:szCs w:val="18"/>
                <w:lang w:val="en-GB"/>
              </w:rPr>
            </w:pPr>
            <w:r w:rsidRPr="00474E08">
              <w:rPr>
                <w:sz w:val="18"/>
                <w:szCs w:val="18"/>
                <w:lang w:val="en-GB"/>
              </w:rPr>
              <w:t>3 (1–6)</w:t>
            </w:r>
          </w:p>
        </w:tc>
        <w:tc>
          <w:tcPr>
            <w:tcW w:w="1226" w:type="dxa"/>
            <w:hideMark/>
          </w:tcPr>
          <w:p w14:paraId="55DD5BBA" w14:textId="77777777" w:rsidR="00BE0799" w:rsidRPr="00474E08" w:rsidRDefault="00BE0799" w:rsidP="009A2651">
            <w:pPr>
              <w:pStyle w:val="NormalWeb"/>
              <w:rPr>
                <w:sz w:val="18"/>
                <w:szCs w:val="18"/>
                <w:lang w:val="en-GB"/>
              </w:rPr>
            </w:pPr>
            <w:r w:rsidRPr="00474E08">
              <w:rPr>
                <w:sz w:val="18"/>
                <w:szCs w:val="18"/>
                <w:lang w:val="en-GB"/>
              </w:rPr>
              <w:t>0.01</w:t>
            </w:r>
          </w:p>
        </w:tc>
      </w:tr>
      <w:tr w:rsidR="00BE0799" w:rsidRPr="00474E08" w14:paraId="749E604A" w14:textId="77777777" w:rsidTr="00474E08">
        <w:tc>
          <w:tcPr>
            <w:tcW w:w="6096" w:type="dxa"/>
            <w:hideMark/>
          </w:tcPr>
          <w:p w14:paraId="3F032535" w14:textId="77777777" w:rsidR="00BE0799" w:rsidRPr="00474E08" w:rsidRDefault="00BE0799" w:rsidP="009A2651">
            <w:pPr>
              <w:pStyle w:val="NormalWeb"/>
              <w:jc w:val="left"/>
              <w:rPr>
                <w:sz w:val="18"/>
                <w:szCs w:val="18"/>
                <w:lang w:val="en-GB"/>
              </w:rPr>
            </w:pPr>
            <w:r w:rsidRPr="00474E08">
              <w:rPr>
                <w:sz w:val="18"/>
                <w:szCs w:val="18"/>
                <w:lang w:val="en-GB"/>
              </w:rPr>
              <w:t>Score &gt; 4 (%)</w:t>
            </w:r>
          </w:p>
        </w:tc>
        <w:tc>
          <w:tcPr>
            <w:tcW w:w="1701" w:type="dxa"/>
            <w:hideMark/>
          </w:tcPr>
          <w:p w14:paraId="76B73353" w14:textId="77777777" w:rsidR="00BE0799" w:rsidRPr="00474E08" w:rsidRDefault="00BE0799" w:rsidP="009A2651">
            <w:pPr>
              <w:pStyle w:val="NormalWeb"/>
              <w:rPr>
                <w:sz w:val="18"/>
                <w:szCs w:val="18"/>
                <w:lang w:val="en-GB"/>
              </w:rPr>
            </w:pPr>
            <w:r w:rsidRPr="00474E08">
              <w:rPr>
                <w:sz w:val="18"/>
                <w:szCs w:val="18"/>
                <w:lang w:val="en-GB"/>
              </w:rPr>
              <w:t>63 (48.1)</w:t>
            </w:r>
          </w:p>
        </w:tc>
        <w:tc>
          <w:tcPr>
            <w:tcW w:w="1417" w:type="dxa"/>
            <w:hideMark/>
          </w:tcPr>
          <w:p w14:paraId="6D38E585" w14:textId="77777777" w:rsidR="00BE0799" w:rsidRPr="00474E08" w:rsidRDefault="00BE0799" w:rsidP="009A2651">
            <w:pPr>
              <w:pStyle w:val="NormalWeb"/>
              <w:rPr>
                <w:sz w:val="18"/>
                <w:szCs w:val="18"/>
                <w:lang w:val="en-GB"/>
              </w:rPr>
            </w:pPr>
            <w:r w:rsidRPr="00474E08">
              <w:rPr>
                <w:sz w:val="18"/>
                <w:szCs w:val="18"/>
                <w:lang w:val="en-GB"/>
              </w:rPr>
              <w:t>46 (35.1)</w:t>
            </w:r>
          </w:p>
        </w:tc>
        <w:tc>
          <w:tcPr>
            <w:tcW w:w="1226" w:type="dxa"/>
            <w:hideMark/>
          </w:tcPr>
          <w:p w14:paraId="3ACA0E96" w14:textId="77777777" w:rsidR="00BE0799" w:rsidRPr="00474E08" w:rsidRDefault="00BE0799" w:rsidP="009A2651">
            <w:pPr>
              <w:pStyle w:val="NormalWeb"/>
              <w:rPr>
                <w:sz w:val="18"/>
                <w:szCs w:val="18"/>
                <w:lang w:val="en-GB"/>
              </w:rPr>
            </w:pPr>
            <w:r w:rsidRPr="00474E08">
              <w:rPr>
                <w:sz w:val="18"/>
                <w:szCs w:val="18"/>
                <w:lang w:val="en-GB"/>
              </w:rPr>
              <w:t>0.03</w:t>
            </w:r>
          </w:p>
        </w:tc>
      </w:tr>
      <w:tr w:rsidR="00474E08" w:rsidRPr="00474E08" w14:paraId="0DA03621" w14:textId="77777777" w:rsidTr="00474E08">
        <w:trPr>
          <w:cnfStyle w:val="000000010000" w:firstRow="0" w:lastRow="0" w:firstColumn="0" w:lastColumn="0" w:oddVBand="0" w:evenVBand="0" w:oddHBand="0" w:evenHBand="1" w:firstRowFirstColumn="0" w:firstRowLastColumn="0" w:lastRowFirstColumn="0" w:lastRowLastColumn="0"/>
        </w:trPr>
        <w:tc>
          <w:tcPr>
            <w:tcW w:w="6096" w:type="dxa"/>
            <w:hideMark/>
          </w:tcPr>
          <w:p w14:paraId="7AE0E1E1" w14:textId="77777777" w:rsidR="00BE0799" w:rsidRPr="00474E08" w:rsidRDefault="00BE0799" w:rsidP="009A2651">
            <w:pPr>
              <w:pStyle w:val="NormalWeb"/>
              <w:jc w:val="left"/>
              <w:rPr>
                <w:sz w:val="18"/>
                <w:szCs w:val="18"/>
                <w:lang w:val="en-GB"/>
              </w:rPr>
            </w:pPr>
            <w:r w:rsidRPr="00474E08">
              <w:rPr>
                <w:sz w:val="18"/>
                <w:szCs w:val="18"/>
                <w:lang w:val="en-GB"/>
              </w:rPr>
              <w:t>Tertiary hospital (%)</w:t>
            </w:r>
          </w:p>
        </w:tc>
        <w:tc>
          <w:tcPr>
            <w:tcW w:w="1701" w:type="dxa"/>
            <w:hideMark/>
          </w:tcPr>
          <w:p w14:paraId="20465D44" w14:textId="77777777" w:rsidR="00BE0799" w:rsidRPr="00474E08" w:rsidRDefault="00BE0799" w:rsidP="009A2651">
            <w:pPr>
              <w:pStyle w:val="NormalWeb"/>
              <w:rPr>
                <w:sz w:val="18"/>
                <w:szCs w:val="18"/>
                <w:lang w:val="en-GB"/>
              </w:rPr>
            </w:pPr>
            <w:r w:rsidRPr="00474E08">
              <w:rPr>
                <w:sz w:val="18"/>
                <w:szCs w:val="18"/>
                <w:lang w:val="en-GB"/>
              </w:rPr>
              <w:t>51 (38.9)</w:t>
            </w:r>
          </w:p>
        </w:tc>
        <w:tc>
          <w:tcPr>
            <w:tcW w:w="1417" w:type="dxa"/>
            <w:hideMark/>
          </w:tcPr>
          <w:p w14:paraId="4674BC2A" w14:textId="77777777" w:rsidR="00BE0799" w:rsidRPr="00474E08" w:rsidRDefault="00BE0799" w:rsidP="009A2651">
            <w:pPr>
              <w:pStyle w:val="NormalWeb"/>
              <w:rPr>
                <w:sz w:val="18"/>
                <w:szCs w:val="18"/>
                <w:lang w:val="en-GB"/>
              </w:rPr>
            </w:pPr>
            <w:r w:rsidRPr="00474E08">
              <w:rPr>
                <w:sz w:val="18"/>
                <w:szCs w:val="18"/>
                <w:lang w:val="en-GB"/>
              </w:rPr>
              <w:t>55 (42.0)</w:t>
            </w:r>
          </w:p>
        </w:tc>
        <w:tc>
          <w:tcPr>
            <w:tcW w:w="1226" w:type="dxa"/>
            <w:hideMark/>
          </w:tcPr>
          <w:p w14:paraId="07637585" w14:textId="77777777" w:rsidR="00BE0799" w:rsidRPr="00474E08" w:rsidRDefault="00BE0799" w:rsidP="009A2651">
            <w:pPr>
              <w:pStyle w:val="NormalWeb"/>
              <w:rPr>
                <w:sz w:val="18"/>
                <w:szCs w:val="18"/>
                <w:lang w:val="en-GB"/>
              </w:rPr>
            </w:pPr>
            <w:r w:rsidRPr="00474E08">
              <w:rPr>
                <w:sz w:val="18"/>
                <w:szCs w:val="18"/>
                <w:lang w:val="en-GB"/>
              </w:rPr>
              <w:t>0.62</w:t>
            </w:r>
          </w:p>
        </w:tc>
      </w:tr>
      <w:tr w:rsidR="00474E08" w:rsidRPr="00474E08" w14:paraId="3C32ACCD" w14:textId="77777777" w:rsidTr="00474E08">
        <w:tc>
          <w:tcPr>
            <w:tcW w:w="6096" w:type="dxa"/>
            <w:shd w:val="clear" w:color="auto" w:fill="BBA991"/>
            <w:hideMark/>
          </w:tcPr>
          <w:p w14:paraId="5649360D" w14:textId="77777777" w:rsidR="00BE0799" w:rsidRPr="00474E08" w:rsidRDefault="00BE0799" w:rsidP="009A2651">
            <w:pPr>
              <w:pStyle w:val="NormalWeb"/>
              <w:jc w:val="left"/>
              <w:rPr>
                <w:b/>
                <w:bCs/>
                <w:sz w:val="18"/>
                <w:szCs w:val="18"/>
                <w:lang w:val="en-GB"/>
              </w:rPr>
            </w:pPr>
            <w:r w:rsidRPr="00474E08">
              <w:rPr>
                <w:b/>
                <w:bCs/>
                <w:sz w:val="18"/>
                <w:szCs w:val="18"/>
                <w:lang w:val="en-GB"/>
              </w:rPr>
              <w:t>COVID-19 primary cause (N = 205)</w:t>
            </w:r>
          </w:p>
        </w:tc>
        <w:tc>
          <w:tcPr>
            <w:tcW w:w="1701" w:type="dxa"/>
            <w:shd w:val="clear" w:color="auto" w:fill="BBA991"/>
            <w:hideMark/>
          </w:tcPr>
          <w:p w14:paraId="51AB750D" w14:textId="77777777" w:rsidR="00BE0799" w:rsidRPr="00474E08" w:rsidRDefault="00BE0799" w:rsidP="009A2651">
            <w:pPr>
              <w:pStyle w:val="NormalWeb"/>
              <w:rPr>
                <w:b/>
                <w:bCs/>
                <w:sz w:val="18"/>
                <w:szCs w:val="18"/>
                <w:lang w:val="en-GB"/>
              </w:rPr>
            </w:pPr>
            <w:r w:rsidRPr="00474E08">
              <w:rPr>
                <w:b/>
                <w:bCs/>
                <w:sz w:val="18"/>
                <w:szCs w:val="18"/>
                <w:lang w:val="en-GB"/>
              </w:rPr>
              <w:t>N = 109</w:t>
            </w:r>
          </w:p>
        </w:tc>
        <w:tc>
          <w:tcPr>
            <w:tcW w:w="1417" w:type="dxa"/>
            <w:shd w:val="clear" w:color="auto" w:fill="BBA991"/>
            <w:hideMark/>
          </w:tcPr>
          <w:p w14:paraId="39B655E1" w14:textId="77777777" w:rsidR="00BE0799" w:rsidRPr="00474E08" w:rsidRDefault="00BE0799" w:rsidP="009A2651">
            <w:pPr>
              <w:pStyle w:val="NormalWeb"/>
              <w:rPr>
                <w:b/>
                <w:bCs/>
                <w:sz w:val="18"/>
                <w:szCs w:val="18"/>
                <w:lang w:val="en-GB"/>
              </w:rPr>
            </w:pPr>
            <w:r w:rsidRPr="00474E08">
              <w:rPr>
                <w:b/>
                <w:bCs/>
                <w:sz w:val="18"/>
                <w:szCs w:val="18"/>
                <w:lang w:val="en-GB"/>
              </w:rPr>
              <w:t>N = 96</w:t>
            </w:r>
          </w:p>
        </w:tc>
        <w:tc>
          <w:tcPr>
            <w:tcW w:w="1226" w:type="dxa"/>
            <w:shd w:val="clear" w:color="auto" w:fill="BBA991"/>
            <w:hideMark/>
          </w:tcPr>
          <w:p w14:paraId="230970A2" w14:textId="77777777" w:rsidR="00BE0799" w:rsidRPr="00474E08" w:rsidRDefault="00BE0799" w:rsidP="009A2651">
            <w:pPr>
              <w:rPr>
                <w:b/>
                <w:bCs/>
                <w:sz w:val="18"/>
                <w:szCs w:val="18"/>
                <w:lang w:val="en-GB"/>
              </w:rPr>
            </w:pPr>
          </w:p>
        </w:tc>
      </w:tr>
      <w:tr w:rsidR="00474E08" w:rsidRPr="00474E08" w14:paraId="182FA856" w14:textId="77777777" w:rsidTr="00474E08">
        <w:trPr>
          <w:cnfStyle w:val="000000010000" w:firstRow="0" w:lastRow="0" w:firstColumn="0" w:lastColumn="0" w:oddVBand="0" w:evenVBand="0" w:oddHBand="0" w:evenHBand="1" w:firstRowFirstColumn="0" w:firstRowLastColumn="0" w:lastRowFirstColumn="0" w:lastRowLastColumn="0"/>
        </w:trPr>
        <w:tc>
          <w:tcPr>
            <w:tcW w:w="6096" w:type="dxa"/>
            <w:hideMark/>
          </w:tcPr>
          <w:p w14:paraId="7F1C05EB" w14:textId="77777777" w:rsidR="00BE0799" w:rsidRPr="00474E08" w:rsidRDefault="00BE0799" w:rsidP="009A2651">
            <w:pPr>
              <w:pStyle w:val="NormalWeb"/>
              <w:jc w:val="left"/>
              <w:rPr>
                <w:sz w:val="18"/>
                <w:szCs w:val="18"/>
                <w:lang w:val="en-GB"/>
              </w:rPr>
            </w:pPr>
            <w:r w:rsidRPr="00474E08">
              <w:rPr>
                <w:sz w:val="18"/>
                <w:szCs w:val="18"/>
                <w:lang w:val="en-GB"/>
              </w:rPr>
              <w:t>Male (%)</w:t>
            </w:r>
          </w:p>
        </w:tc>
        <w:tc>
          <w:tcPr>
            <w:tcW w:w="1701" w:type="dxa"/>
            <w:hideMark/>
          </w:tcPr>
          <w:p w14:paraId="711BF337" w14:textId="77777777" w:rsidR="00BE0799" w:rsidRPr="00474E08" w:rsidRDefault="00BE0799" w:rsidP="009A2651">
            <w:pPr>
              <w:pStyle w:val="NormalWeb"/>
              <w:rPr>
                <w:sz w:val="18"/>
                <w:szCs w:val="18"/>
                <w:lang w:val="en-GB"/>
              </w:rPr>
            </w:pPr>
            <w:r w:rsidRPr="00474E08">
              <w:rPr>
                <w:sz w:val="18"/>
                <w:szCs w:val="18"/>
                <w:lang w:val="en-GB"/>
              </w:rPr>
              <w:t>53 (48.6)</w:t>
            </w:r>
          </w:p>
        </w:tc>
        <w:tc>
          <w:tcPr>
            <w:tcW w:w="1417" w:type="dxa"/>
            <w:hideMark/>
          </w:tcPr>
          <w:p w14:paraId="584E8615" w14:textId="77777777" w:rsidR="00BE0799" w:rsidRPr="00474E08" w:rsidRDefault="00BE0799" w:rsidP="009A2651">
            <w:pPr>
              <w:pStyle w:val="NormalWeb"/>
              <w:rPr>
                <w:sz w:val="18"/>
                <w:szCs w:val="18"/>
                <w:lang w:val="en-GB"/>
              </w:rPr>
            </w:pPr>
            <w:r w:rsidRPr="00474E08">
              <w:rPr>
                <w:sz w:val="18"/>
                <w:szCs w:val="18"/>
                <w:lang w:val="en-GB"/>
              </w:rPr>
              <w:t>39 (40.6)</w:t>
            </w:r>
          </w:p>
        </w:tc>
        <w:tc>
          <w:tcPr>
            <w:tcW w:w="1226" w:type="dxa"/>
            <w:hideMark/>
          </w:tcPr>
          <w:p w14:paraId="577AAC45" w14:textId="77777777" w:rsidR="00BE0799" w:rsidRPr="00474E08" w:rsidRDefault="00BE0799" w:rsidP="009A2651">
            <w:pPr>
              <w:pStyle w:val="NormalWeb"/>
              <w:rPr>
                <w:sz w:val="18"/>
                <w:szCs w:val="18"/>
                <w:lang w:val="en-GB"/>
              </w:rPr>
            </w:pPr>
            <w:r w:rsidRPr="00474E08">
              <w:rPr>
                <w:sz w:val="18"/>
                <w:szCs w:val="18"/>
                <w:lang w:val="en-GB"/>
              </w:rPr>
              <w:t>0.25</w:t>
            </w:r>
          </w:p>
        </w:tc>
      </w:tr>
      <w:tr w:rsidR="00BE0799" w:rsidRPr="00474E08" w14:paraId="71CB767E" w14:textId="77777777" w:rsidTr="00474E08">
        <w:tc>
          <w:tcPr>
            <w:tcW w:w="6096" w:type="dxa"/>
            <w:hideMark/>
          </w:tcPr>
          <w:p w14:paraId="7759B9D7" w14:textId="77777777" w:rsidR="00BE0799" w:rsidRPr="00474E08" w:rsidRDefault="00BE0799" w:rsidP="009A2651">
            <w:pPr>
              <w:pStyle w:val="NormalWeb"/>
              <w:jc w:val="left"/>
              <w:rPr>
                <w:sz w:val="18"/>
                <w:szCs w:val="18"/>
                <w:lang w:val="en-GB"/>
              </w:rPr>
            </w:pPr>
            <w:r w:rsidRPr="00474E08">
              <w:rPr>
                <w:sz w:val="18"/>
                <w:szCs w:val="18"/>
                <w:lang w:val="en-GB"/>
              </w:rPr>
              <w:t>Median age in years (IQR)</w:t>
            </w:r>
          </w:p>
        </w:tc>
        <w:tc>
          <w:tcPr>
            <w:tcW w:w="1701" w:type="dxa"/>
            <w:hideMark/>
          </w:tcPr>
          <w:p w14:paraId="483B5BB3" w14:textId="77777777" w:rsidR="00BE0799" w:rsidRPr="00474E08" w:rsidRDefault="00BE0799" w:rsidP="009A2651">
            <w:pPr>
              <w:pStyle w:val="NormalWeb"/>
              <w:rPr>
                <w:sz w:val="18"/>
                <w:szCs w:val="18"/>
                <w:lang w:val="en-GB"/>
              </w:rPr>
            </w:pPr>
            <w:r w:rsidRPr="00474E08">
              <w:rPr>
                <w:sz w:val="18"/>
                <w:szCs w:val="18"/>
                <w:lang w:val="en-GB"/>
              </w:rPr>
              <w:t>42 (30–57)</w:t>
            </w:r>
          </w:p>
        </w:tc>
        <w:tc>
          <w:tcPr>
            <w:tcW w:w="1417" w:type="dxa"/>
            <w:hideMark/>
          </w:tcPr>
          <w:p w14:paraId="2839BFC4" w14:textId="77777777" w:rsidR="00BE0799" w:rsidRPr="00474E08" w:rsidRDefault="00BE0799" w:rsidP="009A2651">
            <w:pPr>
              <w:pStyle w:val="NormalWeb"/>
              <w:rPr>
                <w:sz w:val="18"/>
                <w:szCs w:val="18"/>
                <w:lang w:val="en-GB"/>
              </w:rPr>
            </w:pPr>
            <w:r w:rsidRPr="00474E08">
              <w:rPr>
                <w:sz w:val="18"/>
                <w:szCs w:val="18"/>
                <w:lang w:val="en-GB"/>
              </w:rPr>
              <w:t>51.7 (33.5–71)</w:t>
            </w:r>
          </w:p>
        </w:tc>
        <w:tc>
          <w:tcPr>
            <w:tcW w:w="1226" w:type="dxa"/>
            <w:hideMark/>
          </w:tcPr>
          <w:p w14:paraId="4A7E7E98" w14:textId="77777777" w:rsidR="00BE0799" w:rsidRPr="00474E08" w:rsidRDefault="00BE0799" w:rsidP="009A2651">
            <w:pPr>
              <w:pStyle w:val="NormalWeb"/>
              <w:rPr>
                <w:sz w:val="18"/>
                <w:szCs w:val="18"/>
                <w:lang w:val="en-GB"/>
              </w:rPr>
            </w:pPr>
            <w:r w:rsidRPr="00474E08">
              <w:rPr>
                <w:sz w:val="18"/>
                <w:szCs w:val="18"/>
                <w:lang w:val="en-GB"/>
              </w:rPr>
              <w:t>&lt; 0.01</w:t>
            </w:r>
          </w:p>
        </w:tc>
      </w:tr>
      <w:tr w:rsidR="00474E08" w:rsidRPr="00474E08" w14:paraId="33D5389F" w14:textId="77777777" w:rsidTr="00474E08">
        <w:trPr>
          <w:cnfStyle w:val="000000010000" w:firstRow="0" w:lastRow="0" w:firstColumn="0" w:lastColumn="0" w:oddVBand="0" w:evenVBand="0" w:oddHBand="0" w:evenHBand="1" w:firstRowFirstColumn="0" w:firstRowLastColumn="0" w:lastRowFirstColumn="0" w:lastRowLastColumn="0"/>
        </w:trPr>
        <w:tc>
          <w:tcPr>
            <w:tcW w:w="6096" w:type="dxa"/>
            <w:hideMark/>
          </w:tcPr>
          <w:p w14:paraId="258DA17B" w14:textId="77777777" w:rsidR="00BE0799" w:rsidRPr="00474E08" w:rsidRDefault="00BE0799" w:rsidP="009A2651">
            <w:pPr>
              <w:pStyle w:val="NormalWeb"/>
              <w:jc w:val="left"/>
              <w:rPr>
                <w:sz w:val="18"/>
                <w:szCs w:val="18"/>
                <w:lang w:val="en-GB"/>
              </w:rPr>
            </w:pPr>
            <w:r w:rsidRPr="00474E08">
              <w:rPr>
                <w:sz w:val="18"/>
                <w:szCs w:val="18"/>
                <w:lang w:val="en-GB"/>
              </w:rPr>
              <w:t>Median score (IQR)</w:t>
            </w:r>
          </w:p>
        </w:tc>
        <w:tc>
          <w:tcPr>
            <w:tcW w:w="1701" w:type="dxa"/>
            <w:hideMark/>
          </w:tcPr>
          <w:p w14:paraId="4578C021" w14:textId="77777777" w:rsidR="00BE0799" w:rsidRPr="00474E08" w:rsidRDefault="00BE0799" w:rsidP="009A2651">
            <w:pPr>
              <w:pStyle w:val="NormalWeb"/>
              <w:rPr>
                <w:sz w:val="18"/>
                <w:szCs w:val="18"/>
                <w:lang w:val="en-GB"/>
              </w:rPr>
            </w:pPr>
            <w:r w:rsidRPr="00474E08">
              <w:rPr>
                <w:sz w:val="18"/>
                <w:szCs w:val="18"/>
                <w:lang w:val="en-GB"/>
              </w:rPr>
              <w:t>5 (3–8)</w:t>
            </w:r>
          </w:p>
        </w:tc>
        <w:tc>
          <w:tcPr>
            <w:tcW w:w="1417" w:type="dxa"/>
            <w:hideMark/>
          </w:tcPr>
          <w:p w14:paraId="446F80AA" w14:textId="77777777" w:rsidR="00BE0799" w:rsidRPr="00474E08" w:rsidRDefault="00BE0799" w:rsidP="009A2651">
            <w:pPr>
              <w:pStyle w:val="NormalWeb"/>
              <w:rPr>
                <w:sz w:val="18"/>
                <w:szCs w:val="18"/>
                <w:lang w:val="en-GB"/>
              </w:rPr>
            </w:pPr>
            <w:r w:rsidRPr="00474E08">
              <w:rPr>
                <w:sz w:val="18"/>
                <w:szCs w:val="18"/>
                <w:lang w:val="en-GB"/>
              </w:rPr>
              <w:t>3 (1–6.5)</w:t>
            </w:r>
          </w:p>
        </w:tc>
        <w:tc>
          <w:tcPr>
            <w:tcW w:w="1226" w:type="dxa"/>
            <w:hideMark/>
          </w:tcPr>
          <w:p w14:paraId="04A7C8F6" w14:textId="77777777" w:rsidR="00BE0799" w:rsidRPr="00474E08" w:rsidRDefault="00BE0799" w:rsidP="009A2651">
            <w:pPr>
              <w:pStyle w:val="NormalWeb"/>
              <w:rPr>
                <w:sz w:val="18"/>
                <w:szCs w:val="18"/>
                <w:lang w:val="en-GB"/>
              </w:rPr>
            </w:pPr>
            <w:r w:rsidRPr="00474E08">
              <w:rPr>
                <w:sz w:val="18"/>
                <w:szCs w:val="18"/>
                <w:lang w:val="en-GB"/>
              </w:rPr>
              <w:t>0.01</w:t>
            </w:r>
          </w:p>
        </w:tc>
      </w:tr>
      <w:tr w:rsidR="00BE0799" w:rsidRPr="00474E08" w14:paraId="111D6C42" w14:textId="77777777" w:rsidTr="00474E08">
        <w:tc>
          <w:tcPr>
            <w:tcW w:w="6096" w:type="dxa"/>
            <w:hideMark/>
          </w:tcPr>
          <w:p w14:paraId="15E9E888" w14:textId="77777777" w:rsidR="00BE0799" w:rsidRPr="00474E08" w:rsidRDefault="00BE0799" w:rsidP="009A2651">
            <w:pPr>
              <w:pStyle w:val="NormalWeb"/>
              <w:jc w:val="left"/>
              <w:rPr>
                <w:sz w:val="18"/>
                <w:szCs w:val="18"/>
                <w:lang w:val="en-GB"/>
              </w:rPr>
            </w:pPr>
            <w:r w:rsidRPr="00474E08">
              <w:rPr>
                <w:sz w:val="18"/>
                <w:szCs w:val="18"/>
                <w:lang w:val="en-GB"/>
              </w:rPr>
              <w:t>Score &gt; 4 (%)</w:t>
            </w:r>
          </w:p>
        </w:tc>
        <w:tc>
          <w:tcPr>
            <w:tcW w:w="1701" w:type="dxa"/>
            <w:hideMark/>
          </w:tcPr>
          <w:p w14:paraId="498A68CC" w14:textId="77777777" w:rsidR="00BE0799" w:rsidRPr="00474E08" w:rsidRDefault="00BE0799" w:rsidP="009A2651">
            <w:pPr>
              <w:pStyle w:val="NormalWeb"/>
              <w:rPr>
                <w:sz w:val="18"/>
                <w:szCs w:val="18"/>
                <w:lang w:val="en-GB"/>
              </w:rPr>
            </w:pPr>
            <w:r w:rsidRPr="00474E08">
              <w:rPr>
                <w:sz w:val="18"/>
                <w:szCs w:val="18"/>
                <w:lang w:val="en-GB"/>
              </w:rPr>
              <w:t>57 (52.3)</w:t>
            </w:r>
          </w:p>
        </w:tc>
        <w:tc>
          <w:tcPr>
            <w:tcW w:w="1417" w:type="dxa"/>
            <w:hideMark/>
          </w:tcPr>
          <w:p w14:paraId="5DE32736" w14:textId="77777777" w:rsidR="00BE0799" w:rsidRPr="00474E08" w:rsidRDefault="00BE0799" w:rsidP="009A2651">
            <w:pPr>
              <w:pStyle w:val="NormalWeb"/>
              <w:rPr>
                <w:sz w:val="18"/>
                <w:szCs w:val="18"/>
                <w:lang w:val="en-GB"/>
              </w:rPr>
            </w:pPr>
            <w:r w:rsidRPr="00474E08">
              <w:rPr>
                <w:sz w:val="18"/>
                <w:szCs w:val="18"/>
                <w:lang w:val="en-GB"/>
              </w:rPr>
              <w:t>37 (38.5)</w:t>
            </w:r>
          </w:p>
        </w:tc>
        <w:tc>
          <w:tcPr>
            <w:tcW w:w="1226" w:type="dxa"/>
            <w:hideMark/>
          </w:tcPr>
          <w:p w14:paraId="6E6418EF" w14:textId="77777777" w:rsidR="00BE0799" w:rsidRPr="00474E08" w:rsidRDefault="00BE0799" w:rsidP="009A2651">
            <w:pPr>
              <w:pStyle w:val="NormalWeb"/>
              <w:rPr>
                <w:sz w:val="18"/>
                <w:szCs w:val="18"/>
                <w:lang w:val="en-GB"/>
              </w:rPr>
            </w:pPr>
            <w:r w:rsidRPr="00474E08">
              <w:rPr>
                <w:sz w:val="18"/>
                <w:szCs w:val="18"/>
                <w:lang w:val="en-GB"/>
              </w:rPr>
              <w:t>0.049</w:t>
            </w:r>
          </w:p>
        </w:tc>
      </w:tr>
      <w:tr w:rsidR="00474E08" w:rsidRPr="00474E08" w14:paraId="3D536FC8" w14:textId="77777777" w:rsidTr="00474E08">
        <w:trPr>
          <w:cnfStyle w:val="000000010000" w:firstRow="0" w:lastRow="0" w:firstColumn="0" w:lastColumn="0" w:oddVBand="0" w:evenVBand="0" w:oddHBand="0" w:evenHBand="1" w:firstRowFirstColumn="0" w:firstRowLastColumn="0" w:lastRowFirstColumn="0" w:lastRowLastColumn="0"/>
        </w:trPr>
        <w:tc>
          <w:tcPr>
            <w:tcW w:w="6096" w:type="dxa"/>
            <w:hideMark/>
          </w:tcPr>
          <w:p w14:paraId="30CED4F4" w14:textId="77777777" w:rsidR="00BE0799" w:rsidRPr="00474E08" w:rsidRDefault="00BE0799" w:rsidP="009A2651">
            <w:pPr>
              <w:pStyle w:val="NormalWeb"/>
              <w:jc w:val="left"/>
              <w:rPr>
                <w:sz w:val="18"/>
                <w:szCs w:val="18"/>
                <w:lang w:val="en-GB"/>
              </w:rPr>
            </w:pPr>
            <w:r w:rsidRPr="00474E08">
              <w:rPr>
                <w:sz w:val="18"/>
                <w:szCs w:val="18"/>
                <w:lang w:val="en-GB"/>
              </w:rPr>
              <w:t>Tertiary hospital (%)</w:t>
            </w:r>
          </w:p>
        </w:tc>
        <w:tc>
          <w:tcPr>
            <w:tcW w:w="1701" w:type="dxa"/>
            <w:hideMark/>
          </w:tcPr>
          <w:p w14:paraId="09CC583B" w14:textId="77777777" w:rsidR="00BE0799" w:rsidRPr="00474E08" w:rsidRDefault="00BE0799" w:rsidP="009A2651">
            <w:pPr>
              <w:pStyle w:val="NormalWeb"/>
              <w:rPr>
                <w:sz w:val="18"/>
                <w:szCs w:val="18"/>
                <w:lang w:val="en-GB"/>
              </w:rPr>
            </w:pPr>
            <w:r w:rsidRPr="00474E08">
              <w:rPr>
                <w:sz w:val="18"/>
                <w:szCs w:val="18"/>
                <w:lang w:val="en-GB"/>
              </w:rPr>
              <w:t>43 (39.5)</w:t>
            </w:r>
          </w:p>
        </w:tc>
        <w:tc>
          <w:tcPr>
            <w:tcW w:w="1417" w:type="dxa"/>
            <w:hideMark/>
          </w:tcPr>
          <w:p w14:paraId="7F617CC3" w14:textId="77777777" w:rsidR="00BE0799" w:rsidRPr="00474E08" w:rsidRDefault="00BE0799" w:rsidP="009A2651">
            <w:pPr>
              <w:pStyle w:val="NormalWeb"/>
              <w:rPr>
                <w:sz w:val="18"/>
                <w:szCs w:val="18"/>
                <w:lang w:val="en-GB"/>
              </w:rPr>
            </w:pPr>
            <w:r w:rsidRPr="00474E08">
              <w:rPr>
                <w:sz w:val="18"/>
                <w:szCs w:val="18"/>
                <w:lang w:val="en-GB"/>
              </w:rPr>
              <w:t>35 (36.5)</w:t>
            </w:r>
          </w:p>
        </w:tc>
        <w:tc>
          <w:tcPr>
            <w:tcW w:w="1226" w:type="dxa"/>
            <w:hideMark/>
          </w:tcPr>
          <w:p w14:paraId="59FC40EB" w14:textId="77777777" w:rsidR="00BE0799" w:rsidRPr="00474E08" w:rsidRDefault="00BE0799" w:rsidP="009A2651">
            <w:pPr>
              <w:pStyle w:val="NormalWeb"/>
              <w:rPr>
                <w:sz w:val="18"/>
                <w:szCs w:val="18"/>
                <w:lang w:val="en-GB"/>
              </w:rPr>
            </w:pPr>
            <w:r w:rsidRPr="00474E08">
              <w:rPr>
                <w:sz w:val="18"/>
                <w:szCs w:val="18"/>
                <w:lang w:val="en-GB"/>
              </w:rPr>
              <w:t>0.66</w:t>
            </w:r>
          </w:p>
        </w:tc>
      </w:tr>
    </w:tbl>
    <w:p w14:paraId="28C0FF91" w14:textId="0C4C1A8F" w:rsidR="00BE0799" w:rsidRPr="00BE0799" w:rsidRDefault="00BE0799" w:rsidP="00BE0799">
      <w:pPr>
        <w:pStyle w:val="CDIfootnotes"/>
        <w:rPr>
          <w:lang w:val="en-GB"/>
        </w:rPr>
      </w:pPr>
      <w:proofErr w:type="gramStart"/>
      <w:r>
        <w:rPr>
          <w:lang w:val="en-GB"/>
        </w:rPr>
        <w:t>a</w:t>
      </w:r>
      <w:proofErr w:type="gramEnd"/>
      <w:r>
        <w:rPr>
          <w:lang w:val="en-GB"/>
        </w:rPr>
        <w:tab/>
        <w:t>IQR: interquartile range.</w:t>
      </w:r>
    </w:p>
    <w:p w14:paraId="264CFCE9" w14:textId="77777777" w:rsidR="00615C99" w:rsidRPr="00F82E40" w:rsidRDefault="00615C99" w:rsidP="00615C99">
      <w:pPr>
        <w:pStyle w:val="CDIFigures"/>
      </w:pPr>
      <w:r w:rsidRPr="00F82E40">
        <w:rPr>
          <w:rStyle w:val="Strong"/>
          <w:b/>
          <w:bCs w:val="0"/>
        </w:rPr>
        <w:t xml:space="preserve">Table 2: Admissions and deaths by </w:t>
      </w:r>
      <w:proofErr w:type="spellStart"/>
      <w:r w:rsidRPr="00F82E40">
        <w:rPr>
          <w:rStyle w:val="Strong"/>
          <w:b/>
          <w:bCs w:val="0"/>
        </w:rPr>
        <w:t>mPRIEST</w:t>
      </w:r>
      <w:proofErr w:type="spellEnd"/>
      <w:r w:rsidRPr="00F82E40">
        <w:rPr>
          <w:rStyle w:val="Strong"/>
          <w:b/>
          <w:bCs w:val="0"/>
        </w:rPr>
        <w:t xml:space="preserve"> score, </w:t>
      </w:r>
      <w:proofErr w:type="gramStart"/>
      <w:r w:rsidRPr="00F82E40">
        <w:rPr>
          <w:rStyle w:val="Strong"/>
          <w:b/>
          <w:bCs w:val="0"/>
        </w:rPr>
        <w:t>time period</w:t>
      </w:r>
      <w:proofErr w:type="gramEnd"/>
      <w:r w:rsidRPr="00F82E40">
        <w:rPr>
          <w:rStyle w:val="Strong"/>
          <w:b/>
          <w:bCs w:val="0"/>
        </w:rPr>
        <w:t xml:space="preserve"> and hospital type</w:t>
      </w:r>
    </w:p>
    <w:tbl>
      <w:tblPr>
        <w:tblStyle w:val="CDI-StandardTable"/>
        <w:tblW w:w="0" w:type="auto"/>
        <w:tblLook w:val="04A0" w:firstRow="1" w:lastRow="0" w:firstColumn="1" w:lastColumn="0" w:noHBand="0" w:noVBand="1"/>
        <w:tblDescription w:val="Data in table 2 confirmed that patients with higher scores were more likely to be admitted to hospital, admitted to ICU and die in hospital. A similar pattern of increased severity was demonstrated for patients who presented during the Delta wave and to the tertiary hospital. The logistic regression modelling showed that both Delta wave and tertiary hospital attendance were significantly associated with increased odds of having a score greater than four."/>
      </w:tblPr>
      <w:tblGrid>
        <w:gridCol w:w="2694"/>
        <w:gridCol w:w="1417"/>
        <w:gridCol w:w="992"/>
        <w:gridCol w:w="1418"/>
        <w:gridCol w:w="1276"/>
        <w:gridCol w:w="1275"/>
        <w:gridCol w:w="1368"/>
      </w:tblGrid>
      <w:tr w:rsidR="00615C99" w:rsidRPr="00F82E40" w14:paraId="19D08504" w14:textId="77777777" w:rsidTr="007A4623">
        <w:trPr>
          <w:cnfStyle w:val="100000000000" w:firstRow="1" w:lastRow="0" w:firstColumn="0" w:lastColumn="0" w:oddVBand="0" w:evenVBand="0" w:oddHBand="0" w:evenHBand="0" w:firstRowFirstColumn="0" w:firstRowLastColumn="0" w:lastRowFirstColumn="0" w:lastRowLastColumn="0"/>
        </w:trPr>
        <w:tc>
          <w:tcPr>
            <w:tcW w:w="2694" w:type="dxa"/>
            <w:tcBorders>
              <w:bottom w:val="single" w:sz="4" w:space="0" w:color="auto"/>
            </w:tcBorders>
            <w:hideMark/>
          </w:tcPr>
          <w:p w14:paraId="728F3821" w14:textId="77777777" w:rsidR="00615C99" w:rsidRPr="00F82E40" w:rsidRDefault="00615C99" w:rsidP="007A4623">
            <w:pPr>
              <w:pStyle w:val="NormalWeb"/>
              <w:jc w:val="left"/>
              <w:rPr>
                <w:sz w:val="18"/>
                <w:szCs w:val="18"/>
                <w:lang w:val="en-GB"/>
              </w:rPr>
            </w:pPr>
            <w:r w:rsidRPr="00F82E40">
              <w:rPr>
                <w:sz w:val="18"/>
                <w:szCs w:val="18"/>
                <w:lang w:val="en-GB"/>
              </w:rPr>
              <w:t>Category</w:t>
            </w:r>
          </w:p>
        </w:tc>
        <w:tc>
          <w:tcPr>
            <w:tcW w:w="1417" w:type="dxa"/>
            <w:tcBorders>
              <w:bottom w:val="single" w:sz="4" w:space="0" w:color="auto"/>
            </w:tcBorders>
            <w:hideMark/>
          </w:tcPr>
          <w:p w14:paraId="7B6940BF" w14:textId="77777777" w:rsidR="00615C99" w:rsidRPr="00F82E40" w:rsidRDefault="00615C99" w:rsidP="009A2651">
            <w:pPr>
              <w:pStyle w:val="NormalWeb"/>
              <w:rPr>
                <w:sz w:val="18"/>
                <w:szCs w:val="18"/>
                <w:lang w:val="en-GB"/>
              </w:rPr>
            </w:pPr>
            <w:r w:rsidRPr="00F82E40">
              <w:rPr>
                <w:sz w:val="18"/>
                <w:szCs w:val="18"/>
                <w:lang w:val="en-GB"/>
              </w:rPr>
              <w:t>Admitted</w:t>
            </w:r>
          </w:p>
        </w:tc>
        <w:tc>
          <w:tcPr>
            <w:tcW w:w="992" w:type="dxa"/>
            <w:tcBorders>
              <w:bottom w:val="single" w:sz="4" w:space="0" w:color="auto"/>
            </w:tcBorders>
            <w:hideMark/>
          </w:tcPr>
          <w:p w14:paraId="0FE5DBD9" w14:textId="77777777" w:rsidR="00615C99" w:rsidRPr="00F82E40" w:rsidRDefault="00615C99" w:rsidP="009A2651">
            <w:pPr>
              <w:pStyle w:val="NormalWeb"/>
              <w:rPr>
                <w:sz w:val="18"/>
                <w:szCs w:val="18"/>
                <w:lang w:val="en-GB"/>
              </w:rPr>
            </w:pPr>
            <w:r w:rsidRPr="00F82E40">
              <w:rPr>
                <w:sz w:val="18"/>
                <w:szCs w:val="18"/>
                <w:lang w:val="en-GB"/>
              </w:rPr>
              <w:t>p value</w:t>
            </w:r>
          </w:p>
        </w:tc>
        <w:tc>
          <w:tcPr>
            <w:tcW w:w="1418" w:type="dxa"/>
            <w:tcBorders>
              <w:bottom w:val="single" w:sz="4" w:space="0" w:color="auto"/>
            </w:tcBorders>
            <w:hideMark/>
          </w:tcPr>
          <w:p w14:paraId="002FBC13" w14:textId="77777777" w:rsidR="00615C99" w:rsidRPr="00F82E40" w:rsidRDefault="00615C99" w:rsidP="009A2651">
            <w:pPr>
              <w:pStyle w:val="NormalWeb"/>
              <w:rPr>
                <w:sz w:val="18"/>
                <w:szCs w:val="18"/>
                <w:lang w:val="en-GB"/>
              </w:rPr>
            </w:pPr>
            <w:r w:rsidRPr="00F82E40">
              <w:rPr>
                <w:sz w:val="18"/>
                <w:szCs w:val="18"/>
                <w:lang w:val="en-GB"/>
              </w:rPr>
              <w:t>Admitted to ICU</w:t>
            </w:r>
          </w:p>
        </w:tc>
        <w:tc>
          <w:tcPr>
            <w:tcW w:w="1276" w:type="dxa"/>
            <w:tcBorders>
              <w:bottom w:val="single" w:sz="4" w:space="0" w:color="auto"/>
            </w:tcBorders>
            <w:hideMark/>
          </w:tcPr>
          <w:p w14:paraId="424EC6C5" w14:textId="77777777" w:rsidR="00615C99" w:rsidRPr="00F82E40" w:rsidRDefault="00615C99" w:rsidP="009A2651">
            <w:pPr>
              <w:pStyle w:val="NormalWeb"/>
              <w:rPr>
                <w:sz w:val="18"/>
                <w:szCs w:val="18"/>
                <w:lang w:val="en-GB"/>
              </w:rPr>
            </w:pPr>
            <w:r w:rsidRPr="00F82E40">
              <w:rPr>
                <w:sz w:val="18"/>
                <w:szCs w:val="18"/>
                <w:lang w:val="en-GB"/>
              </w:rPr>
              <w:t>p value</w:t>
            </w:r>
          </w:p>
        </w:tc>
        <w:tc>
          <w:tcPr>
            <w:tcW w:w="1275" w:type="dxa"/>
            <w:tcBorders>
              <w:bottom w:val="single" w:sz="4" w:space="0" w:color="auto"/>
            </w:tcBorders>
            <w:hideMark/>
          </w:tcPr>
          <w:p w14:paraId="632C514D" w14:textId="77777777" w:rsidR="00615C99" w:rsidRPr="00F82E40" w:rsidRDefault="00615C99" w:rsidP="009A2651">
            <w:pPr>
              <w:pStyle w:val="NormalWeb"/>
              <w:rPr>
                <w:sz w:val="18"/>
                <w:szCs w:val="18"/>
                <w:lang w:val="en-GB"/>
              </w:rPr>
            </w:pPr>
            <w:r w:rsidRPr="00F82E40">
              <w:rPr>
                <w:sz w:val="18"/>
                <w:szCs w:val="18"/>
                <w:lang w:val="en-GB"/>
              </w:rPr>
              <w:t>Died</w:t>
            </w:r>
          </w:p>
        </w:tc>
        <w:tc>
          <w:tcPr>
            <w:tcW w:w="1368" w:type="dxa"/>
            <w:tcBorders>
              <w:bottom w:val="single" w:sz="4" w:space="0" w:color="auto"/>
            </w:tcBorders>
            <w:hideMark/>
          </w:tcPr>
          <w:p w14:paraId="3637E81E" w14:textId="77777777" w:rsidR="00615C99" w:rsidRPr="00F82E40" w:rsidRDefault="00615C99" w:rsidP="009A2651">
            <w:pPr>
              <w:pStyle w:val="NormalWeb"/>
              <w:rPr>
                <w:sz w:val="18"/>
                <w:szCs w:val="18"/>
                <w:lang w:val="en-GB"/>
              </w:rPr>
            </w:pPr>
            <w:r w:rsidRPr="000D1B28">
              <w:rPr>
                <w:i/>
                <w:iCs/>
                <w:sz w:val="18"/>
                <w:szCs w:val="18"/>
                <w:lang w:val="en-GB"/>
              </w:rPr>
              <w:t>p</w:t>
            </w:r>
            <w:r w:rsidRPr="00F82E40">
              <w:rPr>
                <w:sz w:val="18"/>
                <w:szCs w:val="18"/>
                <w:lang w:val="en-GB"/>
              </w:rPr>
              <w:t xml:space="preserve"> value</w:t>
            </w:r>
          </w:p>
        </w:tc>
      </w:tr>
      <w:tr w:rsidR="00615C99" w:rsidRPr="00FB4C3A" w14:paraId="5D8C3EB9" w14:textId="77777777" w:rsidTr="007A4623">
        <w:tc>
          <w:tcPr>
            <w:tcW w:w="10440" w:type="dxa"/>
            <w:gridSpan w:val="7"/>
            <w:tcBorders>
              <w:top w:val="single" w:sz="4" w:space="0" w:color="auto"/>
              <w:left w:val="single" w:sz="4" w:space="0" w:color="auto"/>
              <w:bottom w:val="single" w:sz="4" w:space="0" w:color="auto"/>
              <w:right w:val="single" w:sz="4" w:space="0" w:color="auto"/>
            </w:tcBorders>
            <w:shd w:val="clear" w:color="auto" w:fill="BBA991"/>
            <w:hideMark/>
          </w:tcPr>
          <w:p w14:paraId="6F8BB42E" w14:textId="77777777" w:rsidR="00615C99" w:rsidRPr="00FB4C3A" w:rsidRDefault="00615C99" w:rsidP="007A4623">
            <w:pPr>
              <w:pStyle w:val="NormalWeb"/>
              <w:jc w:val="left"/>
              <w:rPr>
                <w:b/>
                <w:bCs/>
                <w:sz w:val="18"/>
                <w:szCs w:val="18"/>
                <w:lang w:val="en-GB"/>
              </w:rPr>
            </w:pPr>
            <w:proofErr w:type="spellStart"/>
            <w:r w:rsidRPr="007A4623">
              <w:rPr>
                <w:b/>
                <w:bCs/>
                <w:i/>
                <w:iCs/>
                <w:sz w:val="18"/>
                <w:szCs w:val="18"/>
                <w:lang w:val="en-GB"/>
              </w:rPr>
              <w:t>m</w:t>
            </w:r>
            <w:r w:rsidRPr="00FB4C3A">
              <w:rPr>
                <w:b/>
                <w:bCs/>
                <w:sz w:val="18"/>
                <w:szCs w:val="18"/>
                <w:lang w:val="en-GB"/>
              </w:rPr>
              <w:t>PRIEST</w:t>
            </w:r>
            <w:proofErr w:type="spellEnd"/>
            <w:r w:rsidRPr="00FB4C3A">
              <w:rPr>
                <w:b/>
                <w:bCs/>
                <w:sz w:val="18"/>
                <w:szCs w:val="18"/>
                <w:lang w:val="en-GB"/>
              </w:rPr>
              <w:t xml:space="preserve"> score</w:t>
            </w:r>
          </w:p>
        </w:tc>
      </w:tr>
      <w:tr w:rsidR="00615C99" w:rsidRPr="00F82E40" w14:paraId="6E7BC50F" w14:textId="77777777" w:rsidTr="007A4623">
        <w:trPr>
          <w:cnfStyle w:val="000000010000" w:firstRow="0" w:lastRow="0" w:firstColumn="0" w:lastColumn="0" w:oddVBand="0" w:evenVBand="0" w:oddHBand="0" w:evenHBand="1" w:firstRowFirstColumn="0" w:firstRowLastColumn="0" w:lastRowFirstColumn="0" w:lastRowLastColumn="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84F1C57" w14:textId="77777777" w:rsidR="00615C99" w:rsidRPr="00F82E40" w:rsidRDefault="00615C99" w:rsidP="007A4623">
            <w:pPr>
              <w:pStyle w:val="NormalWeb"/>
              <w:jc w:val="left"/>
              <w:rPr>
                <w:sz w:val="18"/>
                <w:szCs w:val="18"/>
                <w:lang w:val="en-GB"/>
              </w:rPr>
            </w:pPr>
            <w:r w:rsidRPr="00F82E40">
              <w:rPr>
                <w:sz w:val="18"/>
                <w:szCs w:val="18"/>
                <w:lang w:val="en-GB"/>
              </w:rPr>
              <w:t>≤ 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DFF2D57" w14:textId="77777777" w:rsidR="00615C99" w:rsidRPr="00F82E40" w:rsidRDefault="00615C99" w:rsidP="009A2651">
            <w:pPr>
              <w:pStyle w:val="NormalWeb"/>
              <w:rPr>
                <w:sz w:val="18"/>
                <w:szCs w:val="18"/>
                <w:lang w:val="en-GB"/>
              </w:rPr>
            </w:pPr>
            <w:r w:rsidRPr="00F82E40">
              <w:rPr>
                <w:sz w:val="18"/>
                <w:szCs w:val="18"/>
                <w:lang w:val="en-GB"/>
              </w:rPr>
              <w:t>66/153 (43.1%)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B467D" w14:textId="77777777" w:rsidR="00615C99" w:rsidRPr="00F82E40" w:rsidRDefault="00615C99" w:rsidP="009A2651">
            <w:pPr>
              <w:pStyle w:val="NormalWeb"/>
              <w:rPr>
                <w:sz w:val="18"/>
                <w:szCs w:val="18"/>
                <w:lang w:val="en-GB"/>
              </w:rPr>
            </w:pPr>
            <w:r w:rsidRPr="00F82E40">
              <w:rPr>
                <w:sz w:val="18"/>
                <w:szCs w:val="18"/>
                <w:lang w:val="en-GB"/>
              </w:rPr>
              <w:t>&lt; 0.01</w:t>
            </w:r>
            <w:r w:rsidRPr="000F1BDA">
              <w:rPr>
                <w:sz w:val="18"/>
                <w:szCs w:val="18"/>
                <w:vertAlign w:val="superscript"/>
                <w:lang w:val="en-GB"/>
              </w:rPr>
              <w:t>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4BE1C1" w14:textId="77777777" w:rsidR="00615C99" w:rsidRPr="00F82E40" w:rsidRDefault="00615C99" w:rsidP="009A2651">
            <w:pPr>
              <w:pStyle w:val="NormalWeb"/>
              <w:rPr>
                <w:sz w:val="18"/>
                <w:szCs w:val="18"/>
                <w:lang w:val="en-GB"/>
              </w:rPr>
            </w:pPr>
            <w:r w:rsidRPr="00F82E40">
              <w:rPr>
                <w:sz w:val="18"/>
                <w:szCs w:val="18"/>
                <w:lang w:val="en-GB"/>
              </w:rPr>
              <w:t>1/153</w:t>
            </w:r>
            <w:r>
              <w:rPr>
                <w:sz w:val="18"/>
                <w:szCs w:val="18"/>
                <w:lang w:val="en-GB"/>
              </w:rPr>
              <w:br/>
            </w:r>
            <w:r w:rsidRPr="00F82E40">
              <w:rPr>
                <w:sz w:val="18"/>
                <w:szCs w:val="18"/>
                <w:lang w:val="en-GB"/>
              </w:rPr>
              <w:t>(0.7%)</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099BC" w14:textId="77777777" w:rsidR="00615C99" w:rsidRPr="00F82E40" w:rsidRDefault="00615C99" w:rsidP="009A2651">
            <w:pPr>
              <w:pStyle w:val="NormalWeb"/>
              <w:rPr>
                <w:sz w:val="18"/>
                <w:szCs w:val="18"/>
                <w:lang w:val="en-GB"/>
              </w:rPr>
            </w:pPr>
            <w:r w:rsidRPr="00F82E40">
              <w:rPr>
                <w:sz w:val="18"/>
                <w:szCs w:val="18"/>
                <w:lang w:val="en-GB"/>
              </w:rPr>
              <w:t>&lt; 0.01</w:t>
            </w:r>
            <w:r w:rsidRPr="000F1BDA">
              <w:rPr>
                <w:sz w:val="18"/>
                <w:szCs w:val="18"/>
                <w:vertAlign w:val="superscript"/>
                <w:lang w:val="en-GB"/>
              </w:rPr>
              <w:t>b</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8B6809D" w14:textId="77777777" w:rsidR="00615C99" w:rsidRPr="00F82E40" w:rsidRDefault="00615C99" w:rsidP="009A2651">
            <w:pPr>
              <w:pStyle w:val="NormalWeb"/>
              <w:rPr>
                <w:sz w:val="18"/>
                <w:szCs w:val="18"/>
                <w:lang w:val="en-GB"/>
              </w:rPr>
            </w:pPr>
            <w:r w:rsidRPr="00F82E40">
              <w:rPr>
                <w:sz w:val="18"/>
                <w:szCs w:val="18"/>
                <w:lang w:val="en-GB"/>
              </w:rPr>
              <w:t>1/153</w:t>
            </w:r>
            <w:r>
              <w:rPr>
                <w:sz w:val="18"/>
                <w:szCs w:val="18"/>
                <w:lang w:val="en-GB"/>
              </w:rPr>
              <w:br/>
            </w:r>
            <w:r w:rsidRPr="00F82E40">
              <w:rPr>
                <w:sz w:val="18"/>
                <w:szCs w:val="18"/>
                <w:lang w:val="en-GB"/>
              </w:rPr>
              <w:t>(0.7%)</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70CD2B" w14:textId="77777777" w:rsidR="00615C99" w:rsidRPr="00F82E40" w:rsidRDefault="00615C99" w:rsidP="009A2651">
            <w:pPr>
              <w:pStyle w:val="NormalWeb"/>
              <w:rPr>
                <w:sz w:val="18"/>
                <w:szCs w:val="18"/>
                <w:lang w:val="en-GB"/>
              </w:rPr>
            </w:pPr>
            <w:r w:rsidRPr="00F82E40">
              <w:rPr>
                <w:sz w:val="18"/>
                <w:szCs w:val="18"/>
                <w:lang w:val="en-GB"/>
              </w:rPr>
              <w:t>&lt; 0.01</w:t>
            </w:r>
            <w:r w:rsidRPr="000F1BDA">
              <w:rPr>
                <w:sz w:val="18"/>
                <w:szCs w:val="18"/>
                <w:vertAlign w:val="superscript"/>
                <w:lang w:val="en-GB"/>
              </w:rPr>
              <w:t>b</w:t>
            </w:r>
          </w:p>
        </w:tc>
      </w:tr>
      <w:tr w:rsidR="00615C99" w:rsidRPr="00F82E40" w14:paraId="27BB9154" w14:textId="77777777" w:rsidTr="007A4623">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D43B382" w14:textId="77777777" w:rsidR="00615C99" w:rsidRPr="00F82E40" w:rsidRDefault="00615C99" w:rsidP="007A4623">
            <w:pPr>
              <w:pStyle w:val="NormalWeb"/>
              <w:jc w:val="left"/>
              <w:rPr>
                <w:sz w:val="18"/>
                <w:szCs w:val="18"/>
                <w:lang w:val="en-GB"/>
              </w:rPr>
            </w:pPr>
            <w:r w:rsidRPr="00F82E40">
              <w:rPr>
                <w:sz w:val="18"/>
                <w:szCs w:val="18"/>
                <w:lang w:val="en-GB"/>
              </w:rPr>
              <w:t>&gt; 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94A3ACC" w14:textId="77777777" w:rsidR="00615C99" w:rsidRPr="00F82E40" w:rsidRDefault="00615C99" w:rsidP="009A2651">
            <w:pPr>
              <w:pStyle w:val="NormalWeb"/>
              <w:rPr>
                <w:sz w:val="18"/>
                <w:szCs w:val="18"/>
                <w:lang w:val="en-GB"/>
              </w:rPr>
            </w:pPr>
            <w:r w:rsidRPr="00F82E40">
              <w:rPr>
                <w:sz w:val="18"/>
                <w:szCs w:val="18"/>
                <w:lang w:val="en-GB"/>
              </w:rPr>
              <w:t>90/109 (82.6%)</w:t>
            </w: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14:paraId="3FBE8345" w14:textId="77777777" w:rsidR="00615C99" w:rsidRPr="00F82E40" w:rsidRDefault="00615C99" w:rsidP="009A2651">
            <w:pPr>
              <w:rPr>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BEBBC5" w14:textId="77777777" w:rsidR="00615C99" w:rsidRPr="00F82E40" w:rsidRDefault="00615C99" w:rsidP="009A2651">
            <w:pPr>
              <w:pStyle w:val="NormalWeb"/>
              <w:rPr>
                <w:sz w:val="18"/>
                <w:szCs w:val="18"/>
                <w:lang w:val="en-GB"/>
              </w:rPr>
            </w:pPr>
            <w:r w:rsidRPr="00F82E40">
              <w:rPr>
                <w:sz w:val="18"/>
                <w:szCs w:val="18"/>
                <w:lang w:val="en-GB"/>
              </w:rPr>
              <w:t>19/109</w:t>
            </w:r>
            <w:r>
              <w:rPr>
                <w:sz w:val="18"/>
                <w:szCs w:val="18"/>
                <w:lang w:val="en-GB"/>
              </w:rPr>
              <w:br/>
            </w:r>
            <w:r w:rsidRPr="00F82E40">
              <w:rPr>
                <w:sz w:val="18"/>
                <w:szCs w:val="18"/>
                <w:lang w:val="en-GB"/>
              </w:rPr>
              <w:t>(17.4%)</w:t>
            </w: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523635E7" w14:textId="77777777" w:rsidR="00615C99" w:rsidRPr="00F82E40" w:rsidRDefault="00615C99" w:rsidP="009A2651">
            <w:pPr>
              <w:rPr>
                <w:sz w:val="18"/>
                <w:szCs w:val="18"/>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4BEC7BF" w14:textId="77777777" w:rsidR="00615C99" w:rsidRPr="00F82E40" w:rsidRDefault="00615C99" w:rsidP="009A2651">
            <w:pPr>
              <w:pStyle w:val="NormalWeb"/>
              <w:rPr>
                <w:sz w:val="18"/>
                <w:szCs w:val="18"/>
                <w:lang w:val="en-GB"/>
              </w:rPr>
            </w:pPr>
            <w:r w:rsidRPr="00F82E40">
              <w:rPr>
                <w:sz w:val="18"/>
                <w:szCs w:val="18"/>
                <w:lang w:val="en-GB"/>
              </w:rPr>
              <w:t>13/109</w:t>
            </w:r>
            <w:r>
              <w:rPr>
                <w:sz w:val="18"/>
                <w:szCs w:val="18"/>
                <w:lang w:val="en-GB"/>
              </w:rPr>
              <w:br/>
            </w:r>
            <w:r w:rsidRPr="00F82E40">
              <w:rPr>
                <w:sz w:val="18"/>
                <w:szCs w:val="18"/>
                <w:lang w:val="en-GB"/>
              </w:rPr>
              <w:t>(11.9%)</w:t>
            </w:r>
          </w:p>
        </w:tc>
        <w:tc>
          <w:tcPr>
            <w:tcW w:w="1368" w:type="dxa"/>
            <w:vMerge/>
            <w:tcBorders>
              <w:top w:val="single" w:sz="4" w:space="0" w:color="auto"/>
              <w:left w:val="single" w:sz="4" w:space="0" w:color="auto"/>
              <w:bottom w:val="single" w:sz="4" w:space="0" w:color="auto"/>
              <w:right w:val="single" w:sz="4" w:space="0" w:color="auto"/>
            </w:tcBorders>
            <w:shd w:val="clear" w:color="auto" w:fill="auto"/>
            <w:hideMark/>
          </w:tcPr>
          <w:p w14:paraId="2601A249" w14:textId="77777777" w:rsidR="00615C99" w:rsidRPr="00F82E40" w:rsidRDefault="00615C99" w:rsidP="009A2651">
            <w:pPr>
              <w:rPr>
                <w:sz w:val="18"/>
                <w:szCs w:val="18"/>
                <w:lang w:val="en-GB"/>
              </w:rPr>
            </w:pPr>
          </w:p>
        </w:tc>
      </w:tr>
      <w:tr w:rsidR="00615C99" w:rsidRPr="00FB4C3A" w14:paraId="134774E2" w14:textId="77777777" w:rsidTr="007A4623">
        <w:trPr>
          <w:cnfStyle w:val="000000010000" w:firstRow="0" w:lastRow="0" w:firstColumn="0" w:lastColumn="0" w:oddVBand="0" w:evenVBand="0" w:oddHBand="0" w:evenHBand="1" w:firstRowFirstColumn="0" w:firstRowLastColumn="0" w:lastRowFirstColumn="0" w:lastRowLastColumn="0"/>
        </w:trPr>
        <w:tc>
          <w:tcPr>
            <w:tcW w:w="10440" w:type="dxa"/>
            <w:gridSpan w:val="7"/>
            <w:tcBorders>
              <w:top w:val="single" w:sz="4" w:space="0" w:color="auto"/>
              <w:left w:val="single" w:sz="4" w:space="0" w:color="auto"/>
              <w:bottom w:val="single" w:sz="4" w:space="0" w:color="auto"/>
              <w:right w:val="single" w:sz="4" w:space="0" w:color="auto"/>
            </w:tcBorders>
            <w:shd w:val="clear" w:color="auto" w:fill="BBA991"/>
            <w:hideMark/>
          </w:tcPr>
          <w:p w14:paraId="61C30FF1" w14:textId="77777777" w:rsidR="00615C99" w:rsidRPr="00FB4C3A" w:rsidRDefault="00615C99" w:rsidP="007A4623">
            <w:pPr>
              <w:pStyle w:val="NormalWeb"/>
              <w:jc w:val="left"/>
              <w:rPr>
                <w:b/>
                <w:bCs/>
                <w:sz w:val="18"/>
                <w:szCs w:val="18"/>
                <w:lang w:val="en-GB"/>
              </w:rPr>
            </w:pPr>
            <w:r w:rsidRPr="00FB4C3A">
              <w:rPr>
                <w:b/>
                <w:bCs/>
                <w:sz w:val="18"/>
                <w:szCs w:val="18"/>
                <w:lang w:val="en-GB"/>
              </w:rPr>
              <w:t xml:space="preserve">Variant (time </w:t>
            </w:r>
            <w:proofErr w:type="gramStart"/>
            <w:r w:rsidRPr="00FB4C3A">
              <w:rPr>
                <w:b/>
                <w:bCs/>
                <w:sz w:val="18"/>
                <w:szCs w:val="18"/>
                <w:lang w:val="en-GB"/>
              </w:rPr>
              <w:t>period)</w:t>
            </w:r>
            <w:r w:rsidRPr="00FB4C3A">
              <w:rPr>
                <w:b/>
                <w:bCs/>
                <w:sz w:val="18"/>
                <w:szCs w:val="18"/>
                <w:vertAlign w:val="superscript"/>
                <w:lang w:val="en-GB"/>
              </w:rPr>
              <w:t>c</w:t>
            </w:r>
            <w:proofErr w:type="gramEnd"/>
          </w:p>
        </w:tc>
      </w:tr>
      <w:tr w:rsidR="00615C99" w:rsidRPr="00F82E40" w14:paraId="3B4D98E2" w14:textId="77777777" w:rsidTr="007A4623">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75BBDE5" w14:textId="77777777" w:rsidR="00615C99" w:rsidRPr="00F82E40" w:rsidRDefault="00615C99" w:rsidP="007A4623">
            <w:pPr>
              <w:pStyle w:val="NormalWeb"/>
              <w:jc w:val="left"/>
              <w:rPr>
                <w:sz w:val="18"/>
                <w:szCs w:val="18"/>
                <w:lang w:val="en-GB"/>
              </w:rPr>
            </w:pPr>
            <w:r w:rsidRPr="00F82E40">
              <w:rPr>
                <w:sz w:val="18"/>
                <w:szCs w:val="18"/>
                <w:lang w:val="en-GB"/>
              </w:rPr>
              <w:t>August 2021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590D215" w14:textId="77777777" w:rsidR="00615C99" w:rsidRPr="00F82E40" w:rsidRDefault="00615C99" w:rsidP="009A2651">
            <w:pPr>
              <w:pStyle w:val="NormalWeb"/>
              <w:rPr>
                <w:sz w:val="18"/>
                <w:szCs w:val="18"/>
                <w:lang w:val="en-GB"/>
              </w:rPr>
            </w:pPr>
            <w:r w:rsidRPr="00F82E40">
              <w:rPr>
                <w:sz w:val="18"/>
                <w:szCs w:val="18"/>
                <w:lang w:val="en-GB"/>
              </w:rPr>
              <w:t>105/131 (80.1%)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D84BF1" w14:textId="77777777" w:rsidR="00615C99" w:rsidRPr="00F82E40" w:rsidRDefault="00615C99" w:rsidP="009A2651">
            <w:pPr>
              <w:pStyle w:val="NormalWeb"/>
              <w:rPr>
                <w:sz w:val="18"/>
                <w:szCs w:val="18"/>
                <w:lang w:val="en-GB"/>
              </w:rPr>
            </w:pPr>
            <w:r w:rsidRPr="00F82E40">
              <w:rPr>
                <w:sz w:val="18"/>
                <w:szCs w:val="18"/>
                <w:lang w:val="en-GB"/>
              </w:rPr>
              <w:t>&lt; 0.01</w:t>
            </w:r>
            <w:r w:rsidRPr="000F1BDA">
              <w:rPr>
                <w:sz w:val="18"/>
                <w:szCs w:val="18"/>
                <w:vertAlign w:val="superscript"/>
                <w:lang w:val="en-GB"/>
              </w:rPr>
              <w:t>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E62E00" w14:textId="77777777" w:rsidR="00615C99" w:rsidRPr="00F82E40" w:rsidRDefault="00615C99" w:rsidP="009A2651">
            <w:pPr>
              <w:pStyle w:val="NormalWeb"/>
              <w:rPr>
                <w:sz w:val="18"/>
                <w:szCs w:val="18"/>
                <w:lang w:val="en-GB"/>
              </w:rPr>
            </w:pPr>
            <w:r w:rsidRPr="00F82E40">
              <w:rPr>
                <w:sz w:val="18"/>
                <w:szCs w:val="18"/>
                <w:lang w:val="en-GB"/>
              </w:rPr>
              <w:t>18/131</w:t>
            </w:r>
            <w:r>
              <w:rPr>
                <w:sz w:val="18"/>
                <w:szCs w:val="18"/>
                <w:lang w:val="en-GB"/>
              </w:rPr>
              <w:br/>
            </w:r>
            <w:r w:rsidRPr="00F82E40">
              <w:rPr>
                <w:sz w:val="18"/>
                <w:szCs w:val="18"/>
                <w:lang w:val="en-GB"/>
              </w:rPr>
              <w:t>(13.7%)</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F7A7B" w14:textId="77777777" w:rsidR="00615C99" w:rsidRPr="00F82E40" w:rsidRDefault="00615C99" w:rsidP="009A2651">
            <w:pPr>
              <w:pStyle w:val="NormalWeb"/>
              <w:rPr>
                <w:sz w:val="18"/>
                <w:szCs w:val="18"/>
                <w:lang w:val="en-GB"/>
              </w:rPr>
            </w:pPr>
            <w:r w:rsidRPr="00F82E40">
              <w:rPr>
                <w:sz w:val="18"/>
                <w:szCs w:val="18"/>
                <w:lang w:val="en-GB"/>
              </w:rPr>
              <w:t>&lt; 0.01</w:t>
            </w:r>
            <w:r w:rsidRPr="000F1BDA">
              <w:rPr>
                <w:sz w:val="18"/>
                <w:szCs w:val="18"/>
                <w:vertAlign w:val="superscript"/>
                <w:lang w:val="en-GB"/>
              </w:rPr>
              <w:t>b</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98AC1A2" w14:textId="77777777" w:rsidR="00615C99" w:rsidRPr="00F82E40" w:rsidRDefault="00615C99" w:rsidP="009A2651">
            <w:pPr>
              <w:pStyle w:val="NormalWeb"/>
              <w:rPr>
                <w:sz w:val="18"/>
                <w:szCs w:val="18"/>
                <w:lang w:val="en-GB"/>
              </w:rPr>
            </w:pPr>
            <w:r w:rsidRPr="00F82E40">
              <w:rPr>
                <w:sz w:val="18"/>
                <w:szCs w:val="18"/>
                <w:lang w:val="en-GB"/>
              </w:rPr>
              <w:t>9/131</w:t>
            </w:r>
            <w:r>
              <w:rPr>
                <w:sz w:val="18"/>
                <w:szCs w:val="18"/>
                <w:lang w:val="en-GB"/>
              </w:rPr>
              <w:br/>
            </w:r>
            <w:r w:rsidRPr="00F82E40">
              <w:rPr>
                <w:sz w:val="18"/>
                <w:szCs w:val="18"/>
                <w:lang w:val="en-GB"/>
              </w:rPr>
              <w:t>(6.9%)</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354EB" w14:textId="77777777" w:rsidR="00615C99" w:rsidRPr="00F82E40" w:rsidRDefault="00615C99" w:rsidP="009A2651">
            <w:pPr>
              <w:pStyle w:val="NormalWeb"/>
              <w:rPr>
                <w:sz w:val="18"/>
                <w:szCs w:val="18"/>
                <w:lang w:val="en-GB"/>
              </w:rPr>
            </w:pPr>
            <w:r w:rsidRPr="00F82E40">
              <w:rPr>
                <w:sz w:val="18"/>
                <w:szCs w:val="18"/>
                <w:lang w:val="en-GB"/>
              </w:rPr>
              <w:t>0.27</w:t>
            </w:r>
            <w:r w:rsidRPr="000F1BDA">
              <w:rPr>
                <w:sz w:val="18"/>
                <w:szCs w:val="18"/>
                <w:vertAlign w:val="superscript"/>
                <w:lang w:val="en-GB"/>
              </w:rPr>
              <w:t>b</w:t>
            </w:r>
          </w:p>
        </w:tc>
      </w:tr>
      <w:tr w:rsidR="00615C99" w:rsidRPr="00F82E40" w14:paraId="4349277B" w14:textId="77777777" w:rsidTr="007A4623">
        <w:trPr>
          <w:cnfStyle w:val="000000010000" w:firstRow="0" w:lastRow="0" w:firstColumn="0" w:lastColumn="0" w:oddVBand="0" w:evenVBand="0" w:oddHBand="0" w:evenHBand="1" w:firstRowFirstColumn="0" w:firstRowLastColumn="0" w:lastRowFirstColumn="0" w:lastRowLastColumn="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AEEE3F4" w14:textId="77777777" w:rsidR="00615C99" w:rsidRPr="00F82E40" w:rsidRDefault="00615C99" w:rsidP="007A4623">
            <w:pPr>
              <w:pStyle w:val="NormalWeb"/>
              <w:jc w:val="left"/>
              <w:rPr>
                <w:sz w:val="18"/>
                <w:szCs w:val="18"/>
                <w:lang w:val="en-GB"/>
              </w:rPr>
            </w:pPr>
            <w:r w:rsidRPr="00F82E40">
              <w:rPr>
                <w:sz w:val="18"/>
                <w:szCs w:val="18"/>
                <w:lang w:val="en-GB"/>
              </w:rPr>
              <w:t>January 2022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9ABD6EB" w14:textId="77777777" w:rsidR="00615C99" w:rsidRPr="00F82E40" w:rsidRDefault="00615C99" w:rsidP="009A2651">
            <w:pPr>
              <w:pStyle w:val="NormalWeb"/>
              <w:rPr>
                <w:sz w:val="18"/>
                <w:szCs w:val="18"/>
                <w:lang w:val="en-GB"/>
              </w:rPr>
            </w:pPr>
            <w:r w:rsidRPr="00F82E40">
              <w:rPr>
                <w:sz w:val="18"/>
                <w:szCs w:val="18"/>
                <w:lang w:val="en-GB"/>
              </w:rPr>
              <w:t>51/131 (38.9%)</w:t>
            </w: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14:paraId="4060AF97" w14:textId="77777777" w:rsidR="00615C99" w:rsidRPr="00F82E40" w:rsidRDefault="00615C99" w:rsidP="009A2651">
            <w:pPr>
              <w:rPr>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83D12DD" w14:textId="77777777" w:rsidR="00615C99" w:rsidRPr="00F82E40" w:rsidRDefault="00615C99" w:rsidP="009A2651">
            <w:pPr>
              <w:pStyle w:val="NormalWeb"/>
              <w:rPr>
                <w:sz w:val="18"/>
                <w:szCs w:val="18"/>
                <w:lang w:val="en-GB"/>
              </w:rPr>
            </w:pPr>
            <w:r w:rsidRPr="00F82E40">
              <w:rPr>
                <w:sz w:val="18"/>
                <w:szCs w:val="18"/>
                <w:lang w:val="en-GB"/>
              </w:rPr>
              <w:t>2/131</w:t>
            </w:r>
            <w:r>
              <w:rPr>
                <w:sz w:val="18"/>
                <w:szCs w:val="18"/>
                <w:lang w:val="en-GB"/>
              </w:rPr>
              <w:br/>
            </w:r>
            <w:r w:rsidRPr="00F82E40">
              <w:rPr>
                <w:sz w:val="18"/>
                <w:szCs w:val="18"/>
                <w:lang w:val="en-GB"/>
              </w:rPr>
              <w:t>(1.5%)</w:t>
            </w: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3A098E6A" w14:textId="77777777" w:rsidR="00615C99" w:rsidRPr="00F82E40" w:rsidRDefault="00615C99" w:rsidP="009A2651">
            <w:pPr>
              <w:rPr>
                <w:sz w:val="18"/>
                <w:szCs w:val="18"/>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BA94217" w14:textId="77777777" w:rsidR="00615C99" w:rsidRPr="00F82E40" w:rsidRDefault="00615C99" w:rsidP="009A2651">
            <w:pPr>
              <w:pStyle w:val="NormalWeb"/>
              <w:rPr>
                <w:sz w:val="18"/>
                <w:szCs w:val="18"/>
                <w:lang w:val="en-GB"/>
              </w:rPr>
            </w:pPr>
            <w:r w:rsidRPr="00F82E40">
              <w:rPr>
                <w:sz w:val="18"/>
                <w:szCs w:val="18"/>
                <w:lang w:val="en-GB"/>
              </w:rPr>
              <w:t>5/131</w:t>
            </w:r>
            <w:r>
              <w:rPr>
                <w:sz w:val="18"/>
                <w:szCs w:val="18"/>
                <w:lang w:val="en-GB"/>
              </w:rPr>
              <w:br/>
            </w:r>
            <w:r w:rsidRPr="00F82E40">
              <w:rPr>
                <w:sz w:val="18"/>
                <w:szCs w:val="18"/>
                <w:lang w:val="en-GB"/>
              </w:rPr>
              <w:t>(3.8%)</w:t>
            </w:r>
          </w:p>
        </w:tc>
        <w:tc>
          <w:tcPr>
            <w:tcW w:w="1368" w:type="dxa"/>
            <w:vMerge/>
            <w:tcBorders>
              <w:top w:val="single" w:sz="4" w:space="0" w:color="auto"/>
              <w:left w:val="single" w:sz="4" w:space="0" w:color="auto"/>
              <w:bottom w:val="single" w:sz="4" w:space="0" w:color="auto"/>
              <w:right w:val="single" w:sz="4" w:space="0" w:color="auto"/>
            </w:tcBorders>
            <w:shd w:val="clear" w:color="auto" w:fill="auto"/>
            <w:hideMark/>
          </w:tcPr>
          <w:p w14:paraId="47592E11" w14:textId="77777777" w:rsidR="00615C99" w:rsidRPr="00F82E40" w:rsidRDefault="00615C99" w:rsidP="009A2651">
            <w:pPr>
              <w:rPr>
                <w:sz w:val="18"/>
                <w:szCs w:val="18"/>
                <w:lang w:val="en-GB"/>
              </w:rPr>
            </w:pPr>
          </w:p>
        </w:tc>
      </w:tr>
      <w:tr w:rsidR="00615C99" w:rsidRPr="00FB4C3A" w14:paraId="06FBC94A" w14:textId="77777777" w:rsidTr="007A4623">
        <w:tc>
          <w:tcPr>
            <w:tcW w:w="10440" w:type="dxa"/>
            <w:gridSpan w:val="7"/>
            <w:tcBorders>
              <w:top w:val="single" w:sz="4" w:space="0" w:color="auto"/>
              <w:left w:val="single" w:sz="4" w:space="0" w:color="auto"/>
              <w:bottom w:val="single" w:sz="4" w:space="0" w:color="auto"/>
              <w:right w:val="single" w:sz="4" w:space="0" w:color="auto"/>
            </w:tcBorders>
            <w:shd w:val="clear" w:color="auto" w:fill="BBA991"/>
            <w:hideMark/>
          </w:tcPr>
          <w:p w14:paraId="687C6356" w14:textId="77777777" w:rsidR="00615C99" w:rsidRPr="00FB4C3A" w:rsidRDefault="00615C99" w:rsidP="007A4623">
            <w:pPr>
              <w:pStyle w:val="NormalWeb"/>
              <w:jc w:val="left"/>
              <w:rPr>
                <w:b/>
                <w:bCs/>
                <w:sz w:val="18"/>
                <w:szCs w:val="18"/>
                <w:lang w:val="en-GB"/>
              </w:rPr>
            </w:pPr>
            <w:r w:rsidRPr="00FB4C3A">
              <w:rPr>
                <w:b/>
                <w:bCs/>
                <w:sz w:val="18"/>
                <w:szCs w:val="18"/>
                <w:lang w:val="en-GB"/>
              </w:rPr>
              <w:t>Hospital type</w:t>
            </w:r>
          </w:p>
        </w:tc>
      </w:tr>
      <w:tr w:rsidR="00615C99" w:rsidRPr="00F82E40" w14:paraId="3591102E" w14:textId="77777777" w:rsidTr="007A4623">
        <w:trPr>
          <w:cnfStyle w:val="000000010000" w:firstRow="0" w:lastRow="0" w:firstColumn="0" w:lastColumn="0" w:oddVBand="0" w:evenVBand="0" w:oddHBand="0" w:evenHBand="1" w:firstRowFirstColumn="0" w:firstRowLastColumn="0" w:lastRowFirstColumn="0" w:lastRowLastColumn="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465D6B5" w14:textId="77777777" w:rsidR="00615C99" w:rsidRPr="00F82E40" w:rsidRDefault="00615C99" w:rsidP="007A4623">
            <w:pPr>
              <w:pStyle w:val="NormalWeb"/>
              <w:jc w:val="left"/>
              <w:rPr>
                <w:sz w:val="18"/>
                <w:szCs w:val="18"/>
                <w:lang w:val="en-GB"/>
              </w:rPr>
            </w:pPr>
            <w:r w:rsidRPr="00F82E40">
              <w:rPr>
                <w:sz w:val="18"/>
                <w:szCs w:val="18"/>
                <w:lang w:val="en-GB"/>
              </w:rPr>
              <w:t>Tertiary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1EA816B" w14:textId="77777777" w:rsidR="00615C99" w:rsidRPr="00F82E40" w:rsidRDefault="00615C99" w:rsidP="009A2651">
            <w:pPr>
              <w:pStyle w:val="NormalWeb"/>
              <w:rPr>
                <w:sz w:val="18"/>
                <w:szCs w:val="18"/>
                <w:lang w:val="en-GB"/>
              </w:rPr>
            </w:pPr>
            <w:r w:rsidRPr="00F82E40">
              <w:rPr>
                <w:sz w:val="18"/>
                <w:szCs w:val="18"/>
                <w:lang w:val="en-GB"/>
              </w:rPr>
              <w:t>94/106 (88.7%)</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73D165" w14:textId="77777777" w:rsidR="00615C99" w:rsidRPr="00F82E40" w:rsidRDefault="00615C99" w:rsidP="009A2651">
            <w:pPr>
              <w:pStyle w:val="NormalWeb"/>
              <w:rPr>
                <w:sz w:val="18"/>
                <w:szCs w:val="18"/>
                <w:lang w:val="en-GB"/>
              </w:rPr>
            </w:pPr>
            <w:r w:rsidRPr="00F82E40">
              <w:rPr>
                <w:sz w:val="18"/>
                <w:szCs w:val="18"/>
                <w:lang w:val="en-GB"/>
              </w:rPr>
              <w:t>&lt; 0.01</w:t>
            </w:r>
            <w:r w:rsidRPr="000F1BDA">
              <w:rPr>
                <w:sz w:val="18"/>
                <w:szCs w:val="18"/>
                <w:vertAlign w:val="superscript"/>
                <w:lang w:val="en-GB"/>
              </w:rPr>
              <w:t>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234DC44" w14:textId="77777777" w:rsidR="00615C99" w:rsidRPr="00F82E40" w:rsidRDefault="00615C99" w:rsidP="009A2651">
            <w:pPr>
              <w:pStyle w:val="NormalWeb"/>
              <w:rPr>
                <w:sz w:val="18"/>
                <w:szCs w:val="18"/>
                <w:lang w:val="en-GB"/>
              </w:rPr>
            </w:pPr>
            <w:r w:rsidRPr="00F82E40">
              <w:rPr>
                <w:sz w:val="18"/>
                <w:szCs w:val="18"/>
                <w:lang w:val="en-GB"/>
              </w:rPr>
              <w:t>10/106</w:t>
            </w:r>
            <w:r>
              <w:rPr>
                <w:sz w:val="18"/>
                <w:szCs w:val="18"/>
                <w:lang w:val="en-GB"/>
              </w:rPr>
              <w:br/>
            </w:r>
            <w:r w:rsidRPr="00F82E40">
              <w:rPr>
                <w:sz w:val="18"/>
                <w:szCs w:val="18"/>
                <w:lang w:val="en-GB"/>
              </w:rPr>
              <w:t>(9.4%)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F30EF7" w14:textId="77777777" w:rsidR="00615C99" w:rsidRPr="00F82E40" w:rsidRDefault="00615C99" w:rsidP="009A2651">
            <w:pPr>
              <w:pStyle w:val="NormalWeb"/>
              <w:rPr>
                <w:sz w:val="18"/>
                <w:szCs w:val="18"/>
                <w:lang w:val="en-GB"/>
              </w:rPr>
            </w:pPr>
            <w:r w:rsidRPr="00F82E40">
              <w:rPr>
                <w:sz w:val="18"/>
                <w:szCs w:val="18"/>
                <w:lang w:val="en-GB"/>
              </w:rPr>
              <w:t>0.37</w:t>
            </w:r>
            <w:r w:rsidRPr="000F1BDA">
              <w:rPr>
                <w:sz w:val="18"/>
                <w:szCs w:val="18"/>
                <w:vertAlign w:val="superscript"/>
                <w:lang w:val="en-GB"/>
              </w:rPr>
              <w:t>a</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7921A15" w14:textId="77777777" w:rsidR="00615C99" w:rsidRPr="00F82E40" w:rsidRDefault="00615C99" w:rsidP="009A2651">
            <w:pPr>
              <w:pStyle w:val="NormalWeb"/>
              <w:rPr>
                <w:sz w:val="18"/>
                <w:szCs w:val="18"/>
                <w:lang w:val="en-GB"/>
              </w:rPr>
            </w:pPr>
            <w:r w:rsidRPr="00F82E40">
              <w:rPr>
                <w:sz w:val="18"/>
                <w:szCs w:val="18"/>
                <w:lang w:val="en-GB"/>
              </w:rPr>
              <w:t>8/106</w:t>
            </w:r>
            <w:r>
              <w:rPr>
                <w:sz w:val="18"/>
                <w:szCs w:val="18"/>
                <w:lang w:val="en-GB"/>
              </w:rPr>
              <w:br/>
            </w:r>
            <w:r w:rsidRPr="00F82E40">
              <w:rPr>
                <w:sz w:val="18"/>
                <w:szCs w:val="18"/>
                <w:lang w:val="en-GB"/>
              </w:rPr>
              <w:t>(7.5%)</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FF774F" w14:textId="77777777" w:rsidR="00615C99" w:rsidRPr="00F82E40" w:rsidRDefault="00615C99" w:rsidP="009A2651">
            <w:pPr>
              <w:pStyle w:val="NormalWeb"/>
              <w:rPr>
                <w:sz w:val="18"/>
                <w:szCs w:val="18"/>
                <w:lang w:val="en-GB"/>
              </w:rPr>
            </w:pPr>
            <w:r w:rsidRPr="00F82E40">
              <w:rPr>
                <w:sz w:val="18"/>
                <w:szCs w:val="18"/>
                <w:lang w:val="en-GB"/>
              </w:rPr>
              <w:t>0.19</w:t>
            </w:r>
            <w:r w:rsidRPr="000F1BDA">
              <w:rPr>
                <w:sz w:val="18"/>
                <w:szCs w:val="18"/>
                <w:vertAlign w:val="superscript"/>
                <w:lang w:val="en-GB"/>
              </w:rPr>
              <w:t>b</w:t>
            </w:r>
          </w:p>
        </w:tc>
      </w:tr>
      <w:tr w:rsidR="00615C99" w:rsidRPr="00F82E40" w14:paraId="6454D3E1" w14:textId="77777777" w:rsidTr="007A4623">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9267F91" w14:textId="77777777" w:rsidR="00615C99" w:rsidRPr="00F82E40" w:rsidRDefault="00615C99" w:rsidP="007A4623">
            <w:pPr>
              <w:pStyle w:val="NormalWeb"/>
              <w:jc w:val="left"/>
              <w:rPr>
                <w:sz w:val="18"/>
                <w:szCs w:val="18"/>
                <w:lang w:val="en-GB"/>
              </w:rPr>
            </w:pPr>
            <w:r w:rsidRPr="00F82E40">
              <w:rPr>
                <w:sz w:val="18"/>
                <w:szCs w:val="18"/>
                <w:lang w:val="en-GB"/>
              </w:rPr>
              <w:t>District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4F8A2C2" w14:textId="77777777" w:rsidR="00615C99" w:rsidRPr="00F82E40" w:rsidRDefault="00615C99" w:rsidP="009A2651">
            <w:pPr>
              <w:pStyle w:val="NormalWeb"/>
              <w:rPr>
                <w:sz w:val="18"/>
                <w:szCs w:val="18"/>
                <w:lang w:val="en-GB"/>
              </w:rPr>
            </w:pPr>
            <w:r w:rsidRPr="00F82E40">
              <w:rPr>
                <w:sz w:val="18"/>
                <w:szCs w:val="18"/>
                <w:lang w:val="en-GB"/>
              </w:rPr>
              <w:t>62/156 (39.7%)</w:t>
            </w: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14:paraId="0188D874" w14:textId="77777777" w:rsidR="00615C99" w:rsidRPr="00F82E40" w:rsidRDefault="00615C99" w:rsidP="009A2651">
            <w:pPr>
              <w:rPr>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9E483DF" w14:textId="77777777" w:rsidR="00615C99" w:rsidRPr="00F82E40" w:rsidRDefault="00615C99" w:rsidP="009A2651">
            <w:pPr>
              <w:pStyle w:val="NormalWeb"/>
              <w:rPr>
                <w:sz w:val="18"/>
                <w:szCs w:val="18"/>
                <w:lang w:val="en-GB"/>
              </w:rPr>
            </w:pPr>
            <w:r w:rsidRPr="00F82E40">
              <w:rPr>
                <w:sz w:val="18"/>
                <w:szCs w:val="18"/>
                <w:lang w:val="en-GB"/>
              </w:rPr>
              <w:t>10/156</w:t>
            </w:r>
            <w:r>
              <w:rPr>
                <w:sz w:val="18"/>
                <w:szCs w:val="18"/>
                <w:lang w:val="en-GB"/>
              </w:rPr>
              <w:br/>
            </w:r>
            <w:r w:rsidRPr="00F82E40">
              <w:rPr>
                <w:sz w:val="18"/>
                <w:szCs w:val="18"/>
                <w:lang w:val="en-GB"/>
              </w:rPr>
              <w:t>(6.4%)</w:t>
            </w: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4EA408E2" w14:textId="77777777" w:rsidR="00615C99" w:rsidRPr="00F82E40" w:rsidRDefault="00615C99" w:rsidP="009A2651">
            <w:pPr>
              <w:rPr>
                <w:sz w:val="18"/>
                <w:szCs w:val="18"/>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5F5A9AF" w14:textId="77777777" w:rsidR="00615C99" w:rsidRPr="00F82E40" w:rsidRDefault="00615C99" w:rsidP="009A2651">
            <w:pPr>
              <w:pStyle w:val="NormalWeb"/>
              <w:rPr>
                <w:sz w:val="18"/>
                <w:szCs w:val="18"/>
                <w:lang w:val="en-GB"/>
              </w:rPr>
            </w:pPr>
            <w:r w:rsidRPr="00F82E40">
              <w:rPr>
                <w:sz w:val="18"/>
                <w:szCs w:val="18"/>
                <w:lang w:val="en-GB"/>
              </w:rPr>
              <w:t>6/156</w:t>
            </w:r>
            <w:r>
              <w:rPr>
                <w:sz w:val="18"/>
                <w:szCs w:val="18"/>
                <w:lang w:val="en-GB"/>
              </w:rPr>
              <w:br/>
            </w:r>
            <w:r w:rsidRPr="00F82E40">
              <w:rPr>
                <w:sz w:val="18"/>
                <w:szCs w:val="18"/>
                <w:lang w:val="en-GB"/>
              </w:rPr>
              <w:t>(3.8%</w:t>
            </w:r>
          </w:p>
        </w:tc>
        <w:tc>
          <w:tcPr>
            <w:tcW w:w="1368" w:type="dxa"/>
            <w:vMerge/>
            <w:tcBorders>
              <w:top w:val="single" w:sz="4" w:space="0" w:color="auto"/>
              <w:left w:val="single" w:sz="4" w:space="0" w:color="auto"/>
              <w:bottom w:val="single" w:sz="4" w:space="0" w:color="auto"/>
              <w:right w:val="single" w:sz="4" w:space="0" w:color="auto"/>
            </w:tcBorders>
            <w:shd w:val="clear" w:color="auto" w:fill="auto"/>
            <w:hideMark/>
          </w:tcPr>
          <w:p w14:paraId="3C7B6169" w14:textId="77777777" w:rsidR="00615C99" w:rsidRPr="00F82E40" w:rsidRDefault="00615C99" w:rsidP="009A2651">
            <w:pPr>
              <w:rPr>
                <w:sz w:val="18"/>
                <w:szCs w:val="18"/>
                <w:lang w:val="en-GB"/>
              </w:rPr>
            </w:pPr>
          </w:p>
        </w:tc>
      </w:tr>
    </w:tbl>
    <w:p w14:paraId="25515DAB" w14:textId="77777777" w:rsidR="00615C99" w:rsidRDefault="00615C99" w:rsidP="00615C99">
      <w:pPr>
        <w:pStyle w:val="CDIfootnotes"/>
        <w:rPr>
          <w:lang w:val="en-GB"/>
        </w:rPr>
      </w:pPr>
      <w:r>
        <w:rPr>
          <w:lang w:val="en-GB"/>
        </w:rPr>
        <w:t>a</w:t>
      </w:r>
      <w:r>
        <w:rPr>
          <w:lang w:val="en-GB"/>
        </w:rPr>
        <w:tab/>
        <w:t>Chi</w:t>
      </w:r>
      <w:r w:rsidRPr="007A4623">
        <w:rPr>
          <w:vertAlign w:val="superscript"/>
          <w:lang w:val="en-US"/>
        </w:rPr>
        <w:t>2</w:t>
      </w:r>
      <w:r>
        <w:rPr>
          <w:lang w:val="en-GB"/>
        </w:rPr>
        <w:t xml:space="preserve"> test.</w:t>
      </w:r>
    </w:p>
    <w:p w14:paraId="3D83376C" w14:textId="77777777" w:rsidR="00615C99" w:rsidRDefault="00615C99" w:rsidP="00615C99">
      <w:pPr>
        <w:pStyle w:val="CDIfootnotes"/>
        <w:rPr>
          <w:lang w:val="en-GB"/>
        </w:rPr>
      </w:pPr>
      <w:r>
        <w:rPr>
          <w:lang w:val="en-GB"/>
        </w:rPr>
        <w:t>b</w:t>
      </w:r>
      <w:r>
        <w:rPr>
          <w:lang w:val="en-GB"/>
        </w:rPr>
        <w:tab/>
        <w:t>Fisher’s exact test.</w:t>
      </w:r>
    </w:p>
    <w:p w14:paraId="2016D097" w14:textId="0C81EB77" w:rsidR="00615C99" w:rsidRPr="00615C99" w:rsidRDefault="00615C99" w:rsidP="00615C99">
      <w:pPr>
        <w:pStyle w:val="CDIfootnotes"/>
        <w:rPr>
          <w:lang w:val="en-GB"/>
        </w:rPr>
      </w:pPr>
      <w:r>
        <w:rPr>
          <w:lang w:val="en-GB"/>
        </w:rPr>
        <w:t>c</w:t>
      </w:r>
      <w:r>
        <w:rPr>
          <w:lang w:val="en-GB"/>
        </w:rPr>
        <w:tab/>
        <w:t>Inferred principal responsible SARS-CoV-2 variant: Delta (August 2021), Omicron (January 2022).</w:t>
      </w:r>
    </w:p>
    <w:p w14:paraId="0F7F95F6" w14:textId="77777777" w:rsidR="00615C99" w:rsidRDefault="00615C99">
      <w:pPr>
        <w:rPr>
          <w:rFonts w:asciiTheme="majorHAnsi" w:eastAsiaTheme="majorEastAsia" w:hAnsiTheme="majorHAnsi" w:cstheme="majorBidi"/>
          <w:b/>
          <w:bCs/>
          <w:sz w:val="32"/>
          <w:szCs w:val="28"/>
        </w:rPr>
      </w:pPr>
      <w:r>
        <w:br w:type="page"/>
      </w:r>
    </w:p>
    <w:p w14:paraId="7FAEE92F" w14:textId="6F32EB73" w:rsidR="00702FEE" w:rsidRPr="00C61919" w:rsidRDefault="00702FEE" w:rsidP="00C61919">
      <w:pPr>
        <w:pStyle w:val="Heading1"/>
      </w:pPr>
      <w:r w:rsidRPr="00C61919">
        <w:lastRenderedPageBreak/>
        <w:t xml:space="preserve">Discussion </w:t>
      </w:r>
    </w:p>
    <w:p w14:paraId="7434BD76" w14:textId="77777777" w:rsidR="00702FEE" w:rsidRDefault="00702FEE" w:rsidP="00C61919">
      <w:r>
        <w:t xml:space="preserve">This study </w:t>
      </w:r>
      <w:proofErr w:type="gramStart"/>
      <w:r>
        <w:t>demonstrated</w:t>
      </w:r>
      <w:proofErr w:type="gramEnd"/>
      <w:r>
        <w:t xml:space="preserve"> that a clinical scoring system (the </w:t>
      </w:r>
      <w:proofErr w:type="spellStart"/>
      <w:r w:rsidRPr="00C61919">
        <w:rPr>
          <w:rStyle w:val="Emphasis"/>
          <w:b w:val="0"/>
          <w:bCs w:val="0"/>
        </w:rPr>
        <w:t>m</w:t>
      </w:r>
      <w:r>
        <w:t>PRIEST</w:t>
      </w:r>
      <w:proofErr w:type="spellEnd"/>
      <w:r>
        <w:t xml:space="preserve"> score) could have detected a higher level of clinical severity among patients presenting to emergency departments during the Delta COVID-19 wave compared to the Omicron wave. Although already </w:t>
      </w:r>
      <w:proofErr w:type="gramStart"/>
      <w:r>
        <w:t>validated</w:t>
      </w:r>
      <w:proofErr w:type="gramEnd"/>
      <w:r>
        <w:t xml:space="preserve"> by others,</w:t>
      </w:r>
      <w:r>
        <w:rPr>
          <w:vertAlign w:val="superscript"/>
        </w:rPr>
        <w:t>11</w:t>
      </w:r>
      <w:r>
        <w:t xml:space="preserve"> a higher score was also demonstrated to be associated with both hospital admission and admission to ICU. </w:t>
      </w:r>
    </w:p>
    <w:p w14:paraId="26554EC8" w14:textId="77777777" w:rsidR="00702FEE" w:rsidRDefault="00702FEE" w:rsidP="00C61919">
      <w:r>
        <w:t xml:space="preserve">One of the major advantages of using the system described as a surveillance tool is its potential to be ‘near real-time’. This </w:t>
      </w:r>
      <w:proofErr w:type="gramStart"/>
      <w:r>
        <w:t>is made</w:t>
      </w:r>
      <w:proofErr w:type="gramEnd"/>
      <w:r>
        <w:t xml:space="preserve"> possible by its use of routinely collected clinical data that is likely to be recorded in electronic medical records. Current ED surveillance systems in Australia </w:t>
      </w:r>
      <w:proofErr w:type="gramStart"/>
      <w:r>
        <w:t>have the ability to</w:t>
      </w:r>
      <w:proofErr w:type="gramEnd"/>
      <w:r>
        <w:t xml:space="preserve"> interrogate electronic medical records but have not as yet fully utilised clinical observations.</w:t>
      </w:r>
      <w:r>
        <w:rPr>
          <w:vertAlign w:val="superscript"/>
        </w:rPr>
        <w:t>10</w:t>
      </w:r>
      <w:r>
        <w:t xml:space="preserve"> A key requirement to pursue this strategy is the ability to interpret the significance of these data, and the </w:t>
      </w:r>
      <w:proofErr w:type="spellStart"/>
      <w:r w:rsidRPr="00C61919">
        <w:rPr>
          <w:rStyle w:val="Emphasis"/>
          <w:b w:val="0"/>
          <w:bCs w:val="0"/>
        </w:rPr>
        <w:t>m</w:t>
      </w:r>
      <w:r>
        <w:t>PRIEST</w:t>
      </w:r>
      <w:proofErr w:type="spellEnd"/>
      <w:r>
        <w:t xml:space="preserve"> score shows promise in this regard. </w:t>
      </w:r>
    </w:p>
    <w:p w14:paraId="31BC0C53" w14:textId="77777777" w:rsidR="00702FEE" w:rsidRDefault="00702FEE" w:rsidP="00C61919">
      <w:r>
        <w:t xml:space="preserve">Being a novel system, a new quantitative method to </w:t>
      </w:r>
      <w:proofErr w:type="gramStart"/>
      <w:r>
        <w:t>identify</w:t>
      </w:r>
      <w:proofErr w:type="gramEnd"/>
      <w:r>
        <w:t xml:space="preserve"> an emerging strain with increased severity will need to be established. As an example, given that at least 100 COVID-19 cases have presented to emergency departments per day during recent waves,</w:t>
      </w:r>
      <w:proofErr w:type="gramStart"/>
      <w:r>
        <w:rPr>
          <w:vertAlign w:val="superscript"/>
        </w:rPr>
        <w:t>16</w:t>
      </w:r>
      <w:proofErr w:type="gramEnd"/>
      <w:r>
        <w:t xml:space="preserve"> one potential predetermined measure indicating the arrival of a new strain could be developed by comparing the proportions of cases with </w:t>
      </w:r>
      <w:proofErr w:type="spellStart"/>
      <w:r w:rsidRPr="00C61919">
        <w:rPr>
          <w:rStyle w:val="Emphasis"/>
          <w:b w:val="0"/>
          <w:bCs w:val="0"/>
        </w:rPr>
        <w:t>m</w:t>
      </w:r>
      <w:r>
        <w:t>PRIEST</w:t>
      </w:r>
      <w:proofErr w:type="spellEnd"/>
      <w:r>
        <w:t xml:space="preserve"> scores above 4 for the current week with the proportion calculated for the previous four weeks. </w:t>
      </w:r>
    </w:p>
    <w:p w14:paraId="16319270" w14:textId="77777777" w:rsidR="00702FEE" w:rsidRDefault="00702FEE" w:rsidP="00C61919">
      <w:r>
        <w:t xml:space="preserve">There are </w:t>
      </w:r>
      <w:proofErr w:type="gramStart"/>
      <w:r>
        <w:t>several</w:t>
      </w:r>
      <w:proofErr w:type="gramEnd"/>
      <w:r>
        <w:t xml:space="preserve"> limitations of the current study that need to be acknowledged. Firstly, there was an assumption that the presentation period was a good proxy for distinguishing between the Delta and Omicron variants. However, based upon whole genome sequencing, this is likely to be the case at a population level.</w:t>
      </w:r>
      <w:r>
        <w:rPr>
          <w:vertAlign w:val="superscript"/>
        </w:rPr>
        <w:t>17</w:t>
      </w:r>
      <w:r>
        <w:t xml:space="preserve"> Using </w:t>
      </w:r>
      <w:proofErr w:type="gramStart"/>
      <w:r>
        <w:t>time period</w:t>
      </w:r>
      <w:proofErr w:type="gramEnd"/>
      <w:r>
        <w:t xml:space="preserve"> comparisons could have also introduced a further limitation, as COVID-19 vaccination levels in the community were lower in August 2021 than in January 2022. Although vaccination </w:t>
      </w:r>
      <w:proofErr w:type="gramStart"/>
      <w:r>
        <w:t>likely lessened</w:t>
      </w:r>
      <w:proofErr w:type="gramEnd"/>
      <w:r>
        <w:t xml:space="preserve"> the impact of COVID-19 in the Omicron wave,</w:t>
      </w:r>
      <w:r>
        <w:rPr>
          <w:vertAlign w:val="superscript"/>
        </w:rPr>
        <w:t>18</w:t>
      </w:r>
      <w:r>
        <w:t xml:space="preserve"> the objective of the study was to determine the severity of illness at a particular point given community vaccination rates at the time. </w:t>
      </w:r>
    </w:p>
    <w:p w14:paraId="06CB94B4" w14:textId="77777777" w:rsidR="00702FEE" w:rsidRDefault="00702FEE" w:rsidP="00C61919">
      <w:r>
        <w:t xml:space="preserve">Secondly, although the </w:t>
      </w:r>
      <w:proofErr w:type="spellStart"/>
      <w:r w:rsidRPr="00C61919">
        <w:rPr>
          <w:rStyle w:val="Emphasis"/>
          <w:b w:val="0"/>
          <w:bCs w:val="0"/>
        </w:rPr>
        <w:t>m</w:t>
      </w:r>
      <w:r>
        <w:t>PRIEST</w:t>
      </w:r>
      <w:proofErr w:type="spellEnd"/>
      <w:r>
        <w:t xml:space="preserve"> score (which does not include a measure of activity/self-care) has been </w:t>
      </w:r>
      <w:proofErr w:type="gramStart"/>
      <w:r>
        <w:t>validated</w:t>
      </w:r>
      <w:proofErr w:type="gramEnd"/>
      <w:r>
        <w:t xml:space="preserve"> in an emergency department setting, it does not consider the prevalence of comorbidities specifically. Including the collection of these data on an ongoing basis is likely to be resource intensive and problematic in an ED setting, thereby making implementation of the system more difficult. Furthermore, it could be argued that a surveillance system only needs to measure the overall severity of illness in the population </w:t>
      </w:r>
      <w:proofErr w:type="gramStart"/>
      <w:r>
        <w:t>as a whole rather</w:t>
      </w:r>
      <w:proofErr w:type="gramEnd"/>
      <w:r>
        <w:t xml:space="preserve"> than at an individual level, and hence collection of individual patient comorbidities is unnecessary. </w:t>
      </w:r>
    </w:p>
    <w:p w14:paraId="4B1471D7" w14:textId="77777777" w:rsidR="00702FEE" w:rsidRDefault="00702FEE" w:rsidP="00C61919">
      <w:r>
        <w:t xml:space="preserve">The </w:t>
      </w:r>
      <w:proofErr w:type="spellStart"/>
      <w:r w:rsidRPr="00C61919">
        <w:rPr>
          <w:rStyle w:val="Emphasis"/>
          <w:b w:val="0"/>
          <w:bCs w:val="0"/>
        </w:rPr>
        <w:t>m</w:t>
      </w:r>
      <w:r>
        <w:t>PRIEST</w:t>
      </w:r>
      <w:proofErr w:type="spellEnd"/>
      <w:r>
        <w:t xml:space="preserve"> score is an example of a clinical scoring system that could be incorporated into existing emergency department surveillance to </w:t>
      </w:r>
      <w:proofErr w:type="gramStart"/>
      <w:r>
        <w:t>monitor</w:t>
      </w:r>
      <w:proofErr w:type="gramEnd"/>
      <w:r>
        <w:t xml:space="preserve"> changes in COVID-19 severity that may occur with the emergence of a new variant. Its use would supplement current measures of changes in severity, such as hospital admissions and deaths, by detecting a ‘near real-time’ signal. Arming public health decision-makers with this </w:t>
      </w:r>
      <w:proofErr w:type="gramStart"/>
      <w:r>
        <w:t>additional</w:t>
      </w:r>
      <w:proofErr w:type="gramEnd"/>
      <w:r>
        <w:t xml:space="preserve"> information may support the making of timely decisions around the need to introduce additional measures to control the impact of an emerging COVID-19 variant. </w:t>
      </w:r>
    </w:p>
    <w:p w14:paraId="092F5A98" w14:textId="77777777" w:rsidR="00F307AD" w:rsidRDefault="00F307AD">
      <w:pPr>
        <w:rPr>
          <w:rFonts w:asciiTheme="majorHAnsi" w:eastAsiaTheme="majorEastAsia" w:hAnsiTheme="majorHAnsi" w:cstheme="majorBidi"/>
          <w:b/>
          <w:bCs/>
          <w:sz w:val="32"/>
          <w:szCs w:val="28"/>
        </w:rPr>
      </w:pPr>
      <w:r>
        <w:br w:type="page"/>
      </w:r>
    </w:p>
    <w:p w14:paraId="6A6024A3" w14:textId="17328BF1" w:rsidR="00702FEE" w:rsidRPr="00C61919" w:rsidRDefault="00702FEE" w:rsidP="00C61919">
      <w:pPr>
        <w:pStyle w:val="Heading1"/>
      </w:pPr>
      <w:r w:rsidRPr="00C61919">
        <w:lastRenderedPageBreak/>
        <w:t xml:space="preserve">Author details </w:t>
      </w:r>
    </w:p>
    <w:p w14:paraId="056A71C3" w14:textId="6E2E4341" w:rsidR="00702FEE" w:rsidRDefault="00702FEE" w:rsidP="00C61919">
      <w:r>
        <w:t>Adelaide Nyinawingeri</w:t>
      </w:r>
      <w:r>
        <w:rPr>
          <w:vertAlign w:val="superscript"/>
        </w:rPr>
        <w:t>1</w:t>
      </w:r>
      <w:r>
        <w:t xml:space="preserve"> </w:t>
      </w:r>
      <w:r w:rsidR="007A4623">
        <w:br/>
      </w:r>
      <w:r>
        <w:t>Dr Michael Staff</w:t>
      </w:r>
      <w:r>
        <w:rPr>
          <w:vertAlign w:val="superscript"/>
        </w:rPr>
        <w:t xml:space="preserve">1 </w:t>
      </w:r>
    </w:p>
    <w:p w14:paraId="5F9AF292" w14:textId="77777777" w:rsidR="00702FEE" w:rsidRPr="00C61919" w:rsidRDefault="00702FEE" w:rsidP="00C61919">
      <w:pPr>
        <w:pStyle w:val="ListParagraph"/>
        <w:numPr>
          <w:ilvl w:val="0"/>
          <w:numId w:val="9"/>
        </w:numPr>
        <w:rPr>
          <w:rFonts w:eastAsia="Times New Roman"/>
        </w:rPr>
      </w:pPr>
      <w:r w:rsidRPr="00C61919">
        <w:rPr>
          <w:rFonts w:eastAsia="Times New Roman"/>
        </w:rPr>
        <w:t xml:space="preserve">Public Health Unit, Northern Sydney Local Health District, NSW Health. </w:t>
      </w:r>
    </w:p>
    <w:p w14:paraId="5658B5BC" w14:textId="77777777" w:rsidR="00702FEE" w:rsidRPr="00C61919" w:rsidRDefault="00702FEE" w:rsidP="00F307AD">
      <w:pPr>
        <w:pStyle w:val="Heading2"/>
        <w:spacing w:after="200"/>
      </w:pPr>
      <w:r w:rsidRPr="00C61919">
        <w:t xml:space="preserve">Corresponding author </w:t>
      </w:r>
    </w:p>
    <w:p w14:paraId="2440E050" w14:textId="77777777" w:rsidR="00702FEE" w:rsidRDefault="00702FEE" w:rsidP="00C61919">
      <w:r>
        <w:t xml:space="preserve">Adelaide Nyinawingeri </w:t>
      </w:r>
    </w:p>
    <w:p w14:paraId="67EA2FEE" w14:textId="77777777" w:rsidR="00702FEE" w:rsidRDefault="00702FEE" w:rsidP="00C61919">
      <w:r>
        <w:t xml:space="preserve">Address: Public Health Unit - Northern Sydney Local Health District </w:t>
      </w:r>
    </w:p>
    <w:p w14:paraId="1E3DB99F" w14:textId="77777777" w:rsidR="00702FEE" w:rsidRDefault="00702FEE" w:rsidP="00C61919">
      <w:r>
        <w:t xml:space="preserve">Royal North Shore Hospital, Reserve Rd, St Leonard’s NSW 2065 </w:t>
      </w:r>
    </w:p>
    <w:p w14:paraId="4106BB6A" w14:textId="77777777" w:rsidR="00702FEE" w:rsidRDefault="00702FEE" w:rsidP="00C61919">
      <w:r>
        <w:t xml:space="preserve">Phone: +61 (02) 9485 6972 </w:t>
      </w:r>
    </w:p>
    <w:p w14:paraId="3A50A341" w14:textId="77777777" w:rsidR="00702FEE" w:rsidRDefault="00702FEE" w:rsidP="00C61919">
      <w:r>
        <w:t xml:space="preserve">Email: Adelaide.Nyinawingeri@health.nsw.gov.au </w:t>
      </w:r>
    </w:p>
    <w:p w14:paraId="47A16FD3" w14:textId="77777777" w:rsidR="00F307AD" w:rsidRDefault="00F307AD">
      <w:pPr>
        <w:rPr>
          <w:rFonts w:asciiTheme="majorHAnsi" w:eastAsiaTheme="majorEastAsia" w:hAnsiTheme="majorHAnsi" w:cstheme="majorBidi"/>
          <w:b/>
          <w:bCs/>
          <w:sz w:val="32"/>
          <w:szCs w:val="28"/>
        </w:rPr>
      </w:pPr>
      <w:r>
        <w:br w:type="page"/>
      </w:r>
    </w:p>
    <w:p w14:paraId="4293D4F9" w14:textId="3246225F" w:rsidR="00702FEE" w:rsidRPr="00C61919" w:rsidRDefault="00702FEE" w:rsidP="00C61919">
      <w:pPr>
        <w:pStyle w:val="Heading1"/>
      </w:pPr>
      <w:r w:rsidRPr="00C61919">
        <w:lastRenderedPageBreak/>
        <w:t xml:space="preserve">References </w:t>
      </w:r>
    </w:p>
    <w:p w14:paraId="3C5E1E90"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Australian Institute of Health and Welfare (AIHW). </w:t>
      </w:r>
      <w:r w:rsidRPr="00C61919">
        <w:rPr>
          <w:rStyle w:val="Emphasis"/>
          <w:rFonts w:eastAsia="Times New Roman"/>
          <w:b w:val="0"/>
          <w:bCs w:val="0"/>
        </w:rPr>
        <w:t>The first year of COVID-19 in Australia: direct and indirect health effects</w:t>
      </w:r>
      <w:r w:rsidRPr="00C61919">
        <w:rPr>
          <w:rFonts w:eastAsia="Times New Roman"/>
        </w:rPr>
        <w:t xml:space="preserve">. Canberra: Australian Government, AIHW; 2021. [Accessed in August 2022.] Available from: https://www.aihw.gov.au/getmedia/a69ee08a-857f-412b-b617-a29acb66a475/aihw-phe-287.pdf. </w:t>
      </w:r>
    </w:p>
    <w:p w14:paraId="01C74672"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COVID-19 National Incident Room Surveillance Team. Technical supplement. COVID-19 Australia: Epidemiology Report. </w:t>
      </w:r>
      <w:proofErr w:type="spellStart"/>
      <w:r w:rsidRPr="00C61919">
        <w:rPr>
          <w:rStyle w:val="Emphasis"/>
          <w:rFonts w:eastAsia="Times New Roman"/>
          <w:b w:val="0"/>
          <w:bCs w:val="0"/>
        </w:rPr>
        <w:t>Commun</w:t>
      </w:r>
      <w:proofErr w:type="spellEnd"/>
      <w:r w:rsidRPr="00C61919">
        <w:rPr>
          <w:rStyle w:val="Emphasis"/>
          <w:rFonts w:eastAsia="Times New Roman"/>
          <w:b w:val="0"/>
          <w:bCs w:val="0"/>
        </w:rPr>
        <w:t xml:space="preserve"> Dis </w:t>
      </w:r>
      <w:proofErr w:type="spellStart"/>
      <w:r w:rsidRPr="00C61919">
        <w:rPr>
          <w:rStyle w:val="Emphasis"/>
          <w:rFonts w:eastAsia="Times New Roman"/>
          <w:b w:val="0"/>
          <w:bCs w:val="0"/>
        </w:rPr>
        <w:t>Intell</w:t>
      </w:r>
      <w:proofErr w:type="spellEnd"/>
      <w:r w:rsidRPr="00C61919">
        <w:rPr>
          <w:rStyle w:val="Emphasis"/>
          <w:rFonts w:eastAsia="Times New Roman"/>
          <w:b w:val="0"/>
          <w:bCs w:val="0"/>
        </w:rPr>
        <w:t xml:space="preserve"> (2018)</w:t>
      </w:r>
      <w:r w:rsidRPr="00C61919">
        <w:rPr>
          <w:rFonts w:eastAsia="Times New Roman"/>
        </w:rPr>
        <w:t>. 2021;</w:t>
      </w:r>
      <w:proofErr w:type="gramStart"/>
      <w:r w:rsidRPr="00C61919">
        <w:rPr>
          <w:rFonts w:eastAsia="Times New Roman"/>
        </w:rPr>
        <w:t>45</w:t>
      </w:r>
      <w:proofErr w:type="gramEnd"/>
      <w:r w:rsidRPr="00C61919">
        <w:rPr>
          <w:rFonts w:eastAsia="Times New Roman"/>
        </w:rPr>
        <w:t xml:space="preserve">. </w:t>
      </w:r>
      <w:proofErr w:type="spellStart"/>
      <w:r w:rsidRPr="00C61919">
        <w:rPr>
          <w:rFonts w:eastAsia="Times New Roman"/>
        </w:rPr>
        <w:t>doi</w:t>
      </w:r>
      <w:proofErr w:type="spellEnd"/>
      <w:r w:rsidRPr="00C61919">
        <w:rPr>
          <w:rFonts w:eastAsia="Times New Roman"/>
        </w:rPr>
        <w:t xml:space="preserve">: https://doi.org/10.33321/cdi.2021.45.2. </w:t>
      </w:r>
    </w:p>
    <w:p w14:paraId="54E62581"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World Health Organization (WHO). Tracking SARS-CoV-2 variants. [Internet.] Geneva: WHO; 2022. [Accessed in August 2022.] Available from: https://www.who.int/activities/tracking-SARS-CoV-2-variants. </w:t>
      </w:r>
    </w:p>
    <w:p w14:paraId="1C39B882"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Ong SWX, </w:t>
      </w:r>
      <w:proofErr w:type="spellStart"/>
      <w:r w:rsidRPr="00C61919">
        <w:rPr>
          <w:rFonts w:eastAsia="Times New Roman"/>
        </w:rPr>
        <w:t>Chiew</w:t>
      </w:r>
      <w:proofErr w:type="spellEnd"/>
      <w:r w:rsidRPr="00C61919">
        <w:rPr>
          <w:rFonts w:eastAsia="Times New Roman"/>
        </w:rPr>
        <w:t xml:space="preserve"> CJ, Ang LW, </w:t>
      </w:r>
      <w:proofErr w:type="spellStart"/>
      <w:r w:rsidRPr="00C61919">
        <w:rPr>
          <w:rFonts w:eastAsia="Times New Roman"/>
        </w:rPr>
        <w:t>Mak</w:t>
      </w:r>
      <w:proofErr w:type="spellEnd"/>
      <w:r w:rsidRPr="00C61919">
        <w:rPr>
          <w:rFonts w:eastAsia="Times New Roman"/>
        </w:rPr>
        <w:t xml:space="preserve"> TM, Cui L, </w:t>
      </w:r>
      <w:proofErr w:type="spellStart"/>
      <w:r w:rsidRPr="00C61919">
        <w:rPr>
          <w:rFonts w:eastAsia="Times New Roman"/>
        </w:rPr>
        <w:t>Toh</w:t>
      </w:r>
      <w:proofErr w:type="spellEnd"/>
      <w:r w:rsidRPr="00C61919">
        <w:rPr>
          <w:rFonts w:eastAsia="Times New Roman"/>
        </w:rPr>
        <w:t xml:space="preserve"> MPHS et al. Clinical and virological features of severe acute respiratory syndrome coronavirus 2 (SARS-CoV-2) variants of concern: a retrospective cohort study comparing B.1.1.7 (Alpha), B.1.351 (Beta), and B.1.617.2 (Delta). </w:t>
      </w:r>
      <w:r w:rsidRPr="00C61919">
        <w:rPr>
          <w:rStyle w:val="Emphasis"/>
          <w:rFonts w:eastAsia="Times New Roman"/>
          <w:b w:val="0"/>
          <w:bCs w:val="0"/>
        </w:rPr>
        <w:t>Clin Infect Dis</w:t>
      </w:r>
      <w:r w:rsidRPr="00C61919">
        <w:rPr>
          <w:rFonts w:eastAsia="Times New Roman"/>
        </w:rPr>
        <w:t>. 2022;75(1</w:t>
      </w:r>
      <w:proofErr w:type="gramStart"/>
      <w:r w:rsidRPr="00C61919">
        <w:rPr>
          <w:rFonts w:eastAsia="Times New Roman"/>
        </w:rPr>
        <w:t>):e</w:t>
      </w:r>
      <w:proofErr w:type="gramEnd"/>
      <w:r w:rsidRPr="00C61919">
        <w:rPr>
          <w:rFonts w:eastAsia="Times New Roman"/>
        </w:rPr>
        <w:t xml:space="preserve">1128–36. </w:t>
      </w:r>
      <w:proofErr w:type="spellStart"/>
      <w:r w:rsidRPr="00C61919">
        <w:rPr>
          <w:rFonts w:eastAsia="Times New Roman"/>
        </w:rPr>
        <w:t>doi</w:t>
      </w:r>
      <w:proofErr w:type="spellEnd"/>
      <w:r w:rsidRPr="00C61919">
        <w:rPr>
          <w:rFonts w:eastAsia="Times New Roman"/>
        </w:rPr>
        <w:t xml:space="preserve">: https://doi.org/10.1093/cid/ciab721. </w:t>
      </w:r>
    </w:p>
    <w:p w14:paraId="6D681A42"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WHO Health Emergencies Programme. </w:t>
      </w:r>
      <w:r w:rsidRPr="00C61919">
        <w:rPr>
          <w:rStyle w:val="Emphasis"/>
          <w:rFonts w:eastAsia="Times New Roman"/>
          <w:b w:val="0"/>
          <w:bCs w:val="0"/>
        </w:rPr>
        <w:t>Severity of disease associated with Omicron variant as compared with Delta variant in hospitalized patients with suspected or confirmed SARS-CoV-2 infection</w:t>
      </w:r>
      <w:r w:rsidRPr="00C61919">
        <w:rPr>
          <w:rFonts w:eastAsia="Times New Roman"/>
        </w:rPr>
        <w:t xml:space="preserve">. Geneva: WHO; 7 June 2022. [Accessed in August 2022.] Available from: https://www.who.int/publications/i/item/9789240051829. </w:t>
      </w:r>
    </w:p>
    <w:p w14:paraId="4DC4374F"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Australian Government Department of Health and Aged Care. Coronavirus (COVID-19) case numbers and statistics. [Internet.] Canberra: Australian Government Department of Health and Aged Care; 2022. [Accessed in August 2022.] Available from: https://www.health.gov.au/health-alerts/covid-19/case-numbers-and-statistics. </w:t>
      </w:r>
    </w:p>
    <w:p w14:paraId="7B8AA9BD"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Hoang T, Da Silva AG, Jennison AV, Williamson DA, Howden BP, Seemann T. </w:t>
      </w:r>
      <w:proofErr w:type="spellStart"/>
      <w:r w:rsidRPr="00C61919">
        <w:rPr>
          <w:rFonts w:eastAsia="Times New Roman"/>
        </w:rPr>
        <w:t>AusTrakka</w:t>
      </w:r>
      <w:proofErr w:type="spellEnd"/>
      <w:r w:rsidRPr="00C61919">
        <w:rPr>
          <w:rFonts w:eastAsia="Times New Roman"/>
        </w:rPr>
        <w:t xml:space="preserve">: fast-tracking nationalized genomics surveillance in response to the COVID-19 pandemic. </w:t>
      </w:r>
      <w:r w:rsidRPr="00C61919">
        <w:rPr>
          <w:rStyle w:val="Emphasis"/>
          <w:rFonts w:eastAsia="Times New Roman"/>
          <w:b w:val="0"/>
          <w:bCs w:val="0"/>
        </w:rPr>
        <w:t xml:space="preserve">Nat </w:t>
      </w:r>
      <w:proofErr w:type="spellStart"/>
      <w:r w:rsidRPr="00C61919">
        <w:rPr>
          <w:rStyle w:val="Emphasis"/>
          <w:rFonts w:eastAsia="Times New Roman"/>
          <w:b w:val="0"/>
          <w:bCs w:val="0"/>
        </w:rPr>
        <w:t>Commun</w:t>
      </w:r>
      <w:proofErr w:type="spellEnd"/>
      <w:r w:rsidRPr="00C61919">
        <w:rPr>
          <w:rFonts w:eastAsia="Times New Roman"/>
        </w:rPr>
        <w:t xml:space="preserve">. 2022;13(1):865. </w:t>
      </w:r>
      <w:proofErr w:type="spellStart"/>
      <w:r w:rsidRPr="00C61919">
        <w:rPr>
          <w:rFonts w:eastAsia="Times New Roman"/>
        </w:rPr>
        <w:t>doi</w:t>
      </w:r>
      <w:proofErr w:type="spellEnd"/>
      <w:r w:rsidRPr="00C61919">
        <w:rPr>
          <w:rFonts w:eastAsia="Times New Roman"/>
        </w:rPr>
        <w:t xml:space="preserve">: https://doi.org/10.1038/s41467-022-28529-9. </w:t>
      </w:r>
    </w:p>
    <w:p w14:paraId="119EA1E9"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Ward T, Johnsen A. Understanding an evolving pandemic: an analysis of the clinical time delay distributions of COVID-19 in the United Kingdom. </w:t>
      </w:r>
      <w:proofErr w:type="spellStart"/>
      <w:r w:rsidRPr="00C61919">
        <w:rPr>
          <w:rStyle w:val="Emphasis"/>
          <w:rFonts w:eastAsia="Times New Roman"/>
          <w:b w:val="0"/>
          <w:bCs w:val="0"/>
        </w:rPr>
        <w:t>PLoS</w:t>
      </w:r>
      <w:proofErr w:type="spellEnd"/>
      <w:r w:rsidRPr="00C61919">
        <w:rPr>
          <w:rStyle w:val="Emphasis"/>
          <w:rFonts w:eastAsia="Times New Roman"/>
          <w:b w:val="0"/>
          <w:bCs w:val="0"/>
        </w:rPr>
        <w:t xml:space="preserve"> One</w:t>
      </w:r>
      <w:r w:rsidRPr="00C61919">
        <w:rPr>
          <w:rFonts w:eastAsia="Times New Roman"/>
        </w:rPr>
        <w:t>. 2021;16(10</w:t>
      </w:r>
      <w:proofErr w:type="gramStart"/>
      <w:r w:rsidRPr="00C61919">
        <w:rPr>
          <w:rFonts w:eastAsia="Times New Roman"/>
        </w:rPr>
        <w:t>):e</w:t>
      </w:r>
      <w:proofErr w:type="gramEnd"/>
      <w:r w:rsidRPr="00C61919">
        <w:rPr>
          <w:rFonts w:eastAsia="Times New Roman"/>
        </w:rPr>
        <w:t xml:space="preserve">0257978. </w:t>
      </w:r>
      <w:proofErr w:type="spellStart"/>
      <w:r w:rsidRPr="00C61919">
        <w:rPr>
          <w:rFonts w:eastAsia="Times New Roman"/>
        </w:rPr>
        <w:t>doi</w:t>
      </w:r>
      <w:proofErr w:type="spellEnd"/>
      <w:r w:rsidRPr="00C61919">
        <w:rPr>
          <w:rFonts w:eastAsia="Times New Roman"/>
        </w:rPr>
        <w:t xml:space="preserve">: https://doi.org/10.1371/journal.pone.0257978. </w:t>
      </w:r>
    </w:p>
    <w:p w14:paraId="0DB63101"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New South Wales Government Department of Health (NSW Health). </w:t>
      </w:r>
      <w:r w:rsidRPr="00C61919">
        <w:rPr>
          <w:rStyle w:val="Emphasis"/>
          <w:rFonts w:eastAsia="Times New Roman"/>
          <w:b w:val="0"/>
          <w:bCs w:val="0"/>
        </w:rPr>
        <w:t>In focus: COVID-19 Hospitalisations in NSW. Reporting period: 1 January to 19 April 2020</w:t>
      </w:r>
      <w:r w:rsidRPr="00C61919">
        <w:rPr>
          <w:rFonts w:eastAsia="Times New Roman"/>
        </w:rPr>
        <w:t xml:space="preserve">. Sydney: New South Wales Government, NSW Health; 2020. [Accessed in August 2022.] Available from: https://www.health.nsw.gov.au/Infectious/covid-19/Documents/in-focus/hospitalisations.pdf. </w:t>
      </w:r>
    </w:p>
    <w:p w14:paraId="2182A02C"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NSW Health. Rapid surveillance using PHREDSS. [Internet.] Sydney: New South Wales Government, NSW Health; 13 April 2022. Available from: https://www.health.nsw.gov.au/epidemiology/Pages/rapid-surveillance-using-PHREDSS.aspx. </w:t>
      </w:r>
    </w:p>
    <w:p w14:paraId="2B47834A"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Goodacre S, Thomas B, Sutton L, </w:t>
      </w:r>
      <w:proofErr w:type="spellStart"/>
      <w:r w:rsidRPr="00C61919">
        <w:rPr>
          <w:rFonts w:eastAsia="Times New Roman"/>
        </w:rPr>
        <w:t>Burnsall</w:t>
      </w:r>
      <w:proofErr w:type="spellEnd"/>
      <w:r w:rsidRPr="00C61919">
        <w:rPr>
          <w:rFonts w:eastAsia="Times New Roman"/>
        </w:rPr>
        <w:t xml:space="preserve"> M, Lee E, Bradburn M et al. Derivation and validation of a clinical severity score for acutely ill adults with suspected COVID-19: the PRIEST observational cohort study. </w:t>
      </w:r>
      <w:proofErr w:type="spellStart"/>
      <w:r w:rsidRPr="00C61919">
        <w:rPr>
          <w:rStyle w:val="Emphasis"/>
          <w:rFonts w:eastAsia="Times New Roman"/>
          <w:b w:val="0"/>
          <w:bCs w:val="0"/>
        </w:rPr>
        <w:t>PLoS</w:t>
      </w:r>
      <w:proofErr w:type="spellEnd"/>
      <w:r w:rsidRPr="00C61919">
        <w:rPr>
          <w:rStyle w:val="Emphasis"/>
          <w:rFonts w:eastAsia="Times New Roman"/>
          <w:b w:val="0"/>
          <w:bCs w:val="0"/>
        </w:rPr>
        <w:t xml:space="preserve"> One</w:t>
      </w:r>
      <w:r w:rsidRPr="00C61919">
        <w:rPr>
          <w:rFonts w:eastAsia="Times New Roman"/>
        </w:rPr>
        <w:t>. 2021;16(1</w:t>
      </w:r>
      <w:proofErr w:type="gramStart"/>
      <w:r w:rsidRPr="00C61919">
        <w:rPr>
          <w:rFonts w:eastAsia="Times New Roman"/>
        </w:rPr>
        <w:t>):e</w:t>
      </w:r>
      <w:proofErr w:type="gramEnd"/>
      <w:r w:rsidRPr="00C61919">
        <w:rPr>
          <w:rFonts w:eastAsia="Times New Roman"/>
        </w:rPr>
        <w:t xml:space="preserve">0245840. </w:t>
      </w:r>
      <w:proofErr w:type="spellStart"/>
      <w:r w:rsidRPr="00C61919">
        <w:rPr>
          <w:rFonts w:eastAsia="Times New Roman"/>
        </w:rPr>
        <w:t>doi</w:t>
      </w:r>
      <w:proofErr w:type="spellEnd"/>
      <w:r w:rsidRPr="00C61919">
        <w:rPr>
          <w:rFonts w:eastAsia="Times New Roman"/>
        </w:rPr>
        <w:t xml:space="preserve">: https://doi.org/10.1371/journal.pone.0245840. </w:t>
      </w:r>
    </w:p>
    <w:p w14:paraId="71847669"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Suh EH, Lang KJ, </w:t>
      </w:r>
      <w:proofErr w:type="spellStart"/>
      <w:r w:rsidRPr="00C61919">
        <w:rPr>
          <w:rFonts w:eastAsia="Times New Roman"/>
        </w:rPr>
        <w:t>Zerihun</w:t>
      </w:r>
      <w:proofErr w:type="spellEnd"/>
      <w:r w:rsidRPr="00C61919">
        <w:rPr>
          <w:rFonts w:eastAsia="Times New Roman"/>
        </w:rPr>
        <w:t xml:space="preserve"> LM. Modified PRIEST score for identification of very low-risk COVID patients. </w:t>
      </w:r>
      <w:r w:rsidRPr="00C61919">
        <w:rPr>
          <w:rStyle w:val="Emphasis"/>
          <w:rFonts w:eastAsia="Times New Roman"/>
          <w:b w:val="0"/>
          <w:bCs w:val="0"/>
        </w:rPr>
        <w:t xml:space="preserve">Am J </w:t>
      </w:r>
      <w:proofErr w:type="spellStart"/>
      <w:r w:rsidRPr="00C61919">
        <w:rPr>
          <w:rStyle w:val="Emphasis"/>
          <w:rFonts w:eastAsia="Times New Roman"/>
          <w:b w:val="0"/>
          <w:bCs w:val="0"/>
        </w:rPr>
        <w:t>Emerg</w:t>
      </w:r>
      <w:proofErr w:type="spellEnd"/>
      <w:r w:rsidRPr="00C61919">
        <w:rPr>
          <w:rStyle w:val="Emphasis"/>
          <w:rFonts w:eastAsia="Times New Roman"/>
          <w:b w:val="0"/>
          <w:bCs w:val="0"/>
        </w:rPr>
        <w:t xml:space="preserve"> Med</w:t>
      </w:r>
      <w:r w:rsidRPr="00C61919">
        <w:rPr>
          <w:rFonts w:eastAsia="Times New Roman"/>
        </w:rPr>
        <w:t xml:space="preserve">. </w:t>
      </w:r>
      <w:proofErr w:type="gramStart"/>
      <w:r w:rsidRPr="00C61919">
        <w:rPr>
          <w:rFonts w:eastAsia="Times New Roman"/>
        </w:rPr>
        <w:t>2021;47:213</w:t>
      </w:r>
      <w:proofErr w:type="gramEnd"/>
      <w:r w:rsidRPr="00C61919">
        <w:rPr>
          <w:rFonts w:eastAsia="Times New Roman"/>
        </w:rPr>
        <w:t xml:space="preserve">–6. </w:t>
      </w:r>
      <w:proofErr w:type="spellStart"/>
      <w:r w:rsidRPr="00C61919">
        <w:rPr>
          <w:rFonts w:eastAsia="Times New Roman"/>
        </w:rPr>
        <w:t>doi</w:t>
      </w:r>
      <w:proofErr w:type="spellEnd"/>
      <w:r w:rsidRPr="00C61919">
        <w:rPr>
          <w:rFonts w:eastAsia="Times New Roman"/>
        </w:rPr>
        <w:t xml:space="preserve">: https://doi.org/10.1016/j.ajem.2021.04.063. </w:t>
      </w:r>
    </w:p>
    <w:p w14:paraId="01BF93C2"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American College of Emergency Physicians (ACEP). COVID-19 ED Management Tool Now Available, Updated. [Internet.] Irving: ACEP; 7 June 2022. [Accessed in August 2022.] Available from: https://www.acep.org/corona/COVID-19-alert/covid-19-articles/covid-19-ED-management-tool-now-available/. </w:t>
      </w:r>
    </w:p>
    <w:p w14:paraId="2D942576" w14:textId="77777777" w:rsidR="00702FEE" w:rsidRPr="00C61919" w:rsidRDefault="00702FEE" w:rsidP="00F307AD">
      <w:pPr>
        <w:pStyle w:val="ListParagraph"/>
        <w:numPr>
          <w:ilvl w:val="0"/>
          <w:numId w:val="10"/>
        </w:numPr>
        <w:rPr>
          <w:rFonts w:eastAsia="Times New Roman"/>
        </w:rPr>
      </w:pPr>
      <w:r w:rsidRPr="00C61919">
        <w:rPr>
          <w:rFonts w:eastAsia="Times New Roman"/>
        </w:rPr>
        <w:lastRenderedPageBreak/>
        <w:t>The University of Sheffield School of Health and Related Research (</w:t>
      </w:r>
      <w:proofErr w:type="spellStart"/>
      <w:r w:rsidRPr="00C61919">
        <w:rPr>
          <w:rFonts w:eastAsia="Times New Roman"/>
        </w:rPr>
        <w:t>ScHARR</w:t>
      </w:r>
      <w:proofErr w:type="spellEnd"/>
      <w:r w:rsidRPr="00C61919">
        <w:rPr>
          <w:rFonts w:eastAsia="Times New Roman"/>
        </w:rPr>
        <w:t xml:space="preserve">). The PRIEST COVID-19 clinical severity score. [Webpage.] Sheffield: </w:t>
      </w:r>
      <w:proofErr w:type="spellStart"/>
      <w:r w:rsidRPr="00C61919">
        <w:rPr>
          <w:rFonts w:eastAsia="Times New Roman"/>
        </w:rPr>
        <w:t>ScHARR</w:t>
      </w:r>
      <w:proofErr w:type="spellEnd"/>
      <w:r w:rsidRPr="00C61919">
        <w:rPr>
          <w:rFonts w:eastAsia="Times New Roman"/>
        </w:rPr>
        <w:t xml:space="preserve">. [Accessed in August 2022.] Available from: https://www.sheffield.ac.uk/scharr/research/centres/cure/priest/priest-covid-19. </w:t>
      </w:r>
    </w:p>
    <w:p w14:paraId="276DEB40" w14:textId="77777777" w:rsidR="00702FEE" w:rsidRPr="00C61919" w:rsidRDefault="00702FEE" w:rsidP="00F307AD">
      <w:pPr>
        <w:pStyle w:val="ListParagraph"/>
        <w:numPr>
          <w:ilvl w:val="0"/>
          <w:numId w:val="10"/>
        </w:numPr>
        <w:rPr>
          <w:rFonts w:eastAsia="Times New Roman"/>
        </w:rPr>
      </w:pPr>
      <w:proofErr w:type="spellStart"/>
      <w:r w:rsidRPr="00C61919">
        <w:rPr>
          <w:rFonts w:eastAsia="Times New Roman"/>
        </w:rPr>
        <w:t>StataCorp</w:t>
      </w:r>
      <w:proofErr w:type="spellEnd"/>
      <w:r w:rsidRPr="00C61919">
        <w:rPr>
          <w:rFonts w:eastAsia="Times New Roman"/>
        </w:rPr>
        <w:t xml:space="preserve"> LLC. STATA. [Software.] College Station: </w:t>
      </w:r>
      <w:proofErr w:type="spellStart"/>
      <w:r w:rsidRPr="00C61919">
        <w:rPr>
          <w:rFonts w:eastAsia="Times New Roman"/>
        </w:rPr>
        <w:t>StataCorp</w:t>
      </w:r>
      <w:proofErr w:type="spellEnd"/>
      <w:r w:rsidRPr="00C61919">
        <w:rPr>
          <w:rFonts w:eastAsia="Times New Roman"/>
        </w:rPr>
        <w:t xml:space="preserve"> LLC; 2022. Available from: https://www.stata.com/company/. </w:t>
      </w:r>
    </w:p>
    <w:p w14:paraId="3EE6B664"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NSW Health. </w:t>
      </w:r>
      <w:r w:rsidRPr="00C61919">
        <w:rPr>
          <w:rStyle w:val="Emphasis"/>
          <w:rFonts w:eastAsia="Times New Roman"/>
          <w:b w:val="0"/>
          <w:bCs w:val="0"/>
        </w:rPr>
        <w:t xml:space="preserve">COVID-19 weekly surveillance in NSW. Epidemiological week </w:t>
      </w:r>
      <w:proofErr w:type="gramStart"/>
      <w:r w:rsidRPr="00C61919">
        <w:rPr>
          <w:rStyle w:val="Emphasis"/>
          <w:rFonts w:eastAsia="Times New Roman"/>
          <w:b w:val="0"/>
          <w:bCs w:val="0"/>
        </w:rPr>
        <w:t>49</w:t>
      </w:r>
      <w:proofErr w:type="gramEnd"/>
      <w:r w:rsidRPr="00C61919">
        <w:rPr>
          <w:rStyle w:val="Emphasis"/>
          <w:rFonts w:eastAsia="Times New Roman"/>
          <w:b w:val="0"/>
          <w:bCs w:val="0"/>
        </w:rPr>
        <w:t>, ending 10 December 2022</w:t>
      </w:r>
      <w:r w:rsidRPr="00C61919">
        <w:rPr>
          <w:rFonts w:eastAsia="Times New Roman"/>
        </w:rPr>
        <w:t xml:space="preserve">. Sydney: New South Wales Government, NSW Health; 15 December 2022. [Accessed in December 2022.] Available from: https://www.health.nsw.gov.au/Infectious/covid-19/Documents/covid-19-surveillance-report-20220214.pdf. </w:t>
      </w:r>
    </w:p>
    <w:p w14:paraId="33EFE063"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NSW Health. </w:t>
      </w:r>
      <w:r w:rsidRPr="00C61919">
        <w:rPr>
          <w:rStyle w:val="Emphasis"/>
          <w:rFonts w:eastAsia="Times New Roman"/>
          <w:b w:val="0"/>
          <w:bCs w:val="0"/>
        </w:rPr>
        <w:t>COVID-19 weekly surveillance in NSW. Epidemiological week 04 ending 29 January 2022</w:t>
      </w:r>
      <w:r w:rsidRPr="00C61919">
        <w:rPr>
          <w:rFonts w:eastAsia="Times New Roman"/>
        </w:rPr>
        <w:t xml:space="preserve">. Sydney: New South Wales Government, NSW Health; 14 February 2022. [Accessed in August 2022.] Available from: https://www.health.nsw.gov.au/Infectious/covid-19/Documents/covid-19-surveillance-report-20220214.pdf. </w:t>
      </w:r>
    </w:p>
    <w:p w14:paraId="14800970" w14:textId="77777777" w:rsidR="00702FEE" w:rsidRPr="00C61919" w:rsidRDefault="00702FEE" w:rsidP="00F307AD">
      <w:pPr>
        <w:pStyle w:val="ListParagraph"/>
        <w:numPr>
          <w:ilvl w:val="0"/>
          <w:numId w:val="10"/>
        </w:numPr>
        <w:rPr>
          <w:rFonts w:eastAsia="Times New Roman"/>
        </w:rPr>
      </w:pPr>
      <w:r w:rsidRPr="00C61919">
        <w:rPr>
          <w:rFonts w:eastAsia="Times New Roman"/>
        </w:rPr>
        <w:t xml:space="preserve">Liu B, Gidding H, </w:t>
      </w:r>
      <w:proofErr w:type="spellStart"/>
      <w:r w:rsidRPr="00C61919">
        <w:rPr>
          <w:rFonts w:eastAsia="Times New Roman"/>
        </w:rPr>
        <w:t>Stepien</w:t>
      </w:r>
      <w:proofErr w:type="spellEnd"/>
      <w:r w:rsidRPr="00C61919">
        <w:rPr>
          <w:rFonts w:eastAsia="Times New Roman"/>
        </w:rPr>
        <w:t xml:space="preserve"> S, </w:t>
      </w:r>
      <w:proofErr w:type="spellStart"/>
      <w:r w:rsidRPr="00C61919">
        <w:rPr>
          <w:rFonts w:eastAsia="Times New Roman"/>
        </w:rPr>
        <w:t>Cretikos</w:t>
      </w:r>
      <w:proofErr w:type="spellEnd"/>
      <w:r w:rsidRPr="00C61919">
        <w:rPr>
          <w:rFonts w:eastAsia="Times New Roman"/>
        </w:rPr>
        <w:t xml:space="preserve"> M, Macartney K. Relative effectiveness of COVID-19 vaccination with </w:t>
      </w:r>
      <w:proofErr w:type="gramStart"/>
      <w:r w:rsidRPr="00C61919">
        <w:rPr>
          <w:rFonts w:eastAsia="Times New Roman"/>
        </w:rPr>
        <w:t>3</w:t>
      </w:r>
      <w:proofErr w:type="gramEnd"/>
      <w:r w:rsidRPr="00C61919">
        <w:rPr>
          <w:rFonts w:eastAsia="Times New Roman"/>
        </w:rPr>
        <w:t xml:space="preserve"> compared to 2 doses against SARS-CoV-2 B. 1.1. 529 (Omicron) among an Australian population with low prior rates of SARS-CoV-2 infection. </w:t>
      </w:r>
      <w:r w:rsidRPr="00C61919">
        <w:rPr>
          <w:rStyle w:val="Emphasis"/>
          <w:rFonts w:eastAsia="Times New Roman"/>
          <w:b w:val="0"/>
          <w:bCs w:val="0"/>
        </w:rPr>
        <w:t>Vaccine</w:t>
      </w:r>
      <w:r w:rsidRPr="00C61919">
        <w:rPr>
          <w:rFonts w:eastAsia="Times New Roman"/>
        </w:rPr>
        <w:t xml:space="preserve">. 2022;40(43):6288–94. </w:t>
      </w:r>
      <w:proofErr w:type="spellStart"/>
      <w:r w:rsidRPr="00C61919">
        <w:rPr>
          <w:rFonts w:eastAsia="Times New Roman"/>
        </w:rPr>
        <w:t>doi</w:t>
      </w:r>
      <w:proofErr w:type="spellEnd"/>
      <w:r w:rsidRPr="00C61919">
        <w:rPr>
          <w:rFonts w:eastAsia="Times New Roman"/>
        </w:rPr>
        <w:t xml:space="preserve">: https://doi.org/10.1016/j.vaccine.2022.09.029. </w:t>
      </w:r>
    </w:p>
    <w:p w14:paraId="2F2DD069" w14:textId="77777777" w:rsidR="00A647A3" w:rsidRDefault="00A647A3">
      <w:pPr>
        <w:rPr>
          <w:rFonts w:asciiTheme="majorHAnsi" w:eastAsiaTheme="majorEastAsia" w:hAnsiTheme="majorHAnsi" w:cstheme="majorBidi"/>
          <w:b/>
          <w:bCs/>
          <w:sz w:val="32"/>
          <w:szCs w:val="28"/>
        </w:rPr>
      </w:pPr>
      <w:r>
        <w:br w:type="page"/>
      </w:r>
    </w:p>
    <w:p w14:paraId="6D22BCEB" w14:textId="0B2540A6" w:rsidR="005642DB" w:rsidRPr="005642DB" w:rsidRDefault="005642DB" w:rsidP="005642DB">
      <w:pPr>
        <w:pStyle w:val="Heading1"/>
        <w:divId w:val="692728961"/>
      </w:pPr>
      <w:r w:rsidRPr="005642DB">
        <w:lastRenderedPageBreak/>
        <w:t>Appendix A: Supplementary material</w:t>
      </w:r>
    </w:p>
    <w:p w14:paraId="70DC3112" w14:textId="267B655A" w:rsidR="00BE0799" w:rsidRPr="005642DB" w:rsidRDefault="00BE0799" w:rsidP="00BE0799">
      <w:pPr>
        <w:pStyle w:val="CDIFigures"/>
      </w:pPr>
      <w:r w:rsidRPr="005642DB">
        <w:rPr>
          <w:rStyle w:val="Strong"/>
          <w:b/>
          <w:bCs w:val="0"/>
        </w:rPr>
        <w:t>Table A.1: Pandemic Respiratory Infection Emergency System Triage (PRIEST) score components used in this</w:t>
      </w:r>
      <w:r w:rsidR="00E72DB8">
        <w:rPr>
          <w:rStyle w:val="Strong"/>
          <w:b/>
          <w:bCs w:val="0"/>
        </w:rPr>
        <w:t> </w:t>
      </w:r>
      <w:proofErr w:type="spellStart"/>
      <w:proofErr w:type="gramStart"/>
      <w:r w:rsidRPr="005642DB">
        <w:rPr>
          <w:rStyle w:val="Strong"/>
          <w:b/>
          <w:bCs w:val="0"/>
        </w:rPr>
        <w:t>study</w:t>
      </w:r>
      <w:r w:rsidRPr="005642DB">
        <w:rPr>
          <w:rStyle w:val="Strong"/>
          <w:b/>
          <w:bCs w:val="0"/>
          <w:vertAlign w:val="superscript"/>
        </w:rPr>
        <w:t>a,b</w:t>
      </w:r>
      <w:proofErr w:type="spellEnd"/>
      <w:proofErr w:type="gramEnd"/>
    </w:p>
    <w:tbl>
      <w:tblPr>
        <w:tblStyle w:val="CDI-StandardTable"/>
        <w:tblW w:w="0" w:type="auto"/>
        <w:tblCellMar>
          <w:top w:w="28" w:type="dxa"/>
          <w:bottom w:w="28" w:type="dxa"/>
        </w:tblCellMar>
        <w:tblLook w:val="04A0" w:firstRow="1" w:lastRow="0" w:firstColumn="1" w:lastColumn="0" w:noHBand="0" w:noVBand="1"/>
        <w:tblDescription w:val="Table A.1 shows the components of PRIEST score. Variables include respiratory rate, oxygen saturation, heart rate, systolic blood pressure, temperature, alertness, inspired oxygen, sex, age and performance status. For this study, performance status was excluded due to concerns about the accuracy and reliability of recording in emergency department records and resulted in the calculation of a modified PRIEST (mPRIEST). "/>
      </w:tblPr>
      <w:tblGrid>
        <w:gridCol w:w="3480"/>
        <w:gridCol w:w="4600"/>
        <w:gridCol w:w="2360"/>
      </w:tblGrid>
      <w:tr w:rsidR="00BE0799" w:rsidRPr="002B73E1" w14:paraId="11E15686" w14:textId="77777777" w:rsidTr="00E72DB8">
        <w:trPr>
          <w:cnfStyle w:val="100000000000" w:firstRow="1" w:lastRow="0" w:firstColumn="0" w:lastColumn="0" w:oddVBand="0" w:evenVBand="0" w:oddHBand="0" w:evenHBand="0" w:firstRowFirstColumn="0" w:firstRowLastColumn="0" w:lastRowFirstColumn="0" w:lastRowLastColumn="0"/>
        </w:trPr>
        <w:tc>
          <w:tcPr>
            <w:tcW w:w="3480" w:type="dxa"/>
            <w:tcBorders>
              <w:bottom w:val="single" w:sz="2" w:space="0" w:color="808080" w:themeColor="background1" w:themeShade="80"/>
            </w:tcBorders>
            <w:hideMark/>
          </w:tcPr>
          <w:p w14:paraId="4A5376F9" w14:textId="77777777" w:rsidR="00BE0799" w:rsidRPr="002B73E1" w:rsidRDefault="00BE0799" w:rsidP="009A2651">
            <w:pPr>
              <w:pStyle w:val="NormalWeb"/>
              <w:jc w:val="left"/>
              <w:rPr>
                <w:sz w:val="18"/>
                <w:szCs w:val="18"/>
                <w:lang w:val="en-GB"/>
              </w:rPr>
            </w:pPr>
            <w:r w:rsidRPr="002B73E1">
              <w:rPr>
                <w:sz w:val="18"/>
                <w:szCs w:val="18"/>
                <w:lang w:val="en-GB"/>
              </w:rPr>
              <w:t>Variable</w:t>
            </w:r>
          </w:p>
        </w:tc>
        <w:tc>
          <w:tcPr>
            <w:tcW w:w="4600" w:type="dxa"/>
            <w:tcBorders>
              <w:bottom w:val="single" w:sz="2" w:space="0" w:color="808080" w:themeColor="background1" w:themeShade="80"/>
            </w:tcBorders>
            <w:hideMark/>
          </w:tcPr>
          <w:p w14:paraId="7F081CF9" w14:textId="77777777" w:rsidR="00BE0799" w:rsidRPr="002B73E1" w:rsidRDefault="00BE0799" w:rsidP="009A2651">
            <w:pPr>
              <w:pStyle w:val="NormalWeb"/>
              <w:jc w:val="left"/>
              <w:rPr>
                <w:sz w:val="18"/>
                <w:szCs w:val="18"/>
                <w:lang w:val="en-GB"/>
              </w:rPr>
            </w:pPr>
            <w:r w:rsidRPr="002B73E1">
              <w:rPr>
                <w:sz w:val="18"/>
                <w:szCs w:val="18"/>
                <w:lang w:val="en-GB"/>
              </w:rPr>
              <w:t>Range</w:t>
            </w:r>
          </w:p>
        </w:tc>
        <w:tc>
          <w:tcPr>
            <w:tcW w:w="2360" w:type="dxa"/>
            <w:tcBorders>
              <w:bottom w:val="single" w:sz="2" w:space="0" w:color="808080" w:themeColor="background1" w:themeShade="80"/>
            </w:tcBorders>
            <w:hideMark/>
          </w:tcPr>
          <w:p w14:paraId="754C7996" w14:textId="77777777" w:rsidR="00BE0799" w:rsidRPr="002B73E1" w:rsidRDefault="00BE0799" w:rsidP="009A2651">
            <w:pPr>
              <w:pStyle w:val="NormalWeb"/>
              <w:jc w:val="left"/>
              <w:rPr>
                <w:sz w:val="18"/>
                <w:szCs w:val="18"/>
                <w:lang w:val="en-GB"/>
              </w:rPr>
            </w:pPr>
            <w:r w:rsidRPr="002B73E1">
              <w:rPr>
                <w:sz w:val="18"/>
                <w:szCs w:val="18"/>
                <w:lang w:val="en-GB"/>
              </w:rPr>
              <w:t>Score</w:t>
            </w:r>
          </w:p>
        </w:tc>
      </w:tr>
      <w:tr w:rsidR="00A647A3" w:rsidRPr="002B73E1" w14:paraId="3CC2C13D"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C0FCDE" w14:textId="77777777" w:rsidR="00BE0799" w:rsidRPr="002B73E1" w:rsidRDefault="00BE0799" w:rsidP="009A2651">
            <w:pPr>
              <w:pStyle w:val="NormalWeb"/>
              <w:jc w:val="left"/>
              <w:rPr>
                <w:sz w:val="18"/>
                <w:szCs w:val="18"/>
                <w:lang w:val="en-GB"/>
              </w:rPr>
            </w:pPr>
            <w:r w:rsidRPr="002B73E1">
              <w:rPr>
                <w:sz w:val="18"/>
                <w:szCs w:val="18"/>
                <w:lang w:val="en-GB"/>
              </w:rPr>
              <w:t>Respiratory rate (per minute)</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B18E3D" w14:textId="77777777" w:rsidR="00BE0799" w:rsidRPr="002B73E1" w:rsidRDefault="00BE0799" w:rsidP="009A2651">
            <w:pPr>
              <w:pStyle w:val="NormalWeb"/>
              <w:jc w:val="left"/>
              <w:rPr>
                <w:sz w:val="18"/>
                <w:szCs w:val="18"/>
                <w:lang w:val="en-GB"/>
              </w:rPr>
            </w:pPr>
            <w:r w:rsidRPr="002B73E1">
              <w:rPr>
                <w:sz w:val="18"/>
                <w:szCs w:val="18"/>
                <w:lang w:val="en-GB"/>
              </w:rPr>
              <w:t>12–20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AA9FD6"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1714443A"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7C1B9A"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3B9FA3" w14:textId="77777777" w:rsidR="00BE0799" w:rsidRPr="002B73E1" w:rsidRDefault="00BE0799" w:rsidP="009A2651">
            <w:pPr>
              <w:pStyle w:val="NormalWeb"/>
              <w:jc w:val="left"/>
              <w:rPr>
                <w:sz w:val="18"/>
                <w:szCs w:val="18"/>
                <w:lang w:val="en-GB"/>
              </w:rPr>
            </w:pPr>
            <w:r w:rsidRPr="002B73E1">
              <w:rPr>
                <w:sz w:val="18"/>
                <w:szCs w:val="18"/>
                <w:lang w:val="en-GB"/>
              </w:rPr>
              <w:t>9–11</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680F00" w14:textId="77777777" w:rsidR="00BE0799" w:rsidRPr="002B73E1" w:rsidRDefault="00BE0799" w:rsidP="009A2651">
            <w:pPr>
              <w:pStyle w:val="NormalWeb"/>
              <w:jc w:val="left"/>
              <w:rPr>
                <w:sz w:val="18"/>
                <w:szCs w:val="18"/>
                <w:lang w:val="en-GB"/>
              </w:rPr>
            </w:pPr>
            <w:r w:rsidRPr="002B73E1">
              <w:rPr>
                <w:sz w:val="18"/>
                <w:szCs w:val="18"/>
                <w:lang w:val="en-GB"/>
              </w:rPr>
              <w:t>1</w:t>
            </w:r>
          </w:p>
        </w:tc>
      </w:tr>
      <w:tr w:rsidR="00A647A3" w:rsidRPr="002B73E1" w14:paraId="56F68B9B"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8A14A5"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470B41" w14:textId="77777777" w:rsidR="00BE0799" w:rsidRPr="002B73E1" w:rsidRDefault="00BE0799" w:rsidP="009A2651">
            <w:pPr>
              <w:pStyle w:val="NormalWeb"/>
              <w:jc w:val="left"/>
              <w:rPr>
                <w:sz w:val="18"/>
                <w:szCs w:val="18"/>
                <w:lang w:val="en-GB"/>
              </w:rPr>
            </w:pPr>
            <w:r w:rsidRPr="002B73E1">
              <w:rPr>
                <w:sz w:val="18"/>
                <w:szCs w:val="18"/>
                <w:lang w:val="en-GB"/>
              </w:rPr>
              <w:t>21–24</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87ACA2"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BE0799" w:rsidRPr="002B73E1" w14:paraId="7815A211"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56A175"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7CF1C6" w14:textId="77777777" w:rsidR="00BE0799" w:rsidRPr="002B73E1" w:rsidRDefault="00BE0799" w:rsidP="009A2651">
            <w:pPr>
              <w:pStyle w:val="NormalWeb"/>
              <w:jc w:val="left"/>
              <w:rPr>
                <w:sz w:val="18"/>
                <w:szCs w:val="18"/>
                <w:lang w:val="en-GB"/>
              </w:rPr>
            </w:pPr>
            <w:r w:rsidRPr="002B73E1">
              <w:rPr>
                <w:sz w:val="18"/>
                <w:szCs w:val="18"/>
                <w:lang w:val="en-GB"/>
              </w:rPr>
              <w:t>&lt; 9 or &gt; 24</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5424D4"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A647A3" w:rsidRPr="002B73E1" w14:paraId="45B4B17D"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F76A32" w14:textId="77777777" w:rsidR="00BE0799" w:rsidRPr="002B73E1" w:rsidRDefault="00BE0799" w:rsidP="009A2651">
            <w:pPr>
              <w:pStyle w:val="NormalWeb"/>
              <w:jc w:val="left"/>
              <w:rPr>
                <w:sz w:val="18"/>
                <w:szCs w:val="18"/>
                <w:lang w:val="en-GB"/>
              </w:rPr>
            </w:pPr>
            <w:r w:rsidRPr="002B73E1">
              <w:rPr>
                <w:sz w:val="18"/>
                <w:szCs w:val="18"/>
                <w:lang w:val="en-GB"/>
              </w:rPr>
              <w:t>Oxygen saturation (%)</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B20276" w14:textId="77777777" w:rsidR="00BE0799" w:rsidRPr="002B73E1" w:rsidRDefault="00BE0799" w:rsidP="009A2651">
            <w:pPr>
              <w:pStyle w:val="NormalWeb"/>
              <w:jc w:val="left"/>
              <w:rPr>
                <w:sz w:val="18"/>
                <w:szCs w:val="18"/>
                <w:lang w:val="en-GB"/>
              </w:rPr>
            </w:pPr>
            <w:r w:rsidRPr="002B73E1">
              <w:rPr>
                <w:sz w:val="18"/>
                <w:szCs w:val="18"/>
                <w:lang w:val="en-GB"/>
              </w:rPr>
              <w:t>&gt; 95</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156446"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699B590F"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09DD28"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760BB7" w14:textId="77777777" w:rsidR="00BE0799" w:rsidRPr="002B73E1" w:rsidRDefault="00BE0799" w:rsidP="009A2651">
            <w:pPr>
              <w:pStyle w:val="NormalWeb"/>
              <w:jc w:val="left"/>
              <w:rPr>
                <w:sz w:val="18"/>
                <w:szCs w:val="18"/>
                <w:lang w:val="en-GB"/>
              </w:rPr>
            </w:pPr>
            <w:r w:rsidRPr="002B73E1">
              <w:rPr>
                <w:sz w:val="18"/>
                <w:szCs w:val="18"/>
                <w:lang w:val="en-GB"/>
              </w:rPr>
              <w:t>94–95</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AC508F" w14:textId="77777777" w:rsidR="00BE0799" w:rsidRPr="002B73E1" w:rsidRDefault="00BE0799" w:rsidP="009A2651">
            <w:pPr>
              <w:pStyle w:val="NormalWeb"/>
              <w:jc w:val="left"/>
              <w:rPr>
                <w:sz w:val="18"/>
                <w:szCs w:val="18"/>
                <w:lang w:val="en-GB"/>
              </w:rPr>
            </w:pPr>
            <w:r w:rsidRPr="002B73E1">
              <w:rPr>
                <w:sz w:val="18"/>
                <w:szCs w:val="18"/>
                <w:lang w:val="en-GB"/>
              </w:rPr>
              <w:t>1</w:t>
            </w:r>
          </w:p>
        </w:tc>
      </w:tr>
      <w:tr w:rsidR="00A647A3" w:rsidRPr="002B73E1" w14:paraId="17678DE3"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B48FDC"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FA49E" w14:textId="77777777" w:rsidR="00BE0799" w:rsidRPr="002B73E1" w:rsidRDefault="00BE0799" w:rsidP="009A2651">
            <w:pPr>
              <w:pStyle w:val="NormalWeb"/>
              <w:jc w:val="left"/>
              <w:rPr>
                <w:sz w:val="18"/>
                <w:szCs w:val="18"/>
                <w:lang w:val="en-GB"/>
              </w:rPr>
            </w:pPr>
            <w:r w:rsidRPr="002B73E1">
              <w:rPr>
                <w:sz w:val="18"/>
                <w:szCs w:val="18"/>
                <w:lang w:val="en-GB"/>
              </w:rPr>
              <w:t>92–93</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5B15FE"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BE0799" w:rsidRPr="002B73E1" w14:paraId="043A6CD9"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BB046B"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A57D98" w14:textId="77777777" w:rsidR="00BE0799" w:rsidRPr="002B73E1" w:rsidRDefault="00BE0799" w:rsidP="009A2651">
            <w:pPr>
              <w:pStyle w:val="NormalWeb"/>
              <w:jc w:val="left"/>
              <w:rPr>
                <w:sz w:val="18"/>
                <w:szCs w:val="18"/>
                <w:lang w:val="en-GB"/>
              </w:rPr>
            </w:pPr>
            <w:r w:rsidRPr="002B73E1">
              <w:rPr>
                <w:sz w:val="18"/>
                <w:szCs w:val="18"/>
                <w:lang w:val="en-GB"/>
              </w:rPr>
              <w:t>&lt; 92</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D032D2"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A647A3" w:rsidRPr="002B73E1" w14:paraId="00794D5E"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6E6A0B" w14:textId="77777777" w:rsidR="00BE0799" w:rsidRPr="002B73E1" w:rsidRDefault="00BE0799" w:rsidP="009A2651">
            <w:pPr>
              <w:pStyle w:val="NormalWeb"/>
              <w:jc w:val="left"/>
              <w:rPr>
                <w:sz w:val="18"/>
                <w:szCs w:val="18"/>
                <w:lang w:val="en-GB"/>
              </w:rPr>
            </w:pPr>
            <w:r w:rsidRPr="002B73E1">
              <w:rPr>
                <w:sz w:val="18"/>
                <w:szCs w:val="18"/>
                <w:lang w:val="en-GB"/>
              </w:rPr>
              <w:t>Heart rate (per minute)</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E6FE17" w14:textId="77777777" w:rsidR="00BE0799" w:rsidRPr="002B73E1" w:rsidRDefault="00BE0799" w:rsidP="009A2651">
            <w:pPr>
              <w:pStyle w:val="NormalWeb"/>
              <w:jc w:val="left"/>
              <w:rPr>
                <w:sz w:val="18"/>
                <w:szCs w:val="18"/>
                <w:lang w:val="en-GB"/>
              </w:rPr>
            </w:pPr>
            <w:r w:rsidRPr="002B73E1">
              <w:rPr>
                <w:sz w:val="18"/>
                <w:szCs w:val="18"/>
                <w:lang w:val="en-GB"/>
              </w:rPr>
              <w:t>51–90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AE86E1"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2DB85AA3"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99CAA4"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FFD7F6" w14:textId="77777777" w:rsidR="00BE0799" w:rsidRPr="002B73E1" w:rsidRDefault="00BE0799" w:rsidP="009A2651">
            <w:pPr>
              <w:pStyle w:val="NormalWeb"/>
              <w:jc w:val="left"/>
              <w:rPr>
                <w:sz w:val="18"/>
                <w:szCs w:val="18"/>
                <w:lang w:val="en-GB"/>
              </w:rPr>
            </w:pPr>
            <w:r w:rsidRPr="002B73E1">
              <w:rPr>
                <w:sz w:val="18"/>
                <w:szCs w:val="18"/>
                <w:lang w:val="en-GB"/>
              </w:rPr>
              <w:t>41–50 or 91–110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0CCA43" w14:textId="77777777" w:rsidR="00BE0799" w:rsidRPr="002B73E1" w:rsidRDefault="00BE0799" w:rsidP="009A2651">
            <w:pPr>
              <w:pStyle w:val="NormalWeb"/>
              <w:jc w:val="left"/>
              <w:rPr>
                <w:sz w:val="18"/>
                <w:szCs w:val="18"/>
                <w:lang w:val="en-GB"/>
              </w:rPr>
            </w:pPr>
            <w:r w:rsidRPr="002B73E1">
              <w:rPr>
                <w:sz w:val="18"/>
                <w:szCs w:val="18"/>
                <w:lang w:val="en-GB"/>
              </w:rPr>
              <w:t>1</w:t>
            </w:r>
          </w:p>
        </w:tc>
      </w:tr>
      <w:tr w:rsidR="00A647A3" w:rsidRPr="002B73E1" w14:paraId="5647C7FD"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79E114"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BC8925" w14:textId="77777777" w:rsidR="00BE0799" w:rsidRPr="002B73E1" w:rsidRDefault="00BE0799" w:rsidP="009A2651">
            <w:pPr>
              <w:pStyle w:val="NormalWeb"/>
              <w:jc w:val="left"/>
              <w:rPr>
                <w:sz w:val="18"/>
                <w:szCs w:val="18"/>
                <w:lang w:val="en-GB"/>
              </w:rPr>
            </w:pPr>
            <w:r w:rsidRPr="002B73E1">
              <w:rPr>
                <w:sz w:val="18"/>
                <w:szCs w:val="18"/>
                <w:lang w:val="en-GB"/>
              </w:rPr>
              <w:t>111–130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E611DB"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BE0799" w:rsidRPr="002B73E1" w14:paraId="1D34C62A"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D00F0D"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DE2CE8" w14:textId="77777777" w:rsidR="00BE0799" w:rsidRPr="002B73E1" w:rsidRDefault="00BE0799" w:rsidP="009A2651">
            <w:pPr>
              <w:pStyle w:val="NormalWeb"/>
              <w:jc w:val="left"/>
              <w:rPr>
                <w:sz w:val="18"/>
                <w:szCs w:val="18"/>
                <w:lang w:val="en-GB"/>
              </w:rPr>
            </w:pPr>
            <w:r w:rsidRPr="002B73E1">
              <w:rPr>
                <w:sz w:val="18"/>
                <w:szCs w:val="18"/>
                <w:lang w:val="en-GB"/>
              </w:rPr>
              <w:t>&lt; 41 or &gt; 130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6D892F"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A647A3" w:rsidRPr="002B73E1" w14:paraId="0DCD56DA"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A2F6ED" w14:textId="77777777" w:rsidR="00BE0799" w:rsidRPr="002B73E1" w:rsidRDefault="00BE0799" w:rsidP="009A2651">
            <w:pPr>
              <w:pStyle w:val="NormalWeb"/>
              <w:jc w:val="left"/>
              <w:rPr>
                <w:sz w:val="18"/>
                <w:szCs w:val="18"/>
                <w:lang w:val="en-GB"/>
              </w:rPr>
            </w:pPr>
            <w:r w:rsidRPr="002B73E1">
              <w:rPr>
                <w:sz w:val="18"/>
                <w:szCs w:val="18"/>
                <w:lang w:val="en-GB"/>
              </w:rPr>
              <w:t>Systolic blood pressure (mm Hg)</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E7A861" w14:textId="77777777" w:rsidR="00BE0799" w:rsidRPr="002B73E1" w:rsidRDefault="00BE0799" w:rsidP="009A2651">
            <w:pPr>
              <w:pStyle w:val="NormalWeb"/>
              <w:jc w:val="left"/>
              <w:rPr>
                <w:sz w:val="18"/>
                <w:szCs w:val="18"/>
                <w:lang w:val="en-GB"/>
              </w:rPr>
            </w:pPr>
            <w:r w:rsidRPr="002B73E1">
              <w:rPr>
                <w:sz w:val="18"/>
                <w:szCs w:val="18"/>
                <w:lang w:val="en-GB"/>
              </w:rPr>
              <w:t>111–219</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33799C"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04AF7A60"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89A25E"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26BA54" w14:textId="77777777" w:rsidR="00BE0799" w:rsidRPr="002B73E1" w:rsidRDefault="00BE0799" w:rsidP="009A2651">
            <w:pPr>
              <w:pStyle w:val="NormalWeb"/>
              <w:jc w:val="left"/>
              <w:rPr>
                <w:sz w:val="18"/>
                <w:szCs w:val="18"/>
                <w:lang w:val="en-GB"/>
              </w:rPr>
            </w:pPr>
            <w:r w:rsidRPr="002B73E1">
              <w:rPr>
                <w:sz w:val="18"/>
                <w:szCs w:val="18"/>
                <w:lang w:val="en-GB"/>
              </w:rPr>
              <w:t>101–110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C6FB9C" w14:textId="77777777" w:rsidR="00BE0799" w:rsidRPr="002B73E1" w:rsidRDefault="00BE0799" w:rsidP="009A2651">
            <w:pPr>
              <w:pStyle w:val="NormalWeb"/>
              <w:jc w:val="left"/>
              <w:rPr>
                <w:sz w:val="18"/>
                <w:szCs w:val="18"/>
                <w:lang w:val="en-GB"/>
              </w:rPr>
            </w:pPr>
            <w:r w:rsidRPr="002B73E1">
              <w:rPr>
                <w:sz w:val="18"/>
                <w:szCs w:val="18"/>
                <w:lang w:val="en-GB"/>
              </w:rPr>
              <w:t>1</w:t>
            </w:r>
          </w:p>
        </w:tc>
      </w:tr>
      <w:tr w:rsidR="00A647A3" w:rsidRPr="002B73E1" w14:paraId="143A71AD"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F65B29"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142D21" w14:textId="77777777" w:rsidR="00BE0799" w:rsidRPr="002B73E1" w:rsidRDefault="00BE0799" w:rsidP="009A2651">
            <w:pPr>
              <w:pStyle w:val="NormalWeb"/>
              <w:jc w:val="left"/>
              <w:rPr>
                <w:sz w:val="18"/>
                <w:szCs w:val="18"/>
                <w:lang w:val="en-GB"/>
              </w:rPr>
            </w:pPr>
            <w:r w:rsidRPr="002B73E1">
              <w:rPr>
                <w:sz w:val="18"/>
                <w:szCs w:val="18"/>
                <w:lang w:val="en-GB"/>
              </w:rPr>
              <w:t>91–100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1420C7"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BE0799" w:rsidRPr="002B73E1" w14:paraId="5693A052"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27A53C"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FAA8CC" w14:textId="77777777" w:rsidR="00BE0799" w:rsidRPr="002B73E1" w:rsidRDefault="00BE0799" w:rsidP="009A2651">
            <w:pPr>
              <w:pStyle w:val="NormalWeb"/>
              <w:jc w:val="left"/>
              <w:rPr>
                <w:sz w:val="18"/>
                <w:szCs w:val="18"/>
                <w:lang w:val="en-GB"/>
              </w:rPr>
            </w:pPr>
            <w:r w:rsidRPr="002B73E1">
              <w:rPr>
                <w:sz w:val="18"/>
                <w:szCs w:val="18"/>
                <w:lang w:val="en-GB"/>
              </w:rPr>
              <w:t>&lt; 91 or &gt; 219</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2A3DDA"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A647A3" w:rsidRPr="002B73E1" w14:paraId="1A96CE43"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7A589B" w14:textId="77777777" w:rsidR="00BE0799" w:rsidRPr="002B73E1" w:rsidRDefault="00BE0799" w:rsidP="009A2651">
            <w:pPr>
              <w:pStyle w:val="NormalWeb"/>
              <w:jc w:val="left"/>
              <w:rPr>
                <w:sz w:val="18"/>
                <w:szCs w:val="18"/>
                <w:lang w:val="en-GB"/>
              </w:rPr>
            </w:pPr>
            <w:r w:rsidRPr="002B73E1">
              <w:rPr>
                <w:sz w:val="18"/>
                <w:szCs w:val="18"/>
                <w:lang w:val="en-GB"/>
              </w:rPr>
              <w:t>Temperature (°C)</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A624F4" w14:textId="77777777" w:rsidR="00BE0799" w:rsidRPr="002B73E1" w:rsidRDefault="00BE0799" w:rsidP="009A2651">
            <w:pPr>
              <w:pStyle w:val="NormalWeb"/>
              <w:jc w:val="left"/>
              <w:rPr>
                <w:sz w:val="18"/>
                <w:szCs w:val="18"/>
                <w:lang w:val="en-GB"/>
              </w:rPr>
            </w:pPr>
            <w:r w:rsidRPr="002B73E1">
              <w:rPr>
                <w:sz w:val="18"/>
                <w:szCs w:val="18"/>
                <w:lang w:val="en-GB"/>
              </w:rPr>
              <w:t>36.1–38.0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E454D1"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3A4810E5"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73AF3E"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169B44" w14:textId="77777777" w:rsidR="00BE0799" w:rsidRPr="002B73E1" w:rsidRDefault="00BE0799" w:rsidP="009A2651">
            <w:pPr>
              <w:pStyle w:val="NormalWeb"/>
              <w:jc w:val="left"/>
              <w:rPr>
                <w:sz w:val="18"/>
                <w:szCs w:val="18"/>
                <w:lang w:val="en-GB"/>
              </w:rPr>
            </w:pPr>
            <w:r w:rsidRPr="002B73E1">
              <w:rPr>
                <w:sz w:val="18"/>
                <w:szCs w:val="18"/>
                <w:lang w:val="en-GB"/>
              </w:rPr>
              <w:t>35.1–36.0 or 38.1–39.0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4F4CF4" w14:textId="77777777" w:rsidR="00BE0799" w:rsidRPr="002B73E1" w:rsidRDefault="00BE0799" w:rsidP="009A2651">
            <w:pPr>
              <w:pStyle w:val="NormalWeb"/>
              <w:jc w:val="left"/>
              <w:rPr>
                <w:sz w:val="18"/>
                <w:szCs w:val="18"/>
                <w:lang w:val="en-GB"/>
              </w:rPr>
            </w:pPr>
            <w:r w:rsidRPr="002B73E1">
              <w:rPr>
                <w:sz w:val="18"/>
                <w:szCs w:val="18"/>
                <w:lang w:val="en-GB"/>
              </w:rPr>
              <w:t>1</w:t>
            </w:r>
          </w:p>
        </w:tc>
      </w:tr>
      <w:tr w:rsidR="00A647A3" w:rsidRPr="002B73E1" w14:paraId="5DF20668"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BCFC60"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2AF140" w14:textId="77777777" w:rsidR="00BE0799" w:rsidRPr="002B73E1" w:rsidRDefault="00BE0799" w:rsidP="009A2651">
            <w:pPr>
              <w:pStyle w:val="NormalWeb"/>
              <w:jc w:val="left"/>
              <w:rPr>
                <w:sz w:val="18"/>
                <w:szCs w:val="18"/>
                <w:lang w:val="en-GB"/>
              </w:rPr>
            </w:pPr>
            <w:r w:rsidRPr="002B73E1">
              <w:rPr>
                <w:sz w:val="18"/>
                <w:szCs w:val="18"/>
                <w:lang w:val="en-GB"/>
              </w:rPr>
              <w:t>&gt; 39.0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760030"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BE0799" w:rsidRPr="002B73E1" w14:paraId="3B0265AE"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EC9CDF"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4AEFBB" w14:textId="77777777" w:rsidR="00BE0799" w:rsidRPr="002B73E1" w:rsidRDefault="00BE0799" w:rsidP="009A2651">
            <w:pPr>
              <w:pStyle w:val="NormalWeb"/>
              <w:jc w:val="left"/>
              <w:rPr>
                <w:sz w:val="18"/>
                <w:szCs w:val="18"/>
                <w:lang w:val="en-GB"/>
              </w:rPr>
            </w:pPr>
            <w:r w:rsidRPr="002B73E1">
              <w:rPr>
                <w:sz w:val="18"/>
                <w:szCs w:val="18"/>
                <w:lang w:val="en-GB"/>
              </w:rPr>
              <w:t>&lt; 35.1</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DB8ECF"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A647A3" w:rsidRPr="002B73E1" w14:paraId="11E06B39"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038CD1" w14:textId="77777777" w:rsidR="00BE0799" w:rsidRPr="002B73E1" w:rsidRDefault="00BE0799" w:rsidP="009A2651">
            <w:pPr>
              <w:pStyle w:val="NormalWeb"/>
              <w:jc w:val="left"/>
              <w:rPr>
                <w:sz w:val="18"/>
                <w:szCs w:val="18"/>
                <w:lang w:val="en-GB"/>
              </w:rPr>
            </w:pPr>
            <w:r w:rsidRPr="002B73E1">
              <w:rPr>
                <w:sz w:val="18"/>
                <w:szCs w:val="18"/>
                <w:lang w:val="en-GB"/>
              </w:rPr>
              <w:t>Alertness</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3E0824" w14:textId="77777777" w:rsidR="00BE0799" w:rsidRPr="002B73E1" w:rsidRDefault="00BE0799" w:rsidP="009A2651">
            <w:pPr>
              <w:pStyle w:val="NormalWeb"/>
              <w:jc w:val="left"/>
              <w:rPr>
                <w:sz w:val="18"/>
                <w:szCs w:val="18"/>
                <w:lang w:val="en-GB"/>
              </w:rPr>
            </w:pPr>
            <w:r w:rsidRPr="002B73E1">
              <w:rPr>
                <w:sz w:val="18"/>
                <w:szCs w:val="18"/>
                <w:lang w:val="en-GB"/>
              </w:rPr>
              <w:t>Alert</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CB1B3B"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016CCB2A"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7E1371"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BCB68F" w14:textId="77777777" w:rsidR="00BE0799" w:rsidRPr="002B73E1" w:rsidRDefault="00BE0799" w:rsidP="009A2651">
            <w:pPr>
              <w:pStyle w:val="NormalWeb"/>
              <w:jc w:val="left"/>
              <w:rPr>
                <w:sz w:val="18"/>
                <w:szCs w:val="18"/>
                <w:lang w:val="en-GB"/>
              </w:rPr>
            </w:pPr>
            <w:r w:rsidRPr="002B73E1">
              <w:rPr>
                <w:sz w:val="18"/>
                <w:szCs w:val="18"/>
                <w:lang w:val="en-GB"/>
              </w:rPr>
              <w:t>Confused or not alert</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B463FD"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A647A3" w:rsidRPr="002B73E1" w14:paraId="7524AFE0"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BAAD40" w14:textId="77777777" w:rsidR="00BE0799" w:rsidRPr="002B73E1" w:rsidRDefault="00BE0799" w:rsidP="009A2651">
            <w:pPr>
              <w:pStyle w:val="NormalWeb"/>
              <w:jc w:val="left"/>
              <w:rPr>
                <w:sz w:val="18"/>
                <w:szCs w:val="18"/>
                <w:lang w:val="en-GB"/>
              </w:rPr>
            </w:pPr>
            <w:r w:rsidRPr="002B73E1">
              <w:rPr>
                <w:sz w:val="18"/>
                <w:szCs w:val="18"/>
                <w:lang w:val="en-GB"/>
              </w:rPr>
              <w:t>Inspired oxygen</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95436C" w14:textId="77777777" w:rsidR="00BE0799" w:rsidRPr="002B73E1" w:rsidRDefault="00BE0799" w:rsidP="009A2651">
            <w:pPr>
              <w:pStyle w:val="NormalWeb"/>
              <w:jc w:val="left"/>
              <w:rPr>
                <w:sz w:val="18"/>
                <w:szCs w:val="18"/>
                <w:lang w:val="en-GB"/>
              </w:rPr>
            </w:pPr>
            <w:r w:rsidRPr="002B73E1">
              <w:rPr>
                <w:sz w:val="18"/>
                <w:szCs w:val="18"/>
                <w:lang w:val="en-GB"/>
              </w:rPr>
              <w:t>Air</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485D00"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7074236E"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7C0D47"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161BA9" w14:textId="77777777" w:rsidR="00BE0799" w:rsidRPr="002B73E1" w:rsidRDefault="00BE0799" w:rsidP="009A2651">
            <w:pPr>
              <w:pStyle w:val="NormalWeb"/>
              <w:jc w:val="left"/>
              <w:rPr>
                <w:sz w:val="18"/>
                <w:szCs w:val="18"/>
                <w:lang w:val="en-GB"/>
              </w:rPr>
            </w:pPr>
            <w:r w:rsidRPr="002B73E1">
              <w:rPr>
                <w:sz w:val="18"/>
                <w:szCs w:val="18"/>
                <w:lang w:val="en-GB"/>
              </w:rPr>
              <w:t>Supplemental oxygen</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2FE515"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A647A3" w:rsidRPr="002B73E1" w14:paraId="1F401F61"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801F3C" w14:textId="77777777" w:rsidR="00BE0799" w:rsidRPr="002B73E1" w:rsidRDefault="00BE0799" w:rsidP="009A2651">
            <w:pPr>
              <w:pStyle w:val="NormalWeb"/>
              <w:jc w:val="left"/>
              <w:rPr>
                <w:sz w:val="18"/>
                <w:szCs w:val="18"/>
                <w:lang w:val="en-GB"/>
              </w:rPr>
            </w:pPr>
            <w:r w:rsidRPr="002B73E1">
              <w:rPr>
                <w:sz w:val="18"/>
                <w:szCs w:val="18"/>
                <w:lang w:val="en-GB"/>
              </w:rPr>
              <w:t>Sex</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3B0667" w14:textId="77777777" w:rsidR="00BE0799" w:rsidRPr="002B73E1" w:rsidRDefault="00BE0799" w:rsidP="009A2651">
            <w:pPr>
              <w:pStyle w:val="NormalWeb"/>
              <w:jc w:val="left"/>
              <w:rPr>
                <w:sz w:val="18"/>
                <w:szCs w:val="18"/>
                <w:lang w:val="en-GB"/>
              </w:rPr>
            </w:pPr>
            <w:r w:rsidRPr="002B73E1">
              <w:rPr>
                <w:sz w:val="18"/>
                <w:szCs w:val="18"/>
                <w:lang w:val="en-GB"/>
              </w:rPr>
              <w:t>Female</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7193CF"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5A0C4855"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008209"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897D26" w14:textId="77777777" w:rsidR="00BE0799" w:rsidRPr="002B73E1" w:rsidRDefault="00BE0799" w:rsidP="009A2651">
            <w:pPr>
              <w:pStyle w:val="NormalWeb"/>
              <w:jc w:val="left"/>
              <w:rPr>
                <w:sz w:val="18"/>
                <w:szCs w:val="18"/>
                <w:lang w:val="en-GB"/>
              </w:rPr>
            </w:pPr>
            <w:r w:rsidRPr="002B73E1">
              <w:rPr>
                <w:sz w:val="18"/>
                <w:szCs w:val="18"/>
                <w:lang w:val="en-GB"/>
              </w:rPr>
              <w:t>Male</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92C13E" w14:textId="77777777" w:rsidR="00BE0799" w:rsidRPr="002B73E1" w:rsidRDefault="00BE0799" w:rsidP="009A2651">
            <w:pPr>
              <w:pStyle w:val="NormalWeb"/>
              <w:jc w:val="left"/>
              <w:rPr>
                <w:sz w:val="18"/>
                <w:szCs w:val="18"/>
                <w:lang w:val="en-GB"/>
              </w:rPr>
            </w:pPr>
            <w:r w:rsidRPr="002B73E1">
              <w:rPr>
                <w:sz w:val="18"/>
                <w:szCs w:val="18"/>
                <w:lang w:val="en-GB"/>
              </w:rPr>
              <w:t>1</w:t>
            </w:r>
          </w:p>
        </w:tc>
      </w:tr>
      <w:tr w:rsidR="00A647A3" w:rsidRPr="002B73E1" w14:paraId="05CC42F8"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3FBDE5" w14:textId="77777777" w:rsidR="00BE0799" w:rsidRPr="002B73E1" w:rsidRDefault="00BE0799" w:rsidP="009A2651">
            <w:pPr>
              <w:pStyle w:val="NormalWeb"/>
              <w:jc w:val="left"/>
              <w:rPr>
                <w:sz w:val="18"/>
                <w:szCs w:val="18"/>
                <w:lang w:val="en-GB"/>
              </w:rPr>
            </w:pPr>
            <w:r w:rsidRPr="002B73E1">
              <w:rPr>
                <w:sz w:val="18"/>
                <w:szCs w:val="18"/>
                <w:lang w:val="en-GB"/>
              </w:rPr>
              <w:t>Age (years)</w:t>
            </w: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64CBF0" w14:textId="77777777" w:rsidR="00BE0799" w:rsidRPr="002B73E1" w:rsidRDefault="00BE0799" w:rsidP="009A2651">
            <w:pPr>
              <w:pStyle w:val="NormalWeb"/>
              <w:jc w:val="left"/>
              <w:rPr>
                <w:sz w:val="18"/>
                <w:szCs w:val="18"/>
                <w:lang w:val="en-GB"/>
              </w:rPr>
            </w:pPr>
            <w:r w:rsidRPr="002B73E1">
              <w:rPr>
                <w:sz w:val="18"/>
                <w:szCs w:val="18"/>
                <w:lang w:val="en-GB"/>
              </w:rPr>
              <w:t>16–49</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F0968D"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4A015B8D"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31C9DD"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19DC5E" w14:textId="77777777" w:rsidR="00BE0799" w:rsidRPr="002B73E1" w:rsidRDefault="00BE0799" w:rsidP="009A2651">
            <w:pPr>
              <w:pStyle w:val="NormalWeb"/>
              <w:jc w:val="left"/>
              <w:rPr>
                <w:sz w:val="18"/>
                <w:szCs w:val="18"/>
                <w:lang w:val="en-GB"/>
              </w:rPr>
            </w:pPr>
            <w:r w:rsidRPr="002B73E1">
              <w:rPr>
                <w:sz w:val="18"/>
                <w:szCs w:val="18"/>
                <w:lang w:val="en-GB"/>
              </w:rPr>
              <w:t>50–65</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2802D3"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A647A3" w:rsidRPr="002B73E1" w14:paraId="18F88FFB"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2216A7"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CBC3C3" w14:textId="77777777" w:rsidR="00BE0799" w:rsidRPr="002B73E1" w:rsidRDefault="00BE0799" w:rsidP="009A2651">
            <w:pPr>
              <w:pStyle w:val="NormalWeb"/>
              <w:jc w:val="left"/>
              <w:rPr>
                <w:sz w:val="18"/>
                <w:szCs w:val="18"/>
                <w:lang w:val="en-GB"/>
              </w:rPr>
            </w:pPr>
            <w:r w:rsidRPr="002B73E1">
              <w:rPr>
                <w:sz w:val="18"/>
                <w:szCs w:val="18"/>
                <w:lang w:val="en-GB"/>
              </w:rPr>
              <w:t>66–80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21C111"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BE0799" w:rsidRPr="002B73E1" w14:paraId="3D1F6BCD"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B84BC1"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3EEE19" w14:textId="77777777" w:rsidR="00BE0799" w:rsidRPr="002B73E1" w:rsidRDefault="00BE0799" w:rsidP="009A2651">
            <w:pPr>
              <w:pStyle w:val="NormalWeb"/>
              <w:jc w:val="left"/>
              <w:rPr>
                <w:sz w:val="18"/>
                <w:szCs w:val="18"/>
                <w:lang w:val="en-GB"/>
              </w:rPr>
            </w:pPr>
            <w:r w:rsidRPr="002B73E1">
              <w:rPr>
                <w:sz w:val="18"/>
                <w:szCs w:val="18"/>
                <w:lang w:val="en-GB"/>
              </w:rPr>
              <w:t>&gt; 80</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411DC1" w14:textId="77777777" w:rsidR="00BE0799" w:rsidRPr="002B73E1" w:rsidRDefault="00BE0799" w:rsidP="009A2651">
            <w:pPr>
              <w:pStyle w:val="NormalWeb"/>
              <w:jc w:val="left"/>
              <w:rPr>
                <w:sz w:val="18"/>
                <w:szCs w:val="18"/>
                <w:lang w:val="en-GB"/>
              </w:rPr>
            </w:pPr>
            <w:r w:rsidRPr="002B73E1">
              <w:rPr>
                <w:sz w:val="18"/>
                <w:szCs w:val="18"/>
                <w:lang w:val="en-GB"/>
              </w:rPr>
              <w:t>4</w:t>
            </w:r>
          </w:p>
        </w:tc>
      </w:tr>
      <w:tr w:rsidR="00A647A3" w:rsidRPr="002B73E1" w14:paraId="501194C8" w14:textId="77777777" w:rsidTr="00E72DB8">
        <w:tc>
          <w:tcPr>
            <w:tcW w:w="348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776685" w14:textId="77777777" w:rsidR="00BE0799" w:rsidRPr="002B73E1" w:rsidRDefault="00BE0799" w:rsidP="009A2651">
            <w:pPr>
              <w:pStyle w:val="NormalWeb"/>
              <w:jc w:val="left"/>
              <w:rPr>
                <w:sz w:val="18"/>
                <w:szCs w:val="18"/>
                <w:lang w:val="en-GB"/>
              </w:rPr>
            </w:pPr>
            <w:r w:rsidRPr="002B73E1">
              <w:rPr>
                <w:sz w:val="18"/>
                <w:szCs w:val="18"/>
                <w:lang w:val="en-GB"/>
              </w:rPr>
              <w:t xml:space="preserve">Performance </w:t>
            </w:r>
            <w:proofErr w:type="spellStart"/>
            <w:r w:rsidRPr="002B73E1">
              <w:rPr>
                <w:sz w:val="18"/>
                <w:szCs w:val="18"/>
                <w:lang w:val="en-GB"/>
              </w:rPr>
              <w:t>status</w:t>
            </w:r>
            <w:r w:rsidRPr="00F674A1">
              <w:rPr>
                <w:sz w:val="18"/>
                <w:szCs w:val="18"/>
                <w:vertAlign w:val="superscript"/>
                <w:lang w:val="en-GB"/>
              </w:rPr>
              <w:t>b</w:t>
            </w:r>
            <w:proofErr w:type="spellEnd"/>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A4EE5B" w14:textId="77777777" w:rsidR="00BE0799" w:rsidRPr="002B73E1" w:rsidRDefault="00BE0799" w:rsidP="009A2651">
            <w:pPr>
              <w:pStyle w:val="NormalWeb"/>
              <w:jc w:val="left"/>
              <w:rPr>
                <w:sz w:val="18"/>
                <w:szCs w:val="18"/>
                <w:lang w:val="en-GB"/>
              </w:rPr>
            </w:pPr>
            <w:r w:rsidRPr="002B73E1">
              <w:rPr>
                <w:sz w:val="18"/>
                <w:szCs w:val="18"/>
                <w:lang w:val="en-GB"/>
              </w:rPr>
              <w:t>Unrestricted normal activity</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590494" w14:textId="77777777" w:rsidR="00BE0799" w:rsidRPr="002B73E1" w:rsidRDefault="00BE0799" w:rsidP="009A2651">
            <w:pPr>
              <w:pStyle w:val="NormalWeb"/>
              <w:jc w:val="left"/>
              <w:rPr>
                <w:sz w:val="18"/>
                <w:szCs w:val="18"/>
                <w:lang w:val="en-GB"/>
              </w:rPr>
            </w:pPr>
            <w:r w:rsidRPr="002B73E1">
              <w:rPr>
                <w:sz w:val="18"/>
                <w:szCs w:val="18"/>
                <w:lang w:val="en-GB"/>
              </w:rPr>
              <w:t>0</w:t>
            </w:r>
          </w:p>
        </w:tc>
      </w:tr>
      <w:tr w:rsidR="00BE0799" w:rsidRPr="002B73E1" w14:paraId="069C916E"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858F9A"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E2E3B6" w14:textId="77777777" w:rsidR="00BE0799" w:rsidRPr="002B73E1" w:rsidRDefault="00BE0799" w:rsidP="009A2651">
            <w:pPr>
              <w:pStyle w:val="NormalWeb"/>
              <w:jc w:val="left"/>
              <w:rPr>
                <w:sz w:val="18"/>
                <w:szCs w:val="18"/>
                <w:lang w:val="en-GB"/>
              </w:rPr>
            </w:pPr>
            <w:r w:rsidRPr="002B73E1">
              <w:rPr>
                <w:sz w:val="18"/>
                <w:szCs w:val="18"/>
                <w:lang w:val="en-GB"/>
              </w:rPr>
              <w:t>Limited strenuous activity, can do light activity</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466BA5" w14:textId="77777777" w:rsidR="00BE0799" w:rsidRPr="002B73E1" w:rsidRDefault="00BE0799" w:rsidP="009A2651">
            <w:pPr>
              <w:pStyle w:val="NormalWeb"/>
              <w:jc w:val="left"/>
              <w:rPr>
                <w:sz w:val="18"/>
                <w:szCs w:val="18"/>
                <w:lang w:val="en-GB"/>
              </w:rPr>
            </w:pPr>
            <w:r w:rsidRPr="002B73E1">
              <w:rPr>
                <w:sz w:val="18"/>
                <w:szCs w:val="18"/>
                <w:lang w:val="en-GB"/>
              </w:rPr>
              <w:t>1</w:t>
            </w:r>
          </w:p>
        </w:tc>
      </w:tr>
      <w:tr w:rsidR="00A647A3" w:rsidRPr="002B73E1" w14:paraId="0C3491E7"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83DF6F"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1F8130" w14:textId="77777777" w:rsidR="00BE0799" w:rsidRPr="002B73E1" w:rsidRDefault="00BE0799" w:rsidP="009A2651">
            <w:pPr>
              <w:pStyle w:val="NormalWeb"/>
              <w:jc w:val="left"/>
              <w:rPr>
                <w:sz w:val="18"/>
                <w:szCs w:val="18"/>
                <w:lang w:val="en-GB"/>
              </w:rPr>
            </w:pPr>
            <w:r w:rsidRPr="002B73E1">
              <w:rPr>
                <w:sz w:val="18"/>
                <w:szCs w:val="18"/>
                <w:lang w:val="en-GB"/>
              </w:rPr>
              <w:t>Limited activity, can self-care</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ABDC6F" w14:textId="77777777" w:rsidR="00BE0799" w:rsidRPr="002B73E1" w:rsidRDefault="00BE0799" w:rsidP="009A2651">
            <w:pPr>
              <w:pStyle w:val="NormalWeb"/>
              <w:jc w:val="left"/>
              <w:rPr>
                <w:sz w:val="18"/>
                <w:szCs w:val="18"/>
                <w:lang w:val="en-GB"/>
              </w:rPr>
            </w:pPr>
            <w:r w:rsidRPr="002B73E1">
              <w:rPr>
                <w:sz w:val="18"/>
                <w:szCs w:val="18"/>
                <w:lang w:val="en-GB"/>
              </w:rPr>
              <w:t>2</w:t>
            </w:r>
          </w:p>
        </w:tc>
      </w:tr>
      <w:tr w:rsidR="00BE0799" w:rsidRPr="002B73E1" w14:paraId="233AD785" w14:textId="77777777" w:rsidTr="00E72DB8">
        <w:trPr>
          <w:cnfStyle w:val="000000010000" w:firstRow="0" w:lastRow="0" w:firstColumn="0" w:lastColumn="0" w:oddVBand="0" w:evenVBand="0" w:oddHBand="0" w:evenHBand="1" w:firstRowFirstColumn="0" w:firstRowLastColumn="0" w:lastRowFirstColumn="0" w:lastRowLastColumn="0"/>
        </w:trPr>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CDFCE5"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6BBCF4" w14:textId="77777777" w:rsidR="00BE0799" w:rsidRPr="002B73E1" w:rsidRDefault="00BE0799" w:rsidP="009A2651">
            <w:pPr>
              <w:pStyle w:val="NormalWeb"/>
              <w:jc w:val="left"/>
              <w:rPr>
                <w:sz w:val="18"/>
                <w:szCs w:val="18"/>
                <w:lang w:val="en-GB"/>
              </w:rPr>
            </w:pPr>
            <w:r w:rsidRPr="002B73E1">
              <w:rPr>
                <w:sz w:val="18"/>
                <w:szCs w:val="18"/>
                <w:lang w:val="en-GB"/>
              </w:rPr>
              <w:t>Limited self-care</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3C955E" w14:textId="77777777" w:rsidR="00BE0799" w:rsidRPr="002B73E1" w:rsidRDefault="00BE0799" w:rsidP="009A2651">
            <w:pPr>
              <w:pStyle w:val="NormalWeb"/>
              <w:jc w:val="left"/>
              <w:rPr>
                <w:sz w:val="18"/>
                <w:szCs w:val="18"/>
                <w:lang w:val="en-GB"/>
              </w:rPr>
            </w:pPr>
            <w:r w:rsidRPr="002B73E1">
              <w:rPr>
                <w:sz w:val="18"/>
                <w:szCs w:val="18"/>
                <w:lang w:val="en-GB"/>
              </w:rPr>
              <w:t>3</w:t>
            </w:r>
          </w:p>
        </w:tc>
      </w:tr>
      <w:tr w:rsidR="00A647A3" w:rsidRPr="002B73E1" w14:paraId="219DB43B" w14:textId="77777777" w:rsidTr="00E72DB8">
        <w:tc>
          <w:tcPr>
            <w:tcW w:w="348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6ACEC7" w14:textId="77777777" w:rsidR="00BE0799" w:rsidRPr="002B73E1" w:rsidRDefault="00BE0799" w:rsidP="009A2651">
            <w:pPr>
              <w:jc w:val="left"/>
              <w:rPr>
                <w:sz w:val="18"/>
                <w:szCs w:val="18"/>
                <w:lang w:val="en-GB"/>
              </w:rPr>
            </w:pPr>
          </w:p>
        </w:tc>
        <w:tc>
          <w:tcPr>
            <w:tcW w:w="460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8B6A61" w14:textId="77777777" w:rsidR="00BE0799" w:rsidRPr="002B73E1" w:rsidRDefault="00BE0799" w:rsidP="009A2651">
            <w:pPr>
              <w:pStyle w:val="NormalWeb"/>
              <w:jc w:val="left"/>
              <w:rPr>
                <w:sz w:val="18"/>
                <w:szCs w:val="18"/>
                <w:lang w:val="en-GB"/>
              </w:rPr>
            </w:pPr>
            <w:r w:rsidRPr="002B73E1">
              <w:rPr>
                <w:sz w:val="18"/>
                <w:szCs w:val="18"/>
                <w:lang w:val="en-GB"/>
              </w:rPr>
              <w:t>Bed/chair bound, no self-care</w:t>
            </w:r>
          </w:p>
        </w:tc>
        <w:tc>
          <w:tcPr>
            <w:tcW w:w="23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7CED06" w14:textId="77777777" w:rsidR="00BE0799" w:rsidRPr="002B73E1" w:rsidRDefault="00BE0799" w:rsidP="009A2651">
            <w:pPr>
              <w:pStyle w:val="NormalWeb"/>
              <w:jc w:val="left"/>
              <w:rPr>
                <w:sz w:val="18"/>
                <w:szCs w:val="18"/>
                <w:lang w:val="en-GB"/>
              </w:rPr>
            </w:pPr>
            <w:r w:rsidRPr="002B73E1">
              <w:rPr>
                <w:sz w:val="18"/>
                <w:szCs w:val="18"/>
                <w:lang w:val="en-GB"/>
              </w:rPr>
              <w:t>4</w:t>
            </w:r>
          </w:p>
        </w:tc>
      </w:tr>
    </w:tbl>
    <w:p w14:paraId="3A1805FD" w14:textId="77777777" w:rsidR="00BE0799" w:rsidRDefault="00BE0799" w:rsidP="00BE0799">
      <w:pPr>
        <w:pStyle w:val="CDIfootnotes"/>
        <w:rPr>
          <w:lang w:val="en-GB"/>
        </w:rPr>
      </w:pPr>
      <w:r>
        <w:rPr>
          <w:lang w:val="en-GB"/>
        </w:rPr>
        <w:t>a</w:t>
      </w:r>
      <w:r>
        <w:rPr>
          <w:lang w:val="en-GB"/>
        </w:rPr>
        <w:tab/>
      </w:r>
      <w:proofErr w:type="gramStart"/>
      <w:r>
        <w:rPr>
          <w:lang w:val="en-GB"/>
        </w:rPr>
        <w:t>As</w:t>
      </w:r>
      <w:proofErr w:type="gramEnd"/>
      <w:r>
        <w:rPr>
          <w:lang w:val="en-GB"/>
        </w:rPr>
        <w:t xml:space="preserve"> detailed in reference 14.</w:t>
      </w:r>
    </w:p>
    <w:p w14:paraId="46AA8A7C" w14:textId="77777777" w:rsidR="00BE0799" w:rsidRDefault="00BE0799" w:rsidP="00BE0799">
      <w:pPr>
        <w:pStyle w:val="CDIfootnotes"/>
        <w:rPr>
          <w:lang w:val="en-GB"/>
        </w:rPr>
      </w:pPr>
      <w:r>
        <w:rPr>
          <w:lang w:val="en-GB"/>
        </w:rPr>
        <w:t>b</w:t>
      </w:r>
      <w:r>
        <w:rPr>
          <w:lang w:val="en-GB"/>
        </w:rPr>
        <w:tab/>
      </w:r>
      <w:proofErr w:type="gramStart"/>
      <w:r>
        <w:rPr>
          <w:lang w:val="en-GB"/>
        </w:rPr>
        <w:t>The</w:t>
      </w:r>
      <w:proofErr w:type="gramEnd"/>
      <w:r>
        <w:rPr>
          <w:lang w:val="en-GB"/>
        </w:rPr>
        <w:t xml:space="preserve"> modified PRIEST (</w:t>
      </w:r>
      <w:proofErr w:type="spellStart"/>
      <w:r>
        <w:rPr>
          <w:lang w:val="en-GB"/>
        </w:rPr>
        <w:t>mPRIEST</w:t>
      </w:r>
      <w:proofErr w:type="spellEnd"/>
      <w:r>
        <w:rPr>
          <w:lang w:val="en-GB"/>
        </w:rPr>
        <w:t>) score used in this study does not include the ‘performance status’ component.</w:t>
      </w:r>
    </w:p>
    <w:p w14:paraId="7785EB11" w14:textId="77777777" w:rsidR="008B5348" w:rsidRDefault="008B5348">
      <w:pPr>
        <w:rPr>
          <w:rStyle w:val="A10"/>
        </w:rPr>
      </w:pPr>
    </w:p>
    <w:p w14:paraId="2429C0F5" w14:textId="77777777" w:rsidR="00BE0799" w:rsidRDefault="00BE0799">
      <w:pPr>
        <w:rPr>
          <w:rStyle w:val="A10"/>
        </w:rPr>
      </w:pPr>
    </w:p>
    <w:p w14:paraId="73FC06D8" w14:textId="42F09FA8" w:rsidR="00BE0799" w:rsidRDefault="00BE0799">
      <w:pPr>
        <w:rPr>
          <w:rStyle w:val="A10"/>
        </w:rPr>
        <w:sectPr w:rsidR="00BE0799"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69F711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DC2A3D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F13A407" w14:textId="77777777" w:rsidR="000A5F42" w:rsidRPr="000606CC" w:rsidRDefault="000A5F42" w:rsidP="000A5F42">
      <w:pPr>
        <w:pStyle w:val="NoSpacing"/>
        <w:rPr>
          <w:rStyle w:val="URI"/>
          <w:rFonts w:cstheme="minorHAnsi"/>
          <w:sz w:val="20"/>
          <w:szCs w:val="18"/>
        </w:rPr>
      </w:pPr>
    </w:p>
    <w:p w14:paraId="6F887A3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61C61388" w14:textId="77777777" w:rsidR="000A5F42" w:rsidRPr="000606CC" w:rsidRDefault="000A5F42" w:rsidP="000A5F42">
      <w:pPr>
        <w:pStyle w:val="NoSpacing"/>
        <w:rPr>
          <w:rStyle w:val="Strong"/>
          <w:rFonts w:cstheme="minorHAnsi"/>
          <w:sz w:val="20"/>
          <w:szCs w:val="18"/>
        </w:rPr>
      </w:pPr>
    </w:p>
    <w:p w14:paraId="06E82A0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13A18F1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7FBF7F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864B3EB" w14:textId="441CC575"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8F5769" w:rsidRPr="008F5769">
        <w:rPr>
          <w:rFonts w:cstheme="minorHAnsi"/>
          <w:sz w:val="20"/>
          <w:szCs w:val="18"/>
        </w:rPr>
        <w:t xml:space="preserve">David </w:t>
      </w:r>
      <w:proofErr w:type="spellStart"/>
      <w:r w:rsidR="008F5769" w:rsidRPr="008F5769">
        <w:rPr>
          <w:rFonts w:cstheme="minorHAnsi"/>
          <w:sz w:val="20"/>
          <w:szCs w:val="18"/>
        </w:rPr>
        <w:t>Durrheim</w:t>
      </w:r>
      <w:proofErr w:type="spellEnd"/>
      <w:r w:rsidR="008F5769" w:rsidRPr="008F5769">
        <w:rPr>
          <w:rFonts w:cstheme="minorHAnsi"/>
          <w:sz w:val="20"/>
          <w:szCs w:val="18"/>
        </w:rPr>
        <w:t>, Mark Ferson, Clare Huppatz, John Kaldor, Martyn Kirk, Meru Sheel and Steph</w:t>
      </w:r>
      <w:r w:rsidR="008F5769">
        <w:rPr>
          <w:rFonts w:cstheme="minorHAnsi"/>
          <w:sz w:val="20"/>
          <w:szCs w:val="18"/>
        </w:rPr>
        <w:t> </w:t>
      </w:r>
      <w:r w:rsidR="008F5769" w:rsidRPr="008F5769">
        <w:rPr>
          <w:rFonts w:cstheme="minorHAnsi"/>
          <w:sz w:val="20"/>
          <w:szCs w:val="18"/>
        </w:rPr>
        <w:t>Williams</w:t>
      </w:r>
    </w:p>
    <w:p w14:paraId="2A571B82" w14:textId="77777777" w:rsidR="000A5F42" w:rsidRPr="000606CC" w:rsidRDefault="000A5F42" w:rsidP="000A5F42">
      <w:pPr>
        <w:pStyle w:val="NoSpacing"/>
        <w:rPr>
          <w:rStyle w:val="Strong"/>
          <w:rFonts w:cstheme="minorHAnsi"/>
          <w:sz w:val="20"/>
          <w:szCs w:val="18"/>
        </w:rPr>
      </w:pPr>
    </w:p>
    <w:p w14:paraId="6AC71B99" w14:textId="00B904E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37AA075" w14:textId="77777777" w:rsidR="000A5F42" w:rsidRPr="000606CC" w:rsidRDefault="000A5F42" w:rsidP="000A5F42">
      <w:pPr>
        <w:pStyle w:val="NoSpacing"/>
        <w:rPr>
          <w:rStyle w:val="Strong"/>
          <w:rFonts w:cstheme="minorHAnsi"/>
          <w:sz w:val="20"/>
          <w:szCs w:val="18"/>
        </w:rPr>
      </w:pPr>
    </w:p>
    <w:p w14:paraId="426AADA7"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1194B0F8" w14:textId="77777777" w:rsidR="000A5F42" w:rsidRPr="000606CC" w:rsidRDefault="000A5F42" w:rsidP="000A5F42">
      <w:pPr>
        <w:pStyle w:val="NoSpacing"/>
        <w:rPr>
          <w:rStyle w:val="Strong"/>
          <w:rFonts w:cstheme="minorHAnsi"/>
          <w:sz w:val="20"/>
          <w:szCs w:val="18"/>
        </w:rPr>
      </w:pPr>
    </w:p>
    <w:p w14:paraId="1055D0A5" w14:textId="3CC80AF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7320669" w14:textId="77777777" w:rsidR="000A5F42" w:rsidRPr="000606CC" w:rsidRDefault="000A5F42" w:rsidP="000A5F42">
      <w:pPr>
        <w:pStyle w:val="NoSpacing"/>
        <w:rPr>
          <w:rStyle w:val="Strong"/>
          <w:rFonts w:cstheme="minorHAnsi"/>
          <w:sz w:val="20"/>
          <w:szCs w:val="18"/>
        </w:rPr>
      </w:pPr>
    </w:p>
    <w:p w14:paraId="652CB406" w14:textId="3095730D"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F0327C3" w14:textId="37B0A1B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37195F06" w14:textId="77777777" w:rsidR="000A5F42" w:rsidRPr="000606CC" w:rsidRDefault="000A5F42" w:rsidP="000A5F42">
      <w:pPr>
        <w:pStyle w:val="NoSpacing"/>
        <w:pBdr>
          <w:bottom w:val="single" w:sz="6" w:space="1" w:color="auto"/>
        </w:pBdr>
        <w:rPr>
          <w:rStyle w:val="Strong"/>
          <w:rFonts w:cstheme="minorHAnsi"/>
          <w:sz w:val="12"/>
          <w:szCs w:val="18"/>
        </w:rPr>
      </w:pPr>
    </w:p>
    <w:p w14:paraId="635F3455" w14:textId="77777777" w:rsidR="000A5F42" w:rsidRPr="000606CC" w:rsidRDefault="000A5F42" w:rsidP="000A5F42">
      <w:pPr>
        <w:pStyle w:val="NoSpacing"/>
        <w:rPr>
          <w:rFonts w:cstheme="minorHAnsi"/>
          <w:sz w:val="20"/>
          <w:szCs w:val="18"/>
        </w:rPr>
      </w:pPr>
    </w:p>
    <w:p w14:paraId="566781D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Medicus and Medline.</w:t>
      </w:r>
    </w:p>
    <w:p w14:paraId="5BECCA3A" w14:textId="77777777" w:rsidR="000A5F42" w:rsidRPr="000606CC" w:rsidRDefault="000A5F42" w:rsidP="000A5F42">
      <w:pPr>
        <w:pStyle w:val="NoSpacing"/>
        <w:rPr>
          <w:rFonts w:cstheme="minorHAnsi"/>
          <w:sz w:val="20"/>
          <w:szCs w:val="18"/>
        </w:rPr>
      </w:pPr>
    </w:p>
    <w:p w14:paraId="26170AF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D0C247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F3758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35DF72F9" w14:textId="6E9376E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84A8576" w14:textId="77777777" w:rsidR="000A5F42" w:rsidRPr="000606CC" w:rsidRDefault="000A5F42" w:rsidP="000A5F42">
      <w:pPr>
        <w:pStyle w:val="NoSpacing"/>
        <w:rPr>
          <w:rFonts w:cstheme="minorHAnsi"/>
          <w:sz w:val="20"/>
          <w:szCs w:val="18"/>
        </w:rPr>
      </w:pPr>
    </w:p>
    <w:p w14:paraId="3DEED2E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E1D3233" w14:textId="63BBEA1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11B78F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65FB61A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7DF4FE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D08A51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FB20CF0" w14:textId="77777777" w:rsidR="000A5F42" w:rsidRPr="000606CC" w:rsidRDefault="000A5F42" w:rsidP="000A5F42">
      <w:pPr>
        <w:pStyle w:val="NoSpacing"/>
        <w:rPr>
          <w:rStyle w:val="Strong"/>
          <w:rFonts w:cstheme="minorHAnsi"/>
          <w:sz w:val="20"/>
          <w:szCs w:val="18"/>
        </w:rPr>
      </w:pPr>
    </w:p>
    <w:p w14:paraId="4CA74C1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920218B" w14:textId="77777777" w:rsidR="000A5F42" w:rsidRPr="000606CC" w:rsidRDefault="000A5F42" w:rsidP="000A5F42">
      <w:pPr>
        <w:pStyle w:val="NoSpacing"/>
        <w:rPr>
          <w:rStyle w:val="Strong"/>
          <w:rFonts w:cstheme="minorHAnsi"/>
          <w:sz w:val="20"/>
          <w:szCs w:val="18"/>
        </w:rPr>
      </w:pPr>
    </w:p>
    <w:p w14:paraId="70B3BAFE" w14:textId="51DCE76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A1998E3" w14:textId="77777777" w:rsidR="000A5F42" w:rsidRPr="000606CC" w:rsidRDefault="000A5F42" w:rsidP="000A5F42">
      <w:pPr>
        <w:pStyle w:val="NoSpacing"/>
        <w:rPr>
          <w:rStyle w:val="URI"/>
          <w:rFonts w:cstheme="minorHAnsi"/>
          <w:sz w:val="20"/>
          <w:szCs w:val="18"/>
        </w:rPr>
      </w:pPr>
    </w:p>
    <w:p w14:paraId="030B04A0" w14:textId="16FEE29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FF78" w14:textId="77777777" w:rsidR="00F37581" w:rsidRDefault="00F37581" w:rsidP="00E54DBA">
      <w:r>
        <w:separator/>
      </w:r>
    </w:p>
    <w:p w14:paraId="58E27822" w14:textId="77777777" w:rsidR="00F37581" w:rsidRDefault="00F37581"/>
    <w:p w14:paraId="03278C84" w14:textId="77777777" w:rsidR="00F37581" w:rsidRDefault="00F37581" w:rsidP="008714B0"/>
  </w:endnote>
  <w:endnote w:type="continuationSeparator" w:id="0">
    <w:p w14:paraId="6AFC0CF5" w14:textId="77777777" w:rsidR="00F37581" w:rsidRDefault="00F37581" w:rsidP="00E54DBA">
      <w:r>
        <w:continuationSeparator/>
      </w:r>
    </w:p>
    <w:p w14:paraId="628A03D8" w14:textId="77777777" w:rsidR="00F37581" w:rsidRDefault="00F37581"/>
    <w:p w14:paraId="63C26496" w14:textId="77777777" w:rsidR="00F37581" w:rsidRDefault="00F3758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C3FE" w14:textId="71392C3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C61919">
      <w:rPr>
        <w:i/>
        <w:sz w:val="18"/>
      </w:rPr>
      <w:t>Commun</w:t>
    </w:r>
    <w:proofErr w:type="spellEnd"/>
    <w:r w:rsidR="00CE342B" w:rsidRPr="00C61919">
      <w:rPr>
        <w:i/>
        <w:sz w:val="18"/>
      </w:rPr>
      <w:t xml:space="preserve"> Dis </w:t>
    </w:r>
    <w:proofErr w:type="spellStart"/>
    <w:r w:rsidR="00CE342B" w:rsidRPr="00C61919">
      <w:rPr>
        <w:i/>
        <w:sz w:val="18"/>
      </w:rPr>
      <w:t>Intell</w:t>
    </w:r>
    <w:proofErr w:type="spellEnd"/>
    <w:r w:rsidR="00CE342B" w:rsidRPr="00C6191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3758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3758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B74A2">
      <w:rPr>
        <w:sz w:val="18"/>
      </w:rPr>
      <w:t>https://doi.org/10.33321/cdi.2023.47.16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B74A2">
      <w:rPr>
        <w:sz w:val="18"/>
      </w:rPr>
      <w:t>23/3/2023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22D3" w14:textId="0996BBB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C61919">
      <w:rPr>
        <w:i/>
        <w:sz w:val="18"/>
      </w:rPr>
      <w:t>Commun</w:t>
    </w:r>
    <w:proofErr w:type="spellEnd"/>
    <w:r w:rsidR="00A164D5" w:rsidRPr="00C61919">
      <w:rPr>
        <w:i/>
        <w:sz w:val="18"/>
      </w:rPr>
      <w:t xml:space="preserve"> Dis </w:t>
    </w:r>
    <w:proofErr w:type="spellStart"/>
    <w:r w:rsidR="00A164D5" w:rsidRPr="00C61919">
      <w:rPr>
        <w:i/>
        <w:sz w:val="18"/>
      </w:rPr>
      <w:t>Intell</w:t>
    </w:r>
    <w:proofErr w:type="spellEnd"/>
    <w:r w:rsidR="00A164D5" w:rsidRPr="00C6191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3758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3758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B74A2">
      <w:rPr>
        <w:sz w:val="18"/>
      </w:rPr>
      <w:t>https://doi.org/10.33321/cdi.2023.47.16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2B74A2">
      <w:rPr>
        <w:sz w:val="18"/>
      </w:rPr>
      <w:t>23/3/2023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07EB" w14:textId="77777777" w:rsidR="00F37581" w:rsidRPr="00B91FB5" w:rsidRDefault="00F37581" w:rsidP="00B91FB5">
      <w:pPr>
        <w:spacing w:after="0" w:line="240" w:lineRule="auto"/>
        <w:rPr>
          <w:sz w:val="18"/>
          <w:szCs w:val="18"/>
        </w:rPr>
      </w:pPr>
      <w:r w:rsidRPr="00B91FB5">
        <w:rPr>
          <w:sz w:val="18"/>
          <w:szCs w:val="18"/>
        </w:rPr>
        <w:separator/>
      </w:r>
    </w:p>
  </w:footnote>
  <w:footnote w:type="continuationSeparator" w:id="0">
    <w:p w14:paraId="3A46D398" w14:textId="77777777" w:rsidR="00F37581" w:rsidRDefault="00F37581" w:rsidP="00E54DBA">
      <w:r>
        <w:continuationSeparator/>
      </w:r>
    </w:p>
  </w:footnote>
  <w:footnote w:type="continuationNotice" w:id="1">
    <w:p w14:paraId="35F09FA9" w14:textId="77777777" w:rsidR="00F37581" w:rsidRPr="00224EFF" w:rsidRDefault="00F3758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9DDA" w14:textId="2279515D" w:rsidR="00257484" w:rsidRPr="00A153B6" w:rsidRDefault="00047D9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83652">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3BB1"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56396CDF" wp14:editId="7412923B">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A5004"/>
    <w:multiLevelType w:val="multilevel"/>
    <w:tmpl w:val="C1A6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EA35FE"/>
    <w:multiLevelType w:val="hybridMultilevel"/>
    <w:tmpl w:val="98440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875420"/>
    <w:multiLevelType w:val="hybridMultilevel"/>
    <w:tmpl w:val="98440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64743C"/>
    <w:multiLevelType w:val="multilevel"/>
    <w:tmpl w:val="CC58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7"/>
  </w:num>
  <w:num w:numId="6">
    <w:abstractNumId w:val="8"/>
  </w:num>
  <w:num w:numId="7">
    <w:abstractNumId w:val="9"/>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81"/>
    <w:rsid w:val="00000B5B"/>
    <w:rsid w:val="00001611"/>
    <w:rsid w:val="000104A8"/>
    <w:rsid w:val="0001246E"/>
    <w:rsid w:val="000124B1"/>
    <w:rsid w:val="00016FE6"/>
    <w:rsid w:val="00031064"/>
    <w:rsid w:val="00031692"/>
    <w:rsid w:val="00032531"/>
    <w:rsid w:val="000325A0"/>
    <w:rsid w:val="000471BF"/>
    <w:rsid w:val="00047B68"/>
    <w:rsid w:val="00047D93"/>
    <w:rsid w:val="00052600"/>
    <w:rsid w:val="0005643C"/>
    <w:rsid w:val="0006264A"/>
    <w:rsid w:val="00073D77"/>
    <w:rsid w:val="00081655"/>
    <w:rsid w:val="000864E0"/>
    <w:rsid w:val="000969B3"/>
    <w:rsid w:val="000A5F42"/>
    <w:rsid w:val="000D1B28"/>
    <w:rsid w:val="000D4B4D"/>
    <w:rsid w:val="000F1BDA"/>
    <w:rsid w:val="00113D58"/>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3E1"/>
    <w:rsid w:val="002B74A2"/>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670D5"/>
    <w:rsid w:val="00473D2D"/>
    <w:rsid w:val="00474E08"/>
    <w:rsid w:val="00484E44"/>
    <w:rsid w:val="004A2125"/>
    <w:rsid w:val="004A38F6"/>
    <w:rsid w:val="004B4EB6"/>
    <w:rsid w:val="004C083C"/>
    <w:rsid w:val="004C67C6"/>
    <w:rsid w:val="004D29DE"/>
    <w:rsid w:val="00510EAC"/>
    <w:rsid w:val="00542A57"/>
    <w:rsid w:val="005642DB"/>
    <w:rsid w:val="00565974"/>
    <w:rsid w:val="005732C0"/>
    <w:rsid w:val="0057336D"/>
    <w:rsid w:val="005736E4"/>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15C99"/>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2FEE"/>
    <w:rsid w:val="00704CA9"/>
    <w:rsid w:val="0071048D"/>
    <w:rsid w:val="00710F86"/>
    <w:rsid w:val="007111A8"/>
    <w:rsid w:val="00723B5F"/>
    <w:rsid w:val="00731BC3"/>
    <w:rsid w:val="00741192"/>
    <w:rsid w:val="00743A33"/>
    <w:rsid w:val="00746080"/>
    <w:rsid w:val="0075144A"/>
    <w:rsid w:val="00786329"/>
    <w:rsid w:val="00792C7D"/>
    <w:rsid w:val="00794A4D"/>
    <w:rsid w:val="007A4623"/>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5769"/>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26F"/>
    <w:rsid w:val="00A45BDD"/>
    <w:rsid w:val="00A46A0A"/>
    <w:rsid w:val="00A553F8"/>
    <w:rsid w:val="00A647A3"/>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3955"/>
    <w:rsid w:val="00B6408A"/>
    <w:rsid w:val="00B6478A"/>
    <w:rsid w:val="00B714B8"/>
    <w:rsid w:val="00B82C2C"/>
    <w:rsid w:val="00B8720B"/>
    <w:rsid w:val="00B876EF"/>
    <w:rsid w:val="00B91FB5"/>
    <w:rsid w:val="00BA4697"/>
    <w:rsid w:val="00BB04C4"/>
    <w:rsid w:val="00BB5378"/>
    <w:rsid w:val="00BC0BD3"/>
    <w:rsid w:val="00BD0107"/>
    <w:rsid w:val="00BE0799"/>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1919"/>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1C96"/>
    <w:rsid w:val="00E538CC"/>
    <w:rsid w:val="00E54BBD"/>
    <w:rsid w:val="00E54DBA"/>
    <w:rsid w:val="00E63D7C"/>
    <w:rsid w:val="00E640D5"/>
    <w:rsid w:val="00E66E2E"/>
    <w:rsid w:val="00E67691"/>
    <w:rsid w:val="00E72DB8"/>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07AD"/>
    <w:rsid w:val="00F35CDA"/>
    <w:rsid w:val="00F36B6D"/>
    <w:rsid w:val="00F37581"/>
    <w:rsid w:val="00F43FA3"/>
    <w:rsid w:val="00F55648"/>
    <w:rsid w:val="00F674A1"/>
    <w:rsid w:val="00F70046"/>
    <w:rsid w:val="00F748C2"/>
    <w:rsid w:val="00F74958"/>
    <w:rsid w:val="00F76C5C"/>
    <w:rsid w:val="00F81EF3"/>
    <w:rsid w:val="00F82E40"/>
    <w:rsid w:val="00F83652"/>
    <w:rsid w:val="00F84496"/>
    <w:rsid w:val="00F85DCB"/>
    <w:rsid w:val="00F86F9C"/>
    <w:rsid w:val="00F90D76"/>
    <w:rsid w:val="00FB4C3A"/>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F2A0D2"/>
  <w15:docId w15:val="{FA18E24F-8F42-4445-9507-A2085055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692728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5</TotalTime>
  <Pages>10</Pages>
  <Words>3396</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Communicable Diseases Intelligence - Identifying a more severe emergent COVID-19 variant using Emergency Departments’ routinely collected clinical measures</vt:lpstr>
    </vt:vector>
  </TitlesOfParts>
  <Manager/>
  <Company>Australian Government, Department of Health</Company>
  <LinksUpToDate>false</LinksUpToDate>
  <CharactersWithSpaces>24089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Identifying a more severe emergent COVID-19 variant using Emergency Departments’ routinely collected clinical measures</dc:title>
  <dc:subject>The objective of this study was to determine whether a clinical scoring system (the mPRIEST score) could be used to identify an emerging COVID-19 variant with increased clinical severity. A sample of 262 records of COVID-19 positive patients presenting during the Delta and initial Omicron waves were reviewed with 205 having COVID-19 as their primary diagnosis. The findings were consistent with international reporting of severity measured by hospital admission data and demonstrated the score’s possible ability to identify an emergent strain with higher morbidity and mortality.</dc:subject>
  <dc:creator>Adelaide Nyinawingeri; Michael Staff</dc:creator>
  <cp:keywords>COVID-19; COVID-19 variants; mPRIEST score; emergency departments</cp:keywords>
  <dc:description>© Commonwealth of Australia CC BY-NC-ND ISSN: 2209-6051 (Online)</dc:description>
  <cp:lastModifiedBy>YOUSEFI, Kasra</cp:lastModifiedBy>
  <cp:revision>6</cp:revision>
  <cp:lastPrinted>2018-05-10T02:19:00Z</cp:lastPrinted>
  <dcterms:created xsi:type="dcterms:W3CDTF">2023-02-21T02:44:00Z</dcterms:created>
  <dcterms:modified xsi:type="dcterms:W3CDTF">2023-03-20T02:38:00Z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23/3/2023</vt:lpwstr>
  </property>
  <property fmtid="{D5CDD505-2E9C-101B-9397-08002B2CF9AE}" pid="5" name="DOI">
    <vt:lpwstr>https://doi.org/10.33321/cdi.2023.47.16</vt:lpwstr>
  </property>
</Properties>
</file>