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E396" w14:textId="79F60F21" w:rsidR="00717541" w:rsidRDefault="00717541" w:rsidP="00717541">
      <w:pPr>
        <w:pStyle w:val="Title"/>
        <w:rPr>
          <w:rFonts w:eastAsia="Times New Roman"/>
          <w:sz w:val="48"/>
          <w:szCs w:val="48"/>
        </w:rPr>
      </w:pPr>
      <w:r>
        <w:rPr>
          <w:rFonts w:eastAsia="Times New Roman"/>
        </w:rPr>
        <w:t>Wave of COVID-19 outbreaks in Gold Coast residential aged care facilities after easing travel restrictions into</w:t>
      </w:r>
      <w:r w:rsidR="00B13E2C">
        <w:rPr>
          <w:rFonts w:eastAsia="Times New Roman"/>
        </w:rPr>
        <w:t> </w:t>
      </w:r>
      <w:r>
        <w:rPr>
          <w:rFonts w:eastAsia="Times New Roman"/>
        </w:rPr>
        <w:t xml:space="preserve">Queensland </w:t>
      </w:r>
    </w:p>
    <w:p w14:paraId="5DA09E5F" w14:textId="77777777" w:rsidR="00717541" w:rsidRDefault="00717541" w:rsidP="00717541">
      <w:r>
        <w:t xml:space="preserve">Candice Colbran, Fiona May, Fiona </w:t>
      </w:r>
      <w:proofErr w:type="spellStart"/>
      <w:r>
        <w:t>Vosti</w:t>
      </w:r>
      <w:proofErr w:type="spellEnd"/>
      <w:r>
        <w:t xml:space="preserve">, Tracy </w:t>
      </w:r>
      <w:proofErr w:type="spellStart"/>
      <w:r>
        <w:t>Bladen</w:t>
      </w:r>
      <w:proofErr w:type="spellEnd"/>
      <w:r>
        <w:t xml:space="preserve">, Andre Wattiaux, Vicki </w:t>
      </w:r>
      <w:proofErr w:type="spellStart"/>
      <w:r>
        <w:t>Slinko</w:t>
      </w:r>
      <w:proofErr w:type="spellEnd"/>
      <w:r>
        <w:t xml:space="preserve"> </w:t>
      </w:r>
    </w:p>
    <w:p w14:paraId="75E89B25" w14:textId="77777777" w:rsidR="00717541" w:rsidRPr="00717541" w:rsidRDefault="00717541" w:rsidP="00717541">
      <w:pPr>
        <w:pStyle w:val="Heading1"/>
      </w:pPr>
      <w:r w:rsidRPr="00717541">
        <w:t xml:space="preserve">Abstract </w:t>
      </w:r>
    </w:p>
    <w:p w14:paraId="7794C536" w14:textId="77777777" w:rsidR="00717541" w:rsidRPr="00717541" w:rsidRDefault="00717541" w:rsidP="00717541">
      <w:pPr>
        <w:pStyle w:val="Heading2"/>
      </w:pPr>
      <w:r w:rsidRPr="00717541">
        <w:t xml:space="preserve">Objective </w:t>
      </w:r>
    </w:p>
    <w:p w14:paraId="215EA2AD" w14:textId="77777777" w:rsidR="00717541" w:rsidRDefault="00717541" w:rsidP="00717541">
      <w:r>
        <w:t xml:space="preserve">This paper describes outbreaks of coronavirus disease 2019 (COVID-19) in Gold Coast residential aged care facilities (RACFs), in the two months following the easing of travel restrictions at Queensland’s domestic border on 13 December 2021. </w:t>
      </w:r>
    </w:p>
    <w:p w14:paraId="46939CA4" w14:textId="77777777" w:rsidR="00717541" w:rsidRPr="00717541" w:rsidRDefault="00717541" w:rsidP="00717541">
      <w:pPr>
        <w:pStyle w:val="Heading2"/>
      </w:pPr>
      <w:r w:rsidRPr="00717541">
        <w:t xml:space="preserve">Methods </w:t>
      </w:r>
    </w:p>
    <w:p w14:paraId="27ED1898" w14:textId="77777777" w:rsidR="00717541" w:rsidRDefault="00717541" w:rsidP="00717541">
      <w:r>
        <w:t xml:space="preserve">This audit reviewed all RACF COVID-19 outbreaks notified to the Gold Coast Public Health Unit between 13 December 2021 and 12 February 2022. An outbreak </w:t>
      </w:r>
      <w:proofErr w:type="gramStart"/>
      <w:r>
        <w:t>was defined</w:t>
      </w:r>
      <w:proofErr w:type="gramEnd"/>
      <w:r>
        <w:t xml:space="preserve"> by the Communicable Diseases Network Australia guidelines current at the time. </w:t>
      </w:r>
    </w:p>
    <w:p w14:paraId="4DD550F7" w14:textId="77777777" w:rsidR="00717541" w:rsidRPr="00717541" w:rsidRDefault="00717541" w:rsidP="00717541">
      <w:pPr>
        <w:pStyle w:val="Heading2"/>
      </w:pPr>
      <w:r w:rsidRPr="00717541">
        <w:t xml:space="preserve">Results </w:t>
      </w:r>
    </w:p>
    <w:p w14:paraId="0B8FF417" w14:textId="77777777" w:rsidR="00717541" w:rsidRDefault="00717541" w:rsidP="00717541">
      <w:r>
        <w:t xml:space="preserve">There were 60 COVID-19 outbreaks across 57 RACFs during this period. In </w:t>
      </w:r>
      <w:proofErr w:type="gramStart"/>
      <w:r>
        <w:t>44</w:t>
      </w:r>
      <w:proofErr w:type="gramEnd"/>
      <w:r>
        <w:t xml:space="preserve"> outbreaks (73.3%), a staff member was identified as the primary or co-primary case. Transmission amongst residents occurred in </w:t>
      </w:r>
      <w:proofErr w:type="gramStart"/>
      <w:r>
        <w:t>48</w:t>
      </w:r>
      <w:proofErr w:type="gramEnd"/>
      <w:r>
        <w:t xml:space="preserve"> outbreaks (80.0%). The attack rates in staff and residents were 17.0% (n = 1,060) and 11.7% (n = 645) respectively. A higher number of males were hospitalised (n = 39: 57.4%) or died (n = 28: 66.7%) than were females (n = 29: 42.6%; n = 14: 33.3% respectively). Most resident cases (n = 565: 87.6%) had received two or more doses of a COVID-19 vaccine. In resident cases who were under-vaccinated (n = 76), twenty (26.3%) </w:t>
      </w:r>
      <w:proofErr w:type="gramStart"/>
      <w:r>
        <w:t>required</w:t>
      </w:r>
      <w:proofErr w:type="gramEnd"/>
      <w:r>
        <w:t xml:space="preserve"> hospitalisation and nine (11.8%) died. In resident cases who received two doses of vaccine (n = 484), forty-three (8.9%) were hospitalised and 27 (5.8%) died. In resident cases who had received three doses (n = 80), four (5.0%) were hospitalised and five (6.3%) died. </w:t>
      </w:r>
    </w:p>
    <w:p w14:paraId="2C93E076" w14:textId="77777777" w:rsidR="00717541" w:rsidRPr="00717541" w:rsidRDefault="00717541" w:rsidP="00717541">
      <w:pPr>
        <w:pStyle w:val="Heading2"/>
      </w:pPr>
      <w:r w:rsidRPr="00717541">
        <w:t xml:space="preserve">Conclusions </w:t>
      </w:r>
    </w:p>
    <w:p w14:paraId="4016DAFF" w14:textId="77777777" w:rsidR="00717541" w:rsidRDefault="00717541" w:rsidP="00717541">
      <w:r>
        <w:t xml:space="preserve">COVID-19 caused significant morbidity and mortality in Gold Coast RACFs following the easing of border restrictions. Higher rates of hospitalisation and death occurred in males than in females, and in under-vaccinated resident cases than in those vaccinated with at least two doses of a COVID-19 vaccine. </w:t>
      </w:r>
    </w:p>
    <w:p w14:paraId="47DC3118" w14:textId="77777777" w:rsidR="00717541" w:rsidRPr="00717541" w:rsidRDefault="00717541" w:rsidP="00717541">
      <w:pPr>
        <w:pStyle w:val="Heading2"/>
      </w:pPr>
      <w:r w:rsidRPr="00717541">
        <w:t xml:space="preserve">Implications for public health </w:t>
      </w:r>
    </w:p>
    <w:p w14:paraId="655431FE" w14:textId="77777777" w:rsidR="00717541" w:rsidRDefault="00717541" w:rsidP="00717541">
      <w:r>
        <w:t xml:space="preserve">These data support the need for </w:t>
      </w:r>
      <w:proofErr w:type="gramStart"/>
      <w:r>
        <w:t>up-to-date</w:t>
      </w:r>
      <w:proofErr w:type="gramEnd"/>
      <w:r>
        <w:t xml:space="preserve"> COVID-19 vaccination of residents in RACFs, continued surveillance and timely and appropriate implementation of public health guidelines to manage COVID-19 outbreaks in RACFs. </w:t>
      </w:r>
    </w:p>
    <w:p w14:paraId="6A0EDA07" w14:textId="77777777" w:rsidR="00717541" w:rsidRDefault="00717541" w:rsidP="00717541">
      <w:r>
        <w:t xml:space="preserve">Keywords: Coronavirus, SARS-CoV-2, residential aged care facilities, outbreak, restrictions </w:t>
      </w:r>
    </w:p>
    <w:p w14:paraId="56CF28F1" w14:textId="77777777" w:rsidR="00717541" w:rsidRPr="00717541" w:rsidRDefault="00717541" w:rsidP="00717541">
      <w:pPr>
        <w:pStyle w:val="Heading1"/>
      </w:pPr>
      <w:r w:rsidRPr="00717541">
        <w:t xml:space="preserve">Introduction </w:t>
      </w:r>
    </w:p>
    <w:p w14:paraId="64627CB1" w14:textId="77777777" w:rsidR="00717541" w:rsidRDefault="00717541" w:rsidP="00717541">
      <w:r>
        <w:t xml:space="preserve">Residents of residential aged care facilities (RACFs) have an increased vulnerability to serious complications of SARS-CoV-2 infection, including death, due to advanced age and comorbidities, in addition to the </w:t>
      </w:r>
      <w:proofErr w:type="gramStart"/>
      <w:r>
        <w:t>likely increased</w:t>
      </w:r>
      <w:proofErr w:type="gramEnd"/>
      <w:r>
        <w:t xml:space="preserve"> risk of infection</w:t>
      </w:r>
      <w:r>
        <w:rPr>
          <w:vertAlign w:val="superscript"/>
        </w:rPr>
        <w:t>1</w:t>
      </w:r>
      <w:r>
        <w:t xml:space="preserve"> because of the congregate nature of RACFs. The coronavirus disease 2019 (COVID-19) elimination strategy pursued by Queensland until 13 December 2021 meant there were only two RACF outbreaks of COVID-19 notified to </w:t>
      </w:r>
      <w:r>
        <w:lastRenderedPageBreak/>
        <w:t xml:space="preserve">the Gold Coast Public Health Unit (GCPHU) prior to the easing of border restrictions on that date. Both </w:t>
      </w:r>
      <w:proofErr w:type="gramStart"/>
      <w:r>
        <w:t>were contained</w:t>
      </w:r>
      <w:proofErr w:type="gramEnd"/>
      <w:r>
        <w:t xml:space="preserve"> by the public health and RACF responses without further transmission beyond the index case. </w:t>
      </w:r>
    </w:p>
    <w:p w14:paraId="315675A8" w14:textId="77777777" w:rsidR="00717541" w:rsidRDefault="00717541" w:rsidP="00717541">
      <w:r>
        <w:t xml:space="preserve">From early 2020, the Australian Government </w:t>
      </w:r>
      <w:proofErr w:type="gramStart"/>
      <w:r>
        <w:t>required</w:t>
      </w:r>
      <w:proofErr w:type="gramEnd"/>
      <w:r>
        <w:t xml:space="preserve"> all overseas travellers returning to Australia to quarantine for 14 days to reduce the risk of COVID-19 entering the community: this was designated to each jurisdiction to enforce. When COVID-19 cases in New South Wales and Victoria were increasing in 2020–2021, Queensland required interstate travellers to quarantine for 14 days either in specified quarantine hotels or at home, depending on their vaccination status. These ‘border restrictions’ were lifted on 13 December 2021, when Queensland reached a COVID-19 double vaccination rate of 80%. From then, most people entering Queensland from interstate would be </w:t>
      </w:r>
      <w:proofErr w:type="gramStart"/>
      <w:r>
        <w:t>permitted</w:t>
      </w:r>
      <w:proofErr w:type="gramEnd"/>
      <w:r>
        <w:t xml:space="preserve"> to travel into Queensland without quarantine.</w:t>
      </w:r>
      <w:r>
        <w:rPr>
          <w:vertAlign w:val="superscript"/>
        </w:rPr>
        <w:t>2</w:t>
      </w:r>
      <w:r>
        <w:t xml:space="preserve"> </w:t>
      </w:r>
    </w:p>
    <w:p w14:paraId="5CEC8253" w14:textId="77777777" w:rsidR="00717541" w:rsidRDefault="00717541" w:rsidP="00717541">
      <w:r>
        <w:t>From 13 December 2021, the GCPHU management of COVID-19 outbreaks in RACFs, including case, contact and visitor management, was contingent on Australian Health Protection Principal Committee (AHPPC) recommendations, ministerial announcements,</w:t>
      </w:r>
      <w:r>
        <w:rPr>
          <w:vertAlign w:val="superscript"/>
        </w:rPr>
        <w:t>3</w:t>
      </w:r>
      <w:r>
        <w:t xml:space="preserve"> the </w:t>
      </w:r>
      <w:r w:rsidRPr="007707AC">
        <w:rPr>
          <w:rStyle w:val="Emphasis"/>
          <w:b w:val="0"/>
          <w:bCs w:val="0"/>
        </w:rPr>
        <w:t xml:space="preserve">Communicable Disease Network Australia (CDNA) Guidelines for COVID-19 Outbreaks in Residential Care Facilities </w:t>
      </w:r>
      <w:r>
        <w:t>(CDNA Guidelines),</w:t>
      </w:r>
      <w:r>
        <w:rPr>
          <w:vertAlign w:val="superscript"/>
        </w:rPr>
        <w:t>4</w:t>
      </w:r>
      <w:r>
        <w:t xml:space="preserve"> current Queensland Chief Health Officer Directions,</w:t>
      </w:r>
      <w:r>
        <w:rPr>
          <w:vertAlign w:val="superscript"/>
        </w:rPr>
        <w:t>2,5–15</w:t>
      </w:r>
      <w:r>
        <w:t xml:space="preserve"> and Gold Coast Public Health Physician input. The changing of recommendations and guidelines was frequent and resulted in a complex process for outbreak management, the description of which is out of scope for this report. In summary for GCPHU, isolation and quarantine periods for cases and contacts ranged from seven to ten days; there were no caps on visitor numbers; visitors needed to wear a mask, undergo health screening, be vaccinated (with some exceptions), and could not visit a facility within seven to 14 days of testing positive for COVID19 (after completing isolation).</w:t>
      </w:r>
      <w:r>
        <w:rPr>
          <w:vertAlign w:val="superscript"/>
        </w:rPr>
        <w:t>2,4–15</w:t>
      </w:r>
      <w:r>
        <w:t xml:space="preserve"> </w:t>
      </w:r>
    </w:p>
    <w:p w14:paraId="78509140" w14:textId="77777777" w:rsidR="00717541" w:rsidRDefault="00717541" w:rsidP="00717541">
      <w:r>
        <w:t>Following the easing of border restrictions, there was a surge of COVID-19 cases in Queensland;</w:t>
      </w:r>
      <w:r>
        <w:rPr>
          <w:vertAlign w:val="superscript"/>
        </w:rPr>
        <w:t>16</w:t>
      </w:r>
      <w:r>
        <w:t xml:space="preserve"> GCPHU </w:t>
      </w:r>
      <w:proofErr w:type="gramStart"/>
      <w:r>
        <w:t>identified</w:t>
      </w:r>
      <w:proofErr w:type="gramEnd"/>
      <w:r>
        <w:t xml:space="preserve"> a significant rise in RACF cases and outbreak notifications. GCPHU </w:t>
      </w:r>
      <w:proofErr w:type="gramStart"/>
      <w:r>
        <w:t>was required</w:t>
      </w:r>
      <w:proofErr w:type="gramEnd"/>
      <w:r>
        <w:t xml:space="preserve"> to report details of RACF outbreaks to the State Health Emergency Coordination Centre daily. This paper describes RACF COVID-19 outbreaks notified to GCPHU in the two months after the easing of border restrictions. </w:t>
      </w:r>
    </w:p>
    <w:p w14:paraId="45E1420E" w14:textId="77777777" w:rsidR="00717541" w:rsidRPr="00717541" w:rsidRDefault="00717541" w:rsidP="00717541">
      <w:pPr>
        <w:pStyle w:val="Heading1"/>
      </w:pPr>
      <w:r w:rsidRPr="00717541">
        <w:t xml:space="preserve">Methods </w:t>
      </w:r>
    </w:p>
    <w:p w14:paraId="6DAFEC06" w14:textId="77777777" w:rsidR="00717541" w:rsidRDefault="00717541" w:rsidP="00717541">
      <w:r>
        <w:t xml:space="preserve">As part of continuous quality improvement (CQI), a review </w:t>
      </w:r>
      <w:proofErr w:type="gramStart"/>
      <w:r>
        <w:t>was conducted</w:t>
      </w:r>
      <w:proofErr w:type="gramEnd"/>
      <w:r>
        <w:t xml:space="preserve"> of COVID-19 outbreaks reported by facilities to the GCPHU. The CDNA Guidelines,</w:t>
      </w:r>
      <w:r w:rsidRPr="007707AC">
        <w:rPr>
          <w:rStyle w:val="Emphasis"/>
          <w:b w:val="0"/>
          <w:bCs w:val="0"/>
        </w:rPr>
        <w:t xml:space="preserve"> </w:t>
      </w:r>
      <w:r>
        <w:t>current until 15 February 2022, defined an RACF outbreak of COVID-19 as ‘a single confirmed case of COVID-19 in a resident, staff member or attendee’,</w:t>
      </w:r>
      <w:proofErr w:type="gramStart"/>
      <w:r>
        <w:rPr>
          <w:vertAlign w:val="superscript"/>
        </w:rPr>
        <w:t>4</w:t>
      </w:r>
      <w:proofErr w:type="gramEnd"/>
      <w:r>
        <w:t xml:space="preserve"> with RACF staff required to notify outbreaks to their local public health unit. Outbreaks notified to the GCPHU in the two months from 13 December 2021 to 12 February 2022 </w:t>
      </w:r>
      <w:proofErr w:type="gramStart"/>
      <w:r>
        <w:t>were included</w:t>
      </w:r>
      <w:proofErr w:type="gramEnd"/>
      <w:r>
        <w:t xml:space="preserve"> in the review. The RACF initially </w:t>
      </w:r>
      <w:proofErr w:type="gramStart"/>
      <w:r>
        <w:t>provided</w:t>
      </w:r>
      <w:proofErr w:type="gramEnd"/>
      <w:r>
        <w:t xml:space="preserve"> baseline information about the number of staff and residents at the facility (excluding gender or vaccination status), then emailed case line lists daily to allow monitoring of outbreak management. Line lists of cases (residents, </w:t>
      </w:r>
      <w:proofErr w:type="gramStart"/>
      <w:r>
        <w:t>staff</w:t>
      </w:r>
      <w:proofErr w:type="gramEnd"/>
      <w:r>
        <w:t xml:space="preserve"> and visitors) provided by RACF to GCPHU as part of outbreak management were audited and we undertook simple analysis of the information given. </w:t>
      </w:r>
    </w:p>
    <w:p w14:paraId="10FE9353" w14:textId="77777777" w:rsidR="00717541" w:rsidRDefault="00717541" w:rsidP="00717541">
      <w:r>
        <w:t xml:space="preserve">Baseline data for vaccination and gender for all residents was not available. Vaccination data was only available for cases from information provided by the RACF. Gender data, although not available for all cases, was available for COVID-19 cases who were hospitalised and/or died. These data </w:t>
      </w:r>
      <w:proofErr w:type="gramStart"/>
      <w:r>
        <w:t>were provided</w:t>
      </w:r>
      <w:proofErr w:type="gramEnd"/>
      <w:r>
        <w:t xml:space="preserve"> as part of the COVID-19 response by the Gold Coast Health Emergency Operations Centre (HEOC) and RACF, respectively. </w:t>
      </w:r>
    </w:p>
    <w:p w14:paraId="1166956C" w14:textId="77777777" w:rsidR="00717541" w:rsidRDefault="00717541" w:rsidP="00717541">
      <w:r>
        <w:t xml:space="preserve">Cases were </w:t>
      </w:r>
      <w:proofErr w:type="gramStart"/>
      <w:r>
        <w:t>identified</w:t>
      </w:r>
      <w:proofErr w:type="gramEnd"/>
      <w:r>
        <w:t xml:space="preserve"> to the GCPHU directly by the facility and were included in the line list if they had been diagnosed with COVID-19 by either polymerase chain reaction (PCR) or rapid antigen test (RAT). Data were not cross-checked with the Queensland Notifiable Conditions System (</w:t>
      </w:r>
      <w:proofErr w:type="spellStart"/>
      <w:r>
        <w:t>NoCS</w:t>
      </w:r>
      <w:proofErr w:type="spellEnd"/>
      <w:r>
        <w:t xml:space="preserve">), the repository for PCR-positive cases at the time. Demographic information </w:t>
      </w:r>
      <w:proofErr w:type="gramStart"/>
      <w:r>
        <w:t>was restricted</w:t>
      </w:r>
      <w:proofErr w:type="gramEnd"/>
      <w:r>
        <w:t xml:space="preserve"> to that provided by the RACF or HEOC. </w:t>
      </w:r>
    </w:p>
    <w:p w14:paraId="277F018A" w14:textId="77777777" w:rsidR="00717541" w:rsidRDefault="00717541" w:rsidP="00717541">
      <w:r>
        <w:lastRenderedPageBreak/>
        <w:t xml:space="preserve">Transmission within the facility </w:t>
      </w:r>
      <w:proofErr w:type="gramStart"/>
      <w:r>
        <w:t>was defined</w:t>
      </w:r>
      <w:proofErr w:type="gramEnd"/>
      <w:r>
        <w:t xml:space="preserve"> to have occurred when there was more than one resident case, diagnosed by either RAT or PCR. </w:t>
      </w:r>
    </w:p>
    <w:p w14:paraId="4E6AD28A" w14:textId="77777777" w:rsidR="00717541" w:rsidRDefault="00717541" w:rsidP="00717541">
      <w:r>
        <w:t xml:space="preserve">All cases who were hospitalised and/or died with COVID-19, as reported by the facility to GCPHU while the outbreak </w:t>
      </w:r>
      <w:proofErr w:type="gramStart"/>
      <w:r>
        <w:t>was considered</w:t>
      </w:r>
      <w:proofErr w:type="gramEnd"/>
      <w:r>
        <w:t xml:space="preserve"> active, were included in the dataset regardless of cause of death and/or hospitalisation. Antiviral distribution to RACF only </w:t>
      </w:r>
      <w:proofErr w:type="gramStart"/>
      <w:r>
        <w:t>commenced</w:t>
      </w:r>
      <w:proofErr w:type="gramEnd"/>
      <w:r>
        <w:t xml:space="preserve"> from 6 February 2022,</w:t>
      </w:r>
      <w:r>
        <w:rPr>
          <w:vertAlign w:val="superscript"/>
        </w:rPr>
        <w:t>17</w:t>
      </w:r>
      <w:r>
        <w:t xml:space="preserve"> so no analysis was conducted to assess the impact of antivirals. </w:t>
      </w:r>
    </w:p>
    <w:p w14:paraId="731BD5F1" w14:textId="77777777" w:rsidR="00717541" w:rsidRDefault="00717541" w:rsidP="00717541">
      <w:r>
        <w:t xml:space="preserve">Vaccination status of cases </w:t>
      </w:r>
      <w:proofErr w:type="gramStart"/>
      <w:r>
        <w:t>was defined</w:t>
      </w:r>
      <w:proofErr w:type="gramEnd"/>
      <w:r>
        <w:t xml:space="preserve"> as per Box 1. Booster doses for persons aged </w:t>
      </w:r>
      <w:proofErr w:type="gramStart"/>
      <w:r>
        <w:t>18</w:t>
      </w:r>
      <w:proofErr w:type="gramEnd"/>
      <w:r>
        <w:t xml:space="preserve"> and over were approved by the Therapeutic Goods Administration on 26 October 2021.</w:t>
      </w:r>
      <w:r>
        <w:rPr>
          <w:vertAlign w:val="superscript"/>
        </w:rPr>
        <w:t>18</w:t>
      </w:r>
      <w:r>
        <w:t xml:space="preserve"> </w:t>
      </w:r>
    </w:p>
    <w:p w14:paraId="024C4DD1" w14:textId="77777777" w:rsidR="005C5991" w:rsidRPr="00404C29" w:rsidRDefault="005C5991" w:rsidP="005C5991">
      <w:pPr>
        <w:pStyle w:val="CDIFigures"/>
        <w:rPr>
          <w:rStyle w:val="Strong"/>
          <w:b/>
          <w:sz w:val="24"/>
          <w:szCs w:val="24"/>
          <w:lang w:val="en-GB"/>
        </w:rPr>
      </w:pPr>
      <w:r w:rsidRPr="00692B18">
        <w:rPr>
          <w:lang w:val="en-GB"/>
        </w:rPr>
        <w:t>Box 1: Definitions of vaccination status</w:t>
      </w:r>
    </w:p>
    <w:p w14:paraId="554BA6F5" w14:textId="4497564C" w:rsidR="005C5991" w:rsidRDefault="005C5991" w:rsidP="005C5991">
      <w:pPr>
        <w:pStyle w:val="CDIFigures"/>
      </w:pPr>
      <w:r w:rsidRPr="00692B18">
        <w:rPr>
          <w:rStyle w:val="Strong"/>
          <w:b/>
          <w:bCs w:val="0"/>
          <w:noProof/>
        </w:rPr>
        <mc:AlternateContent>
          <mc:Choice Requires="wps">
            <w:drawing>
              <wp:inline distT="0" distB="0" distL="0" distR="0" wp14:anchorId="15D3870A" wp14:editId="386D3F68">
                <wp:extent cx="6625590" cy="1302105"/>
                <wp:effectExtent l="0" t="0" r="2286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302105"/>
                        </a:xfrm>
                        <a:prstGeom prst="rect">
                          <a:avLst/>
                        </a:prstGeom>
                        <a:solidFill>
                          <a:srgbClr val="F7ECDD"/>
                        </a:solidFill>
                        <a:ln w="3175">
                          <a:solidFill>
                            <a:schemeClr val="bg1">
                              <a:lumMod val="50000"/>
                            </a:schemeClr>
                          </a:solidFill>
                          <a:miter lim="800000"/>
                          <a:headEnd/>
                          <a:tailEnd/>
                        </a:ln>
                      </wps:spPr>
                      <wps:txbx>
                        <w:txbxContent>
                          <w:p w14:paraId="03AFD413" w14:textId="77777777" w:rsidR="005C5991" w:rsidRDefault="005C5991" w:rsidP="005C5991">
                            <w:pPr>
                              <w:rPr>
                                <w:lang w:val="en-GB"/>
                              </w:rPr>
                            </w:pPr>
                            <w:r w:rsidRPr="00B14AC9">
                              <w:rPr>
                                <w:b/>
                                <w:bCs/>
                                <w:lang w:val="en-GB"/>
                              </w:rPr>
                              <w:t>Under-vaccinated:</w:t>
                            </w:r>
                            <w:r>
                              <w:rPr>
                                <w:lang w:val="en-GB"/>
                              </w:rPr>
                              <w:t xml:space="preserve"> a person who had received either zero or one dose of an approved COVID-19 vaccine.</w:t>
                            </w:r>
                          </w:p>
                          <w:p w14:paraId="0B679AB9" w14:textId="77777777" w:rsidR="005C5991" w:rsidRDefault="005C5991" w:rsidP="005C5991">
                            <w:pPr>
                              <w:rPr>
                                <w:lang w:val="en-GB"/>
                              </w:rPr>
                            </w:pPr>
                            <w:r w:rsidRPr="00B14AC9">
                              <w:rPr>
                                <w:b/>
                                <w:bCs/>
                                <w:lang w:val="en-GB"/>
                              </w:rPr>
                              <w:t>Fully vaccinated:</w:t>
                            </w:r>
                            <w:r>
                              <w:rPr>
                                <w:lang w:val="en-GB"/>
                              </w:rPr>
                              <w:t xml:space="preserve"> a person who had received two doses of an approved COVID-19 vaccine.</w:t>
                            </w:r>
                          </w:p>
                          <w:p w14:paraId="20A75911" w14:textId="77777777" w:rsidR="005C5991" w:rsidRDefault="005C5991" w:rsidP="005C5991">
                            <w:pPr>
                              <w:rPr>
                                <w:lang w:val="en-GB"/>
                              </w:rPr>
                            </w:pPr>
                            <w:r w:rsidRPr="00B14AC9">
                              <w:rPr>
                                <w:b/>
                                <w:bCs/>
                                <w:lang w:val="en-GB"/>
                              </w:rPr>
                              <w:t>Boosted:</w:t>
                            </w:r>
                            <w:r>
                              <w:rPr>
                                <w:lang w:val="en-GB"/>
                              </w:rPr>
                              <w:t xml:space="preserve"> a person who had received three doses of an approved COVID-19 vaccine.</w:t>
                            </w:r>
                          </w:p>
                          <w:p w14:paraId="4F109AF2" w14:textId="77777777" w:rsidR="005C5991" w:rsidRPr="00692B18" w:rsidRDefault="005C5991" w:rsidP="005C5991">
                            <w:pPr>
                              <w:rPr>
                                <w:lang w:val="en-GB"/>
                              </w:rPr>
                            </w:pPr>
                            <w:r w:rsidRPr="00B14AC9">
                              <w:rPr>
                                <w:b/>
                                <w:bCs/>
                                <w:lang w:val="en-GB"/>
                              </w:rPr>
                              <w:t>Unknown:</w:t>
                            </w:r>
                            <w:r>
                              <w:rPr>
                                <w:lang w:val="en-GB"/>
                              </w:rPr>
                              <w:t xml:space="preserve"> a person whose vaccine status was unknown.</w:t>
                            </w:r>
                          </w:p>
                        </w:txbxContent>
                      </wps:txbx>
                      <wps:bodyPr rot="0" vert="horz" wrap="square" lIns="91440" tIns="45720" rIns="91440" bIns="45720" anchor="t" anchorCtr="0">
                        <a:noAutofit/>
                      </wps:bodyPr>
                    </wps:wsp>
                  </a:graphicData>
                </a:graphic>
              </wp:inline>
            </w:drawing>
          </mc:Choice>
          <mc:Fallback>
            <w:pict>
              <v:shapetype w14:anchorId="15D3870A" id="_x0000_t202" coordsize="21600,21600" o:spt="202" path="m,l,21600r21600,l21600,xe">
                <v:stroke joinstyle="miter"/>
                <v:path gradientshapeok="t" o:connecttype="rect"/>
              </v:shapetype>
              <v:shape id="Text Box 2" o:spid="_x0000_s1026" type="#_x0000_t202" style="width:521.7pt;height:10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" fillcolor="#f7ecdd" strokecolor="#7f7f7f [1612]" strokeweight=".25pt">
                <v:textbox>
                  <w:txbxContent>
                    <w:p w14:paraId="03AFD413" w14:textId="77777777" w:rsidR="005C5991" w:rsidRDefault="005C5991" w:rsidP="005C5991">
                      <w:pPr>
                        <w:rPr>
                          <w:lang w:val="en-GB"/>
                        </w:rPr>
                      </w:pPr>
                      <w:r w:rsidRPr="00B14AC9">
                        <w:rPr>
                          <w:b/>
                          <w:bCs/>
                          <w:lang w:val="en-GB"/>
                        </w:rPr>
                        <w:t>Under-vaccinated:</w:t>
                      </w:r>
                      <w:r>
                        <w:rPr>
                          <w:lang w:val="en-GB"/>
                        </w:rPr>
                        <w:t xml:space="preserve"> a person who had received either zero or one dose of an approved COVID-19 vaccine.</w:t>
                      </w:r>
                    </w:p>
                    <w:p w14:paraId="0B679AB9" w14:textId="77777777" w:rsidR="005C5991" w:rsidRDefault="005C5991" w:rsidP="005C5991">
                      <w:pPr>
                        <w:rPr>
                          <w:lang w:val="en-GB"/>
                        </w:rPr>
                      </w:pPr>
                      <w:r w:rsidRPr="00B14AC9">
                        <w:rPr>
                          <w:b/>
                          <w:bCs/>
                          <w:lang w:val="en-GB"/>
                        </w:rPr>
                        <w:t>Fully vaccinated:</w:t>
                      </w:r>
                      <w:r>
                        <w:rPr>
                          <w:lang w:val="en-GB"/>
                        </w:rPr>
                        <w:t xml:space="preserve"> a person who had received two doses of an approved COVID-19 vaccine.</w:t>
                      </w:r>
                    </w:p>
                    <w:p w14:paraId="20A75911" w14:textId="77777777" w:rsidR="005C5991" w:rsidRDefault="005C5991" w:rsidP="005C5991">
                      <w:pPr>
                        <w:rPr>
                          <w:lang w:val="en-GB"/>
                        </w:rPr>
                      </w:pPr>
                      <w:r w:rsidRPr="00B14AC9">
                        <w:rPr>
                          <w:b/>
                          <w:bCs/>
                          <w:lang w:val="en-GB"/>
                        </w:rPr>
                        <w:t>Boosted:</w:t>
                      </w:r>
                      <w:r>
                        <w:rPr>
                          <w:lang w:val="en-GB"/>
                        </w:rPr>
                        <w:t xml:space="preserve"> a person who had received three doses of an approved COVID-19 vaccine.</w:t>
                      </w:r>
                    </w:p>
                    <w:p w14:paraId="4F109AF2" w14:textId="77777777" w:rsidR="005C5991" w:rsidRPr="00692B18" w:rsidRDefault="005C5991" w:rsidP="005C5991">
                      <w:pPr>
                        <w:rPr>
                          <w:lang w:val="en-GB"/>
                        </w:rPr>
                      </w:pPr>
                      <w:r w:rsidRPr="00B14AC9">
                        <w:rPr>
                          <w:b/>
                          <w:bCs/>
                          <w:lang w:val="en-GB"/>
                        </w:rPr>
                        <w:t>Unknown:</w:t>
                      </w:r>
                      <w:r>
                        <w:rPr>
                          <w:lang w:val="en-GB"/>
                        </w:rPr>
                        <w:t xml:space="preserve"> a person whose vaccine status was unknown.</w:t>
                      </w:r>
                    </w:p>
                  </w:txbxContent>
                </v:textbox>
                <w10:anchorlock/>
              </v:shape>
            </w:pict>
          </mc:Fallback>
        </mc:AlternateContent>
      </w:r>
    </w:p>
    <w:p w14:paraId="0DEB6847" w14:textId="49F2C652" w:rsidR="00717541" w:rsidRDefault="00717541" w:rsidP="00717541">
      <w:r>
        <w:t xml:space="preserve">An outbreak </w:t>
      </w:r>
      <w:proofErr w:type="gramStart"/>
      <w:r>
        <w:t>was declared</w:t>
      </w:r>
      <w:proofErr w:type="gramEnd"/>
      <w:r>
        <w:t xml:space="preserve"> over when there were no new cases for 14 days from the date of isolation of the most recent case.</w:t>
      </w:r>
    </w:p>
    <w:p w14:paraId="1B0C2AA9" w14:textId="77777777" w:rsidR="00717541" w:rsidRDefault="00717541" w:rsidP="00717541">
      <w:r>
        <w:t xml:space="preserve">Data </w:t>
      </w:r>
      <w:proofErr w:type="gramStart"/>
      <w:r>
        <w:t>were collated</w:t>
      </w:r>
      <w:proofErr w:type="gramEnd"/>
      <w:r>
        <w:t xml:space="preserve"> into a Microsoft Excel spreadsheet for analysis. Rates of hospitalisation for cases were the number of cases hospitalised from each facility as a proportion of the total number of resident cases from that facility notified to GCPHU during the outbreak. Case fatality rates were the number of COVID-19 cases who died as a proportion of the total number of cases. </w:t>
      </w:r>
    </w:p>
    <w:p w14:paraId="3CCD5815" w14:textId="77777777" w:rsidR="00717541" w:rsidRDefault="00717541" w:rsidP="00717541">
      <w:r>
        <w:t xml:space="preserve">As an audit, statistics </w:t>
      </w:r>
      <w:proofErr w:type="gramStart"/>
      <w:r>
        <w:t>were deliberately confined</w:t>
      </w:r>
      <w:proofErr w:type="gramEnd"/>
      <w:r>
        <w:t xml:space="preserve"> to rates, ranges, and/or percentages. </w:t>
      </w:r>
    </w:p>
    <w:p w14:paraId="2CB8EA6F" w14:textId="77777777" w:rsidR="00717541" w:rsidRDefault="00717541" w:rsidP="00717541">
      <w:r>
        <w:t xml:space="preserve">The audit proposal was reviewed by the Chair’s Delegate of the Gold Coast Hospital and Health Service Human Research Ethics Committee (HREC) and </w:t>
      </w:r>
      <w:proofErr w:type="gramStart"/>
      <w:r>
        <w:t>deemed</w:t>
      </w:r>
      <w:proofErr w:type="gramEnd"/>
      <w:r>
        <w:t xml:space="preserve"> not requiring HREC review on the basis that it was an audit: HREC reference EX/2022/QGC/85001. </w:t>
      </w:r>
    </w:p>
    <w:p w14:paraId="4D065EC5" w14:textId="77777777" w:rsidR="00717541" w:rsidRDefault="00717541" w:rsidP="00717541">
      <w:r>
        <w:t xml:space="preserve">This project required no funding as it was a CQI activity as part of the usual public health response. </w:t>
      </w:r>
    </w:p>
    <w:p w14:paraId="086E791F" w14:textId="77777777" w:rsidR="00717541" w:rsidRPr="00717541" w:rsidRDefault="00717541" w:rsidP="00717541">
      <w:pPr>
        <w:pStyle w:val="Heading1"/>
      </w:pPr>
      <w:r w:rsidRPr="00717541">
        <w:t xml:space="preserve">Results </w:t>
      </w:r>
    </w:p>
    <w:p w14:paraId="11294DAA" w14:textId="77777777" w:rsidR="00717541" w:rsidRDefault="00717541" w:rsidP="00717541">
      <w:r>
        <w:t xml:space="preserve">The first outbreaks (n = 2) </w:t>
      </w:r>
      <w:proofErr w:type="gramStart"/>
      <w:r>
        <w:t>were notified</w:t>
      </w:r>
      <w:proofErr w:type="gramEnd"/>
      <w:r>
        <w:t xml:space="preserve"> to GCPHU on 29 December 2021. By 12 February 2022, sixty outbreaks of COVID-19 in RACFs had </w:t>
      </w:r>
      <w:proofErr w:type="gramStart"/>
      <w:r>
        <w:t>been reported</w:t>
      </w:r>
      <w:proofErr w:type="gramEnd"/>
      <w:r>
        <w:t xml:space="preserve"> to GCPHU. Fifty-seven of the </w:t>
      </w:r>
      <w:proofErr w:type="gramStart"/>
      <w:r>
        <w:t>59</w:t>
      </w:r>
      <w:proofErr w:type="gramEnd"/>
      <w:r>
        <w:t xml:space="preserve"> facilities in Gold Coast (97%) were affected, with three facilities each notifying two outbreaks. An epidemic curve of the RACF outbreaks by date of notification to the GCPHU </w:t>
      </w:r>
      <w:proofErr w:type="gramStart"/>
      <w:r>
        <w:t>is shown</w:t>
      </w:r>
      <w:proofErr w:type="gramEnd"/>
      <w:r>
        <w:t xml:space="preserve"> in Figure 1. </w:t>
      </w:r>
    </w:p>
    <w:p w14:paraId="08856791" w14:textId="77777777" w:rsidR="008D6CB6" w:rsidRDefault="008D6CB6">
      <w:r>
        <w:br w:type="page"/>
      </w:r>
    </w:p>
    <w:p w14:paraId="00E2D7A8" w14:textId="77777777" w:rsidR="008D6CB6" w:rsidRPr="00A52F58" w:rsidRDefault="008D6CB6" w:rsidP="008D6CB6">
      <w:pPr>
        <w:pStyle w:val="CDIFigures"/>
      </w:pPr>
      <w:r w:rsidRPr="00A52F58">
        <w:rPr>
          <w:rStyle w:val="Strong"/>
          <w:b/>
          <w:bCs w:val="0"/>
        </w:rPr>
        <w:lastRenderedPageBreak/>
        <w:t>Figure 1: Notifications of COVID-19 outbreaks in RACFs, Gold Coast, 13 December 2021 – 12 February 2022</w:t>
      </w:r>
    </w:p>
    <w:p w14:paraId="1978016E" w14:textId="77777777" w:rsidR="008D6CB6" w:rsidRDefault="008D6CB6" w:rsidP="008D6CB6">
      <w:pPr>
        <w:rPr>
          <w:rFonts w:eastAsia="Times New Roman"/>
          <w:lang w:val="en-GB"/>
        </w:rPr>
      </w:pPr>
      <w:r>
        <w:rPr>
          <w:rFonts w:eastAsia="Times New Roman"/>
          <w:noProof/>
          <w:lang w:val="en-GB"/>
        </w:rPr>
        <w:drawing>
          <wp:inline distT="0" distB="0" distL="0" distR="0" wp14:anchorId="2BDB91AF" wp14:editId="5A581D3E">
            <wp:extent cx="6625742" cy="4319272"/>
            <wp:effectExtent l="0" t="0" r="3810" b="5080"/>
            <wp:docPr id="3" name="Picture 3" descr="Bar chart showing residential aged care COVID-19 outbreak notifications by notification date. There is a rapid increase in notifications from 29 December 2021, two weeks after the Queensland borders opened. Notifications peaked on 9 January 2022 then tapered off toward the end of January 2022, with no outbreaks being notified after 3 Februar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residential aged care COVID-19 outbreak notifications by notification date. There is a rapid increase in notifications from 29 December 2021, two weeks after the Queensland borders opened. Notifications peaked on 9 January 2022 then tapered off toward the end of January 2022, with no outbreaks being notified after 3 February 202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1610" cy="4323097"/>
                    </a:xfrm>
                    <a:prstGeom prst="rect">
                      <a:avLst/>
                    </a:prstGeom>
                  </pic:spPr>
                </pic:pic>
              </a:graphicData>
            </a:graphic>
          </wp:inline>
        </w:drawing>
      </w:r>
    </w:p>
    <w:p w14:paraId="78953D75" w14:textId="1AE61A23" w:rsidR="00717541" w:rsidRDefault="00717541" w:rsidP="00717541">
      <w:r>
        <w:t xml:space="preserve">There were 5,518 residents at risk across the </w:t>
      </w:r>
      <w:proofErr w:type="gramStart"/>
      <w:r>
        <w:t>60</w:t>
      </w:r>
      <w:proofErr w:type="gramEnd"/>
      <w:r>
        <w:t xml:space="preserve"> outbreaks. During the study period, there were 644 resident cases of COVID-19. The first resident case had a specimen collection date of 25 December 2021, twelve days after the borders opened. The median age of cases was 86 years (range: 51–106 years). An epidemic curve of RACF resident cases </w:t>
      </w:r>
      <w:proofErr w:type="gramStart"/>
      <w:r>
        <w:t>is shown</w:t>
      </w:r>
      <w:proofErr w:type="gramEnd"/>
      <w:r>
        <w:t xml:space="preserve"> in Figure 2.</w:t>
      </w:r>
    </w:p>
    <w:p w14:paraId="1063B562" w14:textId="77777777" w:rsidR="00717541" w:rsidRDefault="00717541" w:rsidP="00717541">
      <w:r>
        <w:t xml:space="preserve">Hospitalisation rates for resident cases in all outbreaks of COVID-19 were 10.6% (n = 68; see Table 1). This included </w:t>
      </w:r>
      <w:proofErr w:type="gramStart"/>
      <w:r>
        <w:t>39</w:t>
      </w:r>
      <w:proofErr w:type="gramEnd"/>
      <w:r>
        <w:t xml:space="preserve"> males and 29 females (respectively 57.4% and 42.6% of hospitalisations) with a median age of 86 years (range: 56–96 years). The proportions of male and female cases who were hospitalised could not </w:t>
      </w:r>
      <w:proofErr w:type="gramStart"/>
      <w:r>
        <w:t>be calculated</w:t>
      </w:r>
      <w:proofErr w:type="gramEnd"/>
      <w:r>
        <w:t xml:space="preserve">, as gender data were not available for non-hospitalised cases. </w:t>
      </w:r>
    </w:p>
    <w:p w14:paraId="5C321816" w14:textId="77777777" w:rsidR="00717541" w:rsidRDefault="00717541" w:rsidP="00717541">
      <w:r>
        <w:t xml:space="preserve">The case fatality rate for resident cases in all COVID-19 outbreaks was 6.5% (n = 42). Twice as </w:t>
      </w:r>
      <w:proofErr w:type="gramStart"/>
      <w:r>
        <w:t>many</w:t>
      </w:r>
      <w:proofErr w:type="gramEnd"/>
      <w:r>
        <w:t xml:space="preserve"> men (n = 28: 66.7%) died as did women (n = 14: 33.3%). However, due to missing gender information for most cases, it is unclear whether this was due to higher rates of COVID-19 infection in men or to increased disease severity (or other confounders) resulting in death. The median age of cases who died was 86 years (range: 71–103 years). The death rate (deaths against all residents) was 7.6 per 1,000 residents (0.76%). Not all who died were hospitalised. A summary of the outbreaks </w:t>
      </w:r>
      <w:proofErr w:type="gramStart"/>
      <w:r>
        <w:t>is provided</w:t>
      </w:r>
      <w:proofErr w:type="gramEnd"/>
      <w:r>
        <w:t xml:space="preserve"> in Table 1. </w:t>
      </w:r>
    </w:p>
    <w:p w14:paraId="08D2F9A2" w14:textId="77777777" w:rsidR="00717541" w:rsidRDefault="00717541" w:rsidP="00717541">
      <w:r>
        <w:t xml:space="preserve">Table 2 outlines the variation in case numbers, </w:t>
      </w:r>
      <w:proofErr w:type="gramStart"/>
      <w:r>
        <w:t>hospitalisations</w:t>
      </w:r>
      <w:proofErr w:type="gramEnd"/>
      <w:r>
        <w:t xml:space="preserve"> and deaths in residents, based on vaccination status. </w:t>
      </w:r>
    </w:p>
    <w:p w14:paraId="7E4A5E4D" w14:textId="77777777" w:rsidR="00A45843" w:rsidRDefault="00A45843">
      <w:pPr>
        <w:rPr>
          <w:rFonts w:asciiTheme="majorHAnsi" w:eastAsiaTheme="majorEastAsia" w:hAnsiTheme="majorHAnsi" w:cstheme="majorBidi"/>
          <w:b/>
          <w:bCs/>
          <w:sz w:val="26"/>
          <w:szCs w:val="26"/>
        </w:rPr>
      </w:pPr>
      <w:r>
        <w:br w:type="page"/>
      </w:r>
    </w:p>
    <w:p w14:paraId="0610AE15" w14:textId="77777777" w:rsidR="00A45843" w:rsidRPr="00FD19A6" w:rsidRDefault="00A45843" w:rsidP="00A45843">
      <w:pPr>
        <w:pStyle w:val="CDIFigures"/>
      </w:pPr>
      <w:r w:rsidRPr="00FD19A6">
        <w:rPr>
          <w:rStyle w:val="Strong"/>
          <w:b/>
          <w:bCs w:val="0"/>
        </w:rPr>
        <w:lastRenderedPageBreak/>
        <w:t>Table 1: Summary of RACF COVID-19 outbreaks, reported to Gold Coast Public Health Unit, Queensland, 13 December 2021 – 12 February 2022</w:t>
      </w:r>
    </w:p>
    <w:tbl>
      <w:tblPr>
        <w:tblStyle w:val="CDI-StandardTable"/>
        <w:tblW w:w="0" w:type="auto"/>
        <w:tblCellMar>
          <w:top w:w="113" w:type="dxa"/>
          <w:bottom w:w="113" w:type="dxa"/>
        </w:tblCellMar>
        <w:tblLook w:val="04A0" w:firstRow="1" w:lastRow="0" w:firstColumn="1" w:lastColumn="0" w:noHBand="0" w:noVBand="1"/>
        <w:tblDescription w:val="Table 1 shows the characteristics of aged care COVID-19 outbreaks, including number of outbreaks and numbers and proportions of cases, hospitalisations and deaths. "/>
      </w:tblPr>
      <w:tblGrid>
        <w:gridCol w:w="5812"/>
        <w:gridCol w:w="1559"/>
        <w:gridCol w:w="1418"/>
        <w:gridCol w:w="1651"/>
      </w:tblGrid>
      <w:tr w:rsidR="00A45843" w:rsidRPr="00FD19A6" w14:paraId="0337A0A8" w14:textId="77777777" w:rsidTr="0041267F">
        <w:trPr>
          <w:cnfStyle w:val="100000000000" w:firstRow="1" w:lastRow="0" w:firstColumn="0" w:lastColumn="0" w:oddVBand="0" w:evenVBand="0" w:oddHBand="0" w:evenHBand="0" w:firstRowFirstColumn="0" w:firstRowLastColumn="0" w:lastRowFirstColumn="0" w:lastRowLastColumn="0"/>
        </w:trPr>
        <w:tc>
          <w:tcPr>
            <w:tcW w:w="5812" w:type="dxa"/>
            <w:tcBorders>
              <w:bottom w:val="single" w:sz="4" w:space="0" w:color="0D0D0D" w:themeColor="text1" w:themeTint="F2"/>
            </w:tcBorders>
            <w:hideMark/>
          </w:tcPr>
          <w:p w14:paraId="48F303B7" w14:textId="77777777" w:rsidR="00A45843" w:rsidRPr="00FD19A6" w:rsidRDefault="00A45843" w:rsidP="006D791B">
            <w:pPr>
              <w:pStyle w:val="NormalWeb"/>
              <w:jc w:val="left"/>
              <w:rPr>
                <w:sz w:val="18"/>
                <w:szCs w:val="18"/>
                <w:lang w:val="en-GB"/>
              </w:rPr>
            </w:pPr>
            <w:r w:rsidRPr="00FD19A6">
              <w:rPr>
                <w:sz w:val="18"/>
                <w:szCs w:val="18"/>
                <w:lang w:val="en-GB"/>
              </w:rPr>
              <w:t>Characteristic</w:t>
            </w:r>
          </w:p>
        </w:tc>
        <w:tc>
          <w:tcPr>
            <w:tcW w:w="1559" w:type="dxa"/>
            <w:tcBorders>
              <w:bottom w:val="single" w:sz="4" w:space="0" w:color="0D0D0D" w:themeColor="text1" w:themeTint="F2"/>
            </w:tcBorders>
            <w:hideMark/>
          </w:tcPr>
          <w:p w14:paraId="2DE26424" w14:textId="77777777" w:rsidR="00A45843" w:rsidRPr="00FD19A6" w:rsidRDefault="00A45843" w:rsidP="006D791B">
            <w:pPr>
              <w:pStyle w:val="NormalWeb"/>
              <w:rPr>
                <w:sz w:val="18"/>
                <w:szCs w:val="18"/>
                <w:lang w:val="en-GB"/>
              </w:rPr>
            </w:pPr>
            <w:r w:rsidRPr="00FD19A6">
              <w:rPr>
                <w:sz w:val="18"/>
                <w:szCs w:val="18"/>
                <w:lang w:val="en-GB"/>
              </w:rPr>
              <w:t>Number</w:t>
            </w:r>
          </w:p>
        </w:tc>
        <w:tc>
          <w:tcPr>
            <w:tcW w:w="1418" w:type="dxa"/>
            <w:tcBorders>
              <w:bottom w:val="single" w:sz="4" w:space="0" w:color="0D0D0D" w:themeColor="text1" w:themeTint="F2"/>
            </w:tcBorders>
            <w:hideMark/>
          </w:tcPr>
          <w:p w14:paraId="612878B1" w14:textId="77777777" w:rsidR="00A45843" w:rsidRPr="00FD19A6" w:rsidRDefault="00A45843" w:rsidP="006D791B">
            <w:pPr>
              <w:pStyle w:val="NormalWeb"/>
              <w:rPr>
                <w:sz w:val="18"/>
                <w:szCs w:val="18"/>
                <w:lang w:val="en-GB"/>
              </w:rPr>
            </w:pPr>
            <w:r w:rsidRPr="00FD19A6">
              <w:rPr>
                <w:sz w:val="18"/>
                <w:szCs w:val="18"/>
                <w:lang w:val="en-GB"/>
              </w:rPr>
              <w:t>Percentage</w:t>
            </w:r>
          </w:p>
        </w:tc>
        <w:tc>
          <w:tcPr>
            <w:tcW w:w="1651" w:type="dxa"/>
            <w:tcBorders>
              <w:bottom w:val="single" w:sz="4" w:space="0" w:color="0D0D0D" w:themeColor="text1" w:themeTint="F2"/>
            </w:tcBorders>
            <w:hideMark/>
          </w:tcPr>
          <w:p w14:paraId="68AB004E" w14:textId="77777777" w:rsidR="00A45843" w:rsidRPr="00FD19A6" w:rsidRDefault="00A45843" w:rsidP="006D791B">
            <w:pPr>
              <w:pStyle w:val="NormalWeb"/>
              <w:rPr>
                <w:sz w:val="18"/>
                <w:szCs w:val="18"/>
                <w:lang w:val="en-GB"/>
              </w:rPr>
            </w:pPr>
            <w:r w:rsidRPr="00FD19A6">
              <w:rPr>
                <w:sz w:val="18"/>
                <w:szCs w:val="18"/>
                <w:lang w:val="en-GB"/>
              </w:rPr>
              <w:t>Range</w:t>
            </w:r>
          </w:p>
        </w:tc>
      </w:tr>
      <w:tr w:rsidR="00A45843" w:rsidRPr="004B3C1E" w14:paraId="0154DFC8" w14:textId="77777777" w:rsidTr="004B3C1E">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81B0B3A" w14:textId="77777777" w:rsidR="00A45843" w:rsidRPr="004B3C1E" w:rsidRDefault="00A45843" w:rsidP="006D791B">
            <w:pPr>
              <w:pStyle w:val="NormalWeb"/>
              <w:jc w:val="left"/>
              <w:rPr>
                <w:b/>
                <w:bCs/>
                <w:sz w:val="18"/>
                <w:szCs w:val="18"/>
                <w:lang w:val="en-GB"/>
              </w:rPr>
            </w:pPr>
            <w:r w:rsidRPr="004B3C1E">
              <w:rPr>
                <w:b/>
                <w:bCs/>
                <w:sz w:val="18"/>
                <w:szCs w:val="18"/>
                <w:lang w:val="en-GB"/>
              </w:rPr>
              <w:t>Total number of outbreaks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108A5A69" w14:textId="77777777" w:rsidR="00A45843" w:rsidRPr="004B3C1E" w:rsidRDefault="00A45843" w:rsidP="006D791B">
            <w:pPr>
              <w:pStyle w:val="NormalWeb"/>
              <w:rPr>
                <w:b/>
                <w:bCs/>
                <w:sz w:val="18"/>
                <w:szCs w:val="18"/>
                <w:lang w:val="en-GB"/>
              </w:rPr>
            </w:pPr>
            <w:r w:rsidRPr="004B3C1E">
              <w:rPr>
                <w:b/>
                <w:bCs/>
                <w:sz w:val="18"/>
                <w:szCs w:val="18"/>
                <w:lang w:val="en-GB"/>
              </w:rPr>
              <w:t>60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6BB2A4E" w14:textId="77777777" w:rsidR="00A45843" w:rsidRPr="004B3C1E" w:rsidRDefault="00A45843" w:rsidP="006D791B">
            <w:pPr>
              <w:rPr>
                <w:b/>
                <w:bCs/>
                <w:sz w:val="18"/>
                <w:szCs w:val="18"/>
                <w:lang w:val="en-GB"/>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7552B774" w14:textId="77777777" w:rsidR="00A45843" w:rsidRPr="004B3C1E" w:rsidRDefault="00A45843" w:rsidP="006D791B">
            <w:pPr>
              <w:rPr>
                <w:rFonts w:eastAsia="Times New Roman"/>
                <w:b/>
                <w:bCs/>
                <w:sz w:val="18"/>
                <w:szCs w:val="18"/>
              </w:rPr>
            </w:pPr>
          </w:p>
        </w:tc>
      </w:tr>
      <w:tr w:rsidR="00A45843" w:rsidRPr="00FD19A6" w14:paraId="08CF57C6"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019B67A" w14:textId="77777777" w:rsidR="00A45843" w:rsidRPr="00FD19A6" w:rsidRDefault="00A45843" w:rsidP="006D791B">
            <w:pPr>
              <w:pStyle w:val="NormalWeb"/>
              <w:jc w:val="left"/>
              <w:rPr>
                <w:sz w:val="18"/>
                <w:szCs w:val="18"/>
                <w:lang w:val="en-GB"/>
              </w:rPr>
            </w:pPr>
            <w:r w:rsidRPr="00FD19A6">
              <w:rPr>
                <w:sz w:val="18"/>
                <w:szCs w:val="18"/>
                <w:lang w:val="en-GB"/>
              </w:rPr>
              <w:t>Outbreaks involving ≥ 1 resident case</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57A3059" w14:textId="77777777" w:rsidR="00A45843" w:rsidRPr="00FD19A6" w:rsidRDefault="00A45843" w:rsidP="006D791B">
            <w:pPr>
              <w:pStyle w:val="NormalWeb"/>
              <w:rPr>
                <w:sz w:val="18"/>
                <w:szCs w:val="18"/>
                <w:lang w:val="en-GB"/>
              </w:rPr>
            </w:pPr>
            <w:r w:rsidRPr="00FD19A6">
              <w:rPr>
                <w:sz w:val="18"/>
                <w:szCs w:val="18"/>
                <w:lang w:val="en-GB"/>
              </w:rPr>
              <w:t>55</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B9DBD5C" w14:textId="77777777" w:rsidR="00A45843" w:rsidRPr="00FD19A6" w:rsidRDefault="00A45843" w:rsidP="006D791B">
            <w:pPr>
              <w:pStyle w:val="NormalWeb"/>
              <w:rPr>
                <w:sz w:val="18"/>
                <w:szCs w:val="18"/>
                <w:lang w:val="en-GB"/>
              </w:rPr>
            </w:pPr>
            <w:r w:rsidRPr="00FD19A6">
              <w:rPr>
                <w:sz w:val="18"/>
                <w:szCs w:val="18"/>
                <w:lang w:val="en-GB"/>
              </w:rPr>
              <w:t>91.7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D762753" w14:textId="77777777" w:rsidR="00A45843" w:rsidRPr="00FD19A6" w:rsidRDefault="00A45843" w:rsidP="006D791B">
            <w:pPr>
              <w:rPr>
                <w:sz w:val="18"/>
                <w:szCs w:val="18"/>
                <w:lang w:val="en-GB"/>
              </w:rPr>
            </w:pPr>
          </w:p>
        </w:tc>
      </w:tr>
      <w:tr w:rsidR="00A45843" w:rsidRPr="00FD19A6" w14:paraId="162FDEA5"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566F863" w14:textId="77777777" w:rsidR="00A45843" w:rsidRPr="00FD19A6" w:rsidRDefault="00A45843" w:rsidP="006D791B">
            <w:pPr>
              <w:pStyle w:val="NormalWeb"/>
              <w:jc w:val="left"/>
              <w:rPr>
                <w:sz w:val="18"/>
                <w:szCs w:val="18"/>
                <w:lang w:val="en-GB"/>
              </w:rPr>
            </w:pPr>
            <w:r w:rsidRPr="00FD19A6">
              <w:rPr>
                <w:sz w:val="18"/>
                <w:szCs w:val="18"/>
                <w:lang w:val="en-GB"/>
              </w:rPr>
              <w:t>Transmission amongst residents (&gt; 1 resident case)</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2A539CF2" w14:textId="77777777" w:rsidR="00A45843" w:rsidRPr="00FD19A6" w:rsidRDefault="00A45843" w:rsidP="006D791B">
            <w:pPr>
              <w:pStyle w:val="NormalWeb"/>
              <w:rPr>
                <w:sz w:val="18"/>
                <w:szCs w:val="18"/>
                <w:lang w:val="en-GB"/>
              </w:rPr>
            </w:pPr>
            <w:r w:rsidRPr="00FD19A6">
              <w:rPr>
                <w:sz w:val="18"/>
                <w:szCs w:val="18"/>
                <w:lang w:val="en-GB"/>
              </w:rPr>
              <w:t>48</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4B8C57B" w14:textId="77777777" w:rsidR="00A45843" w:rsidRPr="00FD19A6" w:rsidRDefault="00A45843" w:rsidP="006D791B">
            <w:pPr>
              <w:pStyle w:val="NormalWeb"/>
              <w:rPr>
                <w:sz w:val="18"/>
                <w:szCs w:val="18"/>
                <w:lang w:val="en-GB"/>
              </w:rPr>
            </w:pPr>
            <w:r w:rsidRPr="00FD19A6">
              <w:rPr>
                <w:sz w:val="18"/>
                <w:szCs w:val="18"/>
                <w:lang w:val="en-GB"/>
              </w:rPr>
              <w:t>80.0</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F7CEA29" w14:textId="77777777" w:rsidR="00A45843" w:rsidRPr="00FD19A6" w:rsidRDefault="00A45843" w:rsidP="006D791B">
            <w:pPr>
              <w:rPr>
                <w:sz w:val="18"/>
                <w:szCs w:val="18"/>
                <w:lang w:val="en-GB"/>
              </w:rPr>
            </w:pPr>
          </w:p>
        </w:tc>
      </w:tr>
      <w:tr w:rsidR="00A45843" w:rsidRPr="00FD19A6" w14:paraId="3660A87E"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57D18D0" w14:textId="77777777" w:rsidR="00A45843" w:rsidRPr="00FD19A6" w:rsidRDefault="00A45843" w:rsidP="006D791B">
            <w:pPr>
              <w:pStyle w:val="NormalWeb"/>
              <w:jc w:val="left"/>
              <w:rPr>
                <w:sz w:val="18"/>
                <w:szCs w:val="18"/>
                <w:lang w:val="en-GB"/>
              </w:rPr>
            </w:pPr>
            <w:r w:rsidRPr="00FD19A6">
              <w:rPr>
                <w:sz w:val="18"/>
                <w:szCs w:val="18"/>
                <w:lang w:val="en-GB"/>
              </w:rPr>
              <w:t>&gt; 1 wing affected</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B2DB83B" w14:textId="77777777" w:rsidR="00A45843" w:rsidRPr="00FD19A6" w:rsidRDefault="00A45843" w:rsidP="006D791B">
            <w:pPr>
              <w:pStyle w:val="NormalWeb"/>
              <w:rPr>
                <w:sz w:val="18"/>
                <w:szCs w:val="18"/>
                <w:lang w:val="en-GB"/>
              </w:rPr>
            </w:pPr>
            <w:r w:rsidRPr="00FD19A6">
              <w:rPr>
                <w:sz w:val="18"/>
                <w:szCs w:val="18"/>
                <w:lang w:val="en-GB"/>
              </w:rPr>
              <w:t>43</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4019303" w14:textId="77777777" w:rsidR="00A45843" w:rsidRPr="00FD19A6" w:rsidRDefault="00A45843" w:rsidP="006D791B">
            <w:pPr>
              <w:pStyle w:val="NormalWeb"/>
              <w:rPr>
                <w:sz w:val="18"/>
                <w:szCs w:val="18"/>
                <w:lang w:val="en-GB"/>
              </w:rPr>
            </w:pPr>
            <w:r w:rsidRPr="00FD19A6">
              <w:rPr>
                <w:sz w:val="18"/>
                <w:szCs w:val="18"/>
                <w:lang w:val="en-GB"/>
              </w:rPr>
              <w:t>71.7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B71C35D" w14:textId="77777777" w:rsidR="00A45843" w:rsidRPr="00FD19A6" w:rsidRDefault="00A45843" w:rsidP="006D791B">
            <w:pPr>
              <w:rPr>
                <w:sz w:val="18"/>
                <w:szCs w:val="18"/>
                <w:lang w:val="en-GB"/>
              </w:rPr>
            </w:pPr>
          </w:p>
        </w:tc>
      </w:tr>
      <w:tr w:rsidR="00A45843" w:rsidRPr="004B3C1E" w14:paraId="29779A4F" w14:textId="77777777" w:rsidTr="004B3C1E">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352CBE38" w14:textId="77777777" w:rsidR="00A45843" w:rsidRPr="004B3C1E" w:rsidRDefault="00A45843" w:rsidP="006D791B">
            <w:pPr>
              <w:pStyle w:val="NormalWeb"/>
              <w:jc w:val="left"/>
              <w:rPr>
                <w:b/>
                <w:bCs/>
                <w:sz w:val="18"/>
                <w:szCs w:val="18"/>
                <w:lang w:val="en-GB"/>
              </w:rPr>
            </w:pPr>
            <w:r w:rsidRPr="004B3C1E">
              <w:rPr>
                <w:b/>
                <w:bCs/>
                <w:sz w:val="18"/>
                <w:szCs w:val="18"/>
                <w:lang w:val="en-GB"/>
              </w:rPr>
              <w:t>First case</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108A3906" w14:textId="77777777" w:rsidR="00A45843" w:rsidRPr="004B3C1E" w:rsidRDefault="00A45843" w:rsidP="006D791B">
            <w:pPr>
              <w:rPr>
                <w:b/>
                <w:bCs/>
                <w:sz w:val="18"/>
                <w:szCs w:val="18"/>
                <w:lang w:val="en-GB"/>
              </w:rPr>
            </w:pP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1BA4405" w14:textId="77777777" w:rsidR="00A45843" w:rsidRPr="004B3C1E" w:rsidRDefault="00A45843" w:rsidP="006D791B">
            <w:pPr>
              <w:rPr>
                <w:rFonts w:eastAsia="Times New Roman"/>
                <w:b/>
                <w:bCs/>
                <w:sz w:val="18"/>
                <w:szCs w:val="18"/>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1D02712" w14:textId="77777777" w:rsidR="00A45843" w:rsidRPr="004B3C1E" w:rsidRDefault="00A45843" w:rsidP="006D791B">
            <w:pPr>
              <w:rPr>
                <w:rFonts w:eastAsia="Times New Roman"/>
                <w:b/>
                <w:bCs/>
                <w:sz w:val="18"/>
                <w:szCs w:val="18"/>
              </w:rPr>
            </w:pPr>
          </w:p>
        </w:tc>
      </w:tr>
      <w:tr w:rsidR="00A45843" w:rsidRPr="00FD19A6" w14:paraId="2A50BC5B"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C678817" w14:textId="77777777" w:rsidR="00A45843" w:rsidRPr="00FD19A6" w:rsidRDefault="00A45843" w:rsidP="006D791B">
            <w:pPr>
              <w:pStyle w:val="NormalWeb"/>
              <w:jc w:val="left"/>
              <w:rPr>
                <w:sz w:val="18"/>
                <w:szCs w:val="18"/>
                <w:lang w:val="en-GB"/>
              </w:rPr>
            </w:pPr>
            <w:r w:rsidRPr="00FD19A6">
              <w:rPr>
                <w:sz w:val="18"/>
                <w:szCs w:val="18"/>
                <w:lang w:val="en-GB"/>
              </w:rPr>
              <w:t>Staff</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ADCBE75" w14:textId="77777777" w:rsidR="00A45843" w:rsidRPr="00FD19A6" w:rsidRDefault="00A45843" w:rsidP="006D791B">
            <w:pPr>
              <w:pStyle w:val="NormalWeb"/>
              <w:rPr>
                <w:sz w:val="18"/>
                <w:szCs w:val="18"/>
                <w:lang w:val="en-GB"/>
              </w:rPr>
            </w:pPr>
            <w:r w:rsidRPr="00FD19A6">
              <w:rPr>
                <w:sz w:val="18"/>
                <w:szCs w:val="18"/>
                <w:lang w:val="en-GB"/>
              </w:rPr>
              <w:t>40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183821E" w14:textId="77777777" w:rsidR="00A45843" w:rsidRPr="00FD19A6" w:rsidRDefault="00A45843" w:rsidP="006D791B">
            <w:pPr>
              <w:pStyle w:val="NormalWeb"/>
              <w:rPr>
                <w:sz w:val="18"/>
                <w:szCs w:val="18"/>
                <w:lang w:val="en-GB"/>
              </w:rPr>
            </w:pPr>
            <w:r w:rsidRPr="00FD19A6">
              <w:rPr>
                <w:sz w:val="18"/>
                <w:szCs w:val="18"/>
                <w:lang w:val="en-GB"/>
              </w:rPr>
              <w:t>66.7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D239D28" w14:textId="77777777" w:rsidR="00A45843" w:rsidRPr="00FD19A6" w:rsidRDefault="00A45843" w:rsidP="006D791B">
            <w:pPr>
              <w:rPr>
                <w:sz w:val="18"/>
                <w:szCs w:val="18"/>
                <w:lang w:val="en-GB"/>
              </w:rPr>
            </w:pPr>
          </w:p>
        </w:tc>
      </w:tr>
      <w:tr w:rsidR="00A45843" w:rsidRPr="00FD19A6" w14:paraId="76448BEE"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656CB11" w14:textId="77777777" w:rsidR="00A45843" w:rsidRPr="00FD19A6" w:rsidRDefault="00A45843" w:rsidP="006D791B">
            <w:pPr>
              <w:pStyle w:val="NormalWeb"/>
              <w:jc w:val="left"/>
              <w:rPr>
                <w:sz w:val="18"/>
                <w:szCs w:val="18"/>
                <w:lang w:val="en-GB"/>
              </w:rPr>
            </w:pPr>
            <w:r w:rsidRPr="00FD19A6">
              <w:rPr>
                <w:sz w:val="18"/>
                <w:szCs w:val="18"/>
                <w:lang w:val="en-GB"/>
              </w:rPr>
              <w:t>Resident</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AB94D79" w14:textId="77777777" w:rsidR="00A45843" w:rsidRPr="00FD19A6" w:rsidRDefault="00A45843" w:rsidP="006D791B">
            <w:pPr>
              <w:pStyle w:val="NormalWeb"/>
              <w:rPr>
                <w:sz w:val="18"/>
                <w:szCs w:val="18"/>
                <w:lang w:val="en-GB"/>
              </w:rPr>
            </w:pPr>
            <w:r w:rsidRPr="00FD19A6">
              <w:rPr>
                <w:sz w:val="18"/>
                <w:szCs w:val="18"/>
                <w:lang w:val="en-GB"/>
              </w:rPr>
              <w:t>13</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1DE165D" w14:textId="77777777" w:rsidR="00A45843" w:rsidRPr="00FD19A6" w:rsidRDefault="00A45843" w:rsidP="006D791B">
            <w:pPr>
              <w:pStyle w:val="NormalWeb"/>
              <w:rPr>
                <w:sz w:val="18"/>
                <w:szCs w:val="18"/>
                <w:lang w:val="en-GB"/>
              </w:rPr>
            </w:pPr>
            <w:r w:rsidRPr="00FD19A6">
              <w:rPr>
                <w:sz w:val="18"/>
                <w:szCs w:val="18"/>
                <w:lang w:val="en-GB"/>
              </w:rPr>
              <w:t>21.7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00CCDEB" w14:textId="77777777" w:rsidR="00A45843" w:rsidRPr="00FD19A6" w:rsidRDefault="00A45843" w:rsidP="006D791B">
            <w:pPr>
              <w:rPr>
                <w:sz w:val="18"/>
                <w:szCs w:val="18"/>
                <w:lang w:val="en-GB"/>
              </w:rPr>
            </w:pPr>
          </w:p>
        </w:tc>
      </w:tr>
      <w:tr w:rsidR="00A45843" w:rsidRPr="00FD19A6" w14:paraId="5B7FE41F"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EB92851" w14:textId="77777777" w:rsidR="00A45843" w:rsidRPr="00FD19A6" w:rsidRDefault="00A45843" w:rsidP="006D791B">
            <w:pPr>
              <w:pStyle w:val="NormalWeb"/>
              <w:jc w:val="left"/>
              <w:rPr>
                <w:sz w:val="18"/>
                <w:szCs w:val="18"/>
                <w:lang w:val="en-GB"/>
              </w:rPr>
            </w:pPr>
            <w:r w:rsidRPr="00FD19A6">
              <w:rPr>
                <w:sz w:val="18"/>
                <w:szCs w:val="18"/>
                <w:lang w:val="en-GB"/>
              </w:rPr>
              <w:t>Staff / resident same day</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04C72D5" w14:textId="77777777" w:rsidR="00A45843" w:rsidRPr="00FD19A6" w:rsidRDefault="00A45843" w:rsidP="006D791B">
            <w:pPr>
              <w:pStyle w:val="NormalWeb"/>
              <w:rPr>
                <w:sz w:val="18"/>
                <w:szCs w:val="18"/>
                <w:lang w:val="en-GB"/>
              </w:rPr>
            </w:pPr>
            <w:r w:rsidRPr="00FD19A6">
              <w:rPr>
                <w:sz w:val="18"/>
                <w:szCs w:val="18"/>
                <w:lang w:val="en-GB"/>
              </w:rPr>
              <w:t>4</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FDE3330" w14:textId="77777777" w:rsidR="00A45843" w:rsidRPr="00FD19A6" w:rsidRDefault="00A45843" w:rsidP="006D791B">
            <w:pPr>
              <w:pStyle w:val="NormalWeb"/>
              <w:rPr>
                <w:sz w:val="18"/>
                <w:szCs w:val="18"/>
                <w:lang w:val="en-GB"/>
              </w:rPr>
            </w:pPr>
            <w:r w:rsidRPr="00FD19A6">
              <w:rPr>
                <w:sz w:val="18"/>
                <w:szCs w:val="18"/>
                <w:lang w:val="en-GB"/>
              </w:rPr>
              <w:t>6.7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A5EA229" w14:textId="77777777" w:rsidR="00A45843" w:rsidRPr="00FD19A6" w:rsidRDefault="00A45843" w:rsidP="006D791B">
            <w:pPr>
              <w:rPr>
                <w:sz w:val="18"/>
                <w:szCs w:val="18"/>
                <w:lang w:val="en-GB"/>
              </w:rPr>
            </w:pPr>
          </w:p>
        </w:tc>
      </w:tr>
      <w:tr w:rsidR="00A45843" w:rsidRPr="00FD19A6" w14:paraId="7E6164D4"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45F624F" w14:textId="77777777" w:rsidR="00A45843" w:rsidRPr="00FD19A6" w:rsidRDefault="00A45843" w:rsidP="006D791B">
            <w:pPr>
              <w:pStyle w:val="NormalWeb"/>
              <w:jc w:val="left"/>
              <w:rPr>
                <w:sz w:val="18"/>
                <w:szCs w:val="18"/>
                <w:lang w:val="en-GB"/>
              </w:rPr>
            </w:pPr>
            <w:r w:rsidRPr="00FD19A6">
              <w:rPr>
                <w:sz w:val="18"/>
                <w:szCs w:val="18"/>
                <w:lang w:val="en-GB"/>
              </w:rPr>
              <w:t>Visitor</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A4B63DD" w14:textId="77777777" w:rsidR="00A45843" w:rsidRPr="00FD19A6" w:rsidRDefault="00A45843" w:rsidP="006D791B">
            <w:pPr>
              <w:pStyle w:val="NormalWeb"/>
              <w:rPr>
                <w:sz w:val="18"/>
                <w:szCs w:val="18"/>
                <w:lang w:val="en-GB"/>
              </w:rPr>
            </w:pPr>
            <w:r w:rsidRPr="00FD19A6">
              <w:rPr>
                <w:sz w:val="18"/>
                <w:szCs w:val="18"/>
                <w:lang w:val="en-GB"/>
              </w:rPr>
              <w:t>1</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942F617" w14:textId="77777777" w:rsidR="00A45843" w:rsidRPr="00FD19A6" w:rsidRDefault="00A45843" w:rsidP="006D791B">
            <w:pPr>
              <w:pStyle w:val="NormalWeb"/>
              <w:rPr>
                <w:sz w:val="18"/>
                <w:szCs w:val="18"/>
                <w:lang w:val="en-GB"/>
              </w:rPr>
            </w:pPr>
            <w:r w:rsidRPr="00FD19A6">
              <w:rPr>
                <w:sz w:val="18"/>
                <w:szCs w:val="18"/>
                <w:lang w:val="en-GB"/>
              </w:rPr>
              <w:t>1.7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8E7C445" w14:textId="77777777" w:rsidR="00A45843" w:rsidRPr="00FD19A6" w:rsidRDefault="00A45843" w:rsidP="006D791B">
            <w:pPr>
              <w:rPr>
                <w:sz w:val="18"/>
                <w:szCs w:val="18"/>
                <w:lang w:val="en-GB"/>
              </w:rPr>
            </w:pPr>
          </w:p>
        </w:tc>
      </w:tr>
      <w:tr w:rsidR="00A45843" w:rsidRPr="00FD19A6" w14:paraId="0A7D36FA"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9660A14" w14:textId="77777777" w:rsidR="00A45843" w:rsidRPr="00FD19A6" w:rsidRDefault="00A45843" w:rsidP="006D791B">
            <w:pPr>
              <w:pStyle w:val="NormalWeb"/>
              <w:jc w:val="left"/>
              <w:rPr>
                <w:sz w:val="18"/>
                <w:szCs w:val="18"/>
                <w:lang w:val="en-GB"/>
              </w:rPr>
            </w:pPr>
            <w:r w:rsidRPr="00FD19A6">
              <w:rPr>
                <w:sz w:val="18"/>
                <w:szCs w:val="18"/>
                <w:lang w:val="en-GB"/>
              </w:rPr>
              <w:t>Unknown</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A9DA537" w14:textId="77777777" w:rsidR="00A45843" w:rsidRPr="00FD19A6" w:rsidRDefault="00A45843" w:rsidP="006D791B">
            <w:pPr>
              <w:pStyle w:val="NormalWeb"/>
              <w:rPr>
                <w:sz w:val="18"/>
                <w:szCs w:val="18"/>
                <w:lang w:val="en-GB"/>
              </w:rPr>
            </w:pPr>
            <w:r w:rsidRPr="00FD19A6">
              <w:rPr>
                <w:sz w:val="18"/>
                <w:szCs w:val="18"/>
                <w:lang w:val="en-GB"/>
              </w:rPr>
              <w:t>2</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CD803DF" w14:textId="77777777" w:rsidR="00A45843" w:rsidRPr="00FD19A6" w:rsidRDefault="00A45843" w:rsidP="006D791B">
            <w:pPr>
              <w:pStyle w:val="NormalWeb"/>
              <w:rPr>
                <w:sz w:val="18"/>
                <w:szCs w:val="18"/>
                <w:lang w:val="en-GB"/>
              </w:rPr>
            </w:pPr>
            <w:r w:rsidRPr="00FD19A6">
              <w:rPr>
                <w:sz w:val="18"/>
                <w:szCs w:val="18"/>
                <w:lang w:val="en-GB"/>
              </w:rPr>
              <w:t>3.3</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6197A7F" w14:textId="77777777" w:rsidR="00A45843" w:rsidRPr="00FD19A6" w:rsidRDefault="00A45843" w:rsidP="006D791B">
            <w:pPr>
              <w:rPr>
                <w:sz w:val="18"/>
                <w:szCs w:val="18"/>
                <w:lang w:val="en-GB"/>
              </w:rPr>
            </w:pPr>
          </w:p>
        </w:tc>
      </w:tr>
      <w:tr w:rsidR="00A45843" w:rsidRPr="004B3C1E" w14:paraId="250EEBEC" w14:textId="77777777" w:rsidTr="004B3C1E">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0B2CA53" w14:textId="77777777" w:rsidR="00A45843" w:rsidRPr="004B3C1E" w:rsidRDefault="00A45843" w:rsidP="006D791B">
            <w:pPr>
              <w:pStyle w:val="NormalWeb"/>
              <w:jc w:val="left"/>
              <w:rPr>
                <w:b/>
                <w:bCs/>
                <w:sz w:val="18"/>
                <w:szCs w:val="18"/>
                <w:lang w:val="en-GB"/>
              </w:rPr>
            </w:pPr>
            <w:r w:rsidRPr="004B3C1E">
              <w:rPr>
                <w:b/>
                <w:bCs/>
                <w:sz w:val="18"/>
                <w:szCs w:val="18"/>
                <w:lang w:val="en-GB"/>
              </w:rPr>
              <w:t>Residents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60879CA" w14:textId="77777777" w:rsidR="00A45843" w:rsidRPr="004B3C1E" w:rsidRDefault="00A45843" w:rsidP="006D791B">
            <w:pPr>
              <w:pStyle w:val="NormalWeb"/>
              <w:rPr>
                <w:b/>
                <w:bCs/>
                <w:sz w:val="18"/>
                <w:szCs w:val="18"/>
                <w:lang w:val="en-GB"/>
              </w:rPr>
            </w:pPr>
            <w:r w:rsidRPr="004B3C1E">
              <w:rPr>
                <w:b/>
                <w:bCs/>
                <w:sz w:val="18"/>
                <w:szCs w:val="18"/>
                <w:lang w:val="en-GB"/>
              </w:rPr>
              <w:t>5,518</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E351798" w14:textId="77777777" w:rsidR="00A45843" w:rsidRPr="004B3C1E" w:rsidRDefault="00A45843" w:rsidP="006D791B">
            <w:pPr>
              <w:rPr>
                <w:b/>
                <w:bCs/>
                <w:sz w:val="18"/>
                <w:szCs w:val="18"/>
                <w:lang w:val="en-GB"/>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5D70607" w14:textId="77777777" w:rsidR="00A45843" w:rsidRPr="004B3C1E" w:rsidRDefault="00A45843" w:rsidP="006D791B">
            <w:pPr>
              <w:rPr>
                <w:rFonts w:eastAsia="Times New Roman"/>
                <w:b/>
                <w:bCs/>
                <w:sz w:val="18"/>
                <w:szCs w:val="18"/>
              </w:rPr>
            </w:pPr>
          </w:p>
        </w:tc>
      </w:tr>
      <w:tr w:rsidR="00A45843" w:rsidRPr="00FD19A6" w14:paraId="4430AA41"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87D8B1C" w14:textId="77777777" w:rsidR="00A45843" w:rsidRPr="00FD19A6" w:rsidRDefault="00A45843" w:rsidP="006D791B">
            <w:pPr>
              <w:pStyle w:val="NormalWeb"/>
              <w:jc w:val="left"/>
              <w:rPr>
                <w:sz w:val="18"/>
                <w:szCs w:val="18"/>
                <w:lang w:val="en-GB"/>
              </w:rPr>
            </w:pPr>
            <w:r w:rsidRPr="00FD19A6">
              <w:rPr>
                <w:sz w:val="18"/>
                <w:szCs w:val="18"/>
                <w:lang w:val="en-GB"/>
              </w:rPr>
              <w:t>Total number of resident cases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34E8ADD" w14:textId="77777777" w:rsidR="00A45843" w:rsidRPr="00FD19A6" w:rsidRDefault="00A45843" w:rsidP="006D791B">
            <w:pPr>
              <w:pStyle w:val="NormalWeb"/>
              <w:rPr>
                <w:sz w:val="18"/>
                <w:szCs w:val="18"/>
                <w:lang w:val="en-GB"/>
              </w:rPr>
            </w:pPr>
            <w:r w:rsidRPr="00FD19A6">
              <w:rPr>
                <w:sz w:val="18"/>
                <w:szCs w:val="18"/>
                <w:lang w:val="en-GB"/>
              </w:rPr>
              <w:t>644</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7320405" w14:textId="77777777" w:rsidR="00A45843" w:rsidRPr="00FD19A6" w:rsidRDefault="00A45843" w:rsidP="006D791B">
            <w:pPr>
              <w:pStyle w:val="NormalWeb"/>
              <w:rPr>
                <w:sz w:val="18"/>
                <w:szCs w:val="18"/>
                <w:lang w:val="en-GB"/>
              </w:rPr>
            </w:pPr>
            <w:r w:rsidRPr="00FD19A6">
              <w:rPr>
                <w:sz w:val="18"/>
                <w:szCs w:val="18"/>
                <w:lang w:val="en-GB"/>
              </w:rPr>
              <w:t>11.7</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4D11572" w14:textId="77777777" w:rsidR="00A45843" w:rsidRPr="00FD19A6" w:rsidRDefault="00A45843" w:rsidP="006D791B">
            <w:pPr>
              <w:rPr>
                <w:sz w:val="18"/>
                <w:szCs w:val="18"/>
                <w:lang w:val="en-GB"/>
              </w:rPr>
            </w:pPr>
          </w:p>
        </w:tc>
      </w:tr>
      <w:tr w:rsidR="00A45843" w:rsidRPr="00FD19A6" w14:paraId="580BEDB7"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A005269" w14:textId="77777777" w:rsidR="00A45843" w:rsidRPr="00FD19A6" w:rsidRDefault="00A45843" w:rsidP="006D791B">
            <w:pPr>
              <w:pStyle w:val="NormalWeb"/>
              <w:jc w:val="left"/>
              <w:rPr>
                <w:sz w:val="18"/>
                <w:szCs w:val="18"/>
                <w:lang w:val="en-GB"/>
              </w:rPr>
            </w:pPr>
            <w:r w:rsidRPr="00FD19A6">
              <w:rPr>
                <w:sz w:val="18"/>
                <w:szCs w:val="18"/>
                <w:lang w:val="en-GB"/>
              </w:rPr>
              <w:t>Median RACF case rate / 100 residents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96654F9" w14:textId="77777777" w:rsidR="00A45843" w:rsidRPr="00FD19A6" w:rsidRDefault="00A45843" w:rsidP="006D791B">
            <w:pPr>
              <w:pStyle w:val="NormalWeb"/>
              <w:rPr>
                <w:sz w:val="18"/>
                <w:szCs w:val="18"/>
                <w:lang w:val="en-GB"/>
              </w:rPr>
            </w:pPr>
            <w:r w:rsidRPr="00FD19A6">
              <w:rPr>
                <w:sz w:val="18"/>
                <w:szCs w:val="18"/>
                <w:lang w:val="en-GB"/>
              </w:rPr>
              <w:t>8.1</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5D68B3C" w14:textId="77777777" w:rsidR="00A45843" w:rsidRPr="00FD19A6" w:rsidRDefault="00A45843" w:rsidP="006D791B">
            <w:pPr>
              <w:rPr>
                <w:sz w:val="18"/>
                <w:szCs w:val="18"/>
                <w:lang w:val="en-GB"/>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2A827CF" w14:textId="77777777" w:rsidR="00A45843" w:rsidRPr="00FD19A6" w:rsidRDefault="00A45843" w:rsidP="006D791B">
            <w:pPr>
              <w:pStyle w:val="NormalWeb"/>
              <w:rPr>
                <w:sz w:val="18"/>
                <w:szCs w:val="18"/>
                <w:lang w:val="en-GB"/>
              </w:rPr>
            </w:pPr>
            <w:r w:rsidRPr="00FD19A6">
              <w:rPr>
                <w:sz w:val="18"/>
                <w:szCs w:val="18"/>
                <w:lang w:val="en-GB"/>
              </w:rPr>
              <w:t>0–68.2</w:t>
            </w:r>
          </w:p>
        </w:tc>
      </w:tr>
      <w:tr w:rsidR="00A45843" w:rsidRPr="00FD19A6" w14:paraId="2DADCDA1"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CAB6430" w14:textId="77777777" w:rsidR="00A45843" w:rsidRPr="00FD19A6" w:rsidRDefault="00A45843" w:rsidP="006D791B">
            <w:pPr>
              <w:pStyle w:val="NormalWeb"/>
              <w:jc w:val="left"/>
              <w:rPr>
                <w:sz w:val="18"/>
                <w:szCs w:val="18"/>
                <w:lang w:val="en-GB"/>
              </w:rPr>
            </w:pPr>
            <w:r w:rsidRPr="00FD19A6">
              <w:rPr>
                <w:sz w:val="18"/>
                <w:szCs w:val="18"/>
                <w:lang w:val="en-GB"/>
              </w:rPr>
              <w:t>Hospitalisations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62F760E" w14:textId="77777777" w:rsidR="00A45843" w:rsidRPr="00FD19A6" w:rsidRDefault="00A45843" w:rsidP="006D791B">
            <w:pPr>
              <w:pStyle w:val="NormalWeb"/>
              <w:rPr>
                <w:sz w:val="18"/>
                <w:szCs w:val="18"/>
                <w:lang w:val="en-GB"/>
              </w:rPr>
            </w:pPr>
            <w:r w:rsidRPr="00FD19A6">
              <w:rPr>
                <w:sz w:val="18"/>
                <w:szCs w:val="18"/>
                <w:lang w:val="en-GB"/>
              </w:rPr>
              <w:t>68/644</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55D0D126" w14:textId="77777777" w:rsidR="00A45843" w:rsidRPr="00FD19A6" w:rsidRDefault="00A45843" w:rsidP="006D791B">
            <w:pPr>
              <w:pStyle w:val="NormalWeb"/>
              <w:rPr>
                <w:sz w:val="18"/>
                <w:szCs w:val="18"/>
                <w:lang w:val="en-GB"/>
              </w:rPr>
            </w:pPr>
            <w:r w:rsidRPr="00FD19A6">
              <w:rPr>
                <w:sz w:val="18"/>
                <w:szCs w:val="18"/>
                <w:lang w:val="en-GB"/>
              </w:rPr>
              <w:t>10.6</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6F48562" w14:textId="77777777" w:rsidR="00A45843" w:rsidRPr="00FD19A6" w:rsidRDefault="00A45843" w:rsidP="006D791B">
            <w:pPr>
              <w:rPr>
                <w:sz w:val="18"/>
                <w:szCs w:val="18"/>
                <w:lang w:val="en-GB"/>
              </w:rPr>
            </w:pPr>
          </w:p>
        </w:tc>
      </w:tr>
      <w:tr w:rsidR="00A45843" w:rsidRPr="00FD19A6" w14:paraId="7DC64E65"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FB668D5" w14:textId="77777777" w:rsidR="00A45843" w:rsidRPr="00FD19A6" w:rsidRDefault="00A45843" w:rsidP="006D791B">
            <w:pPr>
              <w:pStyle w:val="NormalWeb"/>
              <w:jc w:val="left"/>
              <w:rPr>
                <w:sz w:val="18"/>
                <w:szCs w:val="18"/>
                <w:lang w:val="en-GB"/>
              </w:rPr>
            </w:pPr>
            <w:r w:rsidRPr="00FD19A6">
              <w:rPr>
                <w:sz w:val="18"/>
                <w:szCs w:val="18"/>
                <w:lang w:val="en-GB"/>
              </w:rPr>
              <w:t>Median RACF case hospitalisation rate / 100 cases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3E0C14C" w14:textId="77777777" w:rsidR="00A45843" w:rsidRPr="00FD19A6" w:rsidRDefault="00A45843" w:rsidP="006D791B">
            <w:pPr>
              <w:pStyle w:val="NormalWeb"/>
              <w:rPr>
                <w:sz w:val="18"/>
                <w:szCs w:val="18"/>
                <w:lang w:val="en-GB"/>
              </w:rPr>
            </w:pPr>
            <w:r w:rsidRPr="00FD19A6">
              <w:rPr>
                <w:sz w:val="18"/>
                <w:szCs w:val="18"/>
                <w:lang w:val="en-GB"/>
              </w:rPr>
              <w:t>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0643549" w14:textId="77777777" w:rsidR="00A45843" w:rsidRPr="00FD19A6" w:rsidRDefault="00A45843" w:rsidP="006D791B">
            <w:pPr>
              <w:rPr>
                <w:sz w:val="18"/>
                <w:szCs w:val="18"/>
                <w:lang w:val="en-GB"/>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F5CFF99" w14:textId="77777777" w:rsidR="00A45843" w:rsidRPr="00FD19A6" w:rsidRDefault="00A45843" w:rsidP="006D791B">
            <w:pPr>
              <w:pStyle w:val="NormalWeb"/>
              <w:rPr>
                <w:sz w:val="18"/>
                <w:szCs w:val="18"/>
                <w:lang w:val="en-GB"/>
              </w:rPr>
            </w:pPr>
            <w:r w:rsidRPr="00FD19A6">
              <w:rPr>
                <w:sz w:val="18"/>
                <w:szCs w:val="18"/>
                <w:lang w:val="en-GB"/>
              </w:rPr>
              <w:t>0–60.0</w:t>
            </w:r>
          </w:p>
        </w:tc>
      </w:tr>
      <w:tr w:rsidR="00A45843" w:rsidRPr="00FD19A6" w14:paraId="003BCBBA" w14:textId="77777777" w:rsidTr="0041267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BBA7346" w14:textId="77777777" w:rsidR="00A45843" w:rsidRPr="00FD19A6" w:rsidRDefault="00A45843" w:rsidP="006D791B">
            <w:pPr>
              <w:pStyle w:val="NormalWeb"/>
              <w:jc w:val="left"/>
              <w:rPr>
                <w:sz w:val="18"/>
                <w:szCs w:val="18"/>
                <w:lang w:val="en-GB"/>
              </w:rPr>
            </w:pPr>
            <w:r w:rsidRPr="00FD19A6">
              <w:rPr>
                <w:sz w:val="18"/>
                <w:szCs w:val="18"/>
                <w:lang w:val="en-GB"/>
              </w:rPr>
              <w:t>Deaths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AE5248F" w14:textId="77777777" w:rsidR="00A45843" w:rsidRPr="00FD19A6" w:rsidRDefault="00A45843" w:rsidP="006D791B">
            <w:pPr>
              <w:pStyle w:val="NormalWeb"/>
              <w:rPr>
                <w:sz w:val="18"/>
                <w:szCs w:val="18"/>
                <w:lang w:val="en-GB"/>
              </w:rPr>
            </w:pPr>
            <w:r w:rsidRPr="00FD19A6">
              <w:rPr>
                <w:sz w:val="18"/>
                <w:szCs w:val="18"/>
                <w:lang w:val="en-GB"/>
              </w:rPr>
              <w:t>42/644</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3B883E0" w14:textId="77777777" w:rsidR="00A45843" w:rsidRPr="00FD19A6" w:rsidRDefault="00A45843" w:rsidP="006D791B">
            <w:pPr>
              <w:pStyle w:val="NormalWeb"/>
              <w:rPr>
                <w:sz w:val="18"/>
                <w:szCs w:val="18"/>
                <w:lang w:val="en-GB"/>
              </w:rPr>
            </w:pPr>
            <w:r w:rsidRPr="00FD19A6">
              <w:rPr>
                <w:sz w:val="18"/>
                <w:szCs w:val="18"/>
                <w:lang w:val="en-GB"/>
              </w:rPr>
              <w:t>6.5</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8A80105" w14:textId="77777777" w:rsidR="00A45843" w:rsidRPr="00FD19A6" w:rsidRDefault="00A45843" w:rsidP="006D791B">
            <w:pPr>
              <w:rPr>
                <w:sz w:val="18"/>
                <w:szCs w:val="18"/>
                <w:lang w:val="en-GB"/>
              </w:rPr>
            </w:pPr>
          </w:p>
        </w:tc>
      </w:tr>
      <w:tr w:rsidR="00A45843" w:rsidRPr="00FD19A6" w14:paraId="788D75B8"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10346CF" w14:textId="77777777" w:rsidR="00A45843" w:rsidRPr="00FD19A6" w:rsidRDefault="00A45843" w:rsidP="006D791B">
            <w:pPr>
              <w:pStyle w:val="NormalWeb"/>
              <w:jc w:val="left"/>
              <w:rPr>
                <w:sz w:val="18"/>
                <w:szCs w:val="18"/>
                <w:lang w:val="en-GB"/>
              </w:rPr>
            </w:pPr>
            <w:r w:rsidRPr="00FD19A6">
              <w:rPr>
                <w:sz w:val="18"/>
                <w:szCs w:val="18"/>
                <w:lang w:val="en-GB"/>
              </w:rPr>
              <w:t>Median RACF case fatality rate / 100 cases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5C03B6E" w14:textId="77777777" w:rsidR="00A45843" w:rsidRPr="00FD19A6" w:rsidRDefault="00A45843" w:rsidP="006D791B">
            <w:pPr>
              <w:pStyle w:val="NormalWeb"/>
              <w:rPr>
                <w:sz w:val="18"/>
                <w:szCs w:val="18"/>
                <w:lang w:val="en-GB"/>
              </w:rPr>
            </w:pPr>
            <w:r w:rsidRPr="00FD19A6">
              <w:rPr>
                <w:sz w:val="18"/>
                <w:szCs w:val="18"/>
                <w:lang w:val="en-GB"/>
              </w:rPr>
              <w:t>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AB4D70F" w14:textId="77777777" w:rsidR="00A45843" w:rsidRPr="00FD19A6" w:rsidRDefault="00A45843" w:rsidP="006D791B">
            <w:pPr>
              <w:rPr>
                <w:sz w:val="18"/>
                <w:szCs w:val="18"/>
                <w:lang w:val="en-GB"/>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6AB66A5" w14:textId="77777777" w:rsidR="00A45843" w:rsidRPr="00FD19A6" w:rsidRDefault="00A45843" w:rsidP="006D791B">
            <w:pPr>
              <w:pStyle w:val="NormalWeb"/>
              <w:rPr>
                <w:sz w:val="18"/>
                <w:szCs w:val="18"/>
                <w:lang w:val="en-GB"/>
              </w:rPr>
            </w:pPr>
            <w:r w:rsidRPr="00FD19A6">
              <w:rPr>
                <w:sz w:val="18"/>
                <w:szCs w:val="18"/>
                <w:lang w:val="en-GB"/>
              </w:rPr>
              <w:t>0–20.0</w:t>
            </w:r>
          </w:p>
        </w:tc>
      </w:tr>
      <w:tr w:rsidR="00A45843" w:rsidRPr="004B3C1E" w14:paraId="74F08EA7" w14:textId="77777777" w:rsidTr="004B3C1E">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5EA135F" w14:textId="77777777" w:rsidR="00A45843" w:rsidRPr="004B3C1E" w:rsidRDefault="00A45843" w:rsidP="006D791B">
            <w:pPr>
              <w:pStyle w:val="NormalWeb"/>
              <w:jc w:val="left"/>
              <w:rPr>
                <w:b/>
                <w:bCs/>
                <w:sz w:val="18"/>
                <w:szCs w:val="18"/>
                <w:lang w:val="en-GB"/>
              </w:rPr>
            </w:pPr>
            <w:r w:rsidRPr="004B3C1E">
              <w:rPr>
                <w:b/>
                <w:bCs/>
                <w:sz w:val="18"/>
                <w:szCs w:val="18"/>
                <w:lang w:val="en-GB"/>
              </w:rPr>
              <w:t>Staff</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5FF60358" w14:textId="77777777" w:rsidR="00A45843" w:rsidRPr="004B3C1E" w:rsidRDefault="00A45843" w:rsidP="006D791B">
            <w:pPr>
              <w:pStyle w:val="NormalWeb"/>
              <w:rPr>
                <w:b/>
                <w:bCs/>
                <w:sz w:val="18"/>
                <w:szCs w:val="18"/>
                <w:lang w:val="en-GB"/>
              </w:rPr>
            </w:pPr>
            <w:r w:rsidRPr="004B3C1E">
              <w:rPr>
                <w:b/>
                <w:bCs/>
                <w:sz w:val="18"/>
                <w:szCs w:val="18"/>
                <w:lang w:val="en-GB"/>
              </w:rPr>
              <w:t>6,240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7BEB2D05" w14:textId="77777777" w:rsidR="00A45843" w:rsidRPr="004B3C1E" w:rsidRDefault="00A45843" w:rsidP="006D791B">
            <w:pPr>
              <w:rPr>
                <w:b/>
                <w:bCs/>
                <w:sz w:val="18"/>
                <w:szCs w:val="18"/>
                <w:lang w:val="en-GB"/>
              </w:rPr>
            </w:pP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82B01CB" w14:textId="77777777" w:rsidR="00A45843" w:rsidRPr="004B3C1E" w:rsidRDefault="00A45843" w:rsidP="006D791B">
            <w:pPr>
              <w:rPr>
                <w:rFonts w:eastAsia="Times New Roman"/>
                <w:b/>
                <w:bCs/>
                <w:sz w:val="18"/>
                <w:szCs w:val="18"/>
              </w:rPr>
            </w:pPr>
          </w:p>
        </w:tc>
      </w:tr>
      <w:tr w:rsidR="00A45843" w:rsidRPr="00FD19A6" w14:paraId="3540DC80" w14:textId="77777777" w:rsidTr="0041267F">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B9D8890" w14:textId="77777777" w:rsidR="00A45843" w:rsidRPr="00FD19A6" w:rsidRDefault="00A45843" w:rsidP="006D791B">
            <w:pPr>
              <w:pStyle w:val="NormalWeb"/>
              <w:jc w:val="left"/>
              <w:rPr>
                <w:sz w:val="18"/>
                <w:szCs w:val="18"/>
                <w:lang w:val="en-GB"/>
              </w:rPr>
            </w:pPr>
            <w:r w:rsidRPr="00FD19A6">
              <w:rPr>
                <w:sz w:val="18"/>
                <w:szCs w:val="18"/>
                <w:lang w:val="en-GB"/>
              </w:rPr>
              <w:t>Total number of staff cases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758CEBBA" w14:textId="77777777" w:rsidR="00A45843" w:rsidRPr="00FD19A6" w:rsidRDefault="00A45843" w:rsidP="006D791B">
            <w:pPr>
              <w:pStyle w:val="NormalWeb"/>
              <w:rPr>
                <w:sz w:val="18"/>
                <w:szCs w:val="18"/>
                <w:lang w:val="en-GB"/>
              </w:rPr>
            </w:pPr>
            <w:r w:rsidRPr="00FD19A6">
              <w:rPr>
                <w:sz w:val="18"/>
                <w:szCs w:val="18"/>
                <w:lang w:val="en-GB"/>
              </w:rPr>
              <w:t>1,060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A3C4298" w14:textId="77777777" w:rsidR="00A45843" w:rsidRPr="00FD19A6" w:rsidRDefault="00A45843" w:rsidP="006D791B">
            <w:pPr>
              <w:pStyle w:val="NormalWeb"/>
              <w:rPr>
                <w:sz w:val="18"/>
                <w:szCs w:val="18"/>
                <w:lang w:val="en-GB"/>
              </w:rPr>
            </w:pPr>
            <w:r w:rsidRPr="00FD19A6">
              <w:rPr>
                <w:sz w:val="18"/>
                <w:szCs w:val="18"/>
                <w:lang w:val="en-GB"/>
              </w:rPr>
              <w:t>17.0</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34D39D28" w14:textId="77777777" w:rsidR="00A45843" w:rsidRPr="00FD19A6" w:rsidRDefault="00A45843" w:rsidP="006D791B">
            <w:pPr>
              <w:rPr>
                <w:sz w:val="18"/>
                <w:szCs w:val="18"/>
                <w:lang w:val="en-GB"/>
              </w:rPr>
            </w:pPr>
          </w:p>
        </w:tc>
      </w:tr>
      <w:tr w:rsidR="00A45843" w:rsidRPr="00A2706F" w14:paraId="3B896130" w14:textId="77777777" w:rsidTr="00A2706F">
        <w:trPr>
          <w:cnfStyle w:val="000000010000" w:firstRow="0" w:lastRow="0" w:firstColumn="0" w:lastColumn="0" w:oddVBand="0" w:evenVBand="0" w:oddHBand="0" w:evenHBand="1" w:firstRowFirstColumn="0" w:firstRowLastColumn="0" w:lastRowFirstColumn="0" w:lastRowLastColumn="0"/>
        </w:trPr>
        <w:tc>
          <w:tcPr>
            <w:tcW w:w="58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1457F398" w14:textId="77777777" w:rsidR="00A45843" w:rsidRPr="00A2706F" w:rsidRDefault="00A45843" w:rsidP="006D791B">
            <w:pPr>
              <w:pStyle w:val="NormalWeb"/>
              <w:jc w:val="left"/>
              <w:rPr>
                <w:sz w:val="18"/>
                <w:szCs w:val="18"/>
                <w:lang w:val="en-GB"/>
              </w:rPr>
            </w:pPr>
            <w:r w:rsidRPr="00A2706F">
              <w:rPr>
                <w:sz w:val="18"/>
                <w:szCs w:val="18"/>
                <w:lang w:val="en-GB"/>
              </w:rPr>
              <w:t>Total number of staff deaths</w:t>
            </w:r>
          </w:p>
        </w:tc>
        <w:tc>
          <w:tcPr>
            <w:tcW w:w="155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0D28C093" w14:textId="77777777" w:rsidR="00A45843" w:rsidRPr="00A2706F" w:rsidRDefault="00A45843" w:rsidP="006D791B">
            <w:pPr>
              <w:pStyle w:val="NormalWeb"/>
              <w:rPr>
                <w:sz w:val="18"/>
                <w:szCs w:val="18"/>
                <w:lang w:val="en-GB"/>
              </w:rPr>
            </w:pPr>
            <w:r w:rsidRPr="00A2706F">
              <w:rPr>
                <w:sz w:val="18"/>
                <w:szCs w:val="18"/>
                <w:lang w:val="en-GB"/>
              </w:rPr>
              <w:t>0</w:t>
            </w:r>
          </w:p>
        </w:tc>
        <w:tc>
          <w:tcPr>
            <w:tcW w:w="14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6F707D46" w14:textId="77777777" w:rsidR="00A45843" w:rsidRPr="00A2706F" w:rsidRDefault="00A45843" w:rsidP="006D791B">
            <w:pPr>
              <w:pStyle w:val="NormalWeb"/>
              <w:rPr>
                <w:sz w:val="18"/>
                <w:szCs w:val="18"/>
                <w:lang w:val="en-GB"/>
              </w:rPr>
            </w:pPr>
            <w:r w:rsidRPr="00A2706F">
              <w:rPr>
                <w:sz w:val="18"/>
                <w:szCs w:val="18"/>
                <w:lang w:val="en-GB"/>
              </w:rPr>
              <w:t>0.0</w:t>
            </w:r>
          </w:p>
        </w:tc>
        <w:tc>
          <w:tcPr>
            <w:tcW w:w="1651"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hideMark/>
          </w:tcPr>
          <w:p w14:paraId="4982D745" w14:textId="77777777" w:rsidR="00A45843" w:rsidRPr="00A2706F" w:rsidRDefault="00A45843" w:rsidP="006D791B">
            <w:pPr>
              <w:rPr>
                <w:sz w:val="18"/>
                <w:szCs w:val="18"/>
                <w:lang w:val="en-GB"/>
              </w:rPr>
            </w:pPr>
          </w:p>
        </w:tc>
      </w:tr>
    </w:tbl>
    <w:p w14:paraId="71EDEAB4" w14:textId="77777777" w:rsidR="006C7B34" w:rsidRDefault="006C7B34" w:rsidP="00717541">
      <w:pPr>
        <w:pStyle w:val="Heading2"/>
      </w:pPr>
    </w:p>
    <w:p w14:paraId="13E66DBB" w14:textId="77777777" w:rsidR="006C7B34" w:rsidRDefault="006C7B34">
      <w:pPr>
        <w:rPr>
          <w:rFonts w:asciiTheme="majorHAnsi" w:eastAsiaTheme="majorEastAsia" w:hAnsiTheme="majorHAnsi" w:cstheme="majorBidi"/>
          <w:b/>
          <w:bCs/>
          <w:sz w:val="26"/>
          <w:szCs w:val="26"/>
        </w:rPr>
      </w:pPr>
      <w:r>
        <w:br w:type="page"/>
      </w:r>
    </w:p>
    <w:p w14:paraId="0A0C6705" w14:textId="77777777" w:rsidR="006C7B34" w:rsidRPr="00FD19A6" w:rsidRDefault="006C7B34" w:rsidP="006C7B34">
      <w:pPr>
        <w:pStyle w:val="CDIFigures"/>
      </w:pPr>
      <w:r w:rsidRPr="00FD19A6">
        <w:rPr>
          <w:rStyle w:val="Strong"/>
          <w:b/>
          <w:bCs w:val="0"/>
        </w:rPr>
        <w:lastRenderedPageBreak/>
        <w:t xml:space="preserve">Figure 2: Cases of COVID-19 in RACF residents by </w:t>
      </w:r>
      <w:proofErr w:type="gramStart"/>
      <w:r w:rsidRPr="00FD19A6">
        <w:rPr>
          <w:rStyle w:val="Strong"/>
          <w:b/>
          <w:bCs w:val="0"/>
        </w:rPr>
        <w:t>initial</w:t>
      </w:r>
      <w:proofErr w:type="gramEnd"/>
      <w:r w:rsidRPr="00FD19A6">
        <w:rPr>
          <w:rStyle w:val="Strong"/>
          <w:b/>
          <w:bCs w:val="0"/>
        </w:rPr>
        <w:t xml:space="preserve"> specimen collection date, Gold Coast, 13 December 2021 – 12 February 2022</w:t>
      </w:r>
    </w:p>
    <w:p w14:paraId="18D8D441" w14:textId="77777777" w:rsidR="006C7B34" w:rsidRDefault="006C7B34" w:rsidP="006C7B34">
      <w:pPr>
        <w:rPr>
          <w:rFonts w:eastAsia="Times New Roman"/>
          <w:lang w:val="en-GB"/>
        </w:rPr>
      </w:pPr>
      <w:r>
        <w:rPr>
          <w:rFonts w:eastAsia="Times New Roman"/>
          <w:noProof/>
          <w:lang w:val="en-GB"/>
        </w:rPr>
        <w:drawing>
          <wp:inline distT="0" distB="0" distL="0" distR="0" wp14:anchorId="5153863F" wp14:editId="0166B8AE">
            <wp:extent cx="6511442" cy="4244472"/>
            <wp:effectExtent l="0" t="0" r="3810" b="3810"/>
            <wp:docPr id="2" name="Picture 2" descr="Bar chart showing cases of SARS-CoV-2 in residential aged care residents by specimen collection date. The notifications follow a typical epidemic curve, with notifications peaking on 24 January 2022 and then gradually declining at the end of the study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cases of SARS-CoV-2 in residential aged care residents by specimen collection date. The notifications follow a typical epidemic curve, with notifications peaking on 24 January 2022 and then gradually declining at the end of the study period.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514441" cy="4246427"/>
                    </a:xfrm>
                    <a:prstGeom prst="rect">
                      <a:avLst/>
                    </a:prstGeom>
                  </pic:spPr>
                </pic:pic>
              </a:graphicData>
            </a:graphic>
          </wp:inline>
        </w:drawing>
      </w:r>
    </w:p>
    <w:p w14:paraId="41C428F2" w14:textId="77777777" w:rsidR="002558D8" w:rsidRDefault="002558D8">
      <w:pPr>
        <w:rPr>
          <w:rStyle w:val="Strong"/>
          <w:bCs w:val="0"/>
        </w:rPr>
      </w:pPr>
      <w:r>
        <w:rPr>
          <w:rStyle w:val="Strong"/>
          <w:b w:val="0"/>
          <w:bCs w:val="0"/>
        </w:rPr>
        <w:br w:type="page"/>
      </w:r>
    </w:p>
    <w:p w14:paraId="57B5F511" w14:textId="0D66F4A5" w:rsidR="00E55541" w:rsidRPr="00FD19A6" w:rsidRDefault="00E55541" w:rsidP="00E55541">
      <w:pPr>
        <w:pStyle w:val="CDIFigures"/>
      </w:pPr>
      <w:r w:rsidRPr="00FD19A6">
        <w:rPr>
          <w:rStyle w:val="Strong"/>
          <w:b/>
          <w:bCs w:val="0"/>
        </w:rPr>
        <w:lastRenderedPageBreak/>
        <w:t>Table 2: Selected characteristics of cases of COVID-19 in RACF residents (N = 641), by vaccination status, Gold Coast Hospital and Health Service, Queensland, 13 December 2021 – 12 February 2022</w:t>
      </w:r>
      <w:r w:rsidRPr="00FD19A6">
        <w:rPr>
          <w:rStyle w:val="Strong"/>
          <w:b/>
          <w:bCs w:val="0"/>
          <w:vertAlign w:val="superscript"/>
        </w:rPr>
        <w:t>a</w:t>
      </w:r>
    </w:p>
    <w:tbl>
      <w:tblPr>
        <w:tblStyle w:val="CDI-StandardTable"/>
        <w:tblW w:w="0" w:type="auto"/>
        <w:tblCellMar>
          <w:top w:w="113" w:type="dxa"/>
          <w:bottom w:w="113" w:type="dxa"/>
        </w:tblCellMar>
        <w:tblLook w:val="04A0" w:firstRow="1" w:lastRow="0" w:firstColumn="1" w:lastColumn="0" w:noHBand="0" w:noVBand="1"/>
        <w:tblDescription w:val="Table 2 shows the number and proportion of resident cases by vaccination status and specific characteristics, including age, hospitalisation, and deaths. "/>
      </w:tblPr>
      <w:tblGrid>
        <w:gridCol w:w="1560"/>
        <w:gridCol w:w="1417"/>
        <w:gridCol w:w="1276"/>
        <w:gridCol w:w="690"/>
        <w:gridCol w:w="1422"/>
        <w:gridCol w:w="1175"/>
        <w:gridCol w:w="1526"/>
        <w:gridCol w:w="1400"/>
      </w:tblGrid>
      <w:tr w:rsidR="00E55541" w:rsidRPr="0006354B" w14:paraId="2C0FD19C" w14:textId="77777777" w:rsidTr="006D791B">
        <w:trPr>
          <w:cnfStyle w:val="100000000000" w:firstRow="1" w:lastRow="0" w:firstColumn="0" w:lastColumn="0" w:oddVBand="0" w:evenVBand="0" w:oddHBand="0" w:evenHBand="0" w:firstRowFirstColumn="0" w:firstRowLastColumn="0" w:lastRowFirstColumn="0" w:lastRowLastColumn="0"/>
          <w:tblHeader/>
        </w:trPr>
        <w:tc>
          <w:tcPr>
            <w:tcW w:w="2977" w:type="dxa"/>
            <w:gridSpan w:val="2"/>
            <w:vMerge w:val="restart"/>
            <w:hideMark/>
          </w:tcPr>
          <w:p w14:paraId="7A876EE1" w14:textId="77777777" w:rsidR="00E55541" w:rsidRPr="0006354B" w:rsidRDefault="00E55541" w:rsidP="006D791B">
            <w:pPr>
              <w:pStyle w:val="NormalWeb"/>
              <w:jc w:val="left"/>
              <w:rPr>
                <w:sz w:val="18"/>
                <w:szCs w:val="18"/>
                <w:lang w:val="en-GB"/>
              </w:rPr>
            </w:pPr>
            <w:r w:rsidRPr="0006354B">
              <w:rPr>
                <w:sz w:val="18"/>
                <w:szCs w:val="18"/>
                <w:lang w:val="en-GB"/>
              </w:rPr>
              <w:t>Characteristic</w:t>
            </w:r>
          </w:p>
        </w:tc>
        <w:tc>
          <w:tcPr>
            <w:tcW w:w="7489" w:type="dxa"/>
            <w:gridSpan w:val="6"/>
            <w:hideMark/>
          </w:tcPr>
          <w:p w14:paraId="38B5A88C" w14:textId="77777777" w:rsidR="00E55541" w:rsidRPr="0006354B" w:rsidRDefault="00E55541" w:rsidP="006D791B">
            <w:pPr>
              <w:pStyle w:val="NormalWeb"/>
              <w:rPr>
                <w:sz w:val="18"/>
                <w:szCs w:val="18"/>
                <w:lang w:val="en-GB"/>
              </w:rPr>
            </w:pPr>
            <w:r w:rsidRPr="0006354B">
              <w:rPr>
                <w:sz w:val="18"/>
                <w:szCs w:val="18"/>
                <w:lang w:val="en-GB"/>
              </w:rPr>
              <w:t>Vaccination status</w:t>
            </w:r>
          </w:p>
        </w:tc>
      </w:tr>
      <w:tr w:rsidR="00E55541" w:rsidRPr="0006354B" w14:paraId="55F07675" w14:textId="77777777" w:rsidTr="006D791B">
        <w:trPr>
          <w:cnfStyle w:val="100000000000" w:firstRow="1" w:lastRow="0" w:firstColumn="0" w:lastColumn="0" w:oddVBand="0" w:evenVBand="0" w:oddHBand="0" w:evenHBand="0" w:firstRowFirstColumn="0" w:firstRowLastColumn="0" w:lastRowFirstColumn="0" w:lastRowLastColumn="0"/>
          <w:tblHeader/>
        </w:trPr>
        <w:tc>
          <w:tcPr>
            <w:tcW w:w="2977" w:type="dxa"/>
            <w:gridSpan w:val="2"/>
            <w:vMerge/>
            <w:hideMark/>
          </w:tcPr>
          <w:p w14:paraId="75E923D6" w14:textId="77777777" w:rsidR="00E55541" w:rsidRPr="0006354B" w:rsidRDefault="00E55541" w:rsidP="006D791B">
            <w:pPr>
              <w:jc w:val="left"/>
              <w:rPr>
                <w:sz w:val="18"/>
                <w:szCs w:val="18"/>
                <w:lang w:val="en-GB"/>
              </w:rPr>
            </w:pPr>
          </w:p>
        </w:tc>
        <w:tc>
          <w:tcPr>
            <w:tcW w:w="1966" w:type="dxa"/>
            <w:gridSpan w:val="2"/>
            <w:hideMark/>
          </w:tcPr>
          <w:p w14:paraId="0C10C49A" w14:textId="77777777" w:rsidR="00E55541" w:rsidRPr="0006354B" w:rsidRDefault="00E55541" w:rsidP="006D791B">
            <w:pPr>
              <w:pStyle w:val="NormalWeb"/>
              <w:rPr>
                <w:sz w:val="18"/>
                <w:szCs w:val="18"/>
                <w:lang w:val="en-GB"/>
              </w:rPr>
            </w:pPr>
            <w:r w:rsidRPr="0006354B">
              <w:rPr>
                <w:sz w:val="18"/>
                <w:szCs w:val="18"/>
                <w:lang w:val="en-GB"/>
              </w:rPr>
              <w:t>Under-vaccinated</w:t>
            </w:r>
          </w:p>
        </w:tc>
        <w:tc>
          <w:tcPr>
            <w:tcW w:w="2597" w:type="dxa"/>
            <w:gridSpan w:val="2"/>
            <w:hideMark/>
          </w:tcPr>
          <w:p w14:paraId="7A530529" w14:textId="77777777" w:rsidR="00E55541" w:rsidRPr="0006354B" w:rsidRDefault="00E55541" w:rsidP="006D791B">
            <w:pPr>
              <w:pStyle w:val="NormalWeb"/>
              <w:rPr>
                <w:sz w:val="18"/>
                <w:szCs w:val="18"/>
                <w:lang w:val="en-GB"/>
              </w:rPr>
            </w:pPr>
            <w:r w:rsidRPr="0006354B">
              <w:rPr>
                <w:sz w:val="18"/>
                <w:szCs w:val="18"/>
                <w:lang w:val="en-GB"/>
              </w:rPr>
              <w:t>Fully vaccinated without booster</w:t>
            </w:r>
          </w:p>
        </w:tc>
        <w:tc>
          <w:tcPr>
            <w:tcW w:w="2926" w:type="dxa"/>
            <w:gridSpan w:val="2"/>
            <w:hideMark/>
          </w:tcPr>
          <w:p w14:paraId="5DF9DF18" w14:textId="77777777" w:rsidR="00E55541" w:rsidRPr="0006354B" w:rsidRDefault="00E55541" w:rsidP="006D791B">
            <w:pPr>
              <w:pStyle w:val="NormalWeb"/>
              <w:rPr>
                <w:sz w:val="18"/>
                <w:szCs w:val="18"/>
                <w:lang w:val="en-GB"/>
              </w:rPr>
            </w:pPr>
            <w:r w:rsidRPr="0006354B">
              <w:rPr>
                <w:sz w:val="18"/>
                <w:szCs w:val="18"/>
                <w:lang w:val="en-GB"/>
              </w:rPr>
              <w:t>Fully vaccinated with booster</w:t>
            </w:r>
          </w:p>
        </w:tc>
      </w:tr>
      <w:tr w:rsidR="00E55541" w:rsidRPr="0006354B" w14:paraId="260B4F2F" w14:textId="77777777" w:rsidTr="006D791B">
        <w:trPr>
          <w:cnfStyle w:val="100000000000" w:firstRow="1" w:lastRow="0" w:firstColumn="0" w:lastColumn="0" w:oddVBand="0" w:evenVBand="0" w:oddHBand="0" w:evenHBand="0" w:firstRowFirstColumn="0" w:firstRowLastColumn="0" w:lastRowFirstColumn="0" w:lastRowLastColumn="0"/>
          <w:tblHeader/>
        </w:trPr>
        <w:tc>
          <w:tcPr>
            <w:tcW w:w="2977" w:type="dxa"/>
            <w:gridSpan w:val="2"/>
            <w:vMerge/>
            <w:tcBorders>
              <w:bottom w:val="single" w:sz="4" w:space="0" w:color="0D0D0D" w:themeColor="text1" w:themeTint="F2"/>
            </w:tcBorders>
            <w:hideMark/>
          </w:tcPr>
          <w:p w14:paraId="04FD3F13" w14:textId="77777777" w:rsidR="00E55541" w:rsidRPr="0006354B" w:rsidRDefault="00E55541" w:rsidP="006D791B">
            <w:pPr>
              <w:jc w:val="left"/>
              <w:rPr>
                <w:sz w:val="18"/>
                <w:szCs w:val="18"/>
                <w:lang w:val="en-GB"/>
              </w:rPr>
            </w:pPr>
          </w:p>
        </w:tc>
        <w:tc>
          <w:tcPr>
            <w:tcW w:w="1276" w:type="dxa"/>
            <w:tcBorders>
              <w:bottom w:val="single" w:sz="4" w:space="0" w:color="0D0D0D" w:themeColor="text1" w:themeTint="F2"/>
            </w:tcBorders>
            <w:hideMark/>
          </w:tcPr>
          <w:p w14:paraId="026963D8" w14:textId="77777777" w:rsidR="00E55541" w:rsidRPr="0006354B" w:rsidRDefault="00E55541" w:rsidP="006D791B">
            <w:pPr>
              <w:pStyle w:val="NormalWeb"/>
              <w:rPr>
                <w:sz w:val="18"/>
                <w:szCs w:val="18"/>
                <w:lang w:val="en-GB"/>
              </w:rPr>
            </w:pPr>
            <w:r w:rsidRPr="0006354B">
              <w:rPr>
                <w:sz w:val="18"/>
                <w:szCs w:val="18"/>
                <w:lang w:val="en-GB"/>
              </w:rPr>
              <w:t>n</w:t>
            </w:r>
          </w:p>
        </w:tc>
        <w:tc>
          <w:tcPr>
            <w:tcW w:w="690" w:type="dxa"/>
            <w:tcBorders>
              <w:bottom w:val="single" w:sz="4" w:space="0" w:color="0D0D0D" w:themeColor="text1" w:themeTint="F2"/>
            </w:tcBorders>
            <w:hideMark/>
          </w:tcPr>
          <w:p w14:paraId="202801D4" w14:textId="77777777" w:rsidR="00E55541" w:rsidRPr="0006354B" w:rsidRDefault="00E55541" w:rsidP="006D791B">
            <w:pPr>
              <w:pStyle w:val="NormalWeb"/>
              <w:rPr>
                <w:sz w:val="18"/>
                <w:szCs w:val="18"/>
                <w:lang w:val="en-GB"/>
              </w:rPr>
            </w:pPr>
            <w:r w:rsidRPr="0006354B">
              <w:rPr>
                <w:sz w:val="18"/>
                <w:szCs w:val="18"/>
                <w:lang w:val="en-GB"/>
              </w:rPr>
              <w:t>%</w:t>
            </w:r>
            <w:r w:rsidRPr="0006354B">
              <w:rPr>
                <w:sz w:val="18"/>
                <w:szCs w:val="18"/>
                <w:vertAlign w:val="superscript"/>
                <w:lang w:val="en-GB"/>
              </w:rPr>
              <w:t>b</w:t>
            </w:r>
          </w:p>
        </w:tc>
        <w:tc>
          <w:tcPr>
            <w:tcW w:w="1422" w:type="dxa"/>
            <w:tcBorders>
              <w:bottom w:val="single" w:sz="4" w:space="0" w:color="0D0D0D" w:themeColor="text1" w:themeTint="F2"/>
            </w:tcBorders>
            <w:hideMark/>
          </w:tcPr>
          <w:p w14:paraId="39DAE9E0" w14:textId="77777777" w:rsidR="00E55541" w:rsidRPr="0006354B" w:rsidRDefault="00E55541" w:rsidP="006D791B">
            <w:pPr>
              <w:pStyle w:val="NormalWeb"/>
              <w:rPr>
                <w:sz w:val="18"/>
                <w:szCs w:val="18"/>
                <w:lang w:val="en-GB"/>
              </w:rPr>
            </w:pPr>
            <w:r w:rsidRPr="0006354B">
              <w:rPr>
                <w:sz w:val="18"/>
                <w:szCs w:val="18"/>
                <w:lang w:val="en-GB"/>
              </w:rPr>
              <w:t>n</w:t>
            </w:r>
          </w:p>
        </w:tc>
        <w:tc>
          <w:tcPr>
            <w:tcW w:w="1175" w:type="dxa"/>
            <w:tcBorders>
              <w:bottom w:val="single" w:sz="4" w:space="0" w:color="0D0D0D" w:themeColor="text1" w:themeTint="F2"/>
            </w:tcBorders>
            <w:hideMark/>
          </w:tcPr>
          <w:p w14:paraId="1E4B0846" w14:textId="77777777" w:rsidR="00E55541" w:rsidRPr="0006354B" w:rsidRDefault="00E55541" w:rsidP="006D791B">
            <w:pPr>
              <w:pStyle w:val="NormalWeb"/>
              <w:rPr>
                <w:sz w:val="18"/>
                <w:szCs w:val="18"/>
                <w:lang w:val="en-GB"/>
              </w:rPr>
            </w:pPr>
            <w:r w:rsidRPr="0006354B">
              <w:rPr>
                <w:sz w:val="18"/>
                <w:szCs w:val="18"/>
                <w:lang w:val="en-GB"/>
              </w:rPr>
              <w:t>%</w:t>
            </w:r>
            <w:r w:rsidRPr="0006354B">
              <w:rPr>
                <w:sz w:val="18"/>
                <w:szCs w:val="18"/>
                <w:vertAlign w:val="superscript"/>
                <w:lang w:val="en-GB"/>
              </w:rPr>
              <w:t>b</w:t>
            </w:r>
          </w:p>
        </w:tc>
        <w:tc>
          <w:tcPr>
            <w:tcW w:w="1526" w:type="dxa"/>
            <w:tcBorders>
              <w:bottom w:val="single" w:sz="4" w:space="0" w:color="0D0D0D" w:themeColor="text1" w:themeTint="F2"/>
            </w:tcBorders>
            <w:hideMark/>
          </w:tcPr>
          <w:p w14:paraId="3F892D5C" w14:textId="77777777" w:rsidR="00E55541" w:rsidRPr="0006354B" w:rsidRDefault="00E55541" w:rsidP="006D791B">
            <w:pPr>
              <w:pStyle w:val="NormalWeb"/>
              <w:rPr>
                <w:sz w:val="18"/>
                <w:szCs w:val="18"/>
                <w:lang w:val="en-GB"/>
              </w:rPr>
            </w:pPr>
            <w:r w:rsidRPr="0006354B">
              <w:rPr>
                <w:sz w:val="18"/>
                <w:szCs w:val="18"/>
                <w:lang w:val="en-GB"/>
              </w:rPr>
              <w:t>n</w:t>
            </w:r>
          </w:p>
        </w:tc>
        <w:tc>
          <w:tcPr>
            <w:tcW w:w="1400" w:type="dxa"/>
            <w:tcBorders>
              <w:bottom w:val="single" w:sz="4" w:space="0" w:color="0D0D0D" w:themeColor="text1" w:themeTint="F2"/>
            </w:tcBorders>
            <w:hideMark/>
          </w:tcPr>
          <w:p w14:paraId="0C9E0AA7" w14:textId="77777777" w:rsidR="00E55541" w:rsidRPr="0006354B" w:rsidRDefault="00E55541" w:rsidP="006D791B">
            <w:pPr>
              <w:pStyle w:val="NormalWeb"/>
              <w:rPr>
                <w:sz w:val="18"/>
                <w:szCs w:val="18"/>
                <w:lang w:val="en-GB"/>
              </w:rPr>
            </w:pPr>
            <w:r w:rsidRPr="0006354B">
              <w:rPr>
                <w:sz w:val="18"/>
                <w:szCs w:val="18"/>
                <w:lang w:val="en-GB"/>
              </w:rPr>
              <w:t>%</w:t>
            </w:r>
            <w:r w:rsidRPr="0006354B">
              <w:rPr>
                <w:sz w:val="18"/>
                <w:szCs w:val="18"/>
                <w:vertAlign w:val="superscript"/>
                <w:lang w:val="en-GB"/>
              </w:rPr>
              <w:t>b</w:t>
            </w:r>
          </w:p>
        </w:tc>
      </w:tr>
      <w:tr w:rsidR="00E55541" w:rsidRPr="00967E9C" w14:paraId="7E04A4AA" w14:textId="77777777" w:rsidTr="002558D8">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1AE97F7D" w14:textId="77777777" w:rsidR="00E55541" w:rsidRPr="00967E9C" w:rsidRDefault="00E55541" w:rsidP="006D791B">
            <w:pPr>
              <w:pStyle w:val="NormalWeb"/>
              <w:jc w:val="left"/>
              <w:rPr>
                <w:b/>
                <w:bCs/>
                <w:sz w:val="18"/>
                <w:szCs w:val="18"/>
                <w:lang w:val="en-GB"/>
              </w:rPr>
            </w:pPr>
            <w:r w:rsidRPr="00967E9C">
              <w:rPr>
                <w:b/>
                <w:bCs/>
                <w:sz w:val="18"/>
                <w:szCs w:val="18"/>
                <w:lang w:val="en-GB"/>
              </w:rPr>
              <w:t>Total number of cases</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ACCA7D8" w14:textId="77777777" w:rsidR="00E55541" w:rsidRPr="00967E9C" w:rsidRDefault="00E55541" w:rsidP="006D791B">
            <w:pPr>
              <w:pStyle w:val="NormalWeb"/>
              <w:rPr>
                <w:b/>
                <w:bCs/>
                <w:sz w:val="18"/>
                <w:szCs w:val="18"/>
                <w:lang w:val="en-GB"/>
              </w:rPr>
            </w:pPr>
            <w:r w:rsidRPr="00967E9C">
              <w:rPr>
                <w:b/>
                <w:bCs/>
                <w:sz w:val="18"/>
                <w:szCs w:val="18"/>
                <w:lang w:val="en-GB"/>
              </w:rPr>
              <w:t>77/641</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84FBD3E" w14:textId="77777777" w:rsidR="00E55541" w:rsidRPr="00967E9C" w:rsidRDefault="00E55541" w:rsidP="006D791B">
            <w:pPr>
              <w:pStyle w:val="NormalWeb"/>
              <w:rPr>
                <w:b/>
                <w:bCs/>
                <w:sz w:val="18"/>
                <w:szCs w:val="18"/>
                <w:lang w:val="en-GB"/>
              </w:rPr>
            </w:pPr>
            <w:r w:rsidRPr="00967E9C">
              <w:rPr>
                <w:b/>
                <w:bCs/>
                <w:sz w:val="18"/>
                <w:szCs w:val="18"/>
                <w:lang w:val="en-GB"/>
              </w:rPr>
              <w:t>12.0</w:t>
            </w:r>
            <w:r w:rsidRPr="00967E9C">
              <w:rPr>
                <w:b/>
                <w:bCs/>
                <w:sz w:val="18"/>
                <w:szCs w:val="18"/>
                <w:vertAlign w:val="superscript"/>
                <w:lang w:val="en-GB"/>
              </w:rPr>
              <w:t>c</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561BE111" w14:textId="77777777" w:rsidR="00E55541" w:rsidRPr="00967E9C" w:rsidRDefault="00E55541" w:rsidP="006D791B">
            <w:pPr>
              <w:pStyle w:val="NormalWeb"/>
              <w:rPr>
                <w:b/>
                <w:bCs/>
                <w:sz w:val="18"/>
                <w:szCs w:val="18"/>
                <w:lang w:val="en-GB"/>
              </w:rPr>
            </w:pPr>
            <w:r w:rsidRPr="00967E9C">
              <w:rPr>
                <w:b/>
                <w:bCs/>
                <w:sz w:val="18"/>
                <w:szCs w:val="18"/>
                <w:lang w:val="en-GB"/>
              </w:rPr>
              <w:t>484/641</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06963873" w14:textId="77777777" w:rsidR="00E55541" w:rsidRPr="00967E9C" w:rsidRDefault="00E55541" w:rsidP="006D791B">
            <w:pPr>
              <w:pStyle w:val="NormalWeb"/>
              <w:rPr>
                <w:b/>
                <w:bCs/>
                <w:sz w:val="18"/>
                <w:szCs w:val="18"/>
                <w:lang w:val="en-GB"/>
              </w:rPr>
            </w:pPr>
            <w:r w:rsidRPr="00967E9C">
              <w:rPr>
                <w:b/>
                <w:bCs/>
                <w:sz w:val="18"/>
                <w:szCs w:val="18"/>
                <w:lang w:val="en-GB"/>
              </w:rPr>
              <w:t>75.5</w:t>
            </w:r>
            <w:r w:rsidRPr="00967E9C">
              <w:rPr>
                <w:b/>
                <w:bCs/>
                <w:sz w:val="18"/>
                <w:szCs w:val="18"/>
                <w:vertAlign w:val="superscript"/>
                <w:lang w:val="en-GB"/>
              </w:rPr>
              <w:t>c</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4C003D23" w14:textId="77777777" w:rsidR="00E55541" w:rsidRPr="00967E9C" w:rsidRDefault="00E55541" w:rsidP="006D791B">
            <w:pPr>
              <w:pStyle w:val="NormalWeb"/>
              <w:rPr>
                <w:b/>
                <w:bCs/>
                <w:sz w:val="18"/>
                <w:szCs w:val="18"/>
                <w:lang w:val="en-GB"/>
              </w:rPr>
            </w:pPr>
            <w:r w:rsidRPr="00967E9C">
              <w:rPr>
                <w:b/>
                <w:bCs/>
                <w:sz w:val="18"/>
                <w:szCs w:val="18"/>
                <w:lang w:val="en-GB"/>
              </w:rPr>
              <w:t>80/641</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40364BBF" w14:textId="77777777" w:rsidR="00E55541" w:rsidRPr="00967E9C" w:rsidRDefault="00E55541" w:rsidP="006D791B">
            <w:pPr>
              <w:pStyle w:val="NormalWeb"/>
              <w:rPr>
                <w:b/>
                <w:bCs/>
                <w:sz w:val="18"/>
                <w:szCs w:val="18"/>
                <w:lang w:val="en-GB"/>
              </w:rPr>
            </w:pPr>
            <w:r w:rsidRPr="00967E9C">
              <w:rPr>
                <w:b/>
                <w:bCs/>
                <w:sz w:val="18"/>
                <w:szCs w:val="18"/>
                <w:lang w:val="en-GB"/>
              </w:rPr>
              <w:t>12.5</w:t>
            </w:r>
            <w:r w:rsidRPr="00967E9C">
              <w:rPr>
                <w:b/>
                <w:bCs/>
                <w:sz w:val="18"/>
                <w:szCs w:val="18"/>
                <w:vertAlign w:val="superscript"/>
                <w:lang w:val="en-GB"/>
              </w:rPr>
              <w:t>c</w:t>
            </w:r>
          </w:p>
        </w:tc>
      </w:tr>
      <w:tr w:rsidR="00E55541" w:rsidRPr="002558D8" w14:paraId="60FC07D2" w14:textId="77777777" w:rsidTr="002558D8">
        <w:trPr>
          <w:cnfStyle w:val="000000010000" w:firstRow="0" w:lastRow="0" w:firstColumn="0" w:lastColumn="0" w:oddVBand="0" w:evenVBand="0" w:oddHBand="0" w:evenHBand="1" w:firstRowFirstColumn="0" w:firstRowLastColumn="0" w:lastRowFirstColumn="0" w:lastRowLastColumn="0"/>
        </w:trPr>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132E1C80" w14:textId="77777777" w:rsidR="00E55541" w:rsidRPr="002558D8" w:rsidRDefault="00E55541" w:rsidP="006D791B">
            <w:pPr>
              <w:pStyle w:val="NormalWeb"/>
              <w:jc w:val="left"/>
              <w:rPr>
                <w:b/>
                <w:bCs/>
                <w:sz w:val="18"/>
                <w:szCs w:val="18"/>
                <w:lang w:val="en-GB"/>
              </w:rPr>
            </w:pPr>
            <w:r w:rsidRPr="002558D8">
              <w:rPr>
                <w:b/>
                <w:bCs/>
                <w:sz w:val="18"/>
                <w:szCs w:val="18"/>
                <w:lang w:val="en-GB"/>
              </w:rPr>
              <w:t>Median age in years</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B080F06" w14:textId="77777777" w:rsidR="00E55541" w:rsidRPr="002558D8" w:rsidRDefault="00E55541" w:rsidP="006D791B">
            <w:pPr>
              <w:pStyle w:val="NormalWeb"/>
              <w:rPr>
                <w:b/>
                <w:bCs/>
                <w:sz w:val="18"/>
                <w:szCs w:val="18"/>
                <w:lang w:val="en-GB"/>
              </w:rPr>
            </w:pPr>
            <w:r w:rsidRPr="002558D8">
              <w:rPr>
                <w:b/>
                <w:bCs/>
                <w:sz w:val="18"/>
                <w:szCs w:val="18"/>
                <w:lang w:val="en-GB"/>
              </w:rPr>
              <w:t>83</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F353FAF" w14:textId="77777777" w:rsidR="00E55541" w:rsidRPr="002558D8" w:rsidRDefault="00E55541" w:rsidP="006D791B">
            <w:pPr>
              <w:pStyle w:val="NormalWeb"/>
              <w:rPr>
                <w:b/>
                <w:bCs/>
                <w:sz w:val="18"/>
                <w:szCs w:val="18"/>
                <w:lang w:val="en-GB"/>
              </w:rPr>
            </w:pPr>
            <w:r w:rsidRPr="002558D8">
              <w:rPr>
                <w:b/>
                <w:bCs/>
                <w:sz w:val="18"/>
                <w:szCs w:val="18"/>
                <w:lang w:val="en-GB"/>
              </w:rPr>
              <w:t>56–98</w:t>
            </w:r>
            <w:r w:rsidRPr="002558D8">
              <w:rPr>
                <w:b/>
                <w:bCs/>
                <w:sz w:val="18"/>
                <w:szCs w:val="18"/>
                <w:vertAlign w:val="superscript"/>
                <w:lang w:val="en-GB"/>
              </w:rPr>
              <w:t>d</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8D8E2A2" w14:textId="77777777" w:rsidR="00E55541" w:rsidRPr="002558D8" w:rsidRDefault="00E55541" w:rsidP="006D791B">
            <w:pPr>
              <w:pStyle w:val="NormalWeb"/>
              <w:rPr>
                <w:b/>
                <w:bCs/>
                <w:sz w:val="18"/>
                <w:szCs w:val="18"/>
                <w:lang w:val="en-GB"/>
              </w:rPr>
            </w:pPr>
            <w:r w:rsidRPr="002558D8">
              <w:rPr>
                <w:b/>
                <w:bCs/>
                <w:sz w:val="18"/>
                <w:szCs w:val="18"/>
                <w:lang w:val="en-GB"/>
              </w:rPr>
              <w:t>86</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37B3453" w14:textId="77777777" w:rsidR="00E55541" w:rsidRPr="002558D8" w:rsidRDefault="00E55541" w:rsidP="006D791B">
            <w:pPr>
              <w:pStyle w:val="NormalWeb"/>
              <w:rPr>
                <w:b/>
                <w:bCs/>
                <w:sz w:val="18"/>
                <w:szCs w:val="18"/>
                <w:lang w:val="en-GB"/>
              </w:rPr>
            </w:pPr>
            <w:r w:rsidRPr="002558D8">
              <w:rPr>
                <w:b/>
                <w:bCs/>
                <w:sz w:val="18"/>
                <w:szCs w:val="18"/>
                <w:lang w:val="en-GB"/>
              </w:rPr>
              <w:t>51–106</w:t>
            </w:r>
            <w:r w:rsidRPr="002558D8">
              <w:rPr>
                <w:b/>
                <w:bCs/>
                <w:sz w:val="18"/>
                <w:szCs w:val="18"/>
                <w:vertAlign w:val="superscript"/>
                <w:lang w:val="en-GB"/>
              </w:rPr>
              <w:t>d</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489314F7" w14:textId="77777777" w:rsidR="00E55541" w:rsidRPr="002558D8" w:rsidRDefault="00E55541" w:rsidP="006D791B">
            <w:pPr>
              <w:pStyle w:val="NormalWeb"/>
              <w:rPr>
                <w:b/>
                <w:bCs/>
                <w:sz w:val="18"/>
                <w:szCs w:val="18"/>
                <w:lang w:val="en-GB"/>
              </w:rPr>
            </w:pPr>
            <w:r w:rsidRPr="002558D8">
              <w:rPr>
                <w:b/>
                <w:bCs/>
                <w:sz w:val="18"/>
                <w:szCs w:val="18"/>
                <w:lang w:val="en-GB"/>
              </w:rPr>
              <w:t>86</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4D982624" w14:textId="77777777" w:rsidR="00E55541" w:rsidRPr="002558D8" w:rsidRDefault="00E55541" w:rsidP="006D791B">
            <w:pPr>
              <w:pStyle w:val="NormalWeb"/>
              <w:rPr>
                <w:b/>
                <w:bCs/>
                <w:sz w:val="18"/>
                <w:szCs w:val="18"/>
                <w:lang w:val="en-GB"/>
              </w:rPr>
            </w:pPr>
            <w:r w:rsidRPr="002558D8">
              <w:rPr>
                <w:b/>
                <w:bCs/>
                <w:sz w:val="18"/>
                <w:szCs w:val="18"/>
                <w:lang w:val="en-GB"/>
              </w:rPr>
              <w:t>63–101</w:t>
            </w:r>
            <w:r w:rsidRPr="002558D8">
              <w:rPr>
                <w:b/>
                <w:bCs/>
                <w:sz w:val="18"/>
                <w:szCs w:val="18"/>
                <w:vertAlign w:val="superscript"/>
                <w:lang w:val="en-GB"/>
              </w:rPr>
              <w:t>d</w:t>
            </w:r>
          </w:p>
        </w:tc>
      </w:tr>
      <w:tr w:rsidR="00E55541" w:rsidRPr="0006354B" w14:paraId="10AFB166" w14:textId="77777777" w:rsidTr="006D791B">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FC4EDD6" w14:textId="77777777" w:rsidR="00E55541" w:rsidRPr="0006354B" w:rsidRDefault="00E55541" w:rsidP="006D791B">
            <w:pPr>
              <w:pStyle w:val="NormalWeb"/>
              <w:jc w:val="left"/>
              <w:rPr>
                <w:sz w:val="18"/>
                <w:szCs w:val="18"/>
                <w:lang w:val="en-GB"/>
              </w:rPr>
            </w:pPr>
            <w:r w:rsidRPr="0006354B">
              <w:rPr>
                <w:sz w:val="18"/>
                <w:szCs w:val="18"/>
                <w:lang w:val="en-GB"/>
              </w:rPr>
              <w:t>50–59</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0E50FD3" w14:textId="77777777" w:rsidR="00E55541" w:rsidRPr="0006354B" w:rsidRDefault="00E55541" w:rsidP="006D791B">
            <w:pPr>
              <w:pStyle w:val="NormalWeb"/>
              <w:rPr>
                <w:sz w:val="18"/>
                <w:szCs w:val="18"/>
                <w:lang w:val="en-GB"/>
              </w:rPr>
            </w:pPr>
            <w:r w:rsidRPr="0006354B">
              <w:rPr>
                <w:sz w:val="18"/>
                <w:szCs w:val="18"/>
                <w:lang w:val="en-GB"/>
              </w:rPr>
              <w:t>2</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6E9CC666" w14:textId="77777777" w:rsidR="00E55541" w:rsidRPr="0006354B" w:rsidRDefault="00E55541" w:rsidP="006D791B">
            <w:pPr>
              <w:pStyle w:val="NormalWeb"/>
              <w:rPr>
                <w:sz w:val="18"/>
                <w:szCs w:val="18"/>
                <w:lang w:val="en-GB"/>
              </w:rPr>
            </w:pPr>
            <w:r w:rsidRPr="0006354B">
              <w:rPr>
                <w:sz w:val="18"/>
                <w:szCs w:val="18"/>
                <w:lang w:val="en-GB"/>
              </w:rPr>
              <w:t>2.6</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F743277" w14:textId="77777777" w:rsidR="00E55541" w:rsidRPr="0006354B" w:rsidRDefault="00E55541" w:rsidP="006D791B">
            <w:pPr>
              <w:pStyle w:val="NormalWeb"/>
              <w:rPr>
                <w:sz w:val="18"/>
                <w:szCs w:val="18"/>
                <w:lang w:val="en-GB"/>
              </w:rPr>
            </w:pPr>
            <w:r w:rsidRPr="0006354B">
              <w:rPr>
                <w:sz w:val="18"/>
                <w:szCs w:val="18"/>
                <w:lang w:val="en-GB"/>
              </w:rPr>
              <w:t>6</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7C0C489" w14:textId="77777777" w:rsidR="00E55541" w:rsidRPr="0006354B" w:rsidRDefault="00E55541" w:rsidP="006D791B">
            <w:pPr>
              <w:pStyle w:val="NormalWeb"/>
              <w:rPr>
                <w:sz w:val="18"/>
                <w:szCs w:val="18"/>
                <w:lang w:val="en-GB"/>
              </w:rPr>
            </w:pPr>
            <w:r w:rsidRPr="0006354B">
              <w:rPr>
                <w:sz w:val="18"/>
                <w:szCs w:val="18"/>
                <w:lang w:val="en-GB"/>
              </w:rPr>
              <w:t>1.2</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940BCA6" w14:textId="77777777" w:rsidR="00E55541" w:rsidRPr="0006354B" w:rsidRDefault="00E55541" w:rsidP="006D791B">
            <w:pPr>
              <w:pStyle w:val="NormalWeb"/>
              <w:rPr>
                <w:sz w:val="18"/>
                <w:szCs w:val="18"/>
                <w:lang w:val="en-GB"/>
              </w:rPr>
            </w:pPr>
            <w:r w:rsidRPr="0006354B">
              <w:rPr>
                <w:sz w:val="18"/>
                <w:szCs w:val="18"/>
                <w:lang w:val="en-GB"/>
              </w:rPr>
              <w:t>0</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391EFF8" w14:textId="77777777" w:rsidR="00E55541" w:rsidRPr="0006354B" w:rsidRDefault="00E55541" w:rsidP="006D791B">
            <w:pPr>
              <w:pStyle w:val="NormalWeb"/>
              <w:rPr>
                <w:sz w:val="18"/>
                <w:szCs w:val="18"/>
                <w:lang w:val="en-GB"/>
              </w:rPr>
            </w:pPr>
            <w:r w:rsidRPr="0006354B">
              <w:rPr>
                <w:sz w:val="18"/>
                <w:szCs w:val="18"/>
                <w:lang w:val="en-GB"/>
              </w:rPr>
              <w:t>0.0</w:t>
            </w:r>
          </w:p>
        </w:tc>
      </w:tr>
      <w:tr w:rsidR="00E55541" w:rsidRPr="0006354B" w14:paraId="50310798" w14:textId="77777777" w:rsidTr="006D791B">
        <w:trPr>
          <w:cnfStyle w:val="000000010000" w:firstRow="0" w:lastRow="0" w:firstColumn="0" w:lastColumn="0" w:oddVBand="0" w:evenVBand="0" w:oddHBand="0" w:evenHBand="1" w:firstRowFirstColumn="0" w:firstRowLastColumn="0" w:lastRowFirstColumn="0" w:lastRowLastColumn="0"/>
        </w:trPr>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F35414A" w14:textId="77777777" w:rsidR="00E55541" w:rsidRPr="0006354B" w:rsidRDefault="00E55541" w:rsidP="006D791B">
            <w:pPr>
              <w:pStyle w:val="NormalWeb"/>
              <w:jc w:val="left"/>
              <w:rPr>
                <w:sz w:val="18"/>
                <w:szCs w:val="18"/>
                <w:lang w:val="en-GB"/>
              </w:rPr>
            </w:pPr>
            <w:r w:rsidRPr="0006354B">
              <w:rPr>
                <w:sz w:val="18"/>
                <w:szCs w:val="18"/>
                <w:lang w:val="en-GB"/>
              </w:rPr>
              <w:t>60–69</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916864D" w14:textId="77777777" w:rsidR="00E55541" w:rsidRPr="0006354B" w:rsidRDefault="00E55541" w:rsidP="006D791B">
            <w:pPr>
              <w:pStyle w:val="NormalWeb"/>
              <w:rPr>
                <w:sz w:val="18"/>
                <w:szCs w:val="18"/>
                <w:lang w:val="en-GB"/>
              </w:rPr>
            </w:pPr>
            <w:r w:rsidRPr="0006354B">
              <w:rPr>
                <w:sz w:val="18"/>
                <w:szCs w:val="18"/>
                <w:lang w:val="en-GB"/>
              </w:rPr>
              <w:t>6</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02B30AE" w14:textId="77777777" w:rsidR="00E55541" w:rsidRPr="0006354B" w:rsidRDefault="00E55541" w:rsidP="006D791B">
            <w:pPr>
              <w:pStyle w:val="NormalWeb"/>
              <w:rPr>
                <w:sz w:val="18"/>
                <w:szCs w:val="18"/>
                <w:lang w:val="en-GB"/>
              </w:rPr>
            </w:pPr>
            <w:r w:rsidRPr="0006354B">
              <w:rPr>
                <w:sz w:val="18"/>
                <w:szCs w:val="18"/>
                <w:lang w:val="en-GB"/>
              </w:rPr>
              <w:t>7.8</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3F77507" w14:textId="77777777" w:rsidR="00E55541" w:rsidRPr="0006354B" w:rsidRDefault="00E55541" w:rsidP="006D791B">
            <w:pPr>
              <w:pStyle w:val="NormalWeb"/>
              <w:rPr>
                <w:sz w:val="18"/>
                <w:szCs w:val="18"/>
                <w:lang w:val="en-GB"/>
              </w:rPr>
            </w:pPr>
            <w:r w:rsidRPr="0006354B">
              <w:rPr>
                <w:sz w:val="18"/>
                <w:szCs w:val="18"/>
                <w:lang w:val="en-GB"/>
              </w:rPr>
              <w:t>20</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7516417" w14:textId="77777777" w:rsidR="00E55541" w:rsidRPr="0006354B" w:rsidRDefault="00E55541" w:rsidP="006D791B">
            <w:pPr>
              <w:pStyle w:val="NormalWeb"/>
              <w:rPr>
                <w:sz w:val="18"/>
                <w:szCs w:val="18"/>
                <w:lang w:val="en-GB"/>
              </w:rPr>
            </w:pPr>
            <w:r w:rsidRPr="0006354B">
              <w:rPr>
                <w:sz w:val="18"/>
                <w:szCs w:val="18"/>
                <w:lang w:val="en-GB"/>
              </w:rPr>
              <w:t>4.1</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87971F6" w14:textId="77777777" w:rsidR="00E55541" w:rsidRPr="0006354B" w:rsidRDefault="00E55541" w:rsidP="006D791B">
            <w:pPr>
              <w:pStyle w:val="NormalWeb"/>
              <w:rPr>
                <w:sz w:val="18"/>
                <w:szCs w:val="18"/>
                <w:lang w:val="en-GB"/>
              </w:rPr>
            </w:pPr>
            <w:r w:rsidRPr="0006354B">
              <w:rPr>
                <w:sz w:val="18"/>
                <w:szCs w:val="18"/>
                <w:lang w:val="en-GB"/>
              </w:rPr>
              <w:t>2</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615DFA1" w14:textId="77777777" w:rsidR="00E55541" w:rsidRPr="0006354B" w:rsidRDefault="00E55541" w:rsidP="006D791B">
            <w:pPr>
              <w:pStyle w:val="NormalWeb"/>
              <w:rPr>
                <w:sz w:val="18"/>
                <w:szCs w:val="18"/>
                <w:lang w:val="en-GB"/>
              </w:rPr>
            </w:pPr>
            <w:r w:rsidRPr="0006354B">
              <w:rPr>
                <w:sz w:val="18"/>
                <w:szCs w:val="18"/>
                <w:lang w:val="en-GB"/>
              </w:rPr>
              <w:t>2.5</w:t>
            </w:r>
          </w:p>
        </w:tc>
      </w:tr>
      <w:tr w:rsidR="00E55541" w:rsidRPr="0006354B" w14:paraId="7A83F08D" w14:textId="77777777" w:rsidTr="006D791B">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3FD1F79" w14:textId="77777777" w:rsidR="00E55541" w:rsidRPr="0006354B" w:rsidRDefault="00E55541" w:rsidP="006D791B">
            <w:pPr>
              <w:pStyle w:val="NormalWeb"/>
              <w:jc w:val="left"/>
              <w:rPr>
                <w:sz w:val="18"/>
                <w:szCs w:val="18"/>
                <w:lang w:val="en-GB"/>
              </w:rPr>
            </w:pPr>
            <w:r w:rsidRPr="0006354B">
              <w:rPr>
                <w:sz w:val="18"/>
                <w:szCs w:val="18"/>
                <w:lang w:val="en-GB"/>
              </w:rPr>
              <w:t>70–79</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0AD22DA" w14:textId="77777777" w:rsidR="00E55541" w:rsidRPr="0006354B" w:rsidRDefault="00E55541" w:rsidP="006D791B">
            <w:pPr>
              <w:pStyle w:val="NormalWeb"/>
              <w:rPr>
                <w:sz w:val="18"/>
                <w:szCs w:val="18"/>
                <w:lang w:val="en-GB"/>
              </w:rPr>
            </w:pPr>
            <w:r w:rsidRPr="0006354B">
              <w:rPr>
                <w:sz w:val="18"/>
                <w:szCs w:val="18"/>
                <w:lang w:val="en-GB"/>
              </w:rPr>
              <w:t>20</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D1EBA05" w14:textId="77777777" w:rsidR="00E55541" w:rsidRPr="0006354B" w:rsidRDefault="00E55541" w:rsidP="006D791B">
            <w:pPr>
              <w:pStyle w:val="NormalWeb"/>
              <w:rPr>
                <w:sz w:val="18"/>
                <w:szCs w:val="18"/>
                <w:lang w:val="en-GB"/>
              </w:rPr>
            </w:pPr>
            <w:r w:rsidRPr="0006354B">
              <w:rPr>
                <w:sz w:val="18"/>
                <w:szCs w:val="18"/>
                <w:lang w:val="en-GB"/>
              </w:rPr>
              <w:t>26.0</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ED32DD5" w14:textId="77777777" w:rsidR="00E55541" w:rsidRPr="0006354B" w:rsidRDefault="00E55541" w:rsidP="006D791B">
            <w:pPr>
              <w:pStyle w:val="NormalWeb"/>
              <w:rPr>
                <w:sz w:val="18"/>
                <w:szCs w:val="18"/>
                <w:lang w:val="en-GB"/>
              </w:rPr>
            </w:pPr>
            <w:r w:rsidRPr="0006354B">
              <w:rPr>
                <w:sz w:val="18"/>
                <w:szCs w:val="18"/>
                <w:lang w:val="en-GB"/>
              </w:rPr>
              <w:t>97</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691F9F4" w14:textId="77777777" w:rsidR="00E55541" w:rsidRPr="0006354B" w:rsidRDefault="00E55541" w:rsidP="006D791B">
            <w:pPr>
              <w:pStyle w:val="NormalWeb"/>
              <w:rPr>
                <w:sz w:val="18"/>
                <w:szCs w:val="18"/>
                <w:lang w:val="en-GB"/>
              </w:rPr>
            </w:pPr>
            <w:r w:rsidRPr="0006354B">
              <w:rPr>
                <w:sz w:val="18"/>
                <w:szCs w:val="18"/>
                <w:lang w:val="en-GB"/>
              </w:rPr>
              <w:t>20.0</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92EDA9C" w14:textId="77777777" w:rsidR="00E55541" w:rsidRPr="0006354B" w:rsidRDefault="00E55541" w:rsidP="006D791B">
            <w:pPr>
              <w:pStyle w:val="NormalWeb"/>
              <w:rPr>
                <w:sz w:val="18"/>
                <w:szCs w:val="18"/>
                <w:lang w:val="en-GB"/>
              </w:rPr>
            </w:pPr>
            <w:r w:rsidRPr="0006354B">
              <w:rPr>
                <w:sz w:val="18"/>
                <w:szCs w:val="18"/>
                <w:lang w:val="en-GB"/>
              </w:rPr>
              <w:t>21</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5856BC3" w14:textId="77777777" w:rsidR="00E55541" w:rsidRPr="0006354B" w:rsidRDefault="00E55541" w:rsidP="006D791B">
            <w:pPr>
              <w:pStyle w:val="NormalWeb"/>
              <w:rPr>
                <w:sz w:val="18"/>
                <w:szCs w:val="18"/>
                <w:lang w:val="en-GB"/>
              </w:rPr>
            </w:pPr>
            <w:r w:rsidRPr="0006354B">
              <w:rPr>
                <w:sz w:val="18"/>
                <w:szCs w:val="18"/>
                <w:lang w:val="en-GB"/>
              </w:rPr>
              <w:t>26.3</w:t>
            </w:r>
          </w:p>
        </w:tc>
      </w:tr>
      <w:tr w:rsidR="00E55541" w:rsidRPr="0006354B" w14:paraId="775E2C3E" w14:textId="77777777" w:rsidTr="006D791B">
        <w:trPr>
          <w:cnfStyle w:val="000000010000" w:firstRow="0" w:lastRow="0" w:firstColumn="0" w:lastColumn="0" w:oddVBand="0" w:evenVBand="0" w:oddHBand="0" w:evenHBand="1" w:firstRowFirstColumn="0" w:firstRowLastColumn="0" w:lastRowFirstColumn="0" w:lastRowLastColumn="0"/>
        </w:trPr>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2B053D3" w14:textId="77777777" w:rsidR="00E55541" w:rsidRPr="0006354B" w:rsidRDefault="00E55541" w:rsidP="006D791B">
            <w:pPr>
              <w:pStyle w:val="NormalWeb"/>
              <w:jc w:val="left"/>
              <w:rPr>
                <w:sz w:val="18"/>
                <w:szCs w:val="18"/>
                <w:lang w:val="en-GB"/>
              </w:rPr>
            </w:pPr>
            <w:r w:rsidRPr="0006354B">
              <w:rPr>
                <w:sz w:val="18"/>
                <w:szCs w:val="18"/>
                <w:lang w:val="en-GB"/>
              </w:rPr>
              <w:t>80–89</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18C9035" w14:textId="77777777" w:rsidR="00E55541" w:rsidRPr="0006354B" w:rsidRDefault="00E55541" w:rsidP="006D791B">
            <w:pPr>
              <w:pStyle w:val="NormalWeb"/>
              <w:rPr>
                <w:sz w:val="18"/>
                <w:szCs w:val="18"/>
                <w:lang w:val="en-GB"/>
              </w:rPr>
            </w:pPr>
            <w:r w:rsidRPr="0006354B">
              <w:rPr>
                <w:sz w:val="18"/>
                <w:szCs w:val="18"/>
                <w:lang w:val="en-GB"/>
              </w:rPr>
              <w:t>30</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88510D3" w14:textId="77777777" w:rsidR="00E55541" w:rsidRPr="0006354B" w:rsidRDefault="00E55541" w:rsidP="006D791B">
            <w:pPr>
              <w:pStyle w:val="NormalWeb"/>
              <w:rPr>
                <w:sz w:val="18"/>
                <w:szCs w:val="18"/>
                <w:lang w:val="en-GB"/>
              </w:rPr>
            </w:pPr>
            <w:r w:rsidRPr="0006354B">
              <w:rPr>
                <w:sz w:val="18"/>
                <w:szCs w:val="18"/>
                <w:lang w:val="en-GB"/>
              </w:rPr>
              <w:t>39.0</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3E36B1C" w14:textId="77777777" w:rsidR="00E55541" w:rsidRPr="0006354B" w:rsidRDefault="00E55541" w:rsidP="006D791B">
            <w:pPr>
              <w:pStyle w:val="NormalWeb"/>
              <w:rPr>
                <w:sz w:val="18"/>
                <w:szCs w:val="18"/>
                <w:lang w:val="en-GB"/>
              </w:rPr>
            </w:pPr>
            <w:r w:rsidRPr="0006354B">
              <w:rPr>
                <w:sz w:val="18"/>
                <w:szCs w:val="18"/>
                <w:lang w:val="en-GB"/>
              </w:rPr>
              <w:t>223</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6690DFC5" w14:textId="77777777" w:rsidR="00E55541" w:rsidRPr="0006354B" w:rsidRDefault="00E55541" w:rsidP="006D791B">
            <w:pPr>
              <w:pStyle w:val="NormalWeb"/>
              <w:rPr>
                <w:sz w:val="18"/>
                <w:szCs w:val="18"/>
                <w:lang w:val="en-GB"/>
              </w:rPr>
            </w:pPr>
            <w:r w:rsidRPr="0006354B">
              <w:rPr>
                <w:sz w:val="18"/>
                <w:szCs w:val="18"/>
                <w:lang w:val="en-GB"/>
              </w:rPr>
              <w:t>46.1</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EE57729" w14:textId="77777777" w:rsidR="00E55541" w:rsidRPr="0006354B" w:rsidRDefault="00E55541" w:rsidP="006D791B">
            <w:pPr>
              <w:pStyle w:val="NormalWeb"/>
              <w:rPr>
                <w:sz w:val="18"/>
                <w:szCs w:val="18"/>
                <w:lang w:val="en-GB"/>
              </w:rPr>
            </w:pPr>
            <w:r w:rsidRPr="0006354B">
              <w:rPr>
                <w:sz w:val="18"/>
                <w:szCs w:val="18"/>
                <w:lang w:val="en-GB"/>
              </w:rPr>
              <w:t>30</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4193DA2" w14:textId="77777777" w:rsidR="00E55541" w:rsidRPr="0006354B" w:rsidRDefault="00E55541" w:rsidP="006D791B">
            <w:pPr>
              <w:pStyle w:val="NormalWeb"/>
              <w:rPr>
                <w:sz w:val="18"/>
                <w:szCs w:val="18"/>
                <w:lang w:val="en-GB"/>
              </w:rPr>
            </w:pPr>
            <w:r w:rsidRPr="0006354B">
              <w:rPr>
                <w:sz w:val="18"/>
                <w:szCs w:val="18"/>
                <w:lang w:val="en-GB"/>
              </w:rPr>
              <w:t>37.5</w:t>
            </w:r>
          </w:p>
        </w:tc>
      </w:tr>
      <w:tr w:rsidR="00E55541" w:rsidRPr="0006354B" w14:paraId="6734FB04" w14:textId="77777777" w:rsidTr="006D791B">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2D42FCB" w14:textId="77777777" w:rsidR="00E55541" w:rsidRPr="0006354B" w:rsidRDefault="00E55541" w:rsidP="006D791B">
            <w:pPr>
              <w:pStyle w:val="NormalWeb"/>
              <w:jc w:val="left"/>
              <w:rPr>
                <w:sz w:val="18"/>
                <w:szCs w:val="18"/>
                <w:lang w:val="en-GB"/>
              </w:rPr>
            </w:pPr>
            <w:r w:rsidRPr="0006354B">
              <w:rPr>
                <w:sz w:val="18"/>
                <w:szCs w:val="18"/>
                <w:lang w:val="en-GB"/>
              </w:rPr>
              <w:t>90–99</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13A86E4" w14:textId="77777777" w:rsidR="00E55541" w:rsidRPr="0006354B" w:rsidRDefault="00E55541" w:rsidP="006D791B">
            <w:pPr>
              <w:pStyle w:val="NormalWeb"/>
              <w:rPr>
                <w:sz w:val="18"/>
                <w:szCs w:val="18"/>
                <w:lang w:val="en-GB"/>
              </w:rPr>
            </w:pPr>
            <w:r w:rsidRPr="0006354B">
              <w:rPr>
                <w:sz w:val="18"/>
                <w:szCs w:val="18"/>
                <w:lang w:val="en-GB"/>
              </w:rPr>
              <w:t>19</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D55B451" w14:textId="77777777" w:rsidR="00E55541" w:rsidRPr="0006354B" w:rsidRDefault="00E55541" w:rsidP="006D791B">
            <w:pPr>
              <w:pStyle w:val="NormalWeb"/>
              <w:rPr>
                <w:sz w:val="18"/>
                <w:szCs w:val="18"/>
                <w:lang w:val="en-GB"/>
              </w:rPr>
            </w:pPr>
            <w:r w:rsidRPr="0006354B">
              <w:rPr>
                <w:sz w:val="18"/>
                <w:szCs w:val="18"/>
                <w:lang w:val="en-GB"/>
              </w:rPr>
              <w:t>24.7</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6BF358F2" w14:textId="77777777" w:rsidR="00E55541" w:rsidRPr="0006354B" w:rsidRDefault="00E55541" w:rsidP="006D791B">
            <w:pPr>
              <w:pStyle w:val="NormalWeb"/>
              <w:rPr>
                <w:sz w:val="18"/>
                <w:szCs w:val="18"/>
                <w:lang w:val="en-GB"/>
              </w:rPr>
            </w:pPr>
            <w:r w:rsidRPr="0006354B">
              <w:rPr>
                <w:sz w:val="18"/>
                <w:szCs w:val="18"/>
                <w:lang w:val="en-GB"/>
              </w:rPr>
              <w:t>132</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1A82DBA" w14:textId="77777777" w:rsidR="00E55541" w:rsidRPr="0006354B" w:rsidRDefault="00E55541" w:rsidP="006D791B">
            <w:pPr>
              <w:pStyle w:val="NormalWeb"/>
              <w:rPr>
                <w:sz w:val="18"/>
                <w:szCs w:val="18"/>
                <w:lang w:val="en-GB"/>
              </w:rPr>
            </w:pPr>
            <w:r w:rsidRPr="0006354B">
              <w:rPr>
                <w:sz w:val="18"/>
                <w:szCs w:val="18"/>
                <w:lang w:val="en-GB"/>
              </w:rPr>
              <w:t>27.3</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BEF3579" w14:textId="77777777" w:rsidR="00E55541" w:rsidRPr="0006354B" w:rsidRDefault="00E55541" w:rsidP="006D791B">
            <w:pPr>
              <w:pStyle w:val="NormalWeb"/>
              <w:rPr>
                <w:sz w:val="18"/>
                <w:szCs w:val="18"/>
                <w:lang w:val="en-GB"/>
              </w:rPr>
            </w:pPr>
            <w:r w:rsidRPr="0006354B">
              <w:rPr>
                <w:sz w:val="18"/>
                <w:szCs w:val="18"/>
                <w:lang w:val="en-GB"/>
              </w:rPr>
              <w:t>24</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2E35B5F" w14:textId="77777777" w:rsidR="00E55541" w:rsidRPr="0006354B" w:rsidRDefault="00E55541" w:rsidP="006D791B">
            <w:pPr>
              <w:pStyle w:val="NormalWeb"/>
              <w:rPr>
                <w:sz w:val="18"/>
                <w:szCs w:val="18"/>
                <w:lang w:val="en-GB"/>
              </w:rPr>
            </w:pPr>
            <w:r w:rsidRPr="0006354B">
              <w:rPr>
                <w:sz w:val="18"/>
                <w:szCs w:val="18"/>
                <w:lang w:val="en-GB"/>
              </w:rPr>
              <w:t>30.0</w:t>
            </w:r>
          </w:p>
        </w:tc>
      </w:tr>
      <w:tr w:rsidR="00E55541" w:rsidRPr="0006354B" w14:paraId="2D86B894" w14:textId="77777777" w:rsidTr="006D791B">
        <w:trPr>
          <w:cnfStyle w:val="000000010000" w:firstRow="0" w:lastRow="0" w:firstColumn="0" w:lastColumn="0" w:oddVBand="0" w:evenVBand="0" w:oddHBand="0" w:evenHBand="1" w:firstRowFirstColumn="0" w:firstRowLastColumn="0" w:lastRowFirstColumn="0" w:lastRowLastColumn="0"/>
        </w:trPr>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68EA870" w14:textId="77777777" w:rsidR="00E55541" w:rsidRPr="0006354B" w:rsidRDefault="00E55541" w:rsidP="006D791B">
            <w:pPr>
              <w:pStyle w:val="NormalWeb"/>
              <w:jc w:val="left"/>
              <w:rPr>
                <w:sz w:val="18"/>
                <w:szCs w:val="18"/>
                <w:lang w:val="en-GB"/>
              </w:rPr>
            </w:pPr>
            <w:r w:rsidRPr="0006354B">
              <w:rPr>
                <w:sz w:val="18"/>
                <w:szCs w:val="18"/>
                <w:lang w:val="en-GB"/>
              </w:rPr>
              <w:t>100–109</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9E0B551" w14:textId="77777777" w:rsidR="00E55541" w:rsidRPr="0006354B" w:rsidRDefault="00E55541" w:rsidP="006D791B">
            <w:pPr>
              <w:pStyle w:val="NormalWeb"/>
              <w:rPr>
                <w:sz w:val="18"/>
                <w:szCs w:val="18"/>
                <w:lang w:val="en-GB"/>
              </w:rPr>
            </w:pPr>
            <w:r w:rsidRPr="0006354B">
              <w:rPr>
                <w:sz w:val="18"/>
                <w:szCs w:val="18"/>
                <w:lang w:val="en-GB"/>
              </w:rPr>
              <w:t>0</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C98BC2B" w14:textId="77777777" w:rsidR="00E55541" w:rsidRPr="0006354B" w:rsidRDefault="00E55541" w:rsidP="006D791B">
            <w:pPr>
              <w:pStyle w:val="NormalWeb"/>
              <w:rPr>
                <w:sz w:val="18"/>
                <w:szCs w:val="18"/>
                <w:lang w:val="en-GB"/>
              </w:rPr>
            </w:pPr>
            <w:r w:rsidRPr="0006354B">
              <w:rPr>
                <w:sz w:val="18"/>
                <w:szCs w:val="18"/>
                <w:lang w:val="en-GB"/>
              </w:rPr>
              <w:t>0.0</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A778BFF" w14:textId="77777777" w:rsidR="00E55541" w:rsidRPr="0006354B" w:rsidRDefault="00E55541" w:rsidP="006D791B">
            <w:pPr>
              <w:pStyle w:val="NormalWeb"/>
              <w:rPr>
                <w:sz w:val="18"/>
                <w:szCs w:val="18"/>
                <w:lang w:val="en-GB"/>
              </w:rPr>
            </w:pPr>
            <w:r w:rsidRPr="0006354B">
              <w:rPr>
                <w:sz w:val="18"/>
                <w:szCs w:val="18"/>
                <w:lang w:val="en-GB"/>
              </w:rPr>
              <w:t>6</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7428F53" w14:textId="77777777" w:rsidR="00E55541" w:rsidRPr="0006354B" w:rsidRDefault="00E55541" w:rsidP="006D791B">
            <w:pPr>
              <w:pStyle w:val="NormalWeb"/>
              <w:rPr>
                <w:sz w:val="18"/>
                <w:szCs w:val="18"/>
                <w:lang w:val="en-GB"/>
              </w:rPr>
            </w:pPr>
            <w:r w:rsidRPr="0006354B">
              <w:rPr>
                <w:sz w:val="18"/>
                <w:szCs w:val="18"/>
                <w:lang w:val="en-GB"/>
              </w:rPr>
              <w:t>1.2</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5F814D40" w14:textId="77777777" w:rsidR="00E55541" w:rsidRPr="0006354B" w:rsidRDefault="00E55541" w:rsidP="006D791B">
            <w:pPr>
              <w:pStyle w:val="NormalWeb"/>
              <w:rPr>
                <w:sz w:val="18"/>
                <w:szCs w:val="18"/>
                <w:lang w:val="en-GB"/>
              </w:rPr>
            </w:pPr>
            <w:r w:rsidRPr="0006354B">
              <w:rPr>
                <w:sz w:val="18"/>
                <w:szCs w:val="18"/>
                <w:lang w:val="en-GB"/>
              </w:rPr>
              <w:t>3</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E7D71E1" w14:textId="77777777" w:rsidR="00E55541" w:rsidRPr="0006354B" w:rsidRDefault="00E55541" w:rsidP="006D791B">
            <w:pPr>
              <w:pStyle w:val="NormalWeb"/>
              <w:rPr>
                <w:sz w:val="18"/>
                <w:szCs w:val="18"/>
                <w:lang w:val="en-GB"/>
              </w:rPr>
            </w:pPr>
            <w:r w:rsidRPr="0006354B">
              <w:rPr>
                <w:sz w:val="18"/>
                <w:szCs w:val="18"/>
                <w:lang w:val="en-GB"/>
              </w:rPr>
              <w:t>3.8</w:t>
            </w:r>
          </w:p>
        </w:tc>
      </w:tr>
      <w:tr w:rsidR="00E55541" w:rsidRPr="002558D8" w14:paraId="3D497EF5" w14:textId="77777777" w:rsidTr="002558D8">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463D8B7" w14:textId="77777777" w:rsidR="00E55541" w:rsidRPr="002558D8" w:rsidRDefault="00E55541" w:rsidP="006D791B">
            <w:pPr>
              <w:pStyle w:val="NormalWeb"/>
              <w:jc w:val="left"/>
              <w:rPr>
                <w:b/>
                <w:bCs/>
                <w:sz w:val="18"/>
                <w:szCs w:val="18"/>
                <w:lang w:val="en-GB"/>
              </w:rPr>
            </w:pPr>
            <w:proofErr w:type="spellStart"/>
            <w:r w:rsidRPr="002558D8">
              <w:rPr>
                <w:b/>
                <w:bCs/>
                <w:sz w:val="18"/>
                <w:szCs w:val="18"/>
                <w:lang w:val="en-GB"/>
              </w:rPr>
              <w:t>Hospitalised</w:t>
            </w:r>
            <w:r w:rsidRPr="002558D8">
              <w:rPr>
                <w:b/>
                <w:bCs/>
                <w:sz w:val="18"/>
                <w:szCs w:val="18"/>
                <w:vertAlign w:val="superscript"/>
                <w:lang w:val="en-GB"/>
              </w:rPr>
              <w:t>e</w:t>
            </w:r>
            <w:proofErr w:type="spellEnd"/>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57D9AE1" w14:textId="77777777" w:rsidR="00E55541" w:rsidRPr="002558D8" w:rsidRDefault="00E55541" w:rsidP="006D791B">
            <w:pPr>
              <w:pStyle w:val="NormalWeb"/>
              <w:rPr>
                <w:b/>
                <w:bCs/>
                <w:sz w:val="18"/>
                <w:szCs w:val="18"/>
                <w:lang w:val="en-GB"/>
              </w:rPr>
            </w:pPr>
            <w:r w:rsidRPr="002558D8">
              <w:rPr>
                <w:b/>
                <w:bCs/>
                <w:sz w:val="18"/>
                <w:szCs w:val="18"/>
                <w:lang w:val="en-GB"/>
              </w:rPr>
              <w:t>21/77</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5EAB7EA1" w14:textId="77777777" w:rsidR="00E55541" w:rsidRPr="002558D8" w:rsidRDefault="00E55541" w:rsidP="006D791B">
            <w:pPr>
              <w:rPr>
                <w:b/>
                <w:bCs/>
                <w:sz w:val="18"/>
                <w:szCs w:val="18"/>
                <w:lang w:val="en-GB"/>
              </w:rPr>
            </w:pP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7425DEF8" w14:textId="77777777" w:rsidR="00E55541" w:rsidRPr="002558D8" w:rsidRDefault="00E55541" w:rsidP="006D791B">
            <w:pPr>
              <w:pStyle w:val="NormalWeb"/>
              <w:rPr>
                <w:b/>
                <w:bCs/>
                <w:sz w:val="18"/>
                <w:szCs w:val="18"/>
                <w:lang w:val="en-GB"/>
              </w:rPr>
            </w:pPr>
            <w:r w:rsidRPr="002558D8">
              <w:rPr>
                <w:b/>
                <w:bCs/>
                <w:sz w:val="18"/>
                <w:szCs w:val="18"/>
                <w:lang w:val="en-GB"/>
              </w:rPr>
              <w:t>43/484</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BE7D34A" w14:textId="77777777" w:rsidR="00E55541" w:rsidRPr="002558D8" w:rsidRDefault="00E55541" w:rsidP="006D791B">
            <w:pPr>
              <w:pStyle w:val="NormalWeb"/>
              <w:rPr>
                <w:b/>
                <w:bCs/>
                <w:sz w:val="18"/>
                <w:szCs w:val="18"/>
                <w:lang w:val="en-GB"/>
              </w:rPr>
            </w:pPr>
            <w:r w:rsidRPr="002558D8">
              <w:rPr>
                <w:b/>
                <w:bCs/>
                <w:sz w:val="18"/>
                <w:szCs w:val="18"/>
                <w:lang w:val="en-GB"/>
              </w:rPr>
              <w:t>8.9</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37A1C02F" w14:textId="77777777" w:rsidR="00E55541" w:rsidRPr="002558D8" w:rsidRDefault="00E55541" w:rsidP="006D791B">
            <w:pPr>
              <w:pStyle w:val="NormalWeb"/>
              <w:rPr>
                <w:b/>
                <w:bCs/>
                <w:sz w:val="18"/>
                <w:szCs w:val="18"/>
                <w:lang w:val="en-GB"/>
              </w:rPr>
            </w:pPr>
            <w:r w:rsidRPr="002558D8">
              <w:rPr>
                <w:b/>
                <w:bCs/>
                <w:sz w:val="18"/>
                <w:szCs w:val="18"/>
                <w:lang w:val="en-GB"/>
              </w:rPr>
              <w:t>4/80</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5356A01E" w14:textId="77777777" w:rsidR="00E55541" w:rsidRPr="002558D8" w:rsidRDefault="00E55541" w:rsidP="006D791B">
            <w:pPr>
              <w:pStyle w:val="NormalWeb"/>
              <w:rPr>
                <w:b/>
                <w:bCs/>
                <w:sz w:val="18"/>
                <w:szCs w:val="18"/>
                <w:lang w:val="en-GB"/>
              </w:rPr>
            </w:pPr>
            <w:r w:rsidRPr="002558D8">
              <w:rPr>
                <w:b/>
                <w:bCs/>
                <w:sz w:val="18"/>
                <w:szCs w:val="18"/>
                <w:lang w:val="en-GB"/>
              </w:rPr>
              <w:t>5.0</w:t>
            </w:r>
          </w:p>
        </w:tc>
      </w:tr>
      <w:tr w:rsidR="00E55541" w:rsidRPr="0006354B" w14:paraId="2DD0CC6C" w14:textId="77777777" w:rsidTr="00747A6D">
        <w:trPr>
          <w:cnfStyle w:val="000000010000" w:firstRow="0" w:lastRow="0" w:firstColumn="0" w:lastColumn="0" w:oddVBand="0" w:evenVBand="0" w:oddHBand="0" w:evenHBand="1" w:firstRowFirstColumn="0" w:firstRowLastColumn="0" w:lastRowFirstColumn="0" w:lastRowLastColumn="0"/>
        </w:trPr>
        <w:tc>
          <w:tcPr>
            <w:tcW w:w="1560" w:type="dxa"/>
            <w:vMerge w:val="restart"/>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7985199" w14:textId="77777777" w:rsidR="00E55541" w:rsidRPr="0006354B" w:rsidRDefault="00E55541" w:rsidP="006D791B">
            <w:pPr>
              <w:pStyle w:val="NormalWeb"/>
              <w:jc w:val="left"/>
              <w:rPr>
                <w:sz w:val="18"/>
                <w:szCs w:val="18"/>
                <w:lang w:val="en-GB"/>
              </w:rPr>
            </w:pPr>
            <w:r w:rsidRPr="0006354B">
              <w:rPr>
                <w:sz w:val="18"/>
                <w:szCs w:val="18"/>
                <w:lang w:val="en-GB"/>
              </w:rPr>
              <w:t>Sex</w:t>
            </w:r>
          </w:p>
        </w:tc>
        <w:tc>
          <w:tcPr>
            <w:tcW w:w="141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97F3732" w14:textId="77777777" w:rsidR="00E55541" w:rsidRPr="0006354B" w:rsidRDefault="00E55541" w:rsidP="006D791B">
            <w:pPr>
              <w:pStyle w:val="NormalWeb"/>
              <w:jc w:val="left"/>
              <w:rPr>
                <w:sz w:val="18"/>
                <w:szCs w:val="18"/>
                <w:lang w:val="en-GB"/>
              </w:rPr>
            </w:pPr>
            <w:r w:rsidRPr="0006354B">
              <w:rPr>
                <w:sz w:val="18"/>
                <w:szCs w:val="18"/>
                <w:lang w:val="en-GB"/>
              </w:rPr>
              <w:t>Female</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6075401F" w14:textId="77777777" w:rsidR="00E55541" w:rsidRPr="0006354B" w:rsidRDefault="00E55541" w:rsidP="006D791B">
            <w:pPr>
              <w:pStyle w:val="NormalWeb"/>
              <w:rPr>
                <w:sz w:val="18"/>
                <w:szCs w:val="18"/>
                <w:lang w:val="en-GB"/>
              </w:rPr>
            </w:pPr>
            <w:r w:rsidRPr="0006354B">
              <w:rPr>
                <w:sz w:val="18"/>
                <w:szCs w:val="18"/>
                <w:lang w:val="en-GB"/>
              </w:rPr>
              <w:t>9</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D29BFA1" w14:textId="77777777" w:rsidR="00E55541" w:rsidRPr="0006354B" w:rsidRDefault="00E55541" w:rsidP="006D791B">
            <w:pPr>
              <w:pStyle w:val="NormalWeb"/>
              <w:rPr>
                <w:sz w:val="18"/>
                <w:szCs w:val="18"/>
                <w:lang w:val="en-GB"/>
              </w:rPr>
            </w:pPr>
            <w:r w:rsidRPr="0006354B">
              <w:rPr>
                <w:sz w:val="18"/>
                <w:szCs w:val="18"/>
                <w:lang w:val="en-GB"/>
              </w:rPr>
              <w:t>42.9</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5A93937" w14:textId="77777777" w:rsidR="00E55541" w:rsidRPr="0006354B" w:rsidRDefault="00E55541" w:rsidP="006D791B">
            <w:pPr>
              <w:pStyle w:val="NormalWeb"/>
              <w:rPr>
                <w:sz w:val="18"/>
                <w:szCs w:val="18"/>
                <w:lang w:val="en-GB"/>
              </w:rPr>
            </w:pPr>
            <w:r w:rsidRPr="0006354B">
              <w:rPr>
                <w:sz w:val="18"/>
                <w:szCs w:val="18"/>
                <w:lang w:val="en-GB"/>
              </w:rPr>
              <w:t>18</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804AF86" w14:textId="77777777" w:rsidR="00E55541" w:rsidRPr="0006354B" w:rsidRDefault="00E55541" w:rsidP="006D791B">
            <w:pPr>
              <w:pStyle w:val="NormalWeb"/>
              <w:rPr>
                <w:sz w:val="18"/>
                <w:szCs w:val="18"/>
                <w:lang w:val="en-GB"/>
              </w:rPr>
            </w:pPr>
            <w:r w:rsidRPr="0006354B">
              <w:rPr>
                <w:sz w:val="18"/>
                <w:szCs w:val="18"/>
                <w:lang w:val="en-GB"/>
              </w:rPr>
              <w:t>41.9</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6CE7888" w14:textId="77777777" w:rsidR="00E55541" w:rsidRPr="0006354B" w:rsidRDefault="00E55541" w:rsidP="006D791B">
            <w:pPr>
              <w:pStyle w:val="NormalWeb"/>
              <w:rPr>
                <w:sz w:val="18"/>
                <w:szCs w:val="18"/>
                <w:lang w:val="en-GB"/>
              </w:rPr>
            </w:pPr>
            <w:r w:rsidRPr="0006354B">
              <w:rPr>
                <w:sz w:val="18"/>
                <w:szCs w:val="18"/>
                <w:lang w:val="en-GB"/>
              </w:rPr>
              <w:t>2</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9F2AC82" w14:textId="77777777" w:rsidR="00E55541" w:rsidRPr="0006354B" w:rsidRDefault="00E55541" w:rsidP="006D791B">
            <w:pPr>
              <w:pStyle w:val="NormalWeb"/>
              <w:rPr>
                <w:sz w:val="18"/>
                <w:szCs w:val="18"/>
                <w:lang w:val="en-GB"/>
              </w:rPr>
            </w:pPr>
            <w:r w:rsidRPr="0006354B">
              <w:rPr>
                <w:sz w:val="18"/>
                <w:szCs w:val="18"/>
                <w:lang w:val="en-GB"/>
              </w:rPr>
              <w:t>50.0</w:t>
            </w:r>
          </w:p>
        </w:tc>
      </w:tr>
      <w:tr w:rsidR="00E55541" w:rsidRPr="0006354B" w14:paraId="6EE874CC" w14:textId="77777777" w:rsidTr="00747A6D">
        <w:tc>
          <w:tcPr>
            <w:tcW w:w="1560" w:type="dxa"/>
            <w:vMerge/>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E3F12DE" w14:textId="77777777" w:rsidR="00E55541" w:rsidRPr="0006354B" w:rsidRDefault="00E55541" w:rsidP="006D791B">
            <w:pPr>
              <w:jc w:val="left"/>
              <w:rPr>
                <w:sz w:val="18"/>
                <w:szCs w:val="18"/>
                <w:lang w:val="en-GB"/>
              </w:rPr>
            </w:pPr>
          </w:p>
        </w:tc>
        <w:tc>
          <w:tcPr>
            <w:tcW w:w="141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4C39B01" w14:textId="77777777" w:rsidR="00E55541" w:rsidRPr="0006354B" w:rsidRDefault="00E55541" w:rsidP="006D791B">
            <w:pPr>
              <w:pStyle w:val="NormalWeb"/>
              <w:jc w:val="left"/>
              <w:rPr>
                <w:sz w:val="18"/>
                <w:szCs w:val="18"/>
                <w:lang w:val="en-GB"/>
              </w:rPr>
            </w:pPr>
            <w:r w:rsidRPr="0006354B">
              <w:rPr>
                <w:sz w:val="18"/>
                <w:szCs w:val="18"/>
                <w:lang w:val="en-GB"/>
              </w:rPr>
              <w:t>Male</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F1E2C5D" w14:textId="77777777" w:rsidR="00E55541" w:rsidRPr="0006354B" w:rsidRDefault="00E55541" w:rsidP="006D791B">
            <w:pPr>
              <w:pStyle w:val="NormalWeb"/>
              <w:rPr>
                <w:sz w:val="18"/>
                <w:szCs w:val="18"/>
                <w:lang w:val="en-GB"/>
              </w:rPr>
            </w:pPr>
            <w:r w:rsidRPr="0006354B">
              <w:rPr>
                <w:sz w:val="18"/>
                <w:szCs w:val="18"/>
                <w:lang w:val="en-GB"/>
              </w:rPr>
              <w:t>12</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398ABB3" w14:textId="77777777" w:rsidR="00E55541" w:rsidRPr="0006354B" w:rsidRDefault="00E55541" w:rsidP="006D791B">
            <w:pPr>
              <w:pStyle w:val="NormalWeb"/>
              <w:rPr>
                <w:sz w:val="18"/>
                <w:szCs w:val="18"/>
                <w:lang w:val="en-GB"/>
              </w:rPr>
            </w:pPr>
            <w:r w:rsidRPr="0006354B">
              <w:rPr>
                <w:sz w:val="18"/>
                <w:szCs w:val="18"/>
                <w:lang w:val="en-GB"/>
              </w:rPr>
              <w:t>57.1</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2FFC98C" w14:textId="77777777" w:rsidR="00E55541" w:rsidRPr="0006354B" w:rsidRDefault="00E55541" w:rsidP="006D791B">
            <w:pPr>
              <w:pStyle w:val="NormalWeb"/>
              <w:rPr>
                <w:sz w:val="18"/>
                <w:szCs w:val="18"/>
                <w:lang w:val="en-GB"/>
              </w:rPr>
            </w:pPr>
            <w:r w:rsidRPr="0006354B">
              <w:rPr>
                <w:sz w:val="18"/>
                <w:szCs w:val="18"/>
                <w:lang w:val="en-GB"/>
              </w:rPr>
              <w:t>25</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9E3B955" w14:textId="77777777" w:rsidR="00E55541" w:rsidRPr="0006354B" w:rsidRDefault="00E55541" w:rsidP="006D791B">
            <w:pPr>
              <w:pStyle w:val="NormalWeb"/>
              <w:rPr>
                <w:sz w:val="18"/>
                <w:szCs w:val="18"/>
                <w:lang w:val="en-GB"/>
              </w:rPr>
            </w:pPr>
            <w:r w:rsidRPr="0006354B">
              <w:rPr>
                <w:sz w:val="18"/>
                <w:szCs w:val="18"/>
                <w:lang w:val="en-GB"/>
              </w:rPr>
              <w:t>58.1</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049B193" w14:textId="77777777" w:rsidR="00E55541" w:rsidRPr="0006354B" w:rsidRDefault="00E55541" w:rsidP="006D791B">
            <w:pPr>
              <w:pStyle w:val="NormalWeb"/>
              <w:rPr>
                <w:sz w:val="18"/>
                <w:szCs w:val="18"/>
                <w:lang w:val="en-GB"/>
              </w:rPr>
            </w:pPr>
            <w:r w:rsidRPr="0006354B">
              <w:rPr>
                <w:sz w:val="18"/>
                <w:szCs w:val="18"/>
                <w:lang w:val="en-GB"/>
              </w:rPr>
              <w:t>2</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62E07A7" w14:textId="77777777" w:rsidR="00E55541" w:rsidRPr="0006354B" w:rsidRDefault="00E55541" w:rsidP="006D791B">
            <w:pPr>
              <w:pStyle w:val="NormalWeb"/>
              <w:rPr>
                <w:sz w:val="18"/>
                <w:szCs w:val="18"/>
                <w:lang w:val="en-GB"/>
              </w:rPr>
            </w:pPr>
            <w:r w:rsidRPr="0006354B">
              <w:rPr>
                <w:sz w:val="18"/>
                <w:szCs w:val="18"/>
                <w:lang w:val="en-GB"/>
              </w:rPr>
              <w:t>50.0</w:t>
            </w:r>
          </w:p>
        </w:tc>
      </w:tr>
      <w:tr w:rsidR="00E55541" w:rsidRPr="00B5162B" w14:paraId="2A46E093" w14:textId="77777777" w:rsidTr="002558D8">
        <w:trPr>
          <w:cnfStyle w:val="000000010000" w:firstRow="0" w:lastRow="0" w:firstColumn="0" w:lastColumn="0" w:oddVBand="0" w:evenVBand="0" w:oddHBand="0" w:evenHBand="1" w:firstRowFirstColumn="0" w:firstRowLastColumn="0" w:lastRowFirstColumn="0" w:lastRowLastColumn="0"/>
        </w:trPr>
        <w:tc>
          <w:tcPr>
            <w:tcW w:w="2977"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6D59BDC" w14:textId="77777777" w:rsidR="00E55541" w:rsidRPr="00B5162B" w:rsidRDefault="00E55541" w:rsidP="006D791B">
            <w:pPr>
              <w:pStyle w:val="NormalWeb"/>
              <w:jc w:val="left"/>
              <w:rPr>
                <w:b/>
                <w:bCs/>
                <w:sz w:val="18"/>
                <w:szCs w:val="18"/>
                <w:lang w:val="en-GB"/>
              </w:rPr>
            </w:pPr>
            <w:proofErr w:type="spellStart"/>
            <w:r w:rsidRPr="00B5162B">
              <w:rPr>
                <w:b/>
                <w:bCs/>
                <w:sz w:val="18"/>
                <w:szCs w:val="18"/>
                <w:lang w:val="en-GB"/>
              </w:rPr>
              <w:t>Died</w:t>
            </w:r>
            <w:r w:rsidRPr="00B5162B">
              <w:rPr>
                <w:b/>
                <w:bCs/>
                <w:sz w:val="18"/>
                <w:szCs w:val="18"/>
                <w:vertAlign w:val="superscript"/>
                <w:lang w:val="en-GB"/>
              </w:rPr>
              <w:t>f</w:t>
            </w:r>
            <w:proofErr w:type="spellEnd"/>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BC93A8A" w14:textId="77777777" w:rsidR="00E55541" w:rsidRPr="00B5162B" w:rsidRDefault="00E55541" w:rsidP="006D791B">
            <w:pPr>
              <w:pStyle w:val="NormalWeb"/>
              <w:rPr>
                <w:b/>
                <w:bCs/>
                <w:sz w:val="18"/>
                <w:szCs w:val="18"/>
                <w:lang w:val="en-GB"/>
              </w:rPr>
            </w:pPr>
            <w:r w:rsidRPr="00B5162B">
              <w:rPr>
                <w:b/>
                <w:bCs/>
                <w:sz w:val="18"/>
                <w:szCs w:val="18"/>
                <w:lang w:val="en-GB"/>
              </w:rPr>
              <w:t>9/77</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1D77E06" w14:textId="77777777" w:rsidR="00E55541" w:rsidRPr="00B5162B" w:rsidRDefault="00E55541" w:rsidP="006D791B">
            <w:pPr>
              <w:pStyle w:val="NormalWeb"/>
              <w:rPr>
                <w:b/>
                <w:bCs/>
                <w:sz w:val="18"/>
                <w:szCs w:val="18"/>
                <w:lang w:val="en-GB"/>
              </w:rPr>
            </w:pPr>
            <w:r w:rsidRPr="00B5162B">
              <w:rPr>
                <w:b/>
                <w:bCs/>
                <w:sz w:val="18"/>
                <w:szCs w:val="18"/>
                <w:lang w:val="en-GB"/>
              </w:rPr>
              <w:t>11.7</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30A875F" w14:textId="77777777" w:rsidR="00E55541" w:rsidRPr="00B5162B" w:rsidRDefault="00E55541" w:rsidP="006D791B">
            <w:pPr>
              <w:pStyle w:val="NormalWeb"/>
              <w:rPr>
                <w:b/>
                <w:bCs/>
                <w:sz w:val="18"/>
                <w:szCs w:val="18"/>
                <w:lang w:val="en-GB"/>
              </w:rPr>
            </w:pPr>
            <w:r w:rsidRPr="00B5162B">
              <w:rPr>
                <w:b/>
                <w:bCs/>
                <w:sz w:val="18"/>
                <w:szCs w:val="18"/>
                <w:lang w:val="en-GB"/>
              </w:rPr>
              <w:t>28/484</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65F7FD29" w14:textId="77777777" w:rsidR="00E55541" w:rsidRPr="00B5162B" w:rsidRDefault="00E55541" w:rsidP="006D791B">
            <w:pPr>
              <w:pStyle w:val="NormalWeb"/>
              <w:rPr>
                <w:b/>
                <w:bCs/>
                <w:sz w:val="18"/>
                <w:szCs w:val="18"/>
                <w:lang w:val="en-GB"/>
              </w:rPr>
            </w:pPr>
            <w:r w:rsidRPr="00B5162B">
              <w:rPr>
                <w:b/>
                <w:bCs/>
                <w:sz w:val="18"/>
                <w:szCs w:val="18"/>
                <w:lang w:val="en-GB"/>
              </w:rPr>
              <w:t>5.8</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75B7E9D4" w14:textId="77777777" w:rsidR="00E55541" w:rsidRPr="00B5162B" w:rsidRDefault="00E55541" w:rsidP="006D791B">
            <w:pPr>
              <w:pStyle w:val="NormalWeb"/>
              <w:rPr>
                <w:b/>
                <w:bCs/>
                <w:sz w:val="18"/>
                <w:szCs w:val="18"/>
                <w:lang w:val="en-GB"/>
              </w:rPr>
            </w:pPr>
            <w:r w:rsidRPr="00B5162B">
              <w:rPr>
                <w:b/>
                <w:bCs/>
                <w:sz w:val="18"/>
                <w:szCs w:val="18"/>
                <w:lang w:val="en-GB"/>
              </w:rPr>
              <w:t>5/80</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BA991"/>
            <w:hideMark/>
          </w:tcPr>
          <w:p w14:paraId="2B926559" w14:textId="77777777" w:rsidR="00E55541" w:rsidRPr="00B5162B" w:rsidRDefault="00E55541" w:rsidP="006D791B">
            <w:pPr>
              <w:pStyle w:val="NormalWeb"/>
              <w:rPr>
                <w:b/>
                <w:bCs/>
                <w:sz w:val="18"/>
                <w:szCs w:val="18"/>
                <w:lang w:val="en-GB"/>
              </w:rPr>
            </w:pPr>
            <w:r w:rsidRPr="00B5162B">
              <w:rPr>
                <w:b/>
                <w:bCs/>
                <w:sz w:val="18"/>
                <w:szCs w:val="18"/>
                <w:lang w:val="en-GB"/>
              </w:rPr>
              <w:t>6.3</w:t>
            </w:r>
          </w:p>
        </w:tc>
      </w:tr>
      <w:tr w:rsidR="00E55541" w:rsidRPr="0006354B" w14:paraId="7B13974A" w14:textId="77777777" w:rsidTr="00747A6D">
        <w:tc>
          <w:tcPr>
            <w:tcW w:w="1560" w:type="dxa"/>
            <w:vMerge w:val="restart"/>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C2227B0" w14:textId="77777777" w:rsidR="00E55541" w:rsidRPr="0006354B" w:rsidRDefault="00E55541" w:rsidP="006D791B">
            <w:pPr>
              <w:pStyle w:val="NormalWeb"/>
              <w:jc w:val="left"/>
              <w:rPr>
                <w:sz w:val="18"/>
                <w:szCs w:val="18"/>
                <w:lang w:val="en-GB"/>
              </w:rPr>
            </w:pPr>
            <w:r w:rsidRPr="0006354B">
              <w:rPr>
                <w:sz w:val="18"/>
                <w:szCs w:val="18"/>
                <w:lang w:val="en-GB"/>
              </w:rPr>
              <w:t>Sex</w:t>
            </w:r>
          </w:p>
        </w:tc>
        <w:tc>
          <w:tcPr>
            <w:tcW w:w="141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559854C" w14:textId="77777777" w:rsidR="00E55541" w:rsidRPr="0006354B" w:rsidRDefault="00E55541" w:rsidP="006D791B">
            <w:pPr>
              <w:pStyle w:val="NormalWeb"/>
              <w:jc w:val="left"/>
              <w:rPr>
                <w:sz w:val="18"/>
                <w:szCs w:val="18"/>
                <w:lang w:val="en-GB"/>
              </w:rPr>
            </w:pPr>
            <w:r w:rsidRPr="0006354B">
              <w:rPr>
                <w:sz w:val="18"/>
                <w:szCs w:val="18"/>
                <w:lang w:val="en-GB"/>
              </w:rPr>
              <w:t>Female</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65B7FEA" w14:textId="77777777" w:rsidR="00E55541" w:rsidRPr="0006354B" w:rsidRDefault="00E55541" w:rsidP="006D791B">
            <w:pPr>
              <w:pStyle w:val="NormalWeb"/>
              <w:rPr>
                <w:sz w:val="18"/>
                <w:szCs w:val="18"/>
                <w:lang w:val="en-GB"/>
              </w:rPr>
            </w:pPr>
            <w:r w:rsidRPr="0006354B">
              <w:rPr>
                <w:sz w:val="18"/>
                <w:szCs w:val="18"/>
                <w:lang w:val="en-GB"/>
              </w:rPr>
              <w:t>3</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F46FC8A" w14:textId="77777777" w:rsidR="00E55541" w:rsidRPr="0006354B" w:rsidRDefault="00E55541" w:rsidP="006D791B">
            <w:pPr>
              <w:pStyle w:val="NormalWeb"/>
              <w:rPr>
                <w:sz w:val="18"/>
                <w:szCs w:val="18"/>
                <w:lang w:val="en-GB"/>
              </w:rPr>
            </w:pPr>
            <w:r w:rsidRPr="0006354B">
              <w:rPr>
                <w:sz w:val="18"/>
                <w:szCs w:val="18"/>
                <w:lang w:val="en-GB"/>
              </w:rPr>
              <w:t>33.3</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1530D60" w14:textId="77777777" w:rsidR="00E55541" w:rsidRPr="0006354B" w:rsidRDefault="00E55541" w:rsidP="006D791B">
            <w:pPr>
              <w:pStyle w:val="NormalWeb"/>
              <w:rPr>
                <w:sz w:val="18"/>
                <w:szCs w:val="18"/>
                <w:lang w:val="en-GB"/>
              </w:rPr>
            </w:pPr>
            <w:r w:rsidRPr="0006354B">
              <w:rPr>
                <w:sz w:val="18"/>
                <w:szCs w:val="18"/>
                <w:lang w:val="en-GB"/>
              </w:rPr>
              <w:t>9</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A351483" w14:textId="77777777" w:rsidR="00E55541" w:rsidRPr="0006354B" w:rsidRDefault="00E55541" w:rsidP="006D791B">
            <w:pPr>
              <w:pStyle w:val="NormalWeb"/>
              <w:rPr>
                <w:sz w:val="18"/>
                <w:szCs w:val="18"/>
                <w:lang w:val="en-GB"/>
              </w:rPr>
            </w:pPr>
            <w:r w:rsidRPr="0006354B">
              <w:rPr>
                <w:sz w:val="18"/>
                <w:szCs w:val="18"/>
                <w:lang w:val="en-GB"/>
              </w:rPr>
              <w:t>32.1</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0160AA27" w14:textId="77777777" w:rsidR="00E55541" w:rsidRPr="0006354B" w:rsidRDefault="00E55541" w:rsidP="006D791B">
            <w:pPr>
              <w:pStyle w:val="NormalWeb"/>
              <w:rPr>
                <w:sz w:val="18"/>
                <w:szCs w:val="18"/>
                <w:lang w:val="en-GB"/>
              </w:rPr>
            </w:pPr>
            <w:r w:rsidRPr="0006354B">
              <w:rPr>
                <w:sz w:val="18"/>
                <w:szCs w:val="18"/>
                <w:lang w:val="en-GB"/>
              </w:rPr>
              <w:t>2</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46C555C" w14:textId="77777777" w:rsidR="00E55541" w:rsidRPr="0006354B" w:rsidRDefault="00E55541" w:rsidP="006D791B">
            <w:pPr>
              <w:pStyle w:val="NormalWeb"/>
              <w:rPr>
                <w:sz w:val="18"/>
                <w:szCs w:val="18"/>
                <w:lang w:val="en-GB"/>
              </w:rPr>
            </w:pPr>
            <w:r w:rsidRPr="0006354B">
              <w:rPr>
                <w:sz w:val="18"/>
                <w:szCs w:val="18"/>
                <w:lang w:val="en-GB"/>
              </w:rPr>
              <w:t>40.0</w:t>
            </w:r>
          </w:p>
        </w:tc>
      </w:tr>
      <w:tr w:rsidR="00E55541" w:rsidRPr="0006354B" w14:paraId="48B261BB" w14:textId="77777777" w:rsidTr="00747A6D">
        <w:trPr>
          <w:cnfStyle w:val="000000010000" w:firstRow="0" w:lastRow="0" w:firstColumn="0" w:lastColumn="0" w:oddVBand="0" w:evenVBand="0" w:oddHBand="0" w:evenHBand="1" w:firstRowFirstColumn="0" w:firstRowLastColumn="0" w:lastRowFirstColumn="0" w:lastRowLastColumn="0"/>
        </w:trPr>
        <w:tc>
          <w:tcPr>
            <w:tcW w:w="1560" w:type="dxa"/>
            <w:vMerge/>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399FFAC7" w14:textId="77777777" w:rsidR="00E55541" w:rsidRPr="0006354B" w:rsidRDefault="00E55541" w:rsidP="006D791B">
            <w:pPr>
              <w:jc w:val="left"/>
              <w:rPr>
                <w:sz w:val="18"/>
                <w:szCs w:val="18"/>
                <w:lang w:val="en-GB"/>
              </w:rPr>
            </w:pPr>
          </w:p>
        </w:tc>
        <w:tc>
          <w:tcPr>
            <w:tcW w:w="141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496478BD" w14:textId="77777777" w:rsidR="00E55541" w:rsidRPr="0006354B" w:rsidRDefault="00E55541" w:rsidP="006D791B">
            <w:pPr>
              <w:pStyle w:val="NormalWeb"/>
              <w:jc w:val="left"/>
              <w:rPr>
                <w:sz w:val="18"/>
                <w:szCs w:val="18"/>
                <w:lang w:val="en-GB"/>
              </w:rPr>
            </w:pPr>
            <w:r w:rsidRPr="0006354B">
              <w:rPr>
                <w:sz w:val="18"/>
                <w:szCs w:val="18"/>
                <w:lang w:val="en-GB"/>
              </w:rPr>
              <w:t>Male</w:t>
            </w:r>
          </w:p>
        </w:tc>
        <w:tc>
          <w:tcPr>
            <w:tcW w:w="127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E78B956" w14:textId="77777777" w:rsidR="00E55541" w:rsidRPr="0006354B" w:rsidRDefault="00E55541" w:rsidP="006D791B">
            <w:pPr>
              <w:pStyle w:val="NormalWeb"/>
              <w:rPr>
                <w:sz w:val="18"/>
                <w:szCs w:val="18"/>
                <w:lang w:val="en-GB"/>
              </w:rPr>
            </w:pPr>
            <w:r w:rsidRPr="0006354B">
              <w:rPr>
                <w:sz w:val="18"/>
                <w:szCs w:val="18"/>
                <w:lang w:val="en-GB"/>
              </w:rPr>
              <w:t>6</w:t>
            </w:r>
          </w:p>
        </w:tc>
        <w:tc>
          <w:tcPr>
            <w:tcW w:w="6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686AE770" w14:textId="77777777" w:rsidR="00E55541" w:rsidRPr="0006354B" w:rsidRDefault="00E55541" w:rsidP="006D791B">
            <w:pPr>
              <w:pStyle w:val="NormalWeb"/>
              <w:rPr>
                <w:sz w:val="18"/>
                <w:szCs w:val="18"/>
                <w:lang w:val="en-GB"/>
              </w:rPr>
            </w:pPr>
            <w:r w:rsidRPr="0006354B">
              <w:rPr>
                <w:sz w:val="18"/>
                <w:szCs w:val="18"/>
                <w:lang w:val="en-GB"/>
              </w:rPr>
              <w:t>66.7</w:t>
            </w:r>
          </w:p>
        </w:tc>
        <w:tc>
          <w:tcPr>
            <w:tcW w:w="142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683DB3AA" w14:textId="77777777" w:rsidR="00E55541" w:rsidRPr="0006354B" w:rsidRDefault="00E55541" w:rsidP="006D791B">
            <w:pPr>
              <w:pStyle w:val="NormalWeb"/>
              <w:rPr>
                <w:sz w:val="18"/>
                <w:szCs w:val="18"/>
                <w:lang w:val="en-GB"/>
              </w:rPr>
            </w:pPr>
            <w:r w:rsidRPr="0006354B">
              <w:rPr>
                <w:sz w:val="18"/>
                <w:szCs w:val="18"/>
                <w:lang w:val="en-GB"/>
              </w:rPr>
              <w:t>19</w:t>
            </w:r>
          </w:p>
        </w:tc>
        <w:tc>
          <w:tcPr>
            <w:tcW w:w="11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222263E4" w14:textId="77777777" w:rsidR="00E55541" w:rsidRPr="0006354B" w:rsidRDefault="00E55541" w:rsidP="006D791B">
            <w:pPr>
              <w:pStyle w:val="NormalWeb"/>
              <w:rPr>
                <w:sz w:val="18"/>
                <w:szCs w:val="18"/>
                <w:lang w:val="en-GB"/>
              </w:rPr>
            </w:pPr>
            <w:r w:rsidRPr="0006354B">
              <w:rPr>
                <w:sz w:val="18"/>
                <w:szCs w:val="18"/>
                <w:lang w:val="en-GB"/>
              </w:rPr>
              <w:t>67.9</w:t>
            </w:r>
          </w:p>
        </w:tc>
        <w:tc>
          <w:tcPr>
            <w:tcW w:w="152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1C5EE138" w14:textId="77777777" w:rsidR="00E55541" w:rsidRPr="0006354B" w:rsidRDefault="00E55541" w:rsidP="006D791B">
            <w:pPr>
              <w:pStyle w:val="NormalWeb"/>
              <w:rPr>
                <w:sz w:val="18"/>
                <w:szCs w:val="18"/>
                <w:lang w:val="en-GB"/>
              </w:rPr>
            </w:pPr>
            <w:r w:rsidRPr="0006354B">
              <w:rPr>
                <w:sz w:val="18"/>
                <w:szCs w:val="18"/>
                <w:lang w:val="en-GB"/>
              </w:rPr>
              <w:t>3</w:t>
            </w:r>
          </w:p>
        </w:tc>
        <w:tc>
          <w:tcPr>
            <w:tcW w:w="140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FFFF" w:themeFill="background1"/>
            <w:hideMark/>
          </w:tcPr>
          <w:p w14:paraId="7EF2EE71" w14:textId="77777777" w:rsidR="00E55541" w:rsidRPr="0006354B" w:rsidRDefault="00E55541" w:rsidP="006D791B">
            <w:pPr>
              <w:pStyle w:val="NormalWeb"/>
              <w:rPr>
                <w:sz w:val="18"/>
                <w:szCs w:val="18"/>
                <w:lang w:val="en-GB"/>
              </w:rPr>
            </w:pPr>
            <w:r w:rsidRPr="0006354B">
              <w:rPr>
                <w:sz w:val="18"/>
                <w:szCs w:val="18"/>
                <w:lang w:val="en-GB"/>
              </w:rPr>
              <w:t>60.0</w:t>
            </w:r>
          </w:p>
        </w:tc>
      </w:tr>
    </w:tbl>
    <w:p w14:paraId="7E5C265C" w14:textId="77777777" w:rsidR="00E55541" w:rsidRPr="00967E9C" w:rsidRDefault="00E55541" w:rsidP="00E55541">
      <w:pPr>
        <w:pStyle w:val="CDIfootnotes"/>
      </w:pPr>
      <w:proofErr w:type="gramStart"/>
      <w:r w:rsidRPr="00967E9C">
        <w:t>a</w:t>
      </w:r>
      <w:r w:rsidRPr="00967E9C">
        <w:tab/>
        <w:t>Three cases</w:t>
      </w:r>
      <w:proofErr w:type="gramEnd"/>
      <w:r w:rsidRPr="00967E9C">
        <w:t xml:space="preserve"> with unknown vaccination status have been excluded.</w:t>
      </w:r>
    </w:p>
    <w:p w14:paraId="3038990D" w14:textId="77777777" w:rsidR="00E55541" w:rsidRPr="00967E9C" w:rsidRDefault="00E55541" w:rsidP="00E55541">
      <w:pPr>
        <w:pStyle w:val="CDIfootnotes"/>
      </w:pPr>
      <w:r w:rsidRPr="00967E9C">
        <w:t>b</w:t>
      </w:r>
      <w:r w:rsidRPr="00967E9C">
        <w:tab/>
        <w:t xml:space="preserve">Column percentage values, unless otherwise </w:t>
      </w:r>
      <w:proofErr w:type="gramStart"/>
      <w:r w:rsidRPr="00967E9C">
        <w:t>indicated</w:t>
      </w:r>
      <w:proofErr w:type="gramEnd"/>
      <w:r w:rsidRPr="00967E9C">
        <w:t>.</w:t>
      </w:r>
    </w:p>
    <w:p w14:paraId="0654447E" w14:textId="77777777" w:rsidR="00E55541" w:rsidRPr="00967E9C" w:rsidRDefault="00E55541" w:rsidP="00E55541">
      <w:pPr>
        <w:pStyle w:val="CDIfootnotes"/>
      </w:pPr>
      <w:r w:rsidRPr="00967E9C">
        <w:t>c</w:t>
      </w:r>
      <w:r w:rsidRPr="00967E9C">
        <w:tab/>
        <w:t>Percentage of total cases.</w:t>
      </w:r>
    </w:p>
    <w:p w14:paraId="69D45529" w14:textId="77777777" w:rsidR="00E55541" w:rsidRPr="00967E9C" w:rsidRDefault="00E55541" w:rsidP="00E55541">
      <w:pPr>
        <w:pStyle w:val="CDIfootnotes"/>
      </w:pPr>
      <w:r w:rsidRPr="00967E9C">
        <w:t>d</w:t>
      </w:r>
      <w:r w:rsidRPr="00967E9C">
        <w:tab/>
        <w:t>Range.</w:t>
      </w:r>
    </w:p>
    <w:p w14:paraId="11D3F95D" w14:textId="77777777" w:rsidR="00E55541" w:rsidRPr="00967E9C" w:rsidRDefault="00E55541" w:rsidP="00E55541">
      <w:pPr>
        <w:pStyle w:val="CDIfootnotes"/>
      </w:pPr>
      <w:r w:rsidRPr="00967E9C">
        <w:t>e</w:t>
      </w:r>
      <w:r w:rsidRPr="00967E9C">
        <w:tab/>
        <w:t>Hospitalised with (not from) COVID-19.</w:t>
      </w:r>
    </w:p>
    <w:p w14:paraId="0C1214BE" w14:textId="77777777" w:rsidR="00E55541" w:rsidRPr="00967E9C" w:rsidRDefault="00E55541" w:rsidP="00E55541">
      <w:pPr>
        <w:pStyle w:val="CDIfootnotes"/>
        <w:rPr>
          <w:rStyle w:val="A10"/>
          <w:rFonts w:cstheme="minorBidi"/>
          <w:color w:val="auto"/>
          <w:sz w:val="18"/>
        </w:rPr>
      </w:pPr>
      <w:r w:rsidRPr="00967E9C">
        <w:t>f</w:t>
      </w:r>
      <w:r w:rsidRPr="00967E9C">
        <w:tab/>
        <w:t>Died with (not from) COVID-19.</w:t>
      </w:r>
    </w:p>
    <w:p w14:paraId="20BF7613" w14:textId="4F51E5B7" w:rsidR="00717541" w:rsidRPr="00717541" w:rsidRDefault="00717541" w:rsidP="00717541">
      <w:pPr>
        <w:pStyle w:val="Heading2"/>
      </w:pPr>
      <w:r w:rsidRPr="00717541">
        <w:t xml:space="preserve">Discussion </w:t>
      </w:r>
    </w:p>
    <w:p w14:paraId="6C216F8C" w14:textId="77777777" w:rsidR="00717541" w:rsidRDefault="00717541" w:rsidP="00717541">
      <w:r>
        <w:t>Across the Gold Coast, this wave of COVID-19 RACF outbreaks resulted in considerable morbidity, with 10.6 % of resident cases hospitalised. However, these rates are lower than hospitalisation rates earlier in the pandemic in other jurisdictions, where an estimated 37% of RACF resident cases were hospitalised.</w:t>
      </w:r>
      <w:r>
        <w:rPr>
          <w:vertAlign w:val="superscript"/>
        </w:rPr>
        <w:t>1</w:t>
      </w:r>
      <w:r>
        <w:t xml:space="preserve"> Additionally, this review showed a predominance of male cases hospitalised in these outbreaks. This is unexpected since two-thirds of RACF residents in Queensland are female.</w:t>
      </w:r>
      <w:r>
        <w:rPr>
          <w:vertAlign w:val="superscript"/>
        </w:rPr>
        <w:t>19</w:t>
      </w:r>
      <w:r>
        <w:t xml:space="preserve"> The reasoning behind this could not be </w:t>
      </w:r>
      <w:proofErr w:type="gramStart"/>
      <w:r>
        <w:t>established</w:t>
      </w:r>
      <w:proofErr w:type="gramEnd"/>
      <w:r>
        <w:t xml:space="preserve"> and may be due to other factors such as comorbidities. </w:t>
      </w:r>
    </w:p>
    <w:p w14:paraId="59C133FC" w14:textId="77777777" w:rsidR="00717541" w:rsidRDefault="00717541" w:rsidP="00717541">
      <w:r>
        <w:t>The mortality rate during this review varied compared with other available data. The case fatality rate of 6.5% in Gold Coast RACFs was lower than the estimated case fatality rate that Australian RACFs had been experiencing throughout the pandemic (9.6% until 17 February 2022),</w:t>
      </w:r>
      <w:r>
        <w:rPr>
          <w:vertAlign w:val="superscript"/>
        </w:rPr>
        <w:t>17</w:t>
      </w:r>
      <w:r>
        <w:t xml:space="preserve"> and lower than case fatality rates experienced in RACFs internationally (estimated to be 23% in 2020 and 2021).</w:t>
      </w:r>
      <w:r>
        <w:rPr>
          <w:vertAlign w:val="superscript"/>
        </w:rPr>
        <w:t>1</w:t>
      </w:r>
      <w:r>
        <w:t xml:space="preserve"> The death rate (deaths against all residents) during the review period was similar to the Australian death rate up until 17 February 2022 (7.6 per 1,000 beds and 7.8 per </w:t>
      </w:r>
      <w:r>
        <w:lastRenderedPageBreak/>
        <w:t>1,000 beds, respectively).</w:t>
      </w:r>
      <w:r>
        <w:rPr>
          <w:vertAlign w:val="superscript"/>
        </w:rPr>
        <w:t>17</w:t>
      </w:r>
      <w:r>
        <w:t xml:space="preserve"> Again, a higher proportion of men died with COVID-19than did women. Further studies would </w:t>
      </w:r>
      <w:proofErr w:type="gramStart"/>
      <w:r>
        <w:t>be recommended</w:t>
      </w:r>
      <w:proofErr w:type="gramEnd"/>
      <w:r>
        <w:t xml:space="preserve"> to investigate potential causes. </w:t>
      </w:r>
    </w:p>
    <w:p w14:paraId="63F43A90" w14:textId="77777777" w:rsidR="00717541" w:rsidRDefault="00717541" w:rsidP="00717541">
      <w:r>
        <w:t xml:space="preserve">In two-thirds of the outbreaks notified to GCPHU, the </w:t>
      </w:r>
      <w:proofErr w:type="gramStart"/>
      <w:r>
        <w:t>initial</w:t>
      </w:r>
      <w:proofErr w:type="gramEnd"/>
      <w:r>
        <w:t xml:space="preserve"> case identified was in a staff member. It was not possible to </w:t>
      </w:r>
      <w:proofErr w:type="gramStart"/>
      <w:r>
        <w:t>determine</w:t>
      </w:r>
      <w:proofErr w:type="gramEnd"/>
      <w:r>
        <w:t xml:space="preserve"> if the initial case identified was the index case of the outbreak, because there could have been another unidentified asymptomatic case at the RACF, given the high number of cases circulating in the community at the time. </w:t>
      </w:r>
    </w:p>
    <w:p w14:paraId="2B77955C" w14:textId="77777777" w:rsidR="00717541" w:rsidRDefault="00717541" w:rsidP="00717541">
      <w:r>
        <w:t xml:space="preserve">Compared with no dose or one dose of COVID-19 vaccine, two doses of vaccine </w:t>
      </w:r>
      <w:proofErr w:type="gramStart"/>
      <w:r>
        <w:t>considerably reduced</w:t>
      </w:r>
      <w:proofErr w:type="gramEnd"/>
      <w:r>
        <w:t xml:space="preserve"> the rates of hospitalisation (27.3% to 8.9%) and death (11.7% to 5.8%) in RACF resident cases. A booster dose of vaccine for RACF residents was recommended by the Australian Technical Advisory Group on Immunisation (ATAGI) on 28 October 2021.</w:t>
      </w:r>
      <w:r>
        <w:rPr>
          <w:vertAlign w:val="superscript"/>
        </w:rPr>
        <w:t>20</w:t>
      </w:r>
      <w:r>
        <w:t xml:space="preserve"> Actual numbers of residents in RACFs who were offered the booster were </w:t>
      </w:r>
      <w:proofErr w:type="gramStart"/>
      <w:r>
        <w:t>unknown, but</w:t>
      </w:r>
      <w:proofErr w:type="gramEnd"/>
      <w:r>
        <w:t xml:space="preserve"> thought to be sub-optimal. Only small numbers of resident cases in the review had received the booster (12.5%) before infection, with rates of hospitalisation and death for this cohort lower than those who were under-vaccinated. The </w:t>
      </w:r>
      <w:proofErr w:type="gramStart"/>
      <w:r>
        <w:t>low number</w:t>
      </w:r>
      <w:proofErr w:type="gramEnd"/>
      <w:r>
        <w:t xml:space="preserve"> of cases in this category makes it difficult to draw any conclusions about the effect of the booster. </w:t>
      </w:r>
    </w:p>
    <w:p w14:paraId="25A9A53E" w14:textId="77777777" w:rsidR="00717541" w:rsidRDefault="00717541" w:rsidP="00717541">
      <w:r>
        <w:t xml:space="preserve">The outbreak definition current at the time required only one COVID-19 case in a facility during their infectious period to trigger an outbreak response. This may have been </w:t>
      </w:r>
      <w:proofErr w:type="gramStart"/>
      <w:r>
        <w:t>appropriate for</w:t>
      </w:r>
      <w:proofErr w:type="gramEnd"/>
      <w:r>
        <w:t xml:space="preserve"> an elimination strategy; but with the surge in community cases and the emergence of the Omicron variant of concern, this response was not sustainable. In the new CDNA guidelines released on 15 February 2022 (following the completion of this audit), one infectious case </w:t>
      </w:r>
      <w:proofErr w:type="gramStart"/>
      <w:r>
        <w:t>was only considered</w:t>
      </w:r>
      <w:proofErr w:type="gramEnd"/>
      <w:r>
        <w:t xml:space="preserve"> an exposure and an outbreak response was triggered if two residents were positive within five days or if five or more staff, visitors and/or residents were positive within the past seven days.</w:t>
      </w:r>
      <w:r>
        <w:rPr>
          <w:vertAlign w:val="superscript"/>
        </w:rPr>
        <w:t>21</w:t>
      </w:r>
      <w:r>
        <w:t xml:space="preserve"> </w:t>
      </w:r>
    </w:p>
    <w:p w14:paraId="7835058D" w14:textId="77777777" w:rsidR="00717541" w:rsidRDefault="00717541" w:rsidP="00717541">
      <w:r>
        <w:t xml:space="preserve">The review had </w:t>
      </w:r>
      <w:proofErr w:type="gramStart"/>
      <w:r>
        <w:t>several</w:t>
      </w:r>
      <w:proofErr w:type="gramEnd"/>
      <w:r>
        <w:t xml:space="preserve"> limitations. No data on gender or Aboriginal and Torres Strait Islander status of cases </w:t>
      </w:r>
      <w:proofErr w:type="gramStart"/>
      <w:r>
        <w:t>were provided</w:t>
      </w:r>
      <w:proofErr w:type="gramEnd"/>
      <w:r>
        <w:t xml:space="preserve"> in the RACF line list. Gender was available if a case was hospitalised or died. As part of the CQI process, gender and Aboriginal and Torres Strait Islander status have since </w:t>
      </w:r>
      <w:proofErr w:type="gramStart"/>
      <w:r>
        <w:t>been added</w:t>
      </w:r>
      <w:proofErr w:type="gramEnd"/>
      <w:r>
        <w:t xml:space="preserve"> to the data collected from RACFs. Vaccination status reported by the RACF </w:t>
      </w:r>
      <w:proofErr w:type="gramStart"/>
      <w:r>
        <w:t>was not verified</w:t>
      </w:r>
      <w:proofErr w:type="gramEnd"/>
      <w:r>
        <w:t xml:space="preserve"> from the Australian Immunisation Register, so there may be classification bias in vaccination rates for resident cases. Cases </w:t>
      </w:r>
      <w:proofErr w:type="gramStart"/>
      <w:r>
        <w:t>were detected</w:t>
      </w:r>
      <w:proofErr w:type="gramEnd"/>
      <w:r>
        <w:t xml:space="preserve"> by RAT as well as PCR. Use of RAT may underestimate true incidence of cases, given some RATs available in Australia have a sensitivity as low as </w:t>
      </w:r>
      <w:proofErr w:type="gramStart"/>
      <w:r>
        <w:t>80</w:t>
      </w:r>
      <w:proofErr w:type="gramEnd"/>
      <w:r>
        <w:t>%.</w:t>
      </w:r>
      <w:r>
        <w:rPr>
          <w:vertAlign w:val="superscript"/>
        </w:rPr>
        <w:t>22</w:t>
      </w:r>
      <w:r>
        <w:t xml:space="preserve"> Confounding factors were not assessed in the audit and may have biased the results. Such factors could include comorbidities; end-of-life planning; time since COVID-19 vaccination; and outbreak management in the RACF, including the impact of infection control practices on attack rates or the effect of antivirals on rates of hospitalisations or death.</w:t>
      </w:r>
      <w:r>
        <w:rPr>
          <w:vertAlign w:val="superscript"/>
        </w:rPr>
        <w:t>17</w:t>
      </w:r>
      <w:r>
        <w:t xml:space="preserve"> Hospitalisations and deaths were also ‘with’ COVID-19 and not necessarily ‘because of’ COVID-19. </w:t>
      </w:r>
    </w:p>
    <w:p w14:paraId="2522DDBF" w14:textId="77777777" w:rsidR="00717541" w:rsidRDefault="00717541" w:rsidP="00717541">
      <w:r>
        <w:t xml:space="preserve">The easing of domestic border restrictions to Queensland resulted in a wave of outbreaks in RACFs across the Gold Coast region that caused considerable morbidity and mortality, with staff shortages and fatigue at RACFs and GCPHU. More male than female residents in RACFs were hospitalised or died with COVID19. A higher proportion of under-vaccinated cases were hospitalised or died compared to those who had received at least two doses of vaccine. Due to a small number of deaths in resident cases who received booster vaccination, the impact of the booster could not be </w:t>
      </w:r>
      <w:proofErr w:type="gramStart"/>
      <w:r>
        <w:t>adequately assessed</w:t>
      </w:r>
      <w:proofErr w:type="gramEnd"/>
      <w:r>
        <w:t xml:space="preserve"> but two doses of vaccine appeared to have reduced morbidity and mortality for RACF residents in the two months of this review. </w:t>
      </w:r>
    </w:p>
    <w:p w14:paraId="644AD41C" w14:textId="77777777" w:rsidR="00424961" w:rsidRDefault="00424961">
      <w:pPr>
        <w:rPr>
          <w:rFonts w:asciiTheme="majorHAnsi" w:eastAsiaTheme="majorEastAsia" w:hAnsiTheme="majorHAnsi" w:cstheme="majorBidi"/>
          <w:b/>
          <w:bCs/>
          <w:sz w:val="32"/>
          <w:szCs w:val="28"/>
        </w:rPr>
      </w:pPr>
      <w:r>
        <w:br w:type="page"/>
      </w:r>
    </w:p>
    <w:p w14:paraId="45A1B50A" w14:textId="6358E4B5" w:rsidR="00717541" w:rsidRPr="00717541" w:rsidRDefault="00717541" w:rsidP="00717541">
      <w:pPr>
        <w:pStyle w:val="Heading1"/>
      </w:pPr>
      <w:r w:rsidRPr="00717541">
        <w:lastRenderedPageBreak/>
        <w:t xml:space="preserve">Acknowledgements </w:t>
      </w:r>
    </w:p>
    <w:p w14:paraId="67AB1380" w14:textId="77777777" w:rsidR="00717541" w:rsidRDefault="00717541" w:rsidP="00717541">
      <w:r>
        <w:t xml:space="preserve">The authors would like to acknowledge staff within the Gold Coast Public Health Unit who contributed to the ongoing management of COVID-19 outbreaks in RACF. This included nursing staff, public health medical officers, epidemiologists, a data team, environmental health officers and administration support. </w:t>
      </w:r>
    </w:p>
    <w:p w14:paraId="291811A8" w14:textId="77777777" w:rsidR="00717541" w:rsidRPr="00717541" w:rsidRDefault="00717541" w:rsidP="00717541">
      <w:pPr>
        <w:pStyle w:val="Heading1"/>
      </w:pPr>
      <w:r w:rsidRPr="00717541">
        <w:t xml:space="preserve">Author details </w:t>
      </w:r>
    </w:p>
    <w:p w14:paraId="1B6A330C" w14:textId="1C4A1579" w:rsidR="00717541" w:rsidRDefault="00717541" w:rsidP="00717541">
      <w:r>
        <w:t>Dr Candice Colbran</w:t>
      </w:r>
      <w:r>
        <w:rPr>
          <w:vertAlign w:val="superscript"/>
        </w:rPr>
        <w:t>1</w:t>
      </w:r>
      <w:r>
        <w:t xml:space="preserve"> </w:t>
      </w:r>
      <w:r w:rsidR="00A2706F">
        <w:br/>
      </w:r>
      <w:r>
        <w:t>Dr Fiona May</w:t>
      </w:r>
      <w:r>
        <w:rPr>
          <w:vertAlign w:val="superscript"/>
        </w:rPr>
        <w:t>1</w:t>
      </w:r>
      <w:r>
        <w:t xml:space="preserve"> </w:t>
      </w:r>
      <w:r w:rsidR="00A2706F">
        <w:br/>
      </w:r>
      <w:r>
        <w:t>Fiona Vosti</w:t>
      </w:r>
      <w:r>
        <w:rPr>
          <w:vertAlign w:val="superscript"/>
        </w:rPr>
        <w:t>1</w:t>
      </w:r>
      <w:r>
        <w:t xml:space="preserve"> </w:t>
      </w:r>
      <w:r w:rsidR="00A2706F">
        <w:br/>
      </w:r>
      <w:r>
        <w:t>Tracy Bladen</w:t>
      </w:r>
      <w:r>
        <w:rPr>
          <w:vertAlign w:val="superscript"/>
        </w:rPr>
        <w:t>1</w:t>
      </w:r>
      <w:r>
        <w:t xml:space="preserve"> </w:t>
      </w:r>
      <w:r w:rsidR="00A2706F">
        <w:br/>
      </w:r>
      <w:r>
        <w:t>Dr Andre Wattiaux</w:t>
      </w:r>
      <w:r>
        <w:rPr>
          <w:vertAlign w:val="superscript"/>
        </w:rPr>
        <w:t>1</w:t>
      </w:r>
      <w:r>
        <w:t xml:space="preserve"> </w:t>
      </w:r>
      <w:r w:rsidR="00A2706F">
        <w:br/>
      </w:r>
      <w:r>
        <w:t>Dr Vicki Slinko</w:t>
      </w:r>
      <w:r>
        <w:rPr>
          <w:vertAlign w:val="superscript"/>
        </w:rPr>
        <w:t xml:space="preserve">1 </w:t>
      </w:r>
    </w:p>
    <w:p w14:paraId="5435251B"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Gold Coast Public Health Unit, Gold Coast Hospital and Health Service </w:t>
      </w:r>
    </w:p>
    <w:p w14:paraId="15DD5D2B" w14:textId="77777777" w:rsidR="00717541" w:rsidRPr="00717541" w:rsidRDefault="00717541" w:rsidP="00717541">
      <w:pPr>
        <w:pStyle w:val="Heading2"/>
      </w:pPr>
      <w:r w:rsidRPr="00717541">
        <w:t xml:space="preserve">Corresponding author </w:t>
      </w:r>
    </w:p>
    <w:p w14:paraId="684C04B9" w14:textId="0087CE7F" w:rsidR="00717541" w:rsidRDefault="00717541" w:rsidP="00717541">
      <w:r>
        <w:t xml:space="preserve">Dr Candice Colbran </w:t>
      </w:r>
      <w:r w:rsidR="00A2706F">
        <w:br/>
      </w:r>
      <w:r>
        <w:t xml:space="preserve">Address: Gold Coast Public Health Unit, Gold Coast Health, Carrara, Queensland </w:t>
      </w:r>
      <w:r w:rsidR="00A2706F">
        <w:br/>
      </w:r>
      <w:r>
        <w:t xml:space="preserve">Phone: 07 5667 3200 </w:t>
      </w:r>
      <w:r w:rsidR="00A2706F">
        <w:br/>
      </w:r>
      <w:r>
        <w:t xml:space="preserve">Email: Candice.Colbran@health.qld.gov.au </w:t>
      </w:r>
    </w:p>
    <w:p w14:paraId="208D6E58" w14:textId="77777777" w:rsidR="00E55541" w:rsidRDefault="00E55541">
      <w:pPr>
        <w:rPr>
          <w:rFonts w:asciiTheme="majorHAnsi" w:eastAsiaTheme="majorEastAsia" w:hAnsiTheme="majorHAnsi" w:cstheme="majorBidi"/>
          <w:b/>
          <w:bCs/>
          <w:sz w:val="32"/>
          <w:szCs w:val="28"/>
        </w:rPr>
      </w:pPr>
      <w:r>
        <w:br w:type="page"/>
      </w:r>
    </w:p>
    <w:p w14:paraId="475E1FB3" w14:textId="522640B6" w:rsidR="00717541" w:rsidRPr="00717541" w:rsidRDefault="00717541" w:rsidP="00717541">
      <w:pPr>
        <w:pStyle w:val="Heading1"/>
      </w:pPr>
      <w:r w:rsidRPr="00717541">
        <w:lastRenderedPageBreak/>
        <w:t xml:space="preserve">References </w:t>
      </w:r>
    </w:p>
    <w:p w14:paraId="00F2DE7D" w14:textId="77777777" w:rsidR="00717541" w:rsidRPr="00717541" w:rsidRDefault="00717541" w:rsidP="00A2706F">
      <w:pPr>
        <w:pStyle w:val="ListParagraph"/>
        <w:numPr>
          <w:ilvl w:val="0"/>
          <w:numId w:val="10"/>
        </w:numPr>
        <w:rPr>
          <w:rFonts w:eastAsia="Times New Roman"/>
        </w:rPr>
      </w:pPr>
      <w:proofErr w:type="spellStart"/>
      <w:r w:rsidRPr="00717541">
        <w:rPr>
          <w:rFonts w:eastAsia="Times New Roman"/>
        </w:rPr>
        <w:t>Hashan</w:t>
      </w:r>
      <w:proofErr w:type="spellEnd"/>
      <w:r w:rsidRPr="00717541">
        <w:rPr>
          <w:rFonts w:eastAsia="Times New Roman"/>
        </w:rPr>
        <w:t xml:space="preserve"> MR, Smoll N, King C, </w:t>
      </w:r>
      <w:proofErr w:type="spellStart"/>
      <w:r w:rsidRPr="00717541">
        <w:rPr>
          <w:rFonts w:eastAsia="Times New Roman"/>
        </w:rPr>
        <w:t>Ockenden</w:t>
      </w:r>
      <w:proofErr w:type="spellEnd"/>
      <w:r w:rsidRPr="00717541">
        <w:rPr>
          <w:rFonts w:eastAsia="Times New Roman"/>
        </w:rPr>
        <w:t xml:space="preserve">-Muldoon H, Walker J, Wattiaux A et al. Epidemiology and clinical features of COVID-19 outbreaks in aged care facilities: a systematic review and meta-analysis. </w:t>
      </w:r>
      <w:proofErr w:type="spellStart"/>
      <w:r w:rsidRPr="007707AC">
        <w:rPr>
          <w:rStyle w:val="Emphasis"/>
          <w:rFonts w:eastAsia="Times New Roman"/>
          <w:b w:val="0"/>
          <w:bCs w:val="0"/>
        </w:rPr>
        <w:t>EClinicalMedicine</w:t>
      </w:r>
      <w:proofErr w:type="spellEnd"/>
      <w:r w:rsidRPr="00717541">
        <w:rPr>
          <w:rFonts w:eastAsia="Times New Roman"/>
        </w:rPr>
        <w:t xml:space="preserve">. </w:t>
      </w:r>
      <w:proofErr w:type="gramStart"/>
      <w:r w:rsidRPr="00717541">
        <w:rPr>
          <w:rFonts w:eastAsia="Times New Roman"/>
        </w:rPr>
        <w:t>2021;33:100771</w:t>
      </w:r>
      <w:proofErr w:type="gramEnd"/>
      <w:r w:rsidRPr="00717541">
        <w:rPr>
          <w:rFonts w:eastAsia="Times New Roman"/>
        </w:rPr>
        <w:t xml:space="preserve">. </w:t>
      </w:r>
      <w:proofErr w:type="spellStart"/>
      <w:r w:rsidRPr="00717541">
        <w:rPr>
          <w:rFonts w:eastAsia="Times New Roman"/>
        </w:rPr>
        <w:t>doi</w:t>
      </w:r>
      <w:proofErr w:type="spellEnd"/>
      <w:r w:rsidRPr="00717541">
        <w:rPr>
          <w:rFonts w:eastAsia="Times New Roman"/>
        </w:rPr>
        <w:t xml:space="preserve">: https://doi.org/10.1016/j.eclinm.2021.100771. </w:t>
      </w:r>
    </w:p>
    <w:p w14:paraId="004E0754"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Government Department of Health (Queensland Health). Border Restrictions Direction (No. 56). [Internet.] Brisbane: Queensland Health; 9 December 2021. Available from: https://www.health.qld.gov.au/system-governance/legislation/cho-public-health-directions-under-expanded-public-health-act-powers/revoked/border-restrictions-56. </w:t>
      </w:r>
    </w:p>
    <w:p w14:paraId="4C7BD18C"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Prime Minister Scott Morrison. National Cabinet Statement. [Transcript.] Canberra: Australian Government Department of the Prime Minister and Cabinet; 30 December 2021. Available from: https://pmtranscripts.pmc.gov.au/release/transcript-44146. </w:t>
      </w:r>
    </w:p>
    <w:p w14:paraId="4522B765"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Australian Government Department of Health and Aged Care. </w:t>
      </w:r>
      <w:r w:rsidRPr="007707AC">
        <w:rPr>
          <w:rStyle w:val="Emphasis"/>
          <w:rFonts w:eastAsia="Times New Roman"/>
          <w:b w:val="0"/>
          <w:bCs w:val="0"/>
        </w:rPr>
        <w:t xml:space="preserve">Coronavirus disease 2019 (COVID-19) outbreaks in residential care facilities: CDNA national guidelines for the prevention, </w:t>
      </w:r>
      <w:proofErr w:type="gramStart"/>
      <w:r w:rsidRPr="007707AC">
        <w:rPr>
          <w:rStyle w:val="Emphasis"/>
          <w:rFonts w:eastAsia="Times New Roman"/>
          <w:b w:val="0"/>
          <w:bCs w:val="0"/>
        </w:rPr>
        <w:t>control</w:t>
      </w:r>
      <w:proofErr w:type="gramEnd"/>
      <w:r w:rsidRPr="007707AC">
        <w:rPr>
          <w:rStyle w:val="Emphasis"/>
          <w:rFonts w:eastAsia="Times New Roman"/>
          <w:b w:val="0"/>
          <w:bCs w:val="0"/>
        </w:rPr>
        <w:t xml:space="preserve"> and public health management of COVID-19 outbreaks in residential care facilities in Australia (version 4.0)</w:t>
      </w:r>
      <w:r w:rsidRPr="00717541">
        <w:rPr>
          <w:rFonts w:eastAsia="Times New Roman"/>
        </w:rPr>
        <w:t xml:space="preserve">. Canberra: Australian Government Department of Health and Aged Care; 15 March 2021. </w:t>
      </w:r>
    </w:p>
    <w:p w14:paraId="5FE26F5D"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Residential Aged Care Direction (No. 11). [Internet.] Brisbane: Queensland Health; 11 December 2021. Available from: https://www.health.qld.gov.au/system-governance/legislation/cho-public-health-directions-under-expanded-public-health-act-powers/revoked/residential-aged-care-11. </w:t>
      </w:r>
    </w:p>
    <w:p w14:paraId="0CD71C2E"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Isolation for Diagnosed Cases of COVID-19 Direction. [Internet.] Brisbane: Queensland Health; 21 December 2021. Available from: https://www.health.qld.gov.au/system-governance/legislation/cho-public-health-directions-under-expanded-public-health-act-powers/revoked/isolation-for-diagnosed-cases-of-covid-19-direction. </w:t>
      </w:r>
    </w:p>
    <w:p w14:paraId="3360B893"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Isolation for Diagnosed Cases of COVID-19 and Management of Close Contacts Direction. [Internet.] Brisbane: Queensland Health; 31 December 2021. Available from: https://www.health.qld.gov.au/system-governance/legislation/cho-public-health-directions-under-expanded-public-health-act-powers/revoked/isolation-for-diagnosed-cases-of-covid-19-and-management-of-close-contacts-direction. </w:t>
      </w:r>
    </w:p>
    <w:p w14:paraId="2095AB28"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Residential Aged Care Direction (No.12). [Internet.] Brisbane: Queensland Health; 15 January 2022. Available from: https://www.health.qld.gov.au/system-governance/legislation/cho-public-health-directions-under-expanded-public-health-act-powers/revoked/aged-care5. </w:t>
      </w:r>
    </w:p>
    <w:p w14:paraId="28D3E983"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Residential Aged Care Direction (No. 13). [Internet.] Brisbane: Queensland Health; 10 February 2022. Available from: https://www.health.qld.gov.au/system-governance/legislation/cho-public-health-directions-under-expanded-public-health-act-powers/revoked/residential-aged-care-13. </w:t>
      </w:r>
    </w:p>
    <w:p w14:paraId="64B2011B"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Residential Aged Care Visitor Direction. [Internet.] Brisbane: Queensland Health; 12 March 2022. Available from: https://www.health.qld.gov.au/system-governance/legislation/cho-public-health-directions-under-expanded-public-health-act-powers/revoked/aged-care-visitor-1. </w:t>
      </w:r>
    </w:p>
    <w:p w14:paraId="1BE163B2"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Residential Aged Care Visitor Direction (No. 2). [Internet.] Brisbane: Queensland Health; 13 May 2022. Available from: https://www.health.qld.gov.au/system-governance/legislation/cho-public-health-directions-under-expanded-public-health-act-powers/revoked/aged-care-visitor-2. </w:t>
      </w:r>
    </w:p>
    <w:p w14:paraId="30BA52F2"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Isolation for Diagnosed Cases of COVID-19 and Management of Close Contacts Direction (No. 2). [Internet.] Brisbane: Queensland Health; 3 January 2022. Available from: https://www.health.qld.gov.au/system-governance/legislation/cho-public-health-directions-under-expanded-public-health-act-powers/revoked/isolation-for-diagnosed-cases-and-management-of-close-contacts-2. </w:t>
      </w:r>
    </w:p>
    <w:p w14:paraId="770CD8FD" w14:textId="77777777" w:rsidR="00717541" w:rsidRPr="00717541" w:rsidRDefault="00717541" w:rsidP="00717541">
      <w:pPr>
        <w:pStyle w:val="ListParagraph"/>
        <w:numPr>
          <w:ilvl w:val="0"/>
          <w:numId w:val="9"/>
        </w:numPr>
        <w:rPr>
          <w:rFonts w:eastAsia="Times New Roman"/>
        </w:rPr>
      </w:pPr>
      <w:r w:rsidRPr="00717541">
        <w:rPr>
          <w:rFonts w:eastAsia="Times New Roman"/>
        </w:rPr>
        <w:lastRenderedPageBreak/>
        <w:t xml:space="preserve">Queensland Health. Isolation for Diagnosed Cases of COVID-19 and Management of Close Contacts Direction (No. 3). [Internet.] Brisbane: Queensland Health; 10 January 2022. Available from: https://www.health.qld.gov.au/system-governance/legislation/cho-public-health-directions-under-expanded-public-health-act-powers/revoked/isolation-for-diagnosed-cases-and-management-of-close-contacts3. </w:t>
      </w:r>
    </w:p>
    <w:p w14:paraId="42ED6243"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Isolation for Diagnosed Cases of COVID-19 and Management of Close Contacts Direction (No. 4). [Internet.] Brisbane: Queensland Health; 24 January 2022. Available from: https://www.health.qld.gov.au/system-governance/legislation/cho-public-health-directions-under-expanded-public-health-act-powers/revoked/isolation-for-diagnosed-cases-and-management-of-close-contacts4. </w:t>
      </w:r>
    </w:p>
    <w:p w14:paraId="27DF8406"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Isolation for Diagnosed Cases of COVID-19 and Management of Close Contacts Direction (No. 5). [Internet.] Brisbane: Queensland Health; 31 January 2022. Available from: https://www.health.qld.gov.au/system-governance/legislation/cho-public-health-directions-under-expanded-public-health-act-powers/revoked/isolation-for-diagnosed-cases-and-management-of-close-contacts-5. </w:t>
      </w:r>
    </w:p>
    <w:p w14:paraId="44D8B24C"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Queensland Health. Queensland COVID-19 data and resources. [Webpage.] Brisbane: Queensland Health; 2022. [Accessed on 30 December 2022.] Available from: https://www.data.qld.gov.au/article/news-and-events/queensland-covid-19-data-and-resources. </w:t>
      </w:r>
    </w:p>
    <w:p w14:paraId="483CD876"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Australian Government Department of Health and Aged Care. COVID-19 outbreaks in Australian residential aged care facilities. [Webpage.] Canberra: Australian Government Department of Health and Aged Care; 2022. Available from: https://www.health.gov.au/resources/collections/covid-19-outbreaks-in-australian-residential-aged-care-facilities. </w:t>
      </w:r>
    </w:p>
    <w:p w14:paraId="61491250"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Australian Government Department of Health and Aged Care. Comirnaty (Pfizer). [Internet.] Canberra: Australian Government Department of Health and Aged Care; 14 September 2022. [Accessed on 20 September 2022.] Available from: https://www.health.gov.au/our-work/covid-19-vaccines/approved-vaccines/pfizer#:~:text=26%20October%202021%20(booster%20%E2%80%93%20for,for%2012%20years%20and%20over). </w:t>
      </w:r>
    </w:p>
    <w:p w14:paraId="4B507309"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Australian Institute of Health and Welfare (AIHW). Aged care data snapshot—2021—second release. [Database]. Canberra: Australian Government, AIHW; 2021. Available from: https://www.gen-agedcaredata.gov.au/Resources/Access-data/2021/October/Aged-care-data-snapshot%E2%80%942021. </w:t>
      </w:r>
    </w:p>
    <w:p w14:paraId="6859F04A"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Australian Government Department of Health and Aged Care. ATAGI statement on the Omicron variant and timing of COVID-19 booster vaccination. [Internet.] Canberra: Australian Government Department of Health and Aged Care; 12 December 2021. Available from: https://www.health.gov.au/news/atagi-statement-on-the-omicron-variant-and-timing-of-covid-19-booster-vaccination. </w:t>
      </w:r>
    </w:p>
    <w:p w14:paraId="5D6446C9" w14:textId="77777777" w:rsidR="00717541" w:rsidRPr="00717541" w:rsidRDefault="00717541" w:rsidP="00717541">
      <w:pPr>
        <w:pStyle w:val="ListParagraph"/>
        <w:numPr>
          <w:ilvl w:val="0"/>
          <w:numId w:val="9"/>
        </w:numPr>
        <w:rPr>
          <w:rFonts w:eastAsia="Times New Roman"/>
        </w:rPr>
      </w:pPr>
      <w:r w:rsidRPr="00717541">
        <w:rPr>
          <w:rFonts w:eastAsia="Times New Roman"/>
        </w:rPr>
        <w:t xml:space="preserve">Australian Government Department of Health and Aged Care. </w:t>
      </w:r>
      <w:r w:rsidRPr="007707AC">
        <w:rPr>
          <w:rStyle w:val="Emphasis"/>
          <w:rFonts w:eastAsia="Times New Roman"/>
          <w:b w:val="0"/>
          <w:bCs w:val="0"/>
        </w:rPr>
        <w:t xml:space="preserve">Coronavirus disease 2019 (COVID-19) outbreaks in residential care facilities: CDNA national guidelines for the prevention, </w:t>
      </w:r>
      <w:proofErr w:type="gramStart"/>
      <w:r w:rsidRPr="007707AC">
        <w:rPr>
          <w:rStyle w:val="Emphasis"/>
          <w:rFonts w:eastAsia="Times New Roman"/>
          <w:b w:val="0"/>
          <w:bCs w:val="0"/>
        </w:rPr>
        <w:t>control</w:t>
      </w:r>
      <w:proofErr w:type="gramEnd"/>
      <w:r w:rsidRPr="007707AC">
        <w:rPr>
          <w:rStyle w:val="Emphasis"/>
          <w:rFonts w:eastAsia="Times New Roman"/>
          <w:b w:val="0"/>
          <w:bCs w:val="0"/>
        </w:rPr>
        <w:t xml:space="preserve"> and public health management of COVID-19 outbreaks in residential care facilities in Australia (version 5.0)</w:t>
      </w:r>
      <w:r w:rsidRPr="00717541">
        <w:rPr>
          <w:rFonts w:eastAsia="Times New Roman"/>
        </w:rPr>
        <w:t xml:space="preserve">. Canberra: Australian Government Department of Health and Aged Care; 15 February 2022. Available from: https://www.health.gov.au/sites/default/files/documents/2022/02/cdna-national-guidelines-for-the-prevention-control-and-public-health-management-of-covid-19-outbreaks-in-residential-care-facilities-in-australia.pdf. </w:t>
      </w:r>
    </w:p>
    <w:p w14:paraId="6AFC692E" w14:textId="77777777" w:rsidR="00717541" w:rsidRPr="00717541" w:rsidRDefault="00717541" w:rsidP="00717541">
      <w:pPr>
        <w:pStyle w:val="ListParagraph"/>
        <w:numPr>
          <w:ilvl w:val="0"/>
          <w:numId w:val="9"/>
        </w:numPr>
        <w:rPr>
          <w:rFonts w:eastAsia="Times New Roman"/>
        </w:rPr>
      </w:pPr>
      <w:r w:rsidRPr="00717541">
        <w:rPr>
          <w:rFonts w:eastAsia="Times New Roman"/>
        </w:rPr>
        <w:t>Therapeutic Goods Administration (TGA). Post-market review of antigen and rapid antigen tests. [Internet.] Canberra: Australian Government Department of Health and Aged Care, TGA; 2022. [Accessed on 2 September 2022.] Available from: https://www.tga.gov.au/products/covid-19/covid-19-tests/post-market-review-antigen-and-rapid-antigen-tests.</w:t>
      </w:r>
    </w:p>
    <w:p w14:paraId="7400B7D0" w14:textId="77777777" w:rsidR="008B5348" w:rsidRDefault="008B5348">
      <w:pPr>
        <w:rPr>
          <w:rStyle w:val="A10"/>
        </w:rPr>
      </w:pPr>
      <w:r>
        <w:rPr>
          <w:rStyle w:val="A10"/>
        </w:rPr>
        <w:br w:type="page"/>
      </w:r>
    </w:p>
    <w:p w14:paraId="2B37567D" w14:textId="77777777"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04FDC88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703026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98083C2" w14:textId="77777777" w:rsidR="000A5F42" w:rsidRPr="000606CC" w:rsidRDefault="000A5F42" w:rsidP="000A5F42">
      <w:pPr>
        <w:pStyle w:val="NoSpacing"/>
        <w:rPr>
          <w:rStyle w:val="URI"/>
          <w:rFonts w:cstheme="minorHAnsi"/>
          <w:sz w:val="20"/>
          <w:szCs w:val="18"/>
        </w:rPr>
      </w:pPr>
    </w:p>
    <w:p w14:paraId="024B8ED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27B4382F" w14:textId="77777777" w:rsidR="000A5F42" w:rsidRPr="000606CC" w:rsidRDefault="000A5F42" w:rsidP="000A5F42">
      <w:pPr>
        <w:pStyle w:val="NoSpacing"/>
        <w:rPr>
          <w:rStyle w:val="Strong"/>
          <w:rFonts w:cstheme="minorHAnsi"/>
          <w:sz w:val="20"/>
          <w:szCs w:val="18"/>
        </w:rPr>
      </w:pPr>
    </w:p>
    <w:p w14:paraId="47DC27A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63E96A6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CA421F4"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FB73F06" w14:textId="2359A94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FC49A0" w:rsidRPr="00FC49A0">
        <w:rPr>
          <w:rFonts w:cstheme="minorHAnsi"/>
          <w:sz w:val="20"/>
          <w:szCs w:val="18"/>
        </w:rPr>
        <w:t xml:space="preserve">David </w:t>
      </w:r>
      <w:proofErr w:type="spellStart"/>
      <w:r w:rsidR="00FC49A0" w:rsidRPr="00FC49A0">
        <w:rPr>
          <w:rFonts w:cstheme="minorHAnsi"/>
          <w:sz w:val="20"/>
          <w:szCs w:val="18"/>
        </w:rPr>
        <w:t>Durrheim</w:t>
      </w:r>
      <w:proofErr w:type="spellEnd"/>
      <w:r w:rsidR="00FC49A0" w:rsidRPr="00FC49A0">
        <w:rPr>
          <w:rFonts w:cstheme="minorHAnsi"/>
          <w:sz w:val="20"/>
          <w:szCs w:val="18"/>
        </w:rPr>
        <w:t>, Mark Ferson, Clare Huppatz, John Kaldor, Martyn Kirk, Meru Sheel and Steph</w:t>
      </w:r>
      <w:r w:rsidR="00FC49A0">
        <w:rPr>
          <w:rFonts w:cstheme="minorHAnsi"/>
          <w:sz w:val="20"/>
          <w:szCs w:val="18"/>
        </w:rPr>
        <w:t> </w:t>
      </w:r>
      <w:r w:rsidR="00FC49A0" w:rsidRPr="00FC49A0">
        <w:rPr>
          <w:rFonts w:cstheme="minorHAnsi"/>
          <w:sz w:val="20"/>
          <w:szCs w:val="18"/>
        </w:rPr>
        <w:t>Williams</w:t>
      </w:r>
    </w:p>
    <w:p w14:paraId="03F97132" w14:textId="77777777" w:rsidR="000A5F42" w:rsidRPr="000606CC" w:rsidRDefault="000A5F42" w:rsidP="000A5F42">
      <w:pPr>
        <w:pStyle w:val="NoSpacing"/>
        <w:rPr>
          <w:rStyle w:val="Strong"/>
          <w:rFonts w:cstheme="minorHAnsi"/>
          <w:sz w:val="20"/>
          <w:szCs w:val="18"/>
        </w:rPr>
      </w:pPr>
    </w:p>
    <w:p w14:paraId="13783E7E" w14:textId="3959F88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7022B83" w14:textId="77777777" w:rsidR="000A5F42" w:rsidRPr="000606CC" w:rsidRDefault="000A5F42" w:rsidP="000A5F42">
      <w:pPr>
        <w:pStyle w:val="NoSpacing"/>
        <w:rPr>
          <w:rStyle w:val="Strong"/>
          <w:rFonts w:cstheme="minorHAnsi"/>
          <w:sz w:val="20"/>
          <w:szCs w:val="18"/>
        </w:rPr>
      </w:pPr>
    </w:p>
    <w:p w14:paraId="794BFBDB"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309F465" w14:textId="77777777" w:rsidR="000A5F42" w:rsidRPr="000606CC" w:rsidRDefault="000A5F42" w:rsidP="000A5F42">
      <w:pPr>
        <w:pStyle w:val="NoSpacing"/>
        <w:rPr>
          <w:rStyle w:val="Strong"/>
          <w:rFonts w:cstheme="minorHAnsi"/>
          <w:sz w:val="20"/>
          <w:szCs w:val="18"/>
        </w:rPr>
      </w:pPr>
    </w:p>
    <w:p w14:paraId="5FF1C000" w14:textId="679C31C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85F9CD6" w14:textId="77777777" w:rsidR="000A5F42" w:rsidRPr="000606CC" w:rsidRDefault="000A5F42" w:rsidP="000A5F42">
      <w:pPr>
        <w:pStyle w:val="NoSpacing"/>
        <w:rPr>
          <w:rStyle w:val="Strong"/>
          <w:rFonts w:cstheme="minorHAnsi"/>
          <w:sz w:val="20"/>
          <w:szCs w:val="18"/>
        </w:rPr>
      </w:pPr>
    </w:p>
    <w:p w14:paraId="6710999A" w14:textId="7D4661F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2E19D50" w14:textId="6F585AC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245CBCE9" w14:textId="77777777" w:rsidR="000A5F42" w:rsidRPr="000606CC" w:rsidRDefault="000A5F42" w:rsidP="000A5F42">
      <w:pPr>
        <w:pStyle w:val="NoSpacing"/>
        <w:pBdr>
          <w:bottom w:val="single" w:sz="6" w:space="1" w:color="auto"/>
        </w:pBdr>
        <w:rPr>
          <w:rStyle w:val="Strong"/>
          <w:rFonts w:cstheme="minorHAnsi"/>
          <w:sz w:val="12"/>
          <w:szCs w:val="18"/>
        </w:rPr>
      </w:pPr>
    </w:p>
    <w:p w14:paraId="14C80EFE" w14:textId="77777777" w:rsidR="000A5F42" w:rsidRPr="000606CC" w:rsidRDefault="000A5F42" w:rsidP="000A5F42">
      <w:pPr>
        <w:pStyle w:val="NoSpacing"/>
        <w:rPr>
          <w:rFonts w:cstheme="minorHAnsi"/>
          <w:sz w:val="20"/>
          <w:szCs w:val="18"/>
        </w:rPr>
      </w:pPr>
    </w:p>
    <w:p w14:paraId="59F3D04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798B3CB7" w14:textId="77777777" w:rsidR="000A5F42" w:rsidRPr="000606CC" w:rsidRDefault="000A5F42" w:rsidP="000A5F42">
      <w:pPr>
        <w:pStyle w:val="NoSpacing"/>
        <w:rPr>
          <w:rFonts w:cstheme="minorHAnsi"/>
          <w:sz w:val="20"/>
          <w:szCs w:val="18"/>
        </w:rPr>
      </w:pPr>
    </w:p>
    <w:p w14:paraId="6DA5266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3BF02E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2A5406">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01DE33E7" w14:textId="0A4AEF3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479E761" w14:textId="77777777" w:rsidR="000A5F42" w:rsidRPr="000606CC" w:rsidRDefault="000A5F42" w:rsidP="000A5F42">
      <w:pPr>
        <w:pStyle w:val="NoSpacing"/>
        <w:rPr>
          <w:rFonts w:cstheme="minorHAnsi"/>
          <w:sz w:val="20"/>
          <w:szCs w:val="18"/>
        </w:rPr>
      </w:pPr>
    </w:p>
    <w:p w14:paraId="13AE528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19FD650" w14:textId="169F530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BED7E6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3117DA6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B21EA0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F1C9F4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8176D96" w14:textId="77777777" w:rsidR="000A5F42" w:rsidRPr="000606CC" w:rsidRDefault="000A5F42" w:rsidP="000A5F42">
      <w:pPr>
        <w:pStyle w:val="NoSpacing"/>
        <w:rPr>
          <w:rStyle w:val="Strong"/>
          <w:rFonts w:cstheme="minorHAnsi"/>
          <w:sz w:val="20"/>
          <w:szCs w:val="18"/>
        </w:rPr>
      </w:pPr>
    </w:p>
    <w:p w14:paraId="65D40AE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2B41478" w14:textId="77777777" w:rsidR="000A5F42" w:rsidRPr="000606CC" w:rsidRDefault="000A5F42" w:rsidP="000A5F42">
      <w:pPr>
        <w:pStyle w:val="NoSpacing"/>
        <w:rPr>
          <w:rStyle w:val="Strong"/>
          <w:rFonts w:cstheme="minorHAnsi"/>
          <w:sz w:val="20"/>
          <w:szCs w:val="18"/>
        </w:rPr>
      </w:pPr>
    </w:p>
    <w:p w14:paraId="2182086D" w14:textId="57EC3A8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48A065B" w14:textId="77777777" w:rsidR="000A5F42" w:rsidRPr="000606CC" w:rsidRDefault="000A5F42" w:rsidP="000A5F42">
      <w:pPr>
        <w:pStyle w:val="NoSpacing"/>
        <w:rPr>
          <w:rStyle w:val="URI"/>
          <w:rFonts w:cstheme="minorHAnsi"/>
          <w:sz w:val="20"/>
          <w:szCs w:val="18"/>
        </w:rPr>
      </w:pPr>
    </w:p>
    <w:p w14:paraId="0E2292D9" w14:textId="19AE0CD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2A0B" w14:textId="77777777" w:rsidR="002A5406" w:rsidRDefault="002A5406" w:rsidP="00E54DBA">
      <w:r>
        <w:separator/>
      </w:r>
    </w:p>
    <w:p w14:paraId="6E4DD23E" w14:textId="77777777" w:rsidR="002A5406" w:rsidRDefault="002A5406"/>
    <w:p w14:paraId="3A878418" w14:textId="77777777" w:rsidR="002A5406" w:rsidRDefault="002A5406" w:rsidP="008714B0"/>
  </w:endnote>
  <w:endnote w:type="continuationSeparator" w:id="0">
    <w:p w14:paraId="5ACEB10E" w14:textId="77777777" w:rsidR="002A5406" w:rsidRDefault="002A5406" w:rsidP="00E54DBA">
      <w:r>
        <w:continuationSeparator/>
      </w:r>
    </w:p>
    <w:p w14:paraId="466B501C" w14:textId="77777777" w:rsidR="002A5406" w:rsidRDefault="002A5406"/>
    <w:p w14:paraId="1DED1CD6" w14:textId="77777777" w:rsidR="002A5406" w:rsidRDefault="002A540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A336" w14:textId="6E82B48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7707AC">
      <w:rPr>
        <w:i/>
        <w:sz w:val="18"/>
      </w:rPr>
      <w:t>Commun</w:t>
    </w:r>
    <w:proofErr w:type="spellEnd"/>
    <w:r w:rsidR="00CE342B" w:rsidRPr="007707AC">
      <w:rPr>
        <w:i/>
        <w:sz w:val="18"/>
      </w:rPr>
      <w:t xml:space="preserve"> Dis </w:t>
    </w:r>
    <w:proofErr w:type="spellStart"/>
    <w:r w:rsidR="00CE342B" w:rsidRPr="007707AC">
      <w:rPr>
        <w:i/>
        <w:sz w:val="18"/>
      </w:rPr>
      <w:t>Intell</w:t>
    </w:r>
    <w:proofErr w:type="spellEnd"/>
    <w:r w:rsidR="00CE342B" w:rsidRPr="007707AC">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A5406">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A5406">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C0701">
      <w:rPr>
        <w:sz w:val="18"/>
      </w:rPr>
      <w:t>https://doi.org/10.33321/cdi.2023.47.15</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C0701">
      <w:rPr>
        <w:sz w:val="18"/>
      </w:rPr>
      <w:t>23/3/2023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763C" w14:textId="1979C8E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7707AC">
      <w:rPr>
        <w:i/>
        <w:sz w:val="18"/>
      </w:rPr>
      <w:t>Commun</w:t>
    </w:r>
    <w:proofErr w:type="spellEnd"/>
    <w:r w:rsidR="00A164D5" w:rsidRPr="007707AC">
      <w:rPr>
        <w:i/>
        <w:sz w:val="18"/>
      </w:rPr>
      <w:t xml:space="preserve"> Dis </w:t>
    </w:r>
    <w:proofErr w:type="spellStart"/>
    <w:r w:rsidR="00A164D5" w:rsidRPr="007707AC">
      <w:rPr>
        <w:i/>
        <w:sz w:val="18"/>
      </w:rPr>
      <w:t>Intell</w:t>
    </w:r>
    <w:proofErr w:type="spellEnd"/>
    <w:r w:rsidR="00A164D5" w:rsidRPr="007707AC">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A5406">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A5406">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C0701">
      <w:rPr>
        <w:sz w:val="18"/>
      </w:rPr>
      <w:t>https://doi.org/10.33321/cdi.2023.47.15</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C0701">
      <w:rPr>
        <w:sz w:val="18"/>
      </w:rPr>
      <w:t>23/3/2023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C28F" w14:textId="77777777" w:rsidR="002A5406" w:rsidRPr="00B91FB5" w:rsidRDefault="002A5406" w:rsidP="00B91FB5">
      <w:pPr>
        <w:spacing w:after="0" w:line="240" w:lineRule="auto"/>
        <w:rPr>
          <w:sz w:val="18"/>
          <w:szCs w:val="18"/>
        </w:rPr>
      </w:pPr>
      <w:r w:rsidRPr="00B91FB5">
        <w:rPr>
          <w:sz w:val="18"/>
          <w:szCs w:val="18"/>
        </w:rPr>
        <w:separator/>
      </w:r>
    </w:p>
  </w:footnote>
  <w:footnote w:type="continuationSeparator" w:id="0">
    <w:p w14:paraId="2D765106" w14:textId="77777777" w:rsidR="002A5406" w:rsidRDefault="002A5406" w:rsidP="00E54DBA">
      <w:r>
        <w:continuationSeparator/>
      </w:r>
    </w:p>
  </w:footnote>
  <w:footnote w:type="continuationNotice" w:id="1">
    <w:p w14:paraId="7489A71F" w14:textId="77777777" w:rsidR="002A5406" w:rsidRPr="00224EFF" w:rsidRDefault="002A540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4F08" w14:textId="4AF0FCEE" w:rsidR="00257484" w:rsidRPr="00A153B6" w:rsidRDefault="00C90D5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3779B">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CA29"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4701374B" wp14:editId="14B31503">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03BE7"/>
    <w:multiLevelType w:val="hybridMultilevel"/>
    <w:tmpl w:val="5802A7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B40B0C"/>
    <w:multiLevelType w:val="multilevel"/>
    <w:tmpl w:val="D718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B555CE"/>
    <w:multiLevelType w:val="hybridMultilevel"/>
    <w:tmpl w:val="2F622140"/>
    <w:lvl w:ilvl="0" w:tplc="2ED2B8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511580"/>
    <w:multiLevelType w:val="multilevel"/>
    <w:tmpl w:val="20B8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0"/>
  </w:num>
  <w:num w:numId="5">
    <w:abstractNumId w:val="7"/>
  </w:num>
  <w:num w:numId="6">
    <w:abstractNumId w:val="8"/>
  </w:num>
  <w:num w:numId="7">
    <w:abstractNumId w:val="3"/>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noPunctuationKerning/>
  <w:characterSpacingControl w:val="doNotCompress"/>
  <w:hdrShapeDefaults>
    <o:shapedefaults v:ext="edit" spidmax="1433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0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58D8"/>
    <w:rsid w:val="00256309"/>
    <w:rsid w:val="00257484"/>
    <w:rsid w:val="00260636"/>
    <w:rsid w:val="00275C5C"/>
    <w:rsid w:val="00275C78"/>
    <w:rsid w:val="00280594"/>
    <w:rsid w:val="00281EE3"/>
    <w:rsid w:val="00284E4A"/>
    <w:rsid w:val="002A3799"/>
    <w:rsid w:val="002A3BCC"/>
    <w:rsid w:val="002A4516"/>
    <w:rsid w:val="002A5406"/>
    <w:rsid w:val="002A569F"/>
    <w:rsid w:val="002A7066"/>
    <w:rsid w:val="002B001E"/>
    <w:rsid w:val="002B09B7"/>
    <w:rsid w:val="002B75A9"/>
    <w:rsid w:val="002C21B0"/>
    <w:rsid w:val="002E2FB3"/>
    <w:rsid w:val="002F327B"/>
    <w:rsid w:val="00301626"/>
    <w:rsid w:val="00302469"/>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267F"/>
    <w:rsid w:val="00413EE1"/>
    <w:rsid w:val="004164BB"/>
    <w:rsid w:val="0042000E"/>
    <w:rsid w:val="00421ECE"/>
    <w:rsid w:val="00422FEB"/>
    <w:rsid w:val="0042435E"/>
    <w:rsid w:val="00424961"/>
    <w:rsid w:val="004315F5"/>
    <w:rsid w:val="00433456"/>
    <w:rsid w:val="00433DFA"/>
    <w:rsid w:val="00435D67"/>
    <w:rsid w:val="004470E1"/>
    <w:rsid w:val="00464A58"/>
    <w:rsid w:val="00473D2D"/>
    <w:rsid w:val="004A2125"/>
    <w:rsid w:val="004A38F6"/>
    <w:rsid w:val="004B3C1E"/>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5991"/>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C7B34"/>
    <w:rsid w:val="006D1381"/>
    <w:rsid w:val="006D31BC"/>
    <w:rsid w:val="006E7943"/>
    <w:rsid w:val="006F24EA"/>
    <w:rsid w:val="00704CA9"/>
    <w:rsid w:val="0071048D"/>
    <w:rsid w:val="00710F86"/>
    <w:rsid w:val="007111A8"/>
    <w:rsid w:val="00717541"/>
    <w:rsid w:val="00723B5F"/>
    <w:rsid w:val="00731BC3"/>
    <w:rsid w:val="00741192"/>
    <w:rsid w:val="00743A33"/>
    <w:rsid w:val="00746080"/>
    <w:rsid w:val="00747A6D"/>
    <w:rsid w:val="0075144A"/>
    <w:rsid w:val="007707AC"/>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2DE7"/>
    <w:rsid w:val="008B48B8"/>
    <w:rsid w:val="008B5348"/>
    <w:rsid w:val="008B58F8"/>
    <w:rsid w:val="008C0701"/>
    <w:rsid w:val="008C0712"/>
    <w:rsid w:val="008C4520"/>
    <w:rsid w:val="008C5F09"/>
    <w:rsid w:val="008D470F"/>
    <w:rsid w:val="008D6CB6"/>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06F"/>
    <w:rsid w:val="00A273C3"/>
    <w:rsid w:val="00A30C37"/>
    <w:rsid w:val="00A36C65"/>
    <w:rsid w:val="00A41BBE"/>
    <w:rsid w:val="00A443E3"/>
    <w:rsid w:val="00A4584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13E2C"/>
    <w:rsid w:val="00B31427"/>
    <w:rsid w:val="00B33861"/>
    <w:rsid w:val="00B40DE2"/>
    <w:rsid w:val="00B50210"/>
    <w:rsid w:val="00B5162B"/>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90D5E"/>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79B"/>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55541"/>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9A0"/>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EC1FE3"/>
  <w15:docId w15:val="{0E0F4379-E83A-4CA7-AE2D-42A75E11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7</TotalTime>
  <Pages>12</Pages>
  <Words>3889</Words>
  <Characters>25430</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Communicable Diseases Intelligence - Wave of COVID-19 outbreaks in Gold Coast residential aged care facilities after easing travel restrictions into Queensland</vt:lpstr>
    </vt:vector>
  </TitlesOfParts>
  <Company>Australian Government, Department of Health</Company>
  <LinksUpToDate>false</LinksUpToDate>
  <CharactersWithSpaces>29261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Wave of COVID-19 outbreaks in Gold Coast residential aged care facilities after easing travel restrictions into Queensland</dc:title>
  <dc:subject>This paper describes outbreaks of COVID-19 in Gold Coast residential aged care facilities (RACF) in the two months following the easing of travel restrictions at Queensland’s domestic border on 13 December 2021. </dc:subject>
  <dc:creator>Candice Colbran; Fiona May; Fiona Vosti; Tracy Bladen; Andre Wattiaux; Vicki Slinko</dc:creator>
  <cp:keywords>Coronavirus; SARS-CoV-2; residential aged care facilities; outbreak; restrictions</cp:keywords>
  <dc:description>© Commonwealth of Australia CC BY-NC-ND ISSN: 2209-6051 (Online)</dc:description>
  <cp:lastModifiedBy>YOUSEFI, Kasra</cp:lastModifiedBy>
  <cp:revision>8</cp:revision>
  <cp:lastPrinted>2018-05-10T02:19:00Z</cp:lastPrinted>
  <dcterms:created xsi:type="dcterms:W3CDTF">2023-02-13T06:05:00Z</dcterms:created>
  <dcterms:modified xsi:type="dcterms:W3CDTF">2023-03-20T02:38:00Z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23/3/2023</vt:lpwstr>
  </property>
  <property fmtid="{D5CDD505-2E9C-101B-9397-08002B2CF9AE}" pid="5" name="DOI">
    <vt:lpwstr>https://doi.org/10.33321/cdi.2023.47.15</vt:lpwstr>
  </property>
</Properties>
</file>