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CE14" w14:textId="77777777" w:rsidR="00DC6C3F" w:rsidRDefault="00DC6C3F" w:rsidP="00F6361D">
      <w:pPr>
        <w:pStyle w:val="Title"/>
        <w:rPr>
          <w:rFonts w:eastAsia="Times New Roman"/>
          <w:sz w:val="48"/>
          <w:szCs w:val="48"/>
        </w:rPr>
      </w:pPr>
      <w:r>
        <w:rPr>
          <w:rFonts w:eastAsia="Times New Roman"/>
        </w:rPr>
        <w:t xml:space="preserve">A foodborne outbreak of campylobacteriosis at a wedding – Melbourne, Australia, 2022 </w:t>
      </w:r>
    </w:p>
    <w:p w14:paraId="00979B54" w14:textId="77777777" w:rsidR="00DC6C3F" w:rsidRDefault="00DC6C3F" w:rsidP="00F6361D">
      <w:r>
        <w:t xml:space="preserve">Jane McAllister, Joy Gregory, Jim Adamopoulos, Madeleine Walsh, Anastasia Stylianopoulos, Anna-Lena Arnold, Russell Stafford, Patiyan Andersson, Tony Stewart </w:t>
      </w:r>
    </w:p>
    <w:p w14:paraId="532E929F" w14:textId="77777777" w:rsidR="00DC6C3F" w:rsidRPr="00F6361D" w:rsidRDefault="00DC6C3F" w:rsidP="00F6361D">
      <w:pPr>
        <w:pStyle w:val="Heading1"/>
      </w:pPr>
      <w:r w:rsidRPr="00F6361D">
        <w:t xml:space="preserve">Abstract </w:t>
      </w:r>
    </w:p>
    <w:p w14:paraId="3CBBC4F1" w14:textId="77777777" w:rsidR="00DC6C3F" w:rsidRDefault="00DC6C3F" w:rsidP="00F6361D">
      <w:r w:rsidRPr="00F6361D">
        <w:rPr>
          <w:rStyle w:val="Emphasis"/>
          <w:b w:val="0"/>
          <w:bCs w:val="0"/>
        </w:rPr>
        <w:t xml:space="preserve">Campylobacter </w:t>
      </w:r>
      <w:r>
        <w:t xml:space="preserve">is the most common bacterial cause of foodborne gastroenteritis in Australia; however, outbreaks caused by the pathogen are relatively uncommon. In March 2022, the Victorian Department of Health was notified of a gastrointestinal illness in 20 guests following attendance at a wedding reception. Two of these individuals were notified with laboratory-confirmed campylobacteriosis, and an investigation was undertaken to identify the source of the infection and implement strategies to prevent further illness. </w:t>
      </w:r>
    </w:p>
    <w:p w14:paraId="0A7F1511" w14:textId="77777777" w:rsidR="00DC6C3F" w:rsidRDefault="00DC6C3F" w:rsidP="00F6361D">
      <w:r>
        <w:t xml:space="preserve">A case-control study was conducted to determine the likely source of infection. Cases were defined as attendees of the wedding reception, with onset of diarrhoea and/or abdominal cramping 1–10 days after attending the function. Controls were randomly selected from the remaining list of non-ill guests. Cases and controls were interviewed using a standardised, menu-based questionnaire. Food preparation processes were documented, and food samples collected. </w:t>
      </w:r>
    </w:p>
    <w:p w14:paraId="4857D38A" w14:textId="77777777" w:rsidR="00DC6C3F" w:rsidRDefault="00DC6C3F" w:rsidP="00F6361D">
      <w:r>
        <w:t xml:space="preserve">A total of 29 wedding guests met the case definition. Cases reported onset of illness 2–5 days following the wedding and major symptoms included abdominal cramping (100%), diarrhoea (90%), headache (79%), and fever (62%). Two cases were hospitalised, one with ongoing secondary neurological sequelae. Illness was significantly associated with consumption of a duck breast brioche canapé containing duck liver parfait (odds ratio = 2.85; 95% confidence interval: 1.03–7.86). No leftover food samples were available for testing. </w:t>
      </w:r>
    </w:p>
    <w:p w14:paraId="6C5B2EF8" w14:textId="77777777" w:rsidR="00DC6C3F" w:rsidRDefault="00DC6C3F" w:rsidP="00F6361D">
      <w:r>
        <w:t xml:space="preserve">The investigation found that the duck canapé was the likely vehicle of infection. Consistent with the literature on </w:t>
      </w:r>
      <w:r w:rsidRPr="00F6361D">
        <w:rPr>
          <w:rStyle w:val="Emphasis"/>
          <w:b w:val="0"/>
          <w:bCs w:val="0"/>
        </w:rPr>
        <w:t>Campylobacter</w:t>
      </w:r>
      <w:r>
        <w:t xml:space="preserve"> transmission, it is likely that inadequate cooking of the duck liver for the parfait was the contributing factor that led to illness. This highlights the risks posed by undercooked poultry dishes, and shows that education of food handlers remains a priority. </w:t>
      </w:r>
    </w:p>
    <w:p w14:paraId="0125D822" w14:textId="6BD13074" w:rsidR="00DC6C3F" w:rsidRDefault="00DC6C3F" w:rsidP="00F6361D">
      <w:r>
        <w:t>Keywords</w:t>
      </w:r>
      <w:r>
        <w:rPr>
          <w:rStyle w:val="Strong"/>
        </w:rPr>
        <w:t>:</w:t>
      </w:r>
      <w:r>
        <w:t xml:space="preserve"> </w:t>
      </w:r>
      <w:r w:rsidRPr="00F6361D">
        <w:rPr>
          <w:rStyle w:val="Emphasis"/>
          <w:b w:val="0"/>
          <w:bCs w:val="0"/>
        </w:rPr>
        <w:t>Campylobacter jejuni</w:t>
      </w:r>
      <w:r>
        <w:t>; campylobacteriosis; foodborne illness; gastroenteritis; duck liver; outbreak</w:t>
      </w:r>
      <w:r w:rsidR="00DC5775">
        <w:t> </w:t>
      </w:r>
      <w:r>
        <w:t xml:space="preserve">investigation </w:t>
      </w:r>
    </w:p>
    <w:p w14:paraId="23E14388" w14:textId="77777777" w:rsidR="00DC6C3F" w:rsidRPr="00F6361D" w:rsidRDefault="00DC6C3F" w:rsidP="00F6361D">
      <w:pPr>
        <w:pStyle w:val="Heading1"/>
      </w:pPr>
      <w:r w:rsidRPr="00F6361D">
        <w:t xml:space="preserve">Introduction </w:t>
      </w:r>
    </w:p>
    <w:p w14:paraId="13E86E35" w14:textId="77777777" w:rsidR="00DC6C3F" w:rsidRDefault="00DC6C3F" w:rsidP="00F6361D">
      <w:r w:rsidRPr="00F6361D">
        <w:rPr>
          <w:rStyle w:val="Emphasis"/>
          <w:b w:val="0"/>
          <w:bCs w:val="0"/>
        </w:rPr>
        <w:t xml:space="preserve">Campylobacter </w:t>
      </w:r>
      <w:r>
        <w:t>spp. are the cause of the most common notifiable bacterial infection causing gastroenteritis in Australia, and a leading cause of gastroenteritis worldwide. In 2019, there were 35,869 cases reported in Australia, with a national notification rate of 143.5 per 100,000;</w:t>
      </w:r>
      <w:r>
        <w:rPr>
          <w:vertAlign w:val="superscript"/>
        </w:rPr>
        <w:t>1</w:t>
      </w:r>
      <w:r>
        <w:t xml:space="preserve"> however, this likely only represents the tip of the iceberg of the true number of cases that occur annually.</w:t>
      </w:r>
      <w:r>
        <w:rPr>
          <w:vertAlign w:val="superscript"/>
        </w:rPr>
        <w:t>2</w:t>
      </w:r>
      <w:r>
        <w:t xml:space="preserve"> Despite the high incidence of the disease, most infections are sporadic, and outbreaks of campylobacteriosis remain relatively rare. Between 2001 and 2016, 84 outbreaks were reported in Australia, with 61% (n = 51) attributable to foodborne transmission. Of those outbreaks with an identified food vehicle, poultry meat or offal was implicated in the majority (n = 28; 85%), with liver dishes such as paté contributing to a significant proportion (n = 11; 39%).</w:t>
      </w:r>
      <w:r>
        <w:rPr>
          <w:vertAlign w:val="superscript"/>
        </w:rPr>
        <w:t>3</w:t>
      </w:r>
      <w:r>
        <w:t xml:space="preserve"> </w:t>
      </w:r>
    </w:p>
    <w:p w14:paraId="56D8B644" w14:textId="77777777" w:rsidR="00DC6C3F" w:rsidRDefault="00DC6C3F" w:rsidP="00F6361D">
      <w:r>
        <w:t xml:space="preserve">The incubation period for </w:t>
      </w:r>
      <w:r w:rsidRPr="00F6361D">
        <w:rPr>
          <w:rStyle w:val="Emphasis"/>
          <w:b w:val="0"/>
          <w:bCs w:val="0"/>
        </w:rPr>
        <w:t>Campylobacter</w:t>
      </w:r>
      <w:r>
        <w:t xml:space="preserve"> is generally two to five days (range 1–10 days).</w:t>
      </w:r>
      <w:r>
        <w:rPr>
          <w:vertAlign w:val="superscript"/>
        </w:rPr>
        <w:t>4</w:t>
      </w:r>
      <w:r>
        <w:t xml:space="preserve"> Illness is often characterised by diarrhoea that can be bloody; fever; and abdominal cramping that can last for one to two weeks.</w:t>
      </w:r>
      <w:r>
        <w:rPr>
          <w:vertAlign w:val="superscript"/>
        </w:rPr>
        <w:t>5</w:t>
      </w:r>
      <w:r>
        <w:t xml:space="preserve"> </w:t>
      </w:r>
      <w:r>
        <w:lastRenderedPageBreak/>
        <w:t>The disease can also result in secondary postinfectious complications, including reactive arthritis (2–5%); irritable bowel syndrome (9–13%); and Guillain-Barré syndrome (0.1%), a secondary autoimmune complication that can result in neurological symptoms such as paralysis.</w:t>
      </w:r>
      <w:r>
        <w:rPr>
          <w:vertAlign w:val="superscript"/>
        </w:rPr>
        <w:t>6</w:t>
      </w:r>
      <w:r>
        <w:t xml:space="preserve"> </w:t>
      </w:r>
    </w:p>
    <w:p w14:paraId="52D52A14" w14:textId="77777777" w:rsidR="00DC6C3F" w:rsidRDefault="00DC6C3F" w:rsidP="00F6361D">
      <w:r>
        <w:t xml:space="preserve">On 4 March 2022, the Victorian Department of Health received a notification from council that 20 out of 212 guests had experienced symptoms of gastrointestinal illness following attendance at a wedding function in mid-February. Subsequent to the initial complaint, two laboratory-confirmed campylobacteriosis cases were identified to have attended the wedding, and an investigation was commenced. This report details the investigation undertaken to determine the potential source of the illness and describes the public health actions taken to prevent further illness. </w:t>
      </w:r>
    </w:p>
    <w:p w14:paraId="56BC1B7A" w14:textId="77777777" w:rsidR="00DC6C3F" w:rsidRPr="00F6361D" w:rsidRDefault="00DC6C3F" w:rsidP="00F6361D">
      <w:pPr>
        <w:pStyle w:val="Heading1"/>
      </w:pPr>
      <w:r w:rsidRPr="00F6361D">
        <w:t xml:space="preserve">Methods </w:t>
      </w:r>
    </w:p>
    <w:p w14:paraId="09770BD6" w14:textId="77777777" w:rsidR="00DC6C3F" w:rsidRPr="00F6361D" w:rsidRDefault="00DC6C3F" w:rsidP="00F6361D">
      <w:pPr>
        <w:pStyle w:val="Heading2"/>
      </w:pPr>
      <w:r w:rsidRPr="00F6361D">
        <w:t xml:space="preserve">Epidemiological investigation </w:t>
      </w:r>
    </w:p>
    <w:p w14:paraId="370DD587" w14:textId="77777777" w:rsidR="00DC6C3F" w:rsidRDefault="00DC6C3F" w:rsidP="00F6361D">
      <w:r>
        <w:t xml:space="preserve">A retrospective case control study was performed. The study was conducted as an outbreak investigation under the Victorian </w:t>
      </w:r>
      <w:r w:rsidRPr="00F6361D">
        <w:rPr>
          <w:rStyle w:val="Emphasis"/>
          <w:b w:val="0"/>
          <w:bCs w:val="0"/>
        </w:rPr>
        <w:t>Public Health and Wellbeing Act 2008</w:t>
      </w:r>
      <w:r>
        <w:t xml:space="preserve">, so ethics approval was not required. </w:t>
      </w:r>
    </w:p>
    <w:p w14:paraId="28C56C25" w14:textId="77777777" w:rsidR="00DC6C3F" w:rsidRDefault="00DC6C3F" w:rsidP="00F6361D">
      <w:r>
        <w:t xml:space="preserve">A confirmed case was defined as an individual who had attended the wedding function, had an onset of diarrhoea and/or abdominal cramping within the following ten days, and had a laboratory-confirmed faecal sample for </w:t>
      </w:r>
      <w:r w:rsidRPr="00F6361D">
        <w:rPr>
          <w:rStyle w:val="Emphasis"/>
          <w:b w:val="0"/>
          <w:bCs w:val="0"/>
        </w:rPr>
        <w:t>Campylobacter</w:t>
      </w:r>
      <w:r>
        <w:t xml:space="preserve"> spp. A probable case was defined as an individual who had attended the wedding function and had an onset of diarrhoea and/or abdominal cramping within the following 10 days. </w:t>
      </w:r>
    </w:p>
    <w:p w14:paraId="38D28196" w14:textId="77777777" w:rsidR="00DC6C3F" w:rsidRDefault="00DC6C3F" w:rsidP="00F6361D">
      <w:r>
        <w:t xml:space="preserve">Unmatched controls were selected by randomising the list of non-ill guests provided by the wedding organisers. An attempt was made to interview two controls for every case. Controls were reclassified as cases if they reported symptoms fitting the case definition. Individuals were excluded from being controls if they reported symptoms of gastrointestinal illness in the ten days following attendance at the wedding, if they did not wish to provide contact details to the Department, or if they were lost to follow-up. </w:t>
      </w:r>
    </w:p>
    <w:p w14:paraId="7EC22F88" w14:textId="77777777" w:rsidR="00DC6C3F" w:rsidRDefault="00DC6C3F" w:rsidP="00F6361D">
      <w:r>
        <w:t xml:space="preserve">Cases and controls were interviewed over the phone using a structured menu-based questionnaire. It collected demographic and clinical information, toilet use, and food and beverage consumption. Participants were contacted a maximum of three times, after which they were considered lost to follow-up. Any participants who were contacted but declined to be interviewed, or who had a disconnected phone number, were also considered lost to follow-up. </w:t>
      </w:r>
    </w:p>
    <w:p w14:paraId="7AA65EA7" w14:textId="77777777" w:rsidR="00DC6C3F" w:rsidRPr="00F6361D" w:rsidRDefault="00DC6C3F" w:rsidP="00F6361D">
      <w:pPr>
        <w:pStyle w:val="Heading2"/>
      </w:pPr>
      <w:r w:rsidRPr="00F6361D">
        <w:t xml:space="preserve">Statistical analysis </w:t>
      </w:r>
    </w:p>
    <w:p w14:paraId="5B8A1C62" w14:textId="77777777" w:rsidR="00DC6C3F" w:rsidRDefault="00DC6C3F" w:rsidP="00F6361D">
      <w:r>
        <w:t xml:space="preserve">Data were analysed using Stata v15.4. Descriptive analysis was performed on the demographic and clinical variables. Probability of difference in sex and age between cases and controls was determined using Chi square test and Wilcoxon rank sum test respectively. </w:t>
      </w:r>
    </w:p>
    <w:p w14:paraId="5C6FD535" w14:textId="77777777" w:rsidR="00DC6C3F" w:rsidRDefault="00DC6C3F" w:rsidP="00F6361D">
      <w:r>
        <w:t>Univariate analysis was conducted to determine crude odds ratios (OR) and 95% confidence intervals (CI) for association between food or environmental exposures and illness, and the Chi square test or Fishers exact test (for a cell count &lt; 5) was used to determine statistical significance (</w:t>
      </w:r>
      <w:r w:rsidRPr="00F6361D">
        <w:rPr>
          <w:rStyle w:val="Emphasis"/>
          <w:b w:val="0"/>
          <w:bCs w:val="0"/>
        </w:rPr>
        <w:t>p</w:t>
      </w:r>
      <w:r>
        <w:t xml:space="preserve"> &lt; 0.05). Where a food exposure contained a cell count of zero, exact logistic regression was used to calculate adjusted odds ratios (aOR). Food exposures significantly associated with illness following the univariate analysis were stratified and/or put into a multivariate logistic regression model to account for the effects of confounding and an adjusted odds ratio determined with 95% CI and statistical significance (</w:t>
      </w:r>
      <w:r w:rsidRPr="00F6361D">
        <w:rPr>
          <w:rStyle w:val="Emphasis"/>
          <w:b w:val="0"/>
          <w:bCs w:val="0"/>
        </w:rPr>
        <w:t>p</w:t>
      </w:r>
      <w:r>
        <w:t xml:space="preserve"> &lt; 0.05). </w:t>
      </w:r>
    </w:p>
    <w:p w14:paraId="49534AE3" w14:textId="77777777" w:rsidR="00DC6C3F" w:rsidRPr="00F6361D" w:rsidRDefault="00DC6C3F" w:rsidP="00F6361D">
      <w:pPr>
        <w:pStyle w:val="Heading2"/>
      </w:pPr>
      <w:r w:rsidRPr="00F6361D">
        <w:t xml:space="preserve">Environmental &amp; microbiological investigation </w:t>
      </w:r>
    </w:p>
    <w:p w14:paraId="1B6CD13D" w14:textId="77777777" w:rsidR="00DC6C3F" w:rsidRDefault="00DC6C3F" w:rsidP="00F6361D">
      <w:r>
        <w:t xml:space="preserve">Local government environmental health officers (EHOs) inspected three premises managed by the catering group that provided food for the wedding. These comprised the outbreak venue; the central production kitchen (where </w:t>
      </w:r>
      <w:r>
        <w:lastRenderedPageBreak/>
        <w:t xml:space="preserve">most food had been prepared); and the premises where the duck liver paté was manufactured and supplied to use for the parfait in the duck canapé. Food storage and preparation areas were examined, and information was collected on food preparation processes and staff illness. </w:t>
      </w:r>
    </w:p>
    <w:p w14:paraId="38A3E4C8" w14:textId="77777777" w:rsidR="00DC6C3F" w:rsidRDefault="00DC6C3F" w:rsidP="00F6361D">
      <w:r>
        <w:t xml:space="preserve">Human faecal specimens and food samples were collected and forwarded to private pathology companies or to the Microbiological Diagnostic Unit Public Health Laboratory (MDU PHL) for analysis. </w:t>
      </w:r>
    </w:p>
    <w:p w14:paraId="028C9B69" w14:textId="77777777" w:rsidR="00DC6C3F" w:rsidRDefault="00DC6C3F" w:rsidP="00F6361D">
      <w:r>
        <w:t xml:space="preserve">A sample of a different batch of duck and cherry paté log used in the duck canapé was collected from the supplier of the duck paté and sent for analysis, as were samples of four other high-risk foods manufactured on site. </w:t>
      </w:r>
    </w:p>
    <w:p w14:paraId="6732BAF2" w14:textId="77777777" w:rsidR="00DC6C3F" w:rsidRPr="00F6361D" w:rsidRDefault="00DC6C3F" w:rsidP="00F6361D">
      <w:pPr>
        <w:pStyle w:val="Heading1"/>
      </w:pPr>
      <w:r w:rsidRPr="00F6361D">
        <w:t xml:space="preserve">Results </w:t>
      </w:r>
    </w:p>
    <w:p w14:paraId="203AD1C6" w14:textId="77777777" w:rsidR="00DC6C3F" w:rsidRPr="00F6361D" w:rsidRDefault="00DC6C3F" w:rsidP="00F6361D">
      <w:pPr>
        <w:pStyle w:val="Heading2"/>
      </w:pPr>
      <w:r w:rsidRPr="00F6361D">
        <w:t xml:space="preserve">Epidemiological Investigation </w:t>
      </w:r>
    </w:p>
    <w:p w14:paraId="0B8E6D14" w14:textId="77777777" w:rsidR="00DC6C3F" w:rsidRPr="00F6361D" w:rsidRDefault="00DC6C3F" w:rsidP="00F6361D">
      <w:pPr>
        <w:pStyle w:val="Heading3"/>
      </w:pPr>
      <w:r w:rsidRPr="00F6361D">
        <w:t xml:space="preserve">Descriptive epidemiology </w:t>
      </w:r>
    </w:p>
    <w:p w14:paraId="71FB4B10" w14:textId="77777777" w:rsidR="00DC6C3F" w:rsidRDefault="00DC6C3F" w:rsidP="00F6361D">
      <w:r>
        <w:t xml:space="preserve">Eighty-five guests were interviewed. Of these, 29 individuals met the case definition (4 confirmed, 25 probable); 54 were included as controls. Two interviewed guests reported nausea but did not fit the case definition and were excluded from the study. An additional 43 individuals declined to provide contact details, and 15 were lost to follow-up. </w:t>
      </w:r>
    </w:p>
    <w:p w14:paraId="479CEB83" w14:textId="16070AF3" w:rsidR="00046D9E" w:rsidRPr="001B3ACD" w:rsidRDefault="00DC6C3F" w:rsidP="001B3ACD">
      <w:r>
        <w:t>All cases reported onset of symptoms 2–5 days (median three days) after the reception (Figure 1). Demographic and symptom details for cases and controls are shown in Table 1. There was a significant difference in both sex and age distribution between the two groups, with cases more likely to be male (</w:t>
      </w:r>
      <w:r w:rsidRPr="00F6361D">
        <w:rPr>
          <w:rStyle w:val="Emphasis"/>
          <w:b w:val="0"/>
          <w:bCs w:val="0"/>
        </w:rPr>
        <w:t>p</w:t>
      </w:r>
      <w:r>
        <w:t xml:space="preserve"> = 0.001) and younger (</w:t>
      </w:r>
      <w:r w:rsidRPr="00F6361D">
        <w:rPr>
          <w:rStyle w:val="Emphasis"/>
          <w:b w:val="0"/>
          <w:bCs w:val="0"/>
        </w:rPr>
        <w:t>p</w:t>
      </w:r>
      <w:r>
        <w:t xml:space="preserve"> = 0.023) (median 29 years; range 18–69) than controls (median 45 years; range 31–71). Diarrhoea, abdominal cramping and nausea were present in nearly all cases (Table 1). Seventeen cases (59%) presented to a medical practitioner and two cases (7%) were hospitalised. While the median duration of gastrointestinal illness was six days (range 1–12 days), at time of interview two cases were experiencing ongoing secondary complications, including a probable case with irritable bowel syndrome and a probable case with neurological sequelae suspected to be Guillain-Barré syndrome. </w:t>
      </w:r>
    </w:p>
    <w:p w14:paraId="6A03E2BE" w14:textId="77777777" w:rsidR="00046D9E" w:rsidRPr="00B513E0" w:rsidRDefault="00046D9E" w:rsidP="00046D9E">
      <w:pPr>
        <w:pStyle w:val="CDIFigures"/>
      </w:pPr>
      <w:r w:rsidRPr="00B513E0">
        <w:rPr>
          <w:rStyle w:val="Strong"/>
          <w:b/>
          <w:bCs w:val="0"/>
        </w:rPr>
        <w:t>Figure 1: Number of confirmed and probable cases by day of symptom onset, Victoria, February 2022 (n = 29)</w:t>
      </w:r>
    </w:p>
    <w:p w14:paraId="321E9147" w14:textId="77777777" w:rsidR="00046D9E" w:rsidRDefault="00046D9E" w:rsidP="00046D9E">
      <w:pPr>
        <w:rPr>
          <w:rFonts w:eastAsia="Times New Roman"/>
          <w:lang w:val="en-GB"/>
        </w:rPr>
      </w:pPr>
      <w:r>
        <w:rPr>
          <w:rFonts w:eastAsia="Times New Roman"/>
          <w:noProof/>
          <w:lang w:val="en-GB"/>
        </w:rPr>
        <w:drawing>
          <wp:inline distT="0" distB="0" distL="0" distR="0" wp14:anchorId="09A73642" wp14:editId="50288618">
            <wp:extent cx="2489787" cy="3206750"/>
            <wp:effectExtent l="0" t="0" r="6350" b="0"/>
            <wp:docPr id="2" name="Picture 2" descr="Figure 1 is an epidemic curve showing the number of confirmed and probable cases by the day of symptom onset. The day of the wedding reception (Day 0) is also highlighted. Symptom onset in cases occurred between 2-5 days following the reception, with most cases experiencing symptom onset on Day 2 and Da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n epidemic curve showing the number of confirmed and probable cases by the day of symptom onset. The day of the wedding reception (Day 0) is also highlighted. Symptom onset in cases occurred between 2-5 days following the reception, with most cases experiencing symptom onset on Day 2 and Day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07612" cy="3229708"/>
                    </a:xfrm>
                    <a:prstGeom prst="rect">
                      <a:avLst/>
                    </a:prstGeom>
                  </pic:spPr>
                </pic:pic>
              </a:graphicData>
            </a:graphic>
          </wp:inline>
        </w:drawing>
      </w:r>
    </w:p>
    <w:p w14:paraId="3356921D" w14:textId="095972FC" w:rsidR="00DC6C3F" w:rsidRPr="00F6361D" w:rsidRDefault="00DC6C3F" w:rsidP="009D72E0">
      <w:pPr>
        <w:pStyle w:val="Heading3"/>
      </w:pPr>
      <w:r w:rsidRPr="00F6361D">
        <w:lastRenderedPageBreak/>
        <w:t xml:space="preserve">Analytical epidemiology </w:t>
      </w:r>
    </w:p>
    <w:p w14:paraId="1B30345C" w14:textId="425DED6B" w:rsidR="00DC6C3F" w:rsidRDefault="00DC6C3F" w:rsidP="00F6361D">
      <w:r>
        <w:t>Following univariate analysis, canapés were significantly associated with illness (</w:t>
      </w:r>
      <w:r w:rsidRPr="00F6361D">
        <w:rPr>
          <w:rStyle w:val="Emphasis"/>
          <w:b w:val="0"/>
          <w:bCs w:val="0"/>
        </w:rPr>
        <w:t>p</w:t>
      </w:r>
      <w:r>
        <w:t xml:space="preserve"> = 0.002), with 24 (83%) of those who experienced gastrointestinal illness consuming some type of canapé, and the odds of cases eating canapés 5.17 times more likely than controls (Table 2). Of the canapés, 14 cases (50%) ate the duck canapé (duck breast with apple relish brioche with duck liver parfait) and 15 cases (54%) ate the lamb and fetta bastilla. Both foods had elevated univariate OR (3.33 and 2.38 respectively); however, only the duck canapé was statistically significant with a 95% CI 1.11–9.97. The wagyu beef main also had an elevated OR of 2.71; 91% CI: 0.91–8.72; and </w:t>
      </w:r>
      <w:r w:rsidRPr="00F6361D">
        <w:rPr>
          <w:rStyle w:val="Emphasis"/>
          <w:b w:val="0"/>
          <w:bCs w:val="0"/>
        </w:rPr>
        <w:t>p</w:t>
      </w:r>
      <w:r>
        <w:t xml:space="preserve"> = 0.048 and was borderline significant. Several other food items had elevated OR greater than one; however, there were no statistically significant associations with consumption of these other food items and illness (data not shown). </w:t>
      </w:r>
    </w:p>
    <w:p w14:paraId="02F33D6D" w14:textId="77777777" w:rsidR="007F3B80" w:rsidRPr="00B513E0" w:rsidRDefault="007F3B80" w:rsidP="007F3B80">
      <w:pPr>
        <w:pStyle w:val="CDIFigures"/>
      </w:pPr>
      <w:r w:rsidRPr="00B513E0">
        <w:rPr>
          <w:rStyle w:val="Strong"/>
          <w:b/>
          <w:bCs w:val="0"/>
        </w:rPr>
        <w:t>Table 1: Demographic and clinical characteristics of cases and controls, Victoria, February 2022 (n = 83)</w:t>
      </w:r>
      <w:r w:rsidRPr="00B513E0">
        <w:t xml:space="preserve"> </w:t>
      </w:r>
    </w:p>
    <w:tbl>
      <w:tblPr>
        <w:tblStyle w:val="CDI-StandardTable"/>
        <w:tblW w:w="0" w:type="auto"/>
        <w:tblLook w:val="04A0" w:firstRow="1" w:lastRow="0" w:firstColumn="1" w:lastColumn="0" w:noHBand="0" w:noVBand="1"/>
        <w:tblDescription w:val="Table 1 shows demographic and clinical characteristics of cases and controls, including p values for age and sex. &#10;"/>
      </w:tblPr>
      <w:tblGrid>
        <w:gridCol w:w="5387"/>
        <w:gridCol w:w="992"/>
        <w:gridCol w:w="1134"/>
        <w:gridCol w:w="851"/>
        <w:gridCol w:w="992"/>
        <w:gridCol w:w="1084"/>
      </w:tblGrid>
      <w:tr w:rsidR="007F3B80" w:rsidRPr="0072198E" w14:paraId="23801E6D" w14:textId="77777777" w:rsidTr="007F3B80">
        <w:trPr>
          <w:cnfStyle w:val="100000000000" w:firstRow="1" w:lastRow="0" w:firstColumn="0" w:lastColumn="0" w:oddVBand="0" w:evenVBand="0" w:oddHBand="0" w:evenHBand="0" w:firstRowFirstColumn="0" w:firstRowLastColumn="0" w:lastRowFirstColumn="0" w:lastRowLastColumn="0"/>
          <w:tblHeader/>
        </w:trPr>
        <w:tc>
          <w:tcPr>
            <w:tcW w:w="5387" w:type="dxa"/>
            <w:vMerge w:val="restart"/>
            <w:hideMark/>
          </w:tcPr>
          <w:p w14:paraId="488829E8" w14:textId="77777777" w:rsidR="007F3B80" w:rsidRPr="0072198E" w:rsidRDefault="007F3B80" w:rsidP="00DF4634">
            <w:pPr>
              <w:pStyle w:val="NormalWeb"/>
              <w:jc w:val="left"/>
              <w:rPr>
                <w:sz w:val="18"/>
                <w:szCs w:val="18"/>
                <w:lang w:val="en-GB"/>
              </w:rPr>
            </w:pPr>
            <w:r w:rsidRPr="0072198E">
              <w:rPr>
                <w:sz w:val="18"/>
                <w:szCs w:val="18"/>
                <w:lang w:val="en-GB"/>
              </w:rPr>
              <w:t>Characteristic</w:t>
            </w:r>
          </w:p>
        </w:tc>
        <w:tc>
          <w:tcPr>
            <w:tcW w:w="2126" w:type="dxa"/>
            <w:gridSpan w:val="2"/>
            <w:hideMark/>
          </w:tcPr>
          <w:p w14:paraId="2ABC82AD" w14:textId="77777777" w:rsidR="007F3B80" w:rsidRPr="0072198E" w:rsidRDefault="007F3B80" w:rsidP="00DF4634">
            <w:pPr>
              <w:pStyle w:val="NormalWeb"/>
              <w:rPr>
                <w:sz w:val="18"/>
                <w:szCs w:val="18"/>
                <w:lang w:val="en-GB"/>
              </w:rPr>
            </w:pPr>
            <w:r w:rsidRPr="0072198E">
              <w:rPr>
                <w:sz w:val="18"/>
                <w:szCs w:val="18"/>
                <w:lang w:val="en-GB"/>
              </w:rPr>
              <w:t>Cases (N = 29)</w:t>
            </w:r>
          </w:p>
        </w:tc>
        <w:tc>
          <w:tcPr>
            <w:tcW w:w="1843" w:type="dxa"/>
            <w:gridSpan w:val="2"/>
            <w:hideMark/>
          </w:tcPr>
          <w:p w14:paraId="1CEDE5B7" w14:textId="77777777" w:rsidR="007F3B80" w:rsidRPr="0072198E" w:rsidRDefault="007F3B80" w:rsidP="00DF4634">
            <w:pPr>
              <w:pStyle w:val="NormalWeb"/>
              <w:rPr>
                <w:sz w:val="18"/>
                <w:szCs w:val="18"/>
                <w:lang w:val="en-GB"/>
              </w:rPr>
            </w:pPr>
            <w:r w:rsidRPr="0072198E">
              <w:rPr>
                <w:sz w:val="18"/>
                <w:szCs w:val="18"/>
                <w:lang w:val="en-GB"/>
              </w:rPr>
              <w:t>Controls (N = 54)</w:t>
            </w:r>
          </w:p>
        </w:tc>
        <w:tc>
          <w:tcPr>
            <w:tcW w:w="1084" w:type="dxa"/>
            <w:vMerge w:val="restart"/>
            <w:hideMark/>
          </w:tcPr>
          <w:p w14:paraId="6D92602A" w14:textId="77777777" w:rsidR="007F3B80" w:rsidRPr="0072198E" w:rsidRDefault="007F3B80" w:rsidP="00DF4634">
            <w:pPr>
              <w:pStyle w:val="NormalWeb"/>
              <w:rPr>
                <w:sz w:val="18"/>
                <w:szCs w:val="18"/>
                <w:lang w:val="en-GB"/>
              </w:rPr>
            </w:pPr>
            <w:r w:rsidRPr="00E20CB2">
              <w:rPr>
                <w:i/>
                <w:iCs/>
                <w:sz w:val="18"/>
                <w:szCs w:val="18"/>
                <w:lang w:val="en-GB"/>
              </w:rPr>
              <w:t>p</w:t>
            </w:r>
            <w:r w:rsidRPr="0072198E">
              <w:rPr>
                <w:sz w:val="18"/>
                <w:szCs w:val="18"/>
                <w:lang w:val="en-GB"/>
              </w:rPr>
              <w:t xml:space="preserve"> value</w:t>
            </w:r>
          </w:p>
        </w:tc>
      </w:tr>
      <w:tr w:rsidR="007F3B80" w:rsidRPr="0072198E" w14:paraId="684A5F9E" w14:textId="77777777" w:rsidTr="007F3B80">
        <w:trPr>
          <w:cnfStyle w:val="100000000000" w:firstRow="1" w:lastRow="0" w:firstColumn="0" w:lastColumn="0" w:oddVBand="0" w:evenVBand="0" w:oddHBand="0" w:evenHBand="0" w:firstRowFirstColumn="0" w:firstRowLastColumn="0" w:lastRowFirstColumn="0" w:lastRowLastColumn="0"/>
          <w:tblHeader/>
        </w:trPr>
        <w:tc>
          <w:tcPr>
            <w:tcW w:w="5387" w:type="dxa"/>
            <w:vMerge/>
            <w:tcBorders>
              <w:bottom w:val="single" w:sz="2" w:space="0" w:color="808080" w:themeColor="background1" w:themeShade="80"/>
            </w:tcBorders>
            <w:hideMark/>
          </w:tcPr>
          <w:p w14:paraId="051BF61F" w14:textId="77777777" w:rsidR="007F3B80" w:rsidRPr="0072198E" w:rsidRDefault="007F3B80" w:rsidP="00DF4634">
            <w:pPr>
              <w:jc w:val="left"/>
              <w:rPr>
                <w:sz w:val="18"/>
                <w:szCs w:val="18"/>
                <w:lang w:val="en-GB"/>
              </w:rPr>
            </w:pPr>
          </w:p>
        </w:tc>
        <w:tc>
          <w:tcPr>
            <w:tcW w:w="992" w:type="dxa"/>
            <w:tcBorders>
              <w:bottom w:val="single" w:sz="2" w:space="0" w:color="808080" w:themeColor="background1" w:themeShade="80"/>
            </w:tcBorders>
            <w:hideMark/>
          </w:tcPr>
          <w:p w14:paraId="1CBDB16C" w14:textId="77777777" w:rsidR="007F3B80" w:rsidRPr="0072198E" w:rsidRDefault="007F3B80" w:rsidP="00DF4634">
            <w:pPr>
              <w:pStyle w:val="NormalWeb"/>
              <w:rPr>
                <w:sz w:val="18"/>
                <w:szCs w:val="18"/>
                <w:lang w:val="en-GB"/>
              </w:rPr>
            </w:pPr>
            <w:r w:rsidRPr="0072198E">
              <w:rPr>
                <w:sz w:val="18"/>
                <w:szCs w:val="18"/>
                <w:lang w:val="en-GB"/>
              </w:rPr>
              <w:t>n</w:t>
            </w:r>
          </w:p>
        </w:tc>
        <w:tc>
          <w:tcPr>
            <w:tcW w:w="1134" w:type="dxa"/>
            <w:tcBorders>
              <w:bottom w:val="single" w:sz="2" w:space="0" w:color="808080" w:themeColor="background1" w:themeShade="80"/>
            </w:tcBorders>
            <w:hideMark/>
          </w:tcPr>
          <w:p w14:paraId="344C2B84" w14:textId="77777777" w:rsidR="007F3B80" w:rsidRPr="0072198E" w:rsidRDefault="007F3B80" w:rsidP="00DF4634">
            <w:pPr>
              <w:pStyle w:val="NormalWeb"/>
              <w:rPr>
                <w:sz w:val="18"/>
                <w:szCs w:val="18"/>
                <w:lang w:val="en-GB"/>
              </w:rPr>
            </w:pPr>
            <w:r w:rsidRPr="0072198E">
              <w:rPr>
                <w:sz w:val="18"/>
                <w:szCs w:val="18"/>
                <w:lang w:val="en-GB"/>
              </w:rPr>
              <w:t>%</w:t>
            </w:r>
          </w:p>
        </w:tc>
        <w:tc>
          <w:tcPr>
            <w:tcW w:w="851" w:type="dxa"/>
            <w:tcBorders>
              <w:bottom w:val="single" w:sz="2" w:space="0" w:color="808080" w:themeColor="background1" w:themeShade="80"/>
            </w:tcBorders>
            <w:hideMark/>
          </w:tcPr>
          <w:p w14:paraId="692E3207" w14:textId="77777777" w:rsidR="007F3B80" w:rsidRPr="0072198E" w:rsidRDefault="007F3B80" w:rsidP="00DF4634">
            <w:pPr>
              <w:pStyle w:val="NormalWeb"/>
              <w:rPr>
                <w:sz w:val="18"/>
                <w:szCs w:val="18"/>
                <w:lang w:val="en-GB"/>
              </w:rPr>
            </w:pPr>
            <w:r w:rsidRPr="0072198E">
              <w:rPr>
                <w:sz w:val="18"/>
                <w:szCs w:val="18"/>
                <w:lang w:val="en-GB"/>
              </w:rPr>
              <w:t>n</w:t>
            </w:r>
          </w:p>
        </w:tc>
        <w:tc>
          <w:tcPr>
            <w:tcW w:w="992" w:type="dxa"/>
            <w:tcBorders>
              <w:bottom w:val="single" w:sz="2" w:space="0" w:color="808080" w:themeColor="background1" w:themeShade="80"/>
            </w:tcBorders>
            <w:hideMark/>
          </w:tcPr>
          <w:p w14:paraId="2C4236E6" w14:textId="77777777" w:rsidR="007F3B80" w:rsidRPr="0072198E" w:rsidRDefault="007F3B80" w:rsidP="00DF4634">
            <w:pPr>
              <w:pStyle w:val="NormalWeb"/>
              <w:rPr>
                <w:sz w:val="18"/>
                <w:szCs w:val="18"/>
                <w:lang w:val="en-GB"/>
              </w:rPr>
            </w:pPr>
            <w:r w:rsidRPr="0072198E">
              <w:rPr>
                <w:sz w:val="18"/>
                <w:szCs w:val="18"/>
                <w:lang w:val="en-GB"/>
              </w:rPr>
              <w:t>%</w:t>
            </w:r>
          </w:p>
        </w:tc>
        <w:tc>
          <w:tcPr>
            <w:tcW w:w="1084" w:type="dxa"/>
            <w:vMerge/>
            <w:tcBorders>
              <w:bottom w:val="single" w:sz="2" w:space="0" w:color="808080" w:themeColor="background1" w:themeShade="80"/>
            </w:tcBorders>
            <w:hideMark/>
          </w:tcPr>
          <w:p w14:paraId="0340CECE" w14:textId="77777777" w:rsidR="007F3B80" w:rsidRPr="0072198E" w:rsidRDefault="007F3B80" w:rsidP="00DF4634">
            <w:pPr>
              <w:rPr>
                <w:sz w:val="18"/>
                <w:szCs w:val="18"/>
                <w:lang w:val="en-GB"/>
              </w:rPr>
            </w:pPr>
          </w:p>
        </w:tc>
      </w:tr>
      <w:tr w:rsidR="007F3B80" w:rsidRPr="00254E23" w14:paraId="130B9F60" w14:textId="77777777" w:rsidTr="007F3B80">
        <w:tc>
          <w:tcPr>
            <w:tcW w:w="1044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hideMark/>
          </w:tcPr>
          <w:p w14:paraId="084325BE" w14:textId="77777777" w:rsidR="007F3B80" w:rsidRPr="00254E23" w:rsidRDefault="007F3B80" w:rsidP="00DF4634">
            <w:pPr>
              <w:pStyle w:val="NormalWeb"/>
              <w:jc w:val="left"/>
              <w:rPr>
                <w:b/>
                <w:bCs/>
                <w:sz w:val="18"/>
                <w:szCs w:val="18"/>
                <w:lang w:val="en-GB"/>
              </w:rPr>
            </w:pPr>
            <w:r w:rsidRPr="00254E23">
              <w:rPr>
                <w:b/>
                <w:bCs/>
                <w:sz w:val="18"/>
                <w:szCs w:val="18"/>
                <w:lang w:val="en-GB"/>
              </w:rPr>
              <w:t>Age</w:t>
            </w:r>
          </w:p>
        </w:tc>
      </w:tr>
      <w:tr w:rsidR="007F3B80" w:rsidRPr="0072198E" w14:paraId="25C34D2B" w14:textId="77777777" w:rsidTr="007F3B80">
        <w:trPr>
          <w:cnfStyle w:val="000000010000" w:firstRow="0" w:lastRow="0" w:firstColumn="0" w:lastColumn="0" w:oddVBand="0" w:evenVBand="0" w:oddHBand="0" w:evenHBand="1" w:firstRowFirstColumn="0" w:firstRowLastColumn="0" w:lastRowFirstColumn="0" w:lastRowLastColumn="0"/>
        </w:trPr>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EDE5F0" w14:textId="77777777" w:rsidR="007F3B80" w:rsidRPr="0072198E" w:rsidRDefault="007F3B80" w:rsidP="00DF4634">
            <w:pPr>
              <w:pStyle w:val="NormalWeb"/>
              <w:jc w:val="left"/>
              <w:rPr>
                <w:sz w:val="18"/>
                <w:szCs w:val="18"/>
                <w:lang w:val="en-GB"/>
              </w:rPr>
            </w:pPr>
            <w:r w:rsidRPr="0072198E">
              <w:rPr>
                <w:sz w:val="18"/>
                <w:szCs w:val="18"/>
                <w:lang w:val="en-GB"/>
              </w:rPr>
              <w:t>Median (range), years</w:t>
            </w:r>
          </w:p>
        </w:tc>
        <w:tc>
          <w:tcPr>
            <w:tcW w:w="21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9B0DA4" w14:textId="77777777" w:rsidR="007F3B80" w:rsidRPr="0072198E" w:rsidRDefault="007F3B80" w:rsidP="00DF4634">
            <w:pPr>
              <w:pStyle w:val="NormalWeb"/>
              <w:rPr>
                <w:sz w:val="18"/>
                <w:szCs w:val="18"/>
                <w:lang w:val="en-GB"/>
              </w:rPr>
            </w:pPr>
            <w:r w:rsidRPr="0072198E">
              <w:rPr>
                <w:sz w:val="18"/>
                <w:szCs w:val="18"/>
                <w:lang w:val="en-GB"/>
              </w:rPr>
              <w:t>29 (18–69)</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67242B" w14:textId="77777777" w:rsidR="007F3B80" w:rsidRPr="0072198E" w:rsidRDefault="007F3B80" w:rsidP="00DF4634">
            <w:pPr>
              <w:pStyle w:val="NormalWeb"/>
              <w:rPr>
                <w:sz w:val="18"/>
                <w:szCs w:val="18"/>
                <w:lang w:val="en-GB"/>
              </w:rPr>
            </w:pPr>
            <w:r w:rsidRPr="0072198E">
              <w:rPr>
                <w:sz w:val="18"/>
                <w:szCs w:val="18"/>
                <w:lang w:val="en-GB"/>
              </w:rPr>
              <w:t>45 (31–71)</w:t>
            </w: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E36C6C" w14:textId="77777777" w:rsidR="007F3B80" w:rsidRPr="0072198E" w:rsidRDefault="007F3B80" w:rsidP="00DF4634">
            <w:pPr>
              <w:pStyle w:val="NormalWeb"/>
              <w:rPr>
                <w:sz w:val="18"/>
                <w:szCs w:val="18"/>
                <w:lang w:val="en-GB"/>
              </w:rPr>
            </w:pPr>
            <w:r w:rsidRPr="0072198E">
              <w:rPr>
                <w:sz w:val="18"/>
                <w:szCs w:val="18"/>
                <w:lang w:val="en-GB"/>
              </w:rPr>
              <w:t>0.023</w:t>
            </w:r>
            <w:r w:rsidRPr="00E20CB2">
              <w:rPr>
                <w:sz w:val="18"/>
                <w:szCs w:val="18"/>
                <w:vertAlign w:val="superscript"/>
                <w:lang w:val="en-GB"/>
              </w:rPr>
              <w:t>a</w:t>
            </w:r>
          </w:p>
        </w:tc>
      </w:tr>
      <w:tr w:rsidR="007F3B80" w:rsidRPr="0072198E" w14:paraId="6F7768D0" w14:textId="77777777" w:rsidTr="007F3B80">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742DAE" w14:textId="77777777" w:rsidR="007F3B80" w:rsidRPr="0072198E" w:rsidRDefault="007F3B80" w:rsidP="00DF4634">
            <w:pPr>
              <w:pStyle w:val="NormalWeb"/>
              <w:jc w:val="left"/>
              <w:rPr>
                <w:sz w:val="18"/>
                <w:szCs w:val="18"/>
                <w:lang w:val="en-GB"/>
              </w:rPr>
            </w:pPr>
            <w:r w:rsidRPr="0072198E">
              <w:rPr>
                <w:sz w:val="18"/>
                <w:szCs w:val="18"/>
                <w:lang w:val="en-GB"/>
              </w:rPr>
              <w:t>10–29</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095BDB" w14:textId="77777777" w:rsidR="007F3B80" w:rsidRPr="0072198E" w:rsidRDefault="007F3B80" w:rsidP="00DF4634">
            <w:pPr>
              <w:pStyle w:val="NormalWeb"/>
              <w:rPr>
                <w:sz w:val="18"/>
                <w:szCs w:val="18"/>
                <w:lang w:val="en-GB"/>
              </w:rPr>
            </w:pPr>
            <w:r w:rsidRPr="0072198E">
              <w:rPr>
                <w:sz w:val="18"/>
                <w:szCs w:val="18"/>
                <w:lang w:val="en-GB"/>
              </w:rPr>
              <w:t>17</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15ACC3" w14:textId="77777777" w:rsidR="007F3B80" w:rsidRPr="0072198E" w:rsidRDefault="007F3B80" w:rsidP="00DF4634">
            <w:pPr>
              <w:pStyle w:val="NormalWeb"/>
              <w:rPr>
                <w:sz w:val="18"/>
                <w:szCs w:val="18"/>
                <w:lang w:val="en-GB"/>
              </w:rPr>
            </w:pPr>
            <w:r w:rsidRPr="0072198E">
              <w:rPr>
                <w:sz w:val="18"/>
                <w:szCs w:val="18"/>
                <w:lang w:val="en-GB"/>
              </w:rPr>
              <w:t>(59%)</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918443" w14:textId="77777777" w:rsidR="007F3B80" w:rsidRPr="0072198E" w:rsidRDefault="007F3B80" w:rsidP="00DF4634">
            <w:pPr>
              <w:pStyle w:val="NormalWeb"/>
              <w:rPr>
                <w:sz w:val="18"/>
                <w:szCs w:val="18"/>
                <w:lang w:val="en-GB"/>
              </w:rPr>
            </w:pPr>
            <w:r w:rsidRPr="0072198E">
              <w:rPr>
                <w:sz w:val="18"/>
                <w:szCs w:val="18"/>
                <w:lang w:val="en-GB"/>
              </w:rPr>
              <w:t>13</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8BECDD" w14:textId="77777777" w:rsidR="007F3B80" w:rsidRPr="0072198E" w:rsidRDefault="007F3B80" w:rsidP="00DF4634">
            <w:pPr>
              <w:pStyle w:val="NormalWeb"/>
              <w:rPr>
                <w:sz w:val="18"/>
                <w:szCs w:val="18"/>
                <w:lang w:val="en-GB"/>
              </w:rPr>
            </w:pPr>
            <w:r w:rsidRPr="0072198E">
              <w:rPr>
                <w:sz w:val="18"/>
                <w:szCs w:val="18"/>
                <w:lang w:val="en-GB"/>
              </w:rPr>
              <w:t>(25%)</w:t>
            </w: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00A8AB0" w14:textId="77777777" w:rsidR="007F3B80" w:rsidRPr="0072198E" w:rsidRDefault="007F3B80" w:rsidP="00DF4634">
            <w:pPr>
              <w:rPr>
                <w:sz w:val="18"/>
                <w:szCs w:val="18"/>
                <w:lang w:val="en-GB"/>
              </w:rPr>
            </w:pPr>
          </w:p>
        </w:tc>
      </w:tr>
      <w:tr w:rsidR="007F3B80" w:rsidRPr="0072198E" w14:paraId="097B103F" w14:textId="77777777" w:rsidTr="007F3B80">
        <w:trPr>
          <w:cnfStyle w:val="000000010000" w:firstRow="0" w:lastRow="0" w:firstColumn="0" w:lastColumn="0" w:oddVBand="0" w:evenVBand="0" w:oddHBand="0" w:evenHBand="1" w:firstRowFirstColumn="0" w:firstRowLastColumn="0" w:lastRowFirstColumn="0" w:lastRowLastColumn="0"/>
        </w:trPr>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FCDC76" w14:textId="77777777" w:rsidR="007F3B80" w:rsidRPr="0072198E" w:rsidRDefault="007F3B80" w:rsidP="00DF4634">
            <w:pPr>
              <w:pStyle w:val="NormalWeb"/>
              <w:jc w:val="left"/>
              <w:rPr>
                <w:sz w:val="18"/>
                <w:szCs w:val="18"/>
                <w:lang w:val="en-GB"/>
              </w:rPr>
            </w:pPr>
            <w:r w:rsidRPr="0072198E">
              <w:rPr>
                <w:sz w:val="18"/>
                <w:szCs w:val="18"/>
                <w:lang w:val="en-GB"/>
              </w:rPr>
              <w:t>30+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A28018" w14:textId="77777777" w:rsidR="007F3B80" w:rsidRPr="0072198E" w:rsidRDefault="007F3B80" w:rsidP="00DF4634">
            <w:pPr>
              <w:pStyle w:val="NormalWeb"/>
              <w:rPr>
                <w:sz w:val="18"/>
                <w:szCs w:val="18"/>
                <w:lang w:val="en-GB"/>
              </w:rPr>
            </w:pPr>
            <w:r w:rsidRPr="0072198E">
              <w:rPr>
                <w:sz w:val="18"/>
                <w:szCs w:val="18"/>
                <w:lang w:val="en-GB"/>
              </w:rPr>
              <w:t>12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1901C4" w14:textId="77777777" w:rsidR="007F3B80" w:rsidRPr="0072198E" w:rsidRDefault="007F3B80" w:rsidP="00DF4634">
            <w:pPr>
              <w:pStyle w:val="NormalWeb"/>
              <w:rPr>
                <w:sz w:val="18"/>
                <w:szCs w:val="18"/>
                <w:lang w:val="en-GB"/>
              </w:rPr>
            </w:pPr>
            <w:r w:rsidRPr="0072198E">
              <w:rPr>
                <w:sz w:val="18"/>
                <w:szCs w:val="18"/>
                <w:lang w:val="en-GB"/>
              </w:rPr>
              <w:t>(41%)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65AF5F" w14:textId="77777777" w:rsidR="007F3B80" w:rsidRPr="0072198E" w:rsidRDefault="007F3B80" w:rsidP="00DF4634">
            <w:pPr>
              <w:pStyle w:val="NormalWeb"/>
              <w:rPr>
                <w:sz w:val="18"/>
                <w:szCs w:val="18"/>
                <w:lang w:val="en-GB"/>
              </w:rPr>
            </w:pPr>
            <w:r w:rsidRPr="0072198E">
              <w:rPr>
                <w:sz w:val="18"/>
                <w:szCs w:val="18"/>
                <w:lang w:val="en-GB"/>
              </w:rPr>
              <w:t>39</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058A08" w14:textId="77777777" w:rsidR="007F3B80" w:rsidRPr="0072198E" w:rsidRDefault="007F3B80" w:rsidP="00DF4634">
            <w:pPr>
              <w:pStyle w:val="NormalWeb"/>
              <w:rPr>
                <w:sz w:val="18"/>
                <w:szCs w:val="18"/>
                <w:lang w:val="en-GB"/>
              </w:rPr>
            </w:pPr>
            <w:r w:rsidRPr="0072198E">
              <w:rPr>
                <w:sz w:val="18"/>
                <w:szCs w:val="18"/>
                <w:lang w:val="en-GB"/>
              </w:rPr>
              <w:t>(75%)</w:t>
            </w: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8D296C" w14:textId="77777777" w:rsidR="007F3B80" w:rsidRPr="0072198E" w:rsidRDefault="007F3B80" w:rsidP="00DF4634">
            <w:pPr>
              <w:rPr>
                <w:sz w:val="18"/>
                <w:szCs w:val="18"/>
                <w:lang w:val="en-GB"/>
              </w:rPr>
            </w:pPr>
          </w:p>
        </w:tc>
      </w:tr>
      <w:tr w:rsidR="007F3B80" w:rsidRPr="00254E23" w14:paraId="45911126" w14:textId="77777777" w:rsidTr="007F3B80">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12AE5AD" w14:textId="77777777" w:rsidR="007F3B80" w:rsidRPr="00254E23" w:rsidRDefault="007F3B80" w:rsidP="00DF4634">
            <w:pPr>
              <w:pStyle w:val="NormalWeb"/>
              <w:jc w:val="left"/>
              <w:rPr>
                <w:b/>
                <w:bCs/>
                <w:sz w:val="18"/>
                <w:szCs w:val="18"/>
                <w:lang w:val="en-GB"/>
              </w:rPr>
            </w:pPr>
            <w:r w:rsidRPr="00254E23">
              <w:rPr>
                <w:b/>
                <w:bCs/>
                <w:sz w:val="18"/>
                <w:szCs w:val="18"/>
                <w:lang w:val="en-GB"/>
              </w:rPr>
              <w:t>Total</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5B9FECD" w14:textId="77777777" w:rsidR="007F3B80" w:rsidRPr="00254E23" w:rsidRDefault="007F3B80" w:rsidP="00DF4634">
            <w:pPr>
              <w:pStyle w:val="NormalWeb"/>
              <w:rPr>
                <w:b/>
                <w:bCs/>
                <w:sz w:val="18"/>
                <w:szCs w:val="18"/>
                <w:lang w:val="en-GB"/>
              </w:rPr>
            </w:pPr>
            <w:r w:rsidRPr="00254E23">
              <w:rPr>
                <w:b/>
                <w:bCs/>
                <w:sz w:val="18"/>
                <w:szCs w:val="18"/>
                <w:lang w:val="en-GB"/>
              </w:rPr>
              <w:t>29</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B710052" w14:textId="77777777" w:rsidR="007F3B80" w:rsidRPr="00254E23" w:rsidRDefault="007F3B80" w:rsidP="00DF4634">
            <w:pPr>
              <w:rPr>
                <w:b/>
                <w:bCs/>
                <w:sz w:val="18"/>
                <w:szCs w:val="18"/>
                <w:lang w:val="en-GB"/>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92641C0" w14:textId="77777777" w:rsidR="007F3B80" w:rsidRPr="00254E23" w:rsidRDefault="007F3B80" w:rsidP="00DF4634">
            <w:pPr>
              <w:pStyle w:val="NormalWeb"/>
              <w:rPr>
                <w:b/>
                <w:bCs/>
                <w:sz w:val="18"/>
                <w:szCs w:val="18"/>
                <w:lang w:val="en-GB"/>
              </w:rPr>
            </w:pPr>
            <w:r w:rsidRPr="00254E23">
              <w:rPr>
                <w:b/>
                <w:bCs/>
                <w:sz w:val="18"/>
                <w:szCs w:val="18"/>
                <w:lang w:val="en-GB"/>
              </w:rPr>
              <w:t>52</w:t>
            </w:r>
            <w:r w:rsidRPr="00254E23">
              <w:rPr>
                <w:b/>
                <w:bCs/>
                <w:sz w:val="18"/>
                <w:szCs w:val="18"/>
                <w:vertAlign w:val="superscript"/>
                <w:lang w:val="en-GB"/>
              </w:rPr>
              <w:t>b</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BB53540" w14:textId="77777777" w:rsidR="007F3B80" w:rsidRPr="00254E23" w:rsidRDefault="007F3B80" w:rsidP="00DF4634">
            <w:pPr>
              <w:rPr>
                <w:b/>
                <w:bCs/>
                <w:sz w:val="18"/>
                <w:szCs w:val="18"/>
                <w:lang w:val="en-GB"/>
              </w:rPr>
            </w:pP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1C88B34" w14:textId="77777777" w:rsidR="007F3B80" w:rsidRPr="00254E23" w:rsidRDefault="007F3B80" w:rsidP="00DF4634">
            <w:pPr>
              <w:rPr>
                <w:rFonts w:eastAsia="Times New Roman"/>
                <w:b/>
                <w:bCs/>
                <w:sz w:val="18"/>
                <w:szCs w:val="18"/>
              </w:rPr>
            </w:pPr>
          </w:p>
        </w:tc>
      </w:tr>
      <w:tr w:rsidR="007F3B80" w:rsidRPr="00254E23" w14:paraId="177914D1" w14:textId="77777777" w:rsidTr="007F3B80">
        <w:trPr>
          <w:cnfStyle w:val="000000010000" w:firstRow="0" w:lastRow="0" w:firstColumn="0" w:lastColumn="0" w:oddVBand="0" w:evenVBand="0" w:oddHBand="0" w:evenHBand="1" w:firstRowFirstColumn="0" w:firstRowLastColumn="0" w:lastRowFirstColumn="0" w:lastRowLastColumn="0"/>
        </w:trPr>
        <w:tc>
          <w:tcPr>
            <w:tcW w:w="1044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hideMark/>
          </w:tcPr>
          <w:p w14:paraId="694BAEAD" w14:textId="77777777" w:rsidR="007F3B80" w:rsidRPr="00254E23" w:rsidRDefault="007F3B80" w:rsidP="00DF4634">
            <w:pPr>
              <w:pStyle w:val="NormalWeb"/>
              <w:jc w:val="left"/>
              <w:rPr>
                <w:b/>
                <w:bCs/>
                <w:sz w:val="18"/>
                <w:szCs w:val="18"/>
                <w:lang w:val="en-GB"/>
              </w:rPr>
            </w:pPr>
            <w:r w:rsidRPr="00254E23">
              <w:rPr>
                <w:b/>
                <w:bCs/>
                <w:sz w:val="18"/>
                <w:szCs w:val="18"/>
                <w:lang w:val="en-GB"/>
              </w:rPr>
              <w:t>Sex</w:t>
            </w:r>
          </w:p>
        </w:tc>
      </w:tr>
      <w:tr w:rsidR="007F3B80" w:rsidRPr="0072198E" w14:paraId="7CD522F8" w14:textId="77777777" w:rsidTr="007F3B80">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B2053F8" w14:textId="77777777" w:rsidR="007F3B80" w:rsidRPr="0072198E" w:rsidRDefault="007F3B80" w:rsidP="00DF4634">
            <w:pPr>
              <w:pStyle w:val="NormalWeb"/>
              <w:jc w:val="left"/>
              <w:rPr>
                <w:sz w:val="18"/>
                <w:szCs w:val="18"/>
                <w:lang w:val="en-GB"/>
              </w:rPr>
            </w:pPr>
            <w:r w:rsidRPr="0072198E">
              <w:rPr>
                <w:sz w:val="18"/>
                <w:szCs w:val="18"/>
                <w:lang w:val="en-GB"/>
              </w:rPr>
              <w:t>Male</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4213DB" w14:textId="77777777" w:rsidR="007F3B80" w:rsidRPr="0072198E" w:rsidRDefault="007F3B80" w:rsidP="00DF4634">
            <w:pPr>
              <w:pStyle w:val="NormalWeb"/>
              <w:rPr>
                <w:sz w:val="18"/>
                <w:szCs w:val="18"/>
                <w:lang w:val="en-GB"/>
              </w:rPr>
            </w:pPr>
            <w:r w:rsidRPr="0072198E">
              <w:rPr>
                <w:sz w:val="18"/>
                <w:szCs w:val="18"/>
                <w:lang w:val="en-GB"/>
              </w:rPr>
              <w:t>16</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008C53" w14:textId="77777777" w:rsidR="007F3B80" w:rsidRPr="0072198E" w:rsidRDefault="007F3B80" w:rsidP="00DF4634">
            <w:pPr>
              <w:pStyle w:val="NormalWeb"/>
              <w:rPr>
                <w:sz w:val="18"/>
                <w:szCs w:val="18"/>
                <w:lang w:val="en-GB"/>
              </w:rPr>
            </w:pPr>
            <w:r w:rsidRPr="0072198E">
              <w:rPr>
                <w:sz w:val="18"/>
                <w:szCs w:val="18"/>
                <w:lang w:val="en-GB"/>
              </w:rPr>
              <w:t>(55%)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C144F34" w14:textId="77777777" w:rsidR="007F3B80" w:rsidRPr="0072198E" w:rsidRDefault="007F3B80" w:rsidP="00DF4634">
            <w:pPr>
              <w:pStyle w:val="NormalWeb"/>
              <w:rPr>
                <w:sz w:val="18"/>
                <w:szCs w:val="18"/>
                <w:lang w:val="en-GB"/>
              </w:rPr>
            </w:pPr>
            <w:r w:rsidRPr="0072198E">
              <w:rPr>
                <w:sz w:val="18"/>
                <w:szCs w:val="18"/>
                <w:lang w:val="en-GB"/>
              </w:rPr>
              <w:t>16</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2F4BE3" w14:textId="77777777" w:rsidR="007F3B80" w:rsidRPr="0072198E" w:rsidRDefault="007F3B80" w:rsidP="00DF4634">
            <w:pPr>
              <w:pStyle w:val="NormalWeb"/>
              <w:rPr>
                <w:sz w:val="18"/>
                <w:szCs w:val="18"/>
                <w:lang w:val="en-GB"/>
              </w:rPr>
            </w:pPr>
            <w:r w:rsidRPr="0072198E">
              <w:rPr>
                <w:sz w:val="18"/>
                <w:szCs w:val="18"/>
                <w:lang w:val="en-GB"/>
              </w:rPr>
              <w:t>(30%)</w:t>
            </w: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B7F470B" w14:textId="77777777" w:rsidR="007F3B80" w:rsidRPr="0072198E" w:rsidRDefault="007F3B80" w:rsidP="00DF4634">
            <w:pPr>
              <w:pStyle w:val="NormalWeb"/>
              <w:rPr>
                <w:sz w:val="18"/>
                <w:szCs w:val="18"/>
                <w:lang w:val="en-GB"/>
              </w:rPr>
            </w:pPr>
            <w:r w:rsidRPr="0072198E">
              <w:rPr>
                <w:sz w:val="18"/>
                <w:szCs w:val="18"/>
                <w:lang w:val="en-GB"/>
              </w:rPr>
              <w:t>0.001</w:t>
            </w:r>
            <w:r w:rsidRPr="00E20CB2">
              <w:rPr>
                <w:sz w:val="18"/>
                <w:szCs w:val="18"/>
                <w:vertAlign w:val="superscript"/>
                <w:lang w:val="en-GB"/>
              </w:rPr>
              <w:t>c</w:t>
            </w:r>
          </w:p>
        </w:tc>
      </w:tr>
      <w:tr w:rsidR="007F3B80" w:rsidRPr="0072198E" w14:paraId="2EC085AF" w14:textId="77777777" w:rsidTr="007F3B80">
        <w:trPr>
          <w:cnfStyle w:val="000000010000" w:firstRow="0" w:lastRow="0" w:firstColumn="0" w:lastColumn="0" w:oddVBand="0" w:evenVBand="0" w:oddHBand="0" w:evenHBand="1" w:firstRowFirstColumn="0" w:firstRowLastColumn="0" w:lastRowFirstColumn="0" w:lastRowLastColumn="0"/>
        </w:trPr>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AB8A38" w14:textId="77777777" w:rsidR="007F3B80" w:rsidRPr="0072198E" w:rsidRDefault="007F3B80" w:rsidP="00DF4634">
            <w:pPr>
              <w:pStyle w:val="NormalWeb"/>
              <w:jc w:val="left"/>
              <w:rPr>
                <w:sz w:val="18"/>
                <w:szCs w:val="18"/>
                <w:lang w:val="en-GB"/>
              </w:rPr>
            </w:pPr>
            <w:r w:rsidRPr="0072198E">
              <w:rPr>
                <w:sz w:val="18"/>
                <w:szCs w:val="18"/>
                <w:lang w:val="en-GB"/>
              </w:rPr>
              <w:t>Female</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E23F37" w14:textId="77777777" w:rsidR="007F3B80" w:rsidRPr="0072198E" w:rsidRDefault="007F3B80" w:rsidP="00DF4634">
            <w:pPr>
              <w:pStyle w:val="NormalWeb"/>
              <w:rPr>
                <w:sz w:val="18"/>
                <w:szCs w:val="18"/>
                <w:lang w:val="en-GB"/>
              </w:rPr>
            </w:pPr>
            <w:r w:rsidRPr="0072198E">
              <w:rPr>
                <w:sz w:val="18"/>
                <w:szCs w:val="18"/>
                <w:lang w:val="en-GB"/>
              </w:rPr>
              <w:t>13</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9FF5A6" w14:textId="77777777" w:rsidR="007F3B80" w:rsidRPr="0072198E" w:rsidRDefault="007F3B80" w:rsidP="00DF4634">
            <w:pPr>
              <w:pStyle w:val="NormalWeb"/>
              <w:rPr>
                <w:sz w:val="18"/>
                <w:szCs w:val="18"/>
                <w:lang w:val="en-GB"/>
              </w:rPr>
            </w:pPr>
            <w:r w:rsidRPr="0072198E">
              <w:rPr>
                <w:sz w:val="18"/>
                <w:szCs w:val="18"/>
                <w:lang w:val="en-GB"/>
              </w:rPr>
              <w:t>(45%)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79FC4E2" w14:textId="77777777" w:rsidR="007F3B80" w:rsidRPr="0072198E" w:rsidRDefault="007F3B80" w:rsidP="00DF4634">
            <w:pPr>
              <w:pStyle w:val="NormalWeb"/>
              <w:rPr>
                <w:sz w:val="18"/>
                <w:szCs w:val="18"/>
                <w:lang w:val="en-GB"/>
              </w:rPr>
            </w:pPr>
            <w:r w:rsidRPr="0072198E">
              <w:rPr>
                <w:sz w:val="18"/>
                <w:szCs w:val="18"/>
                <w:lang w:val="en-GB"/>
              </w:rPr>
              <w:t>38</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50FB4D" w14:textId="77777777" w:rsidR="007F3B80" w:rsidRPr="0072198E" w:rsidRDefault="007F3B80" w:rsidP="00DF4634">
            <w:pPr>
              <w:pStyle w:val="NormalWeb"/>
              <w:rPr>
                <w:sz w:val="18"/>
                <w:szCs w:val="18"/>
                <w:lang w:val="en-GB"/>
              </w:rPr>
            </w:pPr>
            <w:r w:rsidRPr="0072198E">
              <w:rPr>
                <w:sz w:val="18"/>
                <w:szCs w:val="18"/>
                <w:lang w:val="en-GB"/>
              </w:rPr>
              <w:t>(70%)</w:t>
            </w: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C593B6" w14:textId="77777777" w:rsidR="007F3B80" w:rsidRPr="0072198E" w:rsidRDefault="007F3B80" w:rsidP="00DF4634">
            <w:pPr>
              <w:rPr>
                <w:sz w:val="18"/>
                <w:szCs w:val="18"/>
                <w:lang w:val="en-GB"/>
              </w:rPr>
            </w:pPr>
          </w:p>
        </w:tc>
      </w:tr>
      <w:tr w:rsidR="007F3B80" w:rsidRPr="00254E23" w14:paraId="55BF5C18" w14:textId="77777777" w:rsidTr="007F3B80">
        <w:tc>
          <w:tcPr>
            <w:tcW w:w="1044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hideMark/>
          </w:tcPr>
          <w:p w14:paraId="2AD558E0" w14:textId="77777777" w:rsidR="007F3B80" w:rsidRPr="00254E23" w:rsidRDefault="007F3B80" w:rsidP="00DF4634">
            <w:pPr>
              <w:pStyle w:val="NormalWeb"/>
              <w:jc w:val="left"/>
              <w:rPr>
                <w:b/>
                <w:bCs/>
                <w:sz w:val="18"/>
                <w:szCs w:val="18"/>
                <w:lang w:val="en-GB"/>
              </w:rPr>
            </w:pPr>
            <w:r w:rsidRPr="00254E23">
              <w:rPr>
                <w:b/>
                <w:bCs/>
                <w:sz w:val="18"/>
                <w:szCs w:val="18"/>
                <w:lang w:val="en-GB"/>
              </w:rPr>
              <w:t>Symptom</w:t>
            </w:r>
          </w:p>
        </w:tc>
      </w:tr>
      <w:tr w:rsidR="007F3B80" w:rsidRPr="0072198E" w14:paraId="01F01E3A" w14:textId="77777777" w:rsidTr="007F3B80">
        <w:trPr>
          <w:cnfStyle w:val="000000010000" w:firstRow="0" w:lastRow="0" w:firstColumn="0" w:lastColumn="0" w:oddVBand="0" w:evenVBand="0" w:oddHBand="0" w:evenHBand="1" w:firstRowFirstColumn="0" w:firstRowLastColumn="0" w:lastRowFirstColumn="0" w:lastRowLastColumn="0"/>
        </w:trPr>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93CF2F1" w14:textId="77777777" w:rsidR="007F3B80" w:rsidRPr="0072198E" w:rsidRDefault="007F3B80" w:rsidP="00DF4634">
            <w:pPr>
              <w:pStyle w:val="NormalWeb"/>
              <w:jc w:val="left"/>
              <w:rPr>
                <w:sz w:val="18"/>
                <w:szCs w:val="18"/>
                <w:lang w:val="en-GB"/>
              </w:rPr>
            </w:pPr>
            <w:r w:rsidRPr="0072198E">
              <w:rPr>
                <w:sz w:val="18"/>
                <w:szCs w:val="18"/>
                <w:lang w:val="en-GB"/>
              </w:rPr>
              <w:t>Abdominal cramping</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40C272" w14:textId="77777777" w:rsidR="007F3B80" w:rsidRPr="0072198E" w:rsidRDefault="007F3B80" w:rsidP="00DF4634">
            <w:pPr>
              <w:pStyle w:val="NormalWeb"/>
              <w:rPr>
                <w:sz w:val="18"/>
                <w:szCs w:val="18"/>
                <w:lang w:val="en-GB"/>
              </w:rPr>
            </w:pPr>
            <w:r w:rsidRPr="0072198E">
              <w:rPr>
                <w:sz w:val="18"/>
                <w:szCs w:val="18"/>
                <w:lang w:val="en-GB"/>
              </w:rPr>
              <w:t>29</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970606A" w14:textId="77777777" w:rsidR="007F3B80" w:rsidRPr="0072198E" w:rsidRDefault="007F3B80" w:rsidP="00DF4634">
            <w:pPr>
              <w:pStyle w:val="NormalWeb"/>
              <w:rPr>
                <w:sz w:val="18"/>
                <w:szCs w:val="18"/>
                <w:lang w:val="en-GB"/>
              </w:rPr>
            </w:pPr>
            <w:r w:rsidRPr="0072198E">
              <w:rPr>
                <w:sz w:val="18"/>
                <w:szCs w:val="18"/>
                <w:lang w:val="en-GB"/>
              </w:rPr>
              <w:t>(100%)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2F838B" w14:textId="77777777" w:rsidR="007F3B80" w:rsidRPr="0072198E" w:rsidRDefault="007F3B80" w:rsidP="00DF4634">
            <w:pPr>
              <w:rPr>
                <w:sz w:val="18"/>
                <w:szCs w:val="18"/>
                <w:lang w:val="en-GB"/>
              </w:rPr>
            </w:pP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D65ECF" w14:textId="77777777" w:rsidR="007F3B80" w:rsidRPr="0072198E" w:rsidRDefault="007F3B80" w:rsidP="00DF4634">
            <w:pPr>
              <w:rPr>
                <w:rFonts w:eastAsia="Times New Roman"/>
                <w:sz w:val="18"/>
                <w:szCs w:val="18"/>
              </w:rPr>
            </w:pP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0019F2" w14:textId="77777777" w:rsidR="007F3B80" w:rsidRPr="0072198E" w:rsidRDefault="007F3B80" w:rsidP="00DF4634">
            <w:pPr>
              <w:rPr>
                <w:rFonts w:eastAsia="Times New Roman"/>
                <w:sz w:val="18"/>
                <w:szCs w:val="18"/>
              </w:rPr>
            </w:pPr>
          </w:p>
        </w:tc>
      </w:tr>
      <w:tr w:rsidR="007F3B80" w:rsidRPr="0072198E" w14:paraId="07E91798" w14:textId="77777777" w:rsidTr="007F3B80">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C44B38" w14:textId="77777777" w:rsidR="007F3B80" w:rsidRPr="0072198E" w:rsidRDefault="007F3B80" w:rsidP="00DF4634">
            <w:pPr>
              <w:pStyle w:val="NormalWeb"/>
              <w:jc w:val="left"/>
              <w:rPr>
                <w:sz w:val="18"/>
                <w:szCs w:val="18"/>
                <w:lang w:val="en-GB"/>
              </w:rPr>
            </w:pPr>
            <w:r w:rsidRPr="0072198E">
              <w:rPr>
                <w:sz w:val="18"/>
                <w:szCs w:val="18"/>
                <w:lang w:val="en-GB"/>
              </w:rPr>
              <w:t>Diarrhoea</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868D5F" w14:textId="77777777" w:rsidR="007F3B80" w:rsidRPr="0072198E" w:rsidRDefault="007F3B80" w:rsidP="00DF4634">
            <w:pPr>
              <w:pStyle w:val="NormalWeb"/>
              <w:rPr>
                <w:sz w:val="18"/>
                <w:szCs w:val="18"/>
                <w:lang w:val="en-GB"/>
              </w:rPr>
            </w:pPr>
            <w:r w:rsidRPr="0072198E">
              <w:rPr>
                <w:sz w:val="18"/>
                <w:szCs w:val="18"/>
                <w:lang w:val="en-GB"/>
              </w:rPr>
              <w:t>26</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EA40D0" w14:textId="77777777" w:rsidR="007F3B80" w:rsidRPr="0072198E" w:rsidRDefault="007F3B80" w:rsidP="00DF4634">
            <w:pPr>
              <w:pStyle w:val="NormalWeb"/>
              <w:rPr>
                <w:sz w:val="18"/>
                <w:szCs w:val="18"/>
                <w:lang w:val="en-GB"/>
              </w:rPr>
            </w:pPr>
            <w:r w:rsidRPr="0072198E">
              <w:rPr>
                <w:sz w:val="18"/>
                <w:szCs w:val="18"/>
                <w:lang w:val="en-GB"/>
              </w:rPr>
              <w:t>(90%)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C55A76" w14:textId="77777777" w:rsidR="007F3B80" w:rsidRPr="0072198E" w:rsidRDefault="007F3B80" w:rsidP="00DF4634">
            <w:pPr>
              <w:rPr>
                <w:sz w:val="18"/>
                <w:szCs w:val="18"/>
                <w:lang w:val="en-GB"/>
              </w:rPr>
            </w:pP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F2C0DC0" w14:textId="77777777" w:rsidR="007F3B80" w:rsidRPr="0072198E" w:rsidRDefault="007F3B80" w:rsidP="00DF4634">
            <w:pPr>
              <w:rPr>
                <w:rFonts w:eastAsia="Times New Roman"/>
                <w:sz w:val="18"/>
                <w:szCs w:val="18"/>
              </w:rPr>
            </w:pP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8185105" w14:textId="77777777" w:rsidR="007F3B80" w:rsidRPr="0072198E" w:rsidRDefault="007F3B80" w:rsidP="00DF4634">
            <w:pPr>
              <w:rPr>
                <w:rFonts w:eastAsia="Times New Roman"/>
                <w:sz w:val="18"/>
                <w:szCs w:val="18"/>
              </w:rPr>
            </w:pPr>
          </w:p>
        </w:tc>
      </w:tr>
      <w:tr w:rsidR="007F3B80" w:rsidRPr="0072198E" w14:paraId="68F239CE" w14:textId="77777777" w:rsidTr="007F3B80">
        <w:trPr>
          <w:cnfStyle w:val="000000010000" w:firstRow="0" w:lastRow="0" w:firstColumn="0" w:lastColumn="0" w:oddVBand="0" w:evenVBand="0" w:oddHBand="0" w:evenHBand="1" w:firstRowFirstColumn="0" w:firstRowLastColumn="0" w:lastRowFirstColumn="0" w:lastRowLastColumn="0"/>
        </w:trPr>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3ACF7A" w14:textId="77777777" w:rsidR="007F3B80" w:rsidRPr="0072198E" w:rsidRDefault="007F3B80" w:rsidP="00DF4634">
            <w:pPr>
              <w:pStyle w:val="NormalWeb"/>
              <w:jc w:val="left"/>
              <w:rPr>
                <w:sz w:val="18"/>
                <w:szCs w:val="18"/>
                <w:lang w:val="en-GB"/>
              </w:rPr>
            </w:pPr>
            <w:r w:rsidRPr="0072198E">
              <w:rPr>
                <w:sz w:val="18"/>
                <w:szCs w:val="18"/>
                <w:lang w:val="en-GB"/>
              </w:rPr>
              <w:t>Nausea</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F364A12" w14:textId="77777777" w:rsidR="007F3B80" w:rsidRPr="0072198E" w:rsidRDefault="007F3B80" w:rsidP="00DF4634">
            <w:pPr>
              <w:pStyle w:val="NormalWeb"/>
              <w:rPr>
                <w:sz w:val="18"/>
                <w:szCs w:val="18"/>
                <w:lang w:val="en-GB"/>
              </w:rPr>
            </w:pPr>
            <w:r w:rsidRPr="0072198E">
              <w:rPr>
                <w:sz w:val="18"/>
                <w:szCs w:val="18"/>
                <w:lang w:val="en-GB"/>
              </w:rPr>
              <w:t>25</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C46AB5" w14:textId="77777777" w:rsidR="007F3B80" w:rsidRPr="0072198E" w:rsidRDefault="007F3B80" w:rsidP="00DF4634">
            <w:pPr>
              <w:pStyle w:val="NormalWeb"/>
              <w:rPr>
                <w:sz w:val="18"/>
                <w:szCs w:val="18"/>
                <w:lang w:val="en-GB"/>
              </w:rPr>
            </w:pPr>
            <w:r w:rsidRPr="0072198E">
              <w:rPr>
                <w:sz w:val="18"/>
                <w:szCs w:val="18"/>
                <w:lang w:val="en-GB"/>
              </w:rPr>
              <w:t>(86%)</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3E7740" w14:textId="77777777" w:rsidR="007F3B80" w:rsidRPr="0072198E" w:rsidRDefault="007F3B80" w:rsidP="00DF4634">
            <w:pPr>
              <w:rPr>
                <w:sz w:val="18"/>
                <w:szCs w:val="18"/>
                <w:lang w:val="en-GB"/>
              </w:rPr>
            </w:pP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718F64" w14:textId="77777777" w:rsidR="007F3B80" w:rsidRPr="0072198E" w:rsidRDefault="007F3B80" w:rsidP="00DF4634">
            <w:pPr>
              <w:rPr>
                <w:rFonts w:eastAsia="Times New Roman"/>
                <w:sz w:val="18"/>
                <w:szCs w:val="18"/>
              </w:rPr>
            </w:pP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96D18F" w14:textId="77777777" w:rsidR="007F3B80" w:rsidRPr="0072198E" w:rsidRDefault="007F3B80" w:rsidP="00DF4634">
            <w:pPr>
              <w:rPr>
                <w:rFonts w:eastAsia="Times New Roman"/>
                <w:sz w:val="18"/>
                <w:szCs w:val="18"/>
              </w:rPr>
            </w:pPr>
          </w:p>
        </w:tc>
      </w:tr>
      <w:tr w:rsidR="007F3B80" w:rsidRPr="0072198E" w14:paraId="74C2CD7A" w14:textId="77777777" w:rsidTr="007F3B80">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FA09264" w14:textId="77777777" w:rsidR="007F3B80" w:rsidRPr="0072198E" w:rsidRDefault="007F3B80" w:rsidP="00DF4634">
            <w:pPr>
              <w:pStyle w:val="NormalWeb"/>
              <w:jc w:val="left"/>
              <w:rPr>
                <w:sz w:val="18"/>
                <w:szCs w:val="18"/>
                <w:lang w:val="en-GB"/>
              </w:rPr>
            </w:pPr>
            <w:r w:rsidRPr="0072198E">
              <w:rPr>
                <w:sz w:val="18"/>
                <w:szCs w:val="18"/>
                <w:lang w:val="en-GB"/>
              </w:rPr>
              <w:t>Headache</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1CD826" w14:textId="77777777" w:rsidR="007F3B80" w:rsidRPr="0072198E" w:rsidRDefault="007F3B80" w:rsidP="00DF4634">
            <w:pPr>
              <w:pStyle w:val="NormalWeb"/>
              <w:rPr>
                <w:sz w:val="18"/>
                <w:szCs w:val="18"/>
                <w:lang w:val="en-GB"/>
              </w:rPr>
            </w:pPr>
            <w:r w:rsidRPr="0072198E">
              <w:rPr>
                <w:sz w:val="18"/>
                <w:szCs w:val="18"/>
                <w:lang w:val="en-GB"/>
              </w:rPr>
              <w:t>23</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9D1121" w14:textId="77777777" w:rsidR="007F3B80" w:rsidRPr="0072198E" w:rsidRDefault="007F3B80" w:rsidP="00DF4634">
            <w:pPr>
              <w:pStyle w:val="NormalWeb"/>
              <w:rPr>
                <w:sz w:val="18"/>
                <w:szCs w:val="18"/>
                <w:lang w:val="en-GB"/>
              </w:rPr>
            </w:pPr>
            <w:r w:rsidRPr="0072198E">
              <w:rPr>
                <w:sz w:val="18"/>
                <w:szCs w:val="18"/>
                <w:lang w:val="en-GB"/>
              </w:rPr>
              <w:t>(79%)</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A70B55" w14:textId="77777777" w:rsidR="007F3B80" w:rsidRPr="0072198E" w:rsidRDefault="007F3B80" w:rsidP="00DF4634">
            <w:pPr>
              <w:rPr>
                <w:sz w:val="18"/>
                <w:szCs w:val="18"/>
                <w:lang w:val="en-GB"/>
              </w:rPr>
            </w:pP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26AAEE6" w14:textId="77777777" w:rsidR="007F3B80" w:rsidRPr="0072198E" w:rsidRDefault="007F3B80" w:rsidP="00DF4634">
            <w:pPr>
              <w:rPr>
                <w:rFonts w:eastAsia="Times New Roman"/>
                <w:sz w:val="18"/>
                <w:szCs w:val="18"/>
              </w:rPr>
            </w:pP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C45A23" w14:textId="77777777" w:rsidR="007F3B80" w:rsidRPr="0072198E" w:rsidRDefault="007F3B80" w:rsidP="00DF4634">
            <w:pPr>
              <w:rPr>
                <w:rFonts w:eastAsia="Times New Roman"/>
                <w:sz w:val="18"/>
                <w:szCs w:val="18"/>
              </w:rPr>
            </w:pPr>
          </w:p>
        </w:tc>
      </w:tr>
      <w:tr w:rsidR="007F3B80" w:rsidRPr="0072198E" w14:paraId="1F533BD8" w14:textId="77777777" w:rsidTr="007F3B80">
        <w:trPr>
          <w:cnfStyle w:val="000000010000" w:firstRow="0" w:lastRow="0" w:firstColumn="0" w:lastColumn="0" w:oddVBand="0" w:evenVBand="0" w:oddHBand="0" w:evenHBand="1" w:firstRowFirstColumn="0" w:firstRowLastColumn="0" w:lastRowFirstColumn="0" w:lastRowLastColumn="0"/>
        </w:trPr>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51AD37" w14:textId="77777777" w:rsidR="007F3B80" w:rsidRPr="0072198E" w:rsidRDefault="007F3B80" w:rsidP="00DF4634">
            <w:pPr>
              <w:pStyle w:val="NormalWeb"/>
              <w:jc w:val="left"/>
              <w:rPr>
                <w:sz w:val="18"/>
                <w:szCs w:val="18"/>
                <w:lang w:val="en-GB"/>
              </w:rPr>
            </w:pPr>
            <w:r w:rsidRPr="0072198E">
              <w:rPr>
                <w:sz w:val="18"/>
                <w:szCs w:val="18"/>
                <w:lang w:val="en-GB"/>
              </w:rPr>
              <w:t>Fever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6F0667" w14:textId="77777777" w:rsidR="007F3B80" w:rsidRPr="0072198E" w:rsidRDefault="007F3B80" w:rsidP="00DF4634">
            <w:pPr>
              <w:pStyle w:val="NormalWeb"/>
              <w:rPr>
                <w:sz w:val="18"/>
                <w:szCs w:val="18"/>
                <w:lang w:val="en-GB"/>
              </w:rPr>
            </w:pPr>
            <w:r w:rsidRPr="0072198E">
              <w:rPr>
                <w:sz w:val="18"/>
                <w:szCs w:val="18"/>
                <w:lang w:val="en-GB"/>
              </w:rPr>
              <w:t>18</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5554CB" w14:textId="77777777" w:rsidR="007F3B80" w:rsidRPr="0072198E" w:rsidRDefault="007F3B80" w:rsidP="00DF4634">
            <w:pPr>
              <w:pStyle w:val="NormalWeb"/>
              <w:rPr>
                <w:sz w:val="18"/>
                <w:szCs w:val="18"/>
                <w:lang w:val="en-GB"/>
              </w:rPr>
            </w:pPr>
            <w:r w:rsidRPr="0072198E">
              <w:rPr>
                <w:sz w:val="18"/>
                <w:szCs w:val="18"/>
                <w:lang w:val="en-GB"/>
              </w:rPr>
              <w:t>(62%)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A2AC24" w14:textId="77777777" w:rsidR="007F3B80" w:rsidRPr="0072198E" w:rsidRDefault="007F3B80" w:rsidP="00DF4634">
            <w:pPr>
              <w:rPr>
                <w:sz w:val="18"/>
                <w:szCs w:val="18"/>
                <w:lang w:val="en-GB"/>
              </w:rPr>
            </w:pP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B2A3FE" w14:textId="77777777" w:rsidR="007F3B80" w:rsidRPr="0072198E" w:rsidRDefault="007F3B80" w:rsidP="00DF4634">
            <w:pPr>
              <w:rPr>
                <w:rFonts w:eastAsia="Times New Roman"/>
                <w:sz w:val="18"/>
                <w:szCs w:val="18"/>
              </w:rPr>
            </w:pP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4A029E" w14:textId="77777777" w:rsidR="007F3B80" w:rsidRPr="0072198E" w:rsidRDefault="007F3B80" w:rsidP="00DF4634">
            <w:pPr>
              <w:rPr>
                <w:rFonts w:eastAsia="Times New Roman"/>
                <w:sz w:val="18"/>
                <w:szCs w:val="18"/>
              </w:rPr>
            </w:pPr>
          </w:p>
        </w:tc>
      </w:tr>
      <w:tr w:rsidR="007F3B80" w:rsidRPr="0072198E" w14:paraId="63FDB805" w14:textId="77777777" w:rsidTr="007F3B80">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2B9C24" w14:textId="77777777" w:rsidR="007F3B80" w:rsidRPr="0072198E" w:rsidRDefault="007F3B80" w:rsidP="00DF4634">
            <w:pPr>
              <w:pStyle w:val="NormalWeb"/>
              <w:jc w:val="left"/>
              <w:rPr>
                <w:sz w:val="18"/>
                <w:szCs w:val="18"/>
                <w:lang w:val="en-GB"/>
              </w:rPr>
            </w:pPr>
            <w:r w:rsidRPr="0072198E">
              <w:rPr>
                <w:sz w:val="18"/>
                <w:szCs w:val="18"/>
                <w:lang w:val="en-GB"/>
              </w:rPr>
              <w:t>Vomiting</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1206A4" w14:textId="77777777" w:rsidR="007F3B80" w:rsidRPr="0072198E" w:rsidRDefault="007F3B80" w:rsidP="00DF4634">
            <w:pPr>
              <w:pStyle w:val="NormalWeb"/>
              <w:rPr>
                <w:sz w:val="18"/>
                <w:szCs w:val="18"/>
                <w:lang w:val="en-GB"/>
              </w:rPr>
            </w:pPr>
            <w:r w:rsidRPr="0072198E">
              <w:rPr>
                <w:sz w:val="18"/>
                <w:szCs w:val="18"/>
                <w:lang w:val="en-GB"/>
              </w:rPr>
              <w:t>13</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1959B32" w14:textId="77777777" w:rsidR="007F3B80" w:rsidRPr="0072198E" w:rsidRDefault="007F3B80" w:rsidP="00DF4634">
            <w:pPr>
              <w:pStyle w:val="NormalWeb"/>
              <w:rPr>
                <w:sz w:val="18"/>
                <w:szCs w:val="18"/>
                <w:lang w:val="en-GB"/>
              </w:rPr>
            </w:pPr>
            <w:r w:rsidRPr="0072198E">
              <w:rPr>
                <w:sz w:val="18"/>
                <w:szCs w:val="18"/>
                <w:lang w:val="en-GB"/>
              </w:rPr>
              <w:t>(45%)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6F89EE" w14:textId="77777777" w:rsidR="007F3B80" w:rsidRPr="0072198E" w:rsidRDefault="007F3B80" w:rsidP="00DF4634">
            <w:pPr>
              <w:rPr>
                <w:sz w:val="18"/>
                <w:szCs w:val="18"/>
                <w:lang w:val="en-GB"/>
              </w:rPr>
            </w:pP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90B5536" w14:textId="77777777" w:rsidR="007F3B80" w:rsidRPr="0072198E" w:rsidRDefault="007F3B80" w:rsidP="00DF4634">
            <w:pPr>
              <w:rPr>
                <w:rFonts w:eastAsia="Times New Roman"/>
                <w:sz w:val="18"/>
                <w:szCs w:val="18"/>
              </w:rPr>
            </w:pP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D0EC15" w14:textId="77777777" w:rsidR="007F3B80" w:rsidRPr="0072198E" w:rsidRDefault="007F3B80" w:rsidP="00DF4634">
            <w:pPr>
              <w:rPr>
                <w:rFonts w:eastAsia="Times New Roman"/>
                <w:sz w:val="18"/>
                <w:szCs w:val="18"/>
              </w:rPr>
            </w:pPr>
          </w:p>
        </w:tc>
      </w:tr>
      <w:tr w:rsidR="007F3B80" w:rsidRPr="0072198E" w14:paraId="51C983C9" w14:textId="77777777" w:rsidTr="007F3B80">
        <w:trPr>
          <w:cnfStyle w:val="000000010000" w:firstRow="0" w:lastRow="0" w:firstColumn="0" w:lastColumn="0" w:oddVBand="0" w:evenVBand="0" w:oddHBand="0" w:evenHBand="1" w:firstRowFirstColumn="0" w:firstRowLastColumn="0" w:lastRowFirstColumn="0" w:lastRowLastColumn="0"/>
        </w:trPr>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898238" w14:textId="77777777" w:rsidR="007F3B80" w:rsidRPr="0072198E" w:rsidRDefault="007F3B80" w:rsidP="00DF4634">
            <w:pPr>
              <w:pStyle w:val="NormalWeb"/>
              <w:jc w:val="left"/>
              <w:rPr>
                <w:sz w:val="18"/>
                <w:szCs w:val="18"/>
                <w:lang w:val="en-GB"/>
              </w:rPr>
            </w:pPr>
            <w:r w:rsidRPr="0072198E">
              <w:rPr>
                <w:sz w:val="18"/>
                <w:szCs w:val="18"/>
                <w:lang w:val="en-GB"/>
              </w:rPr>
              <w:t>Bloody diarrhoea</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554F20" w14:textId="77777777" w:rsidR="007F3B80" w:rsidRPr="0072198E" w:rsidRDefault="007F3B80" w:rsidP="00DF4634">
            <w:pPr>
              <w:pStyle w:val="NormalWeb"/>
              <w:rPr>
                <w:sz w:val="18"/>
                <w:szCs w:val="18"/>
                <w:lang w:val="en-GB"/>
              </w:rPr>
            </w:pPr>
            <w:r w:rsidRPr="0072198E">
              <w:rPr>
                <w:sz w:val="18"/>
                <w:szCs w:val="18"/>
                <w:lang w:val="en-GB"/>
              </w:rPr>
              <w:t>6</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C93B9F" w14:textId="77777777" w:rsidR="007F3B80" w:rsidRPr="0072198E" w:rsidRDefault="007F3B80" w:rsidP="00DF4634">
            <w:pPr>
              <w:pStyle w:val="NormalWeb"/>
              <w:rPr>
                <w:sz w:val="18"/>
                <w:szCs w:val="18"/>
                <w:lang w:val="en-GB"/>
              </w:rPr>
            </w:pPr>
            <w:r w:rsidRPr="0072198E">
              <w:rPr>
                <w:sz w:val="18"/>
                <w:szCs w:val="18"/>
                <w:lang w:val="en-GB"/>
              </w:rPr>
              <w:t>(23%)</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00F0B2" w14:textId="77777777" w:rsidR="007F3B80" w:rsidRPr="0072198E" w:rsidRDefault="007F3B80" w:rsidP="00DF4634">
            <w:pPr>
              <w:rPr>
                <w:sz w:val="18"/>
                <w:szCs w:val="18"/>
                <w:lang w:val="en-GB"/>
              </w:rPr>
            </w:pP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1E9D67" w14:textId="77777777" w:rsidR="007F3B80" w:rsidRPr="0072198E" w:rsidRDefault="007F3B80" w:rsidP="00DF4634">
            <w:pPr>
              <w:rPr>
                <w:rFonts w:eastAsia="Times New Roman"/>
                <w:sz w:val="18"/>
                <w:szCs w:val="18"/>
              </w:rPr>
            </w:pP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F894FDB" w14:textId="77777777" w:rsidR="007F3B80" w:rsidRPr="0072198E" w:rsidRDefault="007F3B80" w:rsidP="00DF4634">
            <w:pPr>
              <w:rPr>
                <w:rFonts w:eastAsia="Times New Roman"/>
                <w:sz w:val="18"/>
                <w:szCs w:val="18"/>
              </w:rPr>
            </w:pPr>
          </w:p>
        </w:tc>
      </w:tr>
      <w:tr w:rsidR="007F3B80" w:rsidRPr="0072198E" w14:paraId="0250D696" w14:textId="77777777" w:rsidTr="007F3B80">
        <w:tc>
          <w:tcPr>
            <w:tcW w:w="53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AD1A058" w14:textId="77777777" w:rsidR="007F3B80" w:rsidRPr="0072198E" w:rsidRDefault="007F3B80" w:rsidP="00DF4634">
            <w:pPr>
              <w:pStyle w:val="NormalWeb"/>
              <w:jc w:val="left"/>
              <w:rPr>
                <w:sz w:val="18"/>
                <w:szCs w:val="18"/>
                <w:lang w:val="en-GB"/>
              </w:rPr>
            </w:pPr>
            <w:r w:rsidRPr="0072198E">
              <w:rPr>
                <w:sz w:val="18"/>
                <w:szCs w:val="18"/>
                <w:lang w:val="en-GB"/>
              </w:rPr>
              <w:t>Secondary complications</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012025" w14:textId="77777777" w:rsidR="007F3B80" w:rsidRPr="0072198E" w:rsidRDefault="007F3B80" w:rsidP="00DF4634">
            <w:pPr>
              <w:pStyle w:val="NormalWeb"/>
              <w:rPr>
                <w:sz w:val="18"/>
                <w:szCs w:val="18"/>
                <w:lang w:val="en-GB"/>
              </w:rPr>
            </w:pPr>
            <w:r w:rsidRPr="0072198E">
              <w:rPr>
                <w:sz w:val="18"/>
                <w:szCs w:val="18"/>
                <w:lang w:val="en-GB"/>
              </w:rPr>
              <w:t>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3AEC8E" w14:textId="77777777" w:rsidR="007F3B80" w:rsidRPr="0072198E" w:rsidRDefault="007F3B80" w:rsidP="00DF4634">
            <w:pPr>
              <w:pStyle w:val="NormalWeb"/>
              <w:rPr>
                <w:sz w:val="18"/>
                <w:szCs w:val="18"/>
                <w:lang w:val="en-GB"/>
              </w:rPr>
            </w:pPr>
            <w:r w:rsidRPr="0072198E">
              <w:rPr>
                <w:sz w:val="18"/>
                <w:szCs w:val="18"/>
                <w:lang w:val="en-GB"/>
              </w:rPr>
              <w:t>(7%)</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91D781" w14:textId="77777777" w:rsidR="007F3B80" w:rsidRPr="0072198E" w:rsidRDefault="007F3B80" w:rsidP="00DF4634">
            <w:pPr>
              <w:rPr>
                <w:sz w:val="18"/>
                <w:szCs w:val="18"/>
                <w:lang w:val="en-GB"/>
              </w:rPr>
            </w:pP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055A7D" w14:textId="77777777" w:rsidR="007F3B80" w:rsidRPr="0072198E" w:rsidRDefault="007F3B80" w:rsidP="00DF4634">
            <w:pPr>
              <w:rPr>
                <w:rFonts w:eastAsia="Times New Roman"/>
                <w:sz w:val="18"/>
                <w:szCs w:val="18"/>
              </w:rPr>
            </w:pP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6D332C" w14:textId="77777777" w:rsidR="007F3B80" w:rsidRPr="0072198E" w:rsidRDefault="007F3B80" w:rsidP="00DF4634">
            <w:pPr>
              <w:rPr>
                <w:rFonts w:eastAsia="Times New Roman"/>
                <w:sz w:val="18"/>
                <w:szCs w:val="18"/>
              </w:rPr>
            </w:pPr>
          </w:p>
        </w:tc>
      </w:tr>
    </w:tbl>
    <w:p w14:paraId="7244E36C" w14:textId="77777777" w:rsidR="007F3B80" w:rsidRDefault="007F3B80" w:rsidP="007F3B80">
      <w:pPr>
        <w:pStyle w:val="CDIfootnotes"/>
        <w:rPr>
          <w:sz w:val="24"/>
          <w:szCs w:val="24"/>
          <w:lang w:val="en-GB"/>
        </w:rPr>
      </w:pPr>
      <w:r>
        <w:rPr>
          <w:lang w:val="en-GB"/>
        </w:rPr>
        <w:t xml:space="preserve">a </w:t>
      </w:r>
      <w:r>
        <w:rPr>
          <w:lang w:val="en-GB"/>
        </w:rPr>
        <w:tab/>
        <w:t>Two-sample Wilcoxon rank-sum (Mann-Whitney) test.</w:t>
      </w:r>
    </w:p>
    <w:p w14:paraId="57D5A983" w14:textId="77777777" w:rsidR="007F3B80" w:rsidRDefault="007F3B80" w:rsidP="007F3B80">
      <w:pPr>
        <w:pStyle w:val="CDIfootnotes"/>
        <w:rPr>
          <w:lang w:val="en-GB"/>
        </w:rPr>
      </w:pPr>
      <w:r>
        <w:rPr>
          <w:lang w:val="en-GB"/>
        </w:rPr>
        <w:t>b</w:t>
      </w:r>
      <w:r>
        <w:rPr>
          <w:lang w:val="en-GB"/>
        </w:rPr>
        <w:tab/>
        <w:t>Two controls had missing data.</w:t>
      </w:r>
    </w:p>
    <w:p w14:paraId="2869EE99" w14:textId="7CE2AB66" w:rsidR="007F3B80" w:rsidRPr="007F3B80" w:rsidRDefault="007F3B80" w:rsidP="007F3B80">
      <w:pPr>
        <w:pStyle w:val="CDIfootnotes"/>
        <w:rPr>
          <w:lang w:val="en-GB"/>
        </w:rPr>
      </w:pPr>
      <w:r>
        <w:rPr>
          <w:lang w:val="en-GB"/>
        </w:rPr>
        <w:t>c</w:t>
      </w:r>
      <w:r>
        <w:rPr>
          <w:lang w:val="en-GB"/>
        </w:rPr>
        <w:tab/>
        <w:t>χ</w:t>
      </w:r>
      <w:r w:rsidRPr="000B4841">
        <w:rPr>
          <w:vertAlign w:val="superscript"/>
          <w:lang w:val="en-GB"/>
        </w:rPr>
        <w:t>2</w:t>
      </w:r>
      <w:r>
        <w:rPr>
          <w:lang w:val="en-GB"/>
        </w:rPr>
        <w:t xml:space="preserve"> test.</w:t>
      </w:r>
    </w:p>
    <w:p w14:paraId="23556E63" w14:textId="05A74C9F" w:rsidR="00DC6C3F" w:rsidRDefault="00DC6C3F" w:rsidP="00F6361D">
      <w:r>
        <w:t xml:space="preserve">To adjust for potential confounding of cases consuming both duck canapé and wagyu beef, stratification was performed (Table 3); the aOR for beef remained elevated, but was no longer significantly associated with illness when adjusted for eating duck (aOR: 2.25; </w:t>
      </w:r>
      <w:r w:rsidRPr="00F6361D">
        <w:rPr>
          <w:rStyle w:val="Emphasis"/>
          <w:b w:val="0"/>
          <w:bCs w:val="0"/>
        </w:rPr>
        <w:t>p</w:t>
      </w:r>
      <w:r>
        <w:t xml:space="preserve"> = 0.129). The duck canapé remained significantly associated with illness independent of the beef (aOR: 2.85; </w:t>
      </w:r>
      <w:r w:rsidRPr="00F6361D">
        <w:rPr>
          <w:rStyle w:val="Emphasis"/>
          <w:b w:val="0"/>
          <w:bCs w:val="0"/>
        </w:rPr>
        <w:t>p</w:t>
      </w:r>
      <w:r>
        <w:t xml:space="preserve"> = 0.043). When stratification was performed to control for age (Table 3), there was significant evidence of effect modification (</w:t>
      </w:r>
      <w:r w:rsidRPr="00F6361D">
        <w:rPr>
          <w:rStyle w:val="Emphasis"/>
          <w:b w:val="0"/>
          <w:bCs w:val="0"/>
        </w:rPr>
        <w:t>p</w:t>
      </w:r>
      <w:r>
        <w:t xml:space="preserve"> = 0.029), with cases aged 10–29 years 13.2 times more likely to have eaten duck canapé than controls in the same age group, while there was no association seen in cases aged ≥</w:t>
      </w:r>
      <w:r w:rsidR="00E84AE4">
        <w:t> </w:t>
      </w:r>
      <w:r>
        <w:t>30</w:t>
      </w:r>
      <w:r w:rsidR="005B385B">
        <w:t> </w:t>
      </w:r>
      <w:r>
        <w:t xml:space="preserve">years. </w:t>
      </w:r>
    </w:p>
    <w:p w14:paraId="1F7891F3" w14:textId="6443C0C6" w:rsidR="00DC6C3F" w:rsidRDefault="00DC6C3F" w:rsidP="00F6361D">
      <w:r>
        <w:lastRenderedPageBreak/>
        <w:t xml:space="preserve">There was, however, some loss in the strength of association between consumption of the duck canapé and illness when adjusted for sex (Table 4). Despite the loss in significance, duck canapé still had a stronger association with illness (aOR: 2.62; </w:t>
      </w:r>
      <w:r w:rsidRPr="00F6361D">
        <w:rPr>
          <w:rStyle w:val="Emphasis"/>
          <w:b w:val="0"/>
          <w:bCs w:val="0"/>
        </w:rPr>
        <w:t>p</w:t>
      </w:r>
      <w:r>
        <w:t xml:space="preserve"> = 0.069) than with sex (aOR: 2.13; </w:t>
      </w:r>
      <w:r w:rsidRPr="00F6361D">
        <w:rPr>
          <w:rStyle w:val="Emphasis"/>
          <w:b w:val="0"/>
          <w:bCs w:val="0"/>
        </w:rPr>
        <w:t>p</w:t>
      </w:r>
      <w:r>
        <w:t xml:space="preserve"> = 0.146). </w:t>
      </w:r>
    </w:p>
    <w:p w14:paraId="474C683D" w14:textId="77777777" w:rsidR="00550663" w:rsidRDefault="00550663" w:rsidP="00550663">
      <w:pPr>
        <w:pStyle w:val="NormalWeb"/>
        <w:rPr>
          <w:lang w:val="en-GB"/>
        </w:rPr>
      </w:pPr>
      <w:r>
        <w:rPr>
          <w:rStyle w:val="Strong"/>
          <w:lang w:val="en-GB"/>
        </w:rPr>
        <w:t>Table 2: Univariate analysis of food exposures,</w:t>
      </w:r>
      <w:r w:rsidRPr="00B97937">
        <w:rPr>
          <w:rStyle w:val="Strong"/>
          <w:vertAlign w:val="superscript"/>
          <w:lang w:val="en-GB"/>
        </w:rPr>
        <w:t>a</w:t>
      </w:r>
      <w:r>
        <w:rPr>
          <w:rStyle w:val="Strong"/>
          <w:lang w:val="en-GB"/>
        </w:rPr>
        <w:t xml:space="preserve"> Victoria, February 2022 (n = 83)</w:t>
      </w:r>
      <w:r>
        <w:rPr>
          <w:lang w:val="en-GB"/>
        </w:rPr>
        <w:t xml:space="preserve"> </w:t>
      </w:r>
    </w:p>
    <w:tbl>
      <w:tblPr>
        <w:tblStyle w:val="CDI-StandardTable"/>
        <w:tblW w:w="0" w:type="auto"/>
        <w:tblLook w:val="04A0" w:firstRow="1" w:lastRow="0" w:firstColumn="1" w:lastColumn="0" w:noHBand="0" w:noVBand="1"/>
        <w:tblDescription w:val="Table 2 outlines the results of the univariate analysis of food and environmental exposures with an odds ratio greater than 1, including the number and proportion of cases and controls that were exposed, the crude odds ratio, 95% CI and p value.&#10;"/>
      </w:tblPr>
      <w:tblGrid>
        <w:gridCol w:w="2268"/>
        <w:gridCol w:w="709"/>
        <w:gridCol w:w="851"/>
        <w:gridCol w:w="850"/>
        <w:gridCol w:w="851"/>
        <w:gridCol w:w="992"/>
        <w:gridCol w:w="850"/>
        <w:gridCol w:w="851"/>
        <w:gridCol w:w="1134"/>
        <w:gridCol w:w="1084"/>
      </w:tblGrid>
      <w:tr w:rsidR="00550663" w:rsidRPr="00B97937" w14:paraId="7CD1E87B" w14:textId="77777777" w:rsidTr="00550663">
        <w:trPr>
          <w:cnfStyle w:val="100000000000" w:firstRow="1" w:lastRow="0" w:firstColumn="0" w:lastColumn="0" w:oddVBand="0" w:evenVBand="0" w:oddHBand="0" w:evenHBand="0" w:firstRowFirstColumn="0" w:firstRowLastColumn="0" w:lastRowFirstColumn="0" w:lastRowLastColumn="0"/>
          <w:tblHeader/>
        </w:trPr>
        <w:tc>
          <w:tcPr>
            <w:tcW w:w="2268" w:type="dxa"/>
            <w:hideMark/>
          </w:tcPr>
          <w:p w14:paraId="5947C58C" w14:textId="77777777" w:rsidR="00550663" w:rsidRPr="00B97937" w:rsidRDefault="00550663" w:rsidP="00DF4634">
            <w:pPr>
              <w:rPr>
                <w:sz w:val="18"/>
                <w:szCs w:val="18"/>
                <w:lang w:val="en-GB"/>
              </w:rPr>
            </w:pPr>
          </w:p>
        </w:tc>
        <w:tc>
          <w:tcPr>
            <w:tcW w:w="2410" w:type="dxa"/>
            <w:gridSpan w:val="3"/>
            <w:hideMark/>
          </w:tcPr>
          <w:p w14:paraId="31728073" w14:textId="77777777" w:rsidR="00550663" w:rsidRPr="00B97937" w:rsidRDefault="00550663" w:rsidP="00DF4634">
            <w:pPr>
              <w:pStyle w:val="NormalWeb"/>
              <w:rPr>
                <w:sz w:val="18"/>
                <w:szCs w:val="18"/>
                <w:lang w:val="en-GB"/>
              </w:rPr>
            </w:pPr>
            <w:r w:rsidRPr="00B97937">
              <w:rPr>
                <w:sz w:val="18"/>
                <w:szCs w:val="18"/>
                <w:lang w:val="en-GB"/>
              </w:rPr>
              <w:t>Cases</w:t>
            </w:r>
          </w:p>
        </w:tc>
        <w:tc>
          <w:tcPr>
            <w:tcW w:w="2693" w:type="dxa"/>
            <w:gridSpan w:val="3"/>
            <w:hideMark/>
          </w:tcPr>
          <w:p w14:paraId="10B68788" w14:textId="77777777" w:rsidR="00550663" w:rsidRPr="00B97937" w:rsidRDefault="00550663" w:rsidP="00DF4634">
            <w:pPr>
              <w:pStyle w:val="NormalWeb"/>
              <w:rPr>
                <w:sz w:val="18"/>
                <w:szCs w:val="18"/>
                <w:lang w:val="en-GB"/>
              </w:rPr>
            </w:pPr>
            <w:r w:rsidRPr="00B97937">
              <w:rPr>
                <w:sz w:val="18"/>
                <w:szCs w:val="18"/>
                <w:lang w:val="en-GB"/>
              </w:rPr>
              <w:t>Controls</w:t>
            </w:r>
          </w:p>
        </w:tc>
        <w:tc>
          <w:tcPr>
            <w:tcW w:w="3069" w:type="dxa"/>
            <w:gridSpan w:val="3"/>
            <w:hideMark/>
          </w:tcPr>
          <w:p w14:paraId="457A3862" w14:textId="77777777" w:rsidR="00550663" w:rsidRPr="00B97937" w:rsidRDefault="00550663" w:rsidP="00DF4634">
            <w:pPr>
              <w:rPr>
                <w:sz w:val="18"/>
                <w:szCs w:val="18"/>
                <w:lang w:val="en-GB"/>
              </w:rPr>
            </w:pPr>
          </w:p>
        </w:tc>
      </w:tr>
      <w:tr w:rsidR="00550663" w:rsidRPr="00B97937" w14:paraId="5F621781" w14:textId="77777777" w:rsidTr="00550663">
        <w:trPr>
          <w:cnfStyle w:val="100000000000" w:firstRow="1" w:lastRow="0" w:firstColumn="0" w:lastColumn="0" w:oddVBand="0" w:evenVBand="0" w:oddHBand="0" w:evenHBand="0" w:firstRowFirstColumn="0" w:firstRowLastColumn="0" w:lastRowFirstColumn="0" w:lastRowLastColumn="0"/>
          <w:tblHeader/>
        </w:trPr>
        <w:tc>
          <w:tcPr>
            <w:tcW w:w="2268" w:type="dxa"/>
            <w:hideMark/>
          </w:tcPr>
          <w:p w14:paraId="1BD0B192" w14:textId="77777777" w:rsidR="00550663" w:rsidRPr="00B97937" w:rsidRDefault="00550663" w:rsidP="00DF4634">
            <w:pPr>
              <w:pStyle w:val="NormalWeb"/>
              <w:jc w:val="left"/>
              <w:rPr>
                <w:sz w:val="18"/>
                <w:szCs w:val="18"/>
                <w:lang w:val="en-GB"/>
              </w:rPr>
            </w:pPr>
            <w:r w:rsidRPr="00B97937">
              <w:rPr>
                <w:sz w:val="18"/>
                <w:szCs w:val="18"/>
                <w:lang w:val="en-GB"/>
              </w:rPr>
              <w:t>Exposure</w:t>
            </w:r>
          </w:p>
        </w:tc>
        <w:tc>
          <w:tcPr>
            <w:tcW w:w="709" w:type="dxa"/>
            <w:hideMark/>
          </w:tcPr>
          <w:p w14:paraId="3038DD52" w14:textId="77777777" w:rsidR="00550663" w:rsidRPr="00B97937" w:rsidRDefault="00550663" w:rsidP="00DF4634">
            <w:pPr>
              <w:pStyle w:val="NormalWeb"/>
              <w:rPr>
                <w:sz w:val="18"/>
                <w:szCs w:val="18"/>
                <w:lang w:val="en-GB"/>
              </w:rPr>
            </w:pPr>
            <w:r w:rsidRPr="00B97937">
              <w:rPr>
                <w:sz w:val="18"/>
                <w:szCs w:val="18"/>
                <w:lang w:val="en-GB"/>
              </w:rPr>
              <w:t>Total</w:t>
            </w:r>
          </w:p>
        </w:tc>
        <w:tc>
          <w:tcPr>
            <w:tcW w:w="851" w:type="dxa"/>
            <w:hideMark/>
          </w:tcPr>
          <w:p w14:paraId="108F5DDF" w14:textId="77777777" w:rsidR="00550663" w:rsidRPr="00B97937" w:rsidRDefault="00550663" w:rsidP="00DF4634">
            <w:pPr>
              <w:pStyle w:val="NormalWeb"/>
              <w:rPr>
                <w:sz w:val="18"/>
                <w:szCs w:val="18"/>
                <w:lang w:val="en-GB"/>
              </w:rPr>
            </w:pPr>
            <w:r w:rsidRPr="00B97937">
              <w:rPr>
                <w:sz w:val="18"/>
                <w:szCs w:val="18"/>
                <w:lang w:val="en-GB"/>
              </w:rPr>
              <w:t>Exposed</w:t>
            </w:r>
          </w:p>
        </w:tc>
        <w:tc>
          <w:tcPr>
            <w:tcW w:w="850" w:type="dxa"/>
            <w:hideMark/>
          </w:tcPr>
          <w:p w14:paraId="6710E7A3" w14:textId="77777777" w:rsidR="00550663" w:rsidRPr="00B97937" w:rsidRDefault="00550663" w:rsidP="00DF4634">
            <w:pPr>
              <w:pStyle w:val="NormalWeb"/>
              <w:rPr>
                <w:sz w:val="18"/>
                <w:szCs w:val="18"/>
                <w:lang w:val="en-GB"/>
              </w:rPr>
            </w:pPr>
            <w:r w:rsidRPr="00B97937">
              <w:rPr>
                <w:sz w:val="18"/>
                <w:szCs w:val="18"/>
                <w:lang w:val="en-GB"/>
              </w:rPr>
              <w:t>%</w:t>
            </w:r>
          </w:p>
        </w:tc>
        <w:tc>
          <w:tcPr>
            <w:tcW w:w="851" w:type="dxa"/>
            <w:hideMark/>
          </w:tcPr>
          <w:p w14:paraId="0E9337D4" w14:textId="77777777" w:rsidR="00550663" w:rsidRPr="00B97937" w:rsidRDefault="00550663" w:rsidP="00DF4634">
            <w:pPr>
              <w:pStyle w:val="NormalWeb"/>
              <w:rPr>
                <w:sz w:val="18"/>
                <w:szCs w:val="18"/>
                <w:lang w:val="en-GB"/>
              </w:rPr>
            </w:pPr>
            <w:r w:rsidRPr="00B97937">
              <w:rPr>
                <w:sz w:val="18"/>
                <w:szCs w:val="18"/>
                <w:lang w:val="en-GB"/>
              </w:rPr>
              <w:t>Total</w:t>
            </w:r>
          </w:p>
        </w:tc>
        <w:tc>
          <w:tcPr>
            <w:tcW w:w="992" w:type="dxa"/>
            <w:hideMark/>
          </w:tcPr>
          <w:p w14:paraId="40D16ACD" w14:textId="77777777" w:rsidR="00550663" w:rsidRPr="00B97937" w:rsidRDefault="00550663" w:rsidP="00DF4634">
            <w:pPr>
              <w:pStyle w:val="NormalWeb"/>
              <w:rPr>
                <w:sz w:val="18"/>
                <w:szCs w:val="18"/>
                <w:lang w:val="en-GB"/>
              </w:rPr>
            </w:pPr>
            <w:r w:rsidRPr="00B97937">
              <w:rPr>
                <w:sz w:val="18"/>
                <w:szCs w:val="18"/>
                <w:lang w:val="en-GB"/>
              </w:rPr>
              <w:t>Exposed</w:t>
            </w:r>
          </w:p>
        </w:tc>
        <w:tc>
          <w:tcPr>
            <w:tcW w:w="850" w:type="dxa"/>
            <w:hideMark/>
          </w:tcPr>
          <w:p w14:paraId="3CFB0973" w14:textId="77777777" w:rsidR="00550663" w:rsidRPr="00B97937" w:rsidRDefault="00550663" w:rsidP="00DF4634">
            <w:pPr>
              <w:pStyle w:val="NormalWeb"/>
              <w:rPr>
                <w:sz w:val="18"/>
                <w:szCs w:val="18"/>
                <w:lang w:val="en-GB"/>
              </w:rPr>
            </w:pPr>
            <w:r w:rsidRPr="00B97937">
              <w:rPr>
                <w:sz w:val="18"/>
                <w:szCs w:val="18"/>
                <w:lang w:val="en-GB"/>
              </w:rPr>
              <w:t>%</w:t>
            </w:r>
          </w:p>
        </w:tc>
        <w:tc>
          <w:tcPr>
            <w:tcW w:w="851" w:type="dxa"/>
            <w:hideMark/>
          </w:tcPr>
          <w:p w14:paraId="05A6457E" w14:textId="77777777" w:rsidR="00550663" w:rsidRPr="00B97937" w:rsidRDefault="00550663" w:rsidP="00DF4634">
            <w:pPr>
              <w:pStyle w:val="NormalWeb"/>
              <w:rPr>
                <w:sz w:val="18"/>
                <w:szCs w:val="18"/>
                <w:lang w:val="en-GB"/>
              </w:rPr>
            </w:pPr>
            <w:r w:rsidRPr="00B97937">
              <w:rPr>
                <w:sz w:val="18"/>
                <w:szCs w:val="18"/>
                <w:lang w:val="en-GB"/>
              </w:rPr>
              <w:t>OR</w:t>
            </w:r>
            <w:r w:rsidRPr="00532341">
              <w:rPr>
                <w:sz w:val="18"/>
                <w:szCs w:val="18"/>
                <w:vertAlign w:val="superscript"/>
                <w:lang w:val="en-GB"/>
              </w:rPr>
              <w:t>b</w:t>
            </w:r>
          </w:p>
        </w:tc>
        <w:tc>
          <w:tcPr>
            <w:tcW w:w="1134" w:type="dxa"/>
            <w:hideMark/>
          </w:tcPr>
          <w:p w14:paraId="56C4958A" w14:textId="77777777" w:rsidR="00550663" w:rsidRPr="00B97937" w:rsidRDefault="00550663" w:rsidP="00DF4634">
            <w:pPr>
              <w:pStyle w:val="NormalWeb"/>
              <w:rPr>
                <w:sz w:val="18"/>
                <w:szCs w:val="18"/>
                <w:lang w:val="en-GB"/>
              </w:rPr>
            </w:pPr>
            <w:r w:rsidRPr="00B97937">
              <w:rPr>
                <w:sz w:val="18"/>
                <w:szCs w:val="18"/>
                <w:lang w:val="en-GB"/>
              </w:rPr>
              <w:t>95% CI</w:t>
            </w:r>
            <w:r w:rsidRPr="00532341">
              <w:rPr>
                <w:sz w:val="18"/>
                <w:szCs w:val="18"/>
                <w:vertAlign w:val="superscript"/>
                <w:lang w:val="en-GB"/>
              </w:rPr>
              <w:t>c</w:t>
            </w:r>
          </w:p>
        </w:tc>
        <w:tc>
          <w:tcPr>
            <w:tcW w:w="1084" w:type="dxa"/>
            <w:hideMark/>
          </w:tcPr>
          <w:p w14:paraId="4EA9B3C3" w14:textId="77777777" w:rsidR="00550663" w:rsidRPr="00B97937" w:rsidRDefault="00550663" w:rsidP="00DF4634">
            <w:pPr>
              <w:pStyle w:val="NormalWeb"/>
              <w:rPr>
                <w:sz w:val="18"/>
                <w:szCs w:val="18"/>
                <w:lang w:val="en-GB"/>
              </w:rPr>
            </w:pPr>
            <w:r w:rsidRPr="00532341">
              <w:rPr>
                <w:i/>
                <w:iCs/>
                <w:sz w:val="18"/>
                <w:szCs w:val="18"/>
                <w:lang w:val="en-GB"/>
              </w:rPr>
              <w:t>p</w:t>
            </w:r>
            <w:r w:rsidRPr="00B97937">
              <w:rPr>
                <w:sz w:val="18"/>
                <w:szCs w:val="18"/>
                <w:lang w:val="en-GB"/>
              </w:rPr>
              <w:t xml:space="preserve"> value</w:t>
            </w:r>
            <w:r w:rsidRPr="00EA6ADF">
              <w:rPr>
                <w:sz w:val="18"/>
                <w:szCs w:val="18"/>
                <w:vertAlign w:val="superscript"/>
                <w:lang w:val="en-GB"/>
              </w:rPr>
              <w:t>d</w:t>
            </w:r>
          </w:p>
        </w:tc>
      </w:tr>
      <w:tr w:rsidR="00550663" w:rsidRPr="00532341" w14:paraId="18DAFD2C" w14:textId="77777777" w:rsidTr="00550663">
        <w:tc>
          <w:tcPr>
            <w:tcW w:w="2268" w:type="dxa"/>
            <w:tcBorders>
              <w:left w:val="single" w:sz="2" w:space="0" w:color="808080" w:themeColor="background1" w:themeShade="80"/>
            </w:tcBorders>
            <w:shd w:val="clear" w:color="auto" w:fill="auto"/>
            <w:hideMark/>
          </w:tcPr>
          <w:p w14:paraId="512C9DA2" w14:textId="77777777" w:rsidR="00550663" w:rsidRPr="00532341" w:rsidRDefault="00550663" w:rsidP="00DF4634">
            <w:pPr>
              <w:pStyle w:val="NormalWeb"/>
              <w:jc w:val="left"/>
              <w:rPr>
                <w:b/>
                <w:bCs/>
                <w:sz w:val="18"/>
                <w:szCs w:val="18"/>
                <w:lang w:val="en-GB"/>
              </w:rPr>
            </w:pPr>
            <w:r w:rsidRPr="00532341">
              <w:rPr>
                <w:b/>
                <w:bCs/>
                <w:sz w:val="18"/>
                <w:szCs w:val="18"/>
                <w:lang w:val="en-GB"/>
              </w:rPr>
              <w:t>Canapé – any</w:t>
            </w:r>
          </w:p>
        </w:tc>
        <w:tc>
          <w:tcPr>
            <w:tcW w:w="709" w:type="dxa"/>
            <w:shd w:val="clear" w:color="auto" w:fill="auto"/>
            <w:hideMark/>
          </w:tcPr>
          <w:p w14:paraId="37A82DAA" w14:textId="77777777" w:rsidR="00550663" w:rsidRPr="00532341" w:rsidRDefault="00550663" w:rsidP="00DF4634">
            <w:pPr>
              <w:pStyle w:val="NormalWeb"/>
              <w:rPr>
                <w:b/>
                <w:bCs/>
                <w:sz w:val="18"/>
                <w:szCs w:val="18"/>
                <w:lang w:val="en-GB"/>
              </w:rPr>
            </w:pPr>
            <w:r w:rsidRPr="00532341">
              <w:rPr>
                <w:b/>
                <w:bCs/>
                <w:sz w:val="18"/>
                <w:szCs w:val="18"/>
                <w:lang w:val="en-GB"/>
              </w:rPr>
              <w:t>29</w:t>
            </w:r>
          </w:p>
        </w:tc>
        <w:tc>
          <w:tcPr>
            <w:tcW w:w="851" w:type="dxa"/>
            <w:shd w:val="clear" w:color="auto" w:fill="auto"/>
            <w:hideMark/>
          </w:tcPr>
          <w:p w14:paraId="49EC961E" w14:textId="77777777" w:rsidR="00550663" w:rsidRPr="00532341" w:rsidRDefault="00550663" w:rsidP="00DF4634">
            <w:pPr>
              <w:pStyle w:val="NormalWeb"/>
              <w:rPr>
                <w:b/>
                <w:bCs/>
                <w:sz w:val="18"/>
                <w:szCs w:val="18"/>
                <w:lang w:val="en-GB"/>
              </w:rPr>
            </w:pPr>
            <w:r w:rsidRPr="00532341">
              <w:rPr>
                <w:b/>
                <w:bCs/>
                <w:sz w:val="18"/>
                <w:szCs w:val="18"/>
                <w:lang w:val="en-GB"/>
              </w:rPr>
              <w:t>24</w:t>
            </w:r>
          </w:p>
        </w:tc>
        <w:tc>
          <w:tcPr>
            <w:tcW w:w="850" w:type="dxa"/>
            <w:shd w:val="clear" w:color="auto" w:fill="auto"/>
            <w:hideMark/>
          </w:tcPr>
          <w:p w14:paraId="1447E20E" w14:textId="77777777" w:rsidR="00550663" w:rsidRPr="00532341" w:rsidRDefault="00550663" w:rsidP="00DF4634">
            <w:pPr>
              <w:pStyle w:val="NormalWeb"/>
              <w:rPr>
                <w:b/>
                <w:bCs/>
                <w:sz w:val="18"/>
                <w:szCs w:val="18"/>
                <w:lang w:val="en-GB"/>
              </w:rPr>
            </w:pPr>
            <w:r w:rsidRPr="00532341">
              <w:rPr>
                <w:b/>
                <w:bCs/>
                <w:sz w:val="18"/>
                <w:szCs w:val="18"/>
                <w:lang w:val="en-GB"/>
              </w:rPr>
              <w:t>82.8</w:t>
            </w:r>
          </w:p>
        </w:tc>
        <w:tc>
          <w:tcPr>
            <w:tcW w:w="851" w:type="dxa"/>
            <w:shd w:val="clear" w:color="auto" w:fill="auto"/>
            <w:hideMark/>
          </w:tcPr>
          <w:p w14:paraId="24B7EECE" w14:textId="77777777" w:rsidR="00550663" w:rsidRPr="00532341" w:rsidRDefault="00550663" w:rsidP="00DF4634">
            <w:pPr>
              <w:pStyle w:val="NormalWeb"/>
              <w:rPr>
                <w:b/>
                <w:bCs/>
                <w:sz w:val="18"/>
                <w:szCs w:val="18"/>
                <w:lang w:val="en-GB"/>
              </w:rPr>
            </w:pPr>
            <w:r w:rsidRPr="00532341">
              <w:rPr>
                <w:b/>
                <w:bCs/>
                <w:sz w:val="18"/>
                <w:szCs w:val="18"/>
                <w:lang w:val="en-GB"/>
              </w:rPr>
              <w:t>54</w:t>
            </w:r>
          </w:p>
        </w:tc>
        <w:tc>
          <w:tcPr>
            <w:tcW w:w="992" w:type="dxa"/>
            <w:shd w:val="clear" w:color="auto" w:fill="auto"/>
            <w:hideMark/>
          </w:tcPr>
          <w:p w14:paraId="3F5125C2" w14:textId="77777777" w:rsidR="00550663" w:rsidRPr="00532341" w:rsidRDefault="00550663" w:rsidP="00DF4634">
            <w:pPr>
              <w:pStyle w:val="NormalWeb"/>
              <w:rPr>
                <w:b/>
                <w:bCs/>
                <w:sz w:val="18"/>
                <w:szCs w:val="18"/>
                <w:lang w:val="en-GB"/>
              </w:rPr>
            </w:pPr>
            <w:r w:rsidRPr="00532341">
              <w:rPr>
                <w:b/>
                <w:bCs/>
                <w:sz w:val="18"/>
                <w:szCs w:val="18"/>
                <w:lang w:val="en-GB"/>
              </w:rPr>
              <w:t>26</w:t>
            </w:r>
          </w:p>
        </w:tc>
        <w:tc>
          <w:tcPr>
            <w:tcW w:w="850" w:type="dxa"/>
            <w:shd w:val="clear" w:color="auto" w:fill="auto"/>
            <w:hideMark/>
          </w:tcPr>
          <w:p w14:paraId="272263E9" w14:textId="770C5365" w:rsidR="00550663" w:rsidRPr="00532341" w:rsidRDefault="00DD1766" w:rsidP="00DF4634">
            <w:pPr>
              <w:pStyle w:val="NormalWeb"/>
              <w:rPr>
                <w:b/>
                <w:bCs/>
                <w:sz w:val="18"/>
                <w:szCs w:val="18"/>
                <w:lang w:val="en-GB"/>
              </w:rPr>
            </w:pPr>
            <w:r>
              <w:rPr>
                <w:b/>
                <w:bCs/>
                <w:sz w:val="18"/>
                <w:szCs w:val="18"/>
                <w:lang w:val="en-GB"/>
              </w:rPr>
              <w:t>4</w:t>
            </w:r>
            <w:r w:rsidR="00550663" w:rsidRPr="00532341">
              <w:rPr>
                <w:b/>
                <w:bCs/>
                <w:sz w:val="18"/>
                <w:szCs w:val="18"/>
                <w:lang w:val="en-GB"/>
              </w:rPr>
              <w:t>8.2</w:t>
            </w:r>
          </w:p>
        </w:tc>
        <w:tc>
          <w:tcPr>
            <w:tcW w:w="851" w:type="dxa"/>
            <w:shd w:val="clear" w:color="auto" w:fill="auto"/>
            <w:hideMark/>
          </w:tcPr>
          <w:p w14:paraId="6D5FB2B7" w14:textId="77777777" w:rsidR="00550663" w:rsidRPr="00532341" w:rsidRDefault="00550663" w:rsidP="00DF4634">
            <w:pPr>
              <w:pStyle w:val="NormalWeb"/>
              <w:rPr>
                <w:b/>
                <w:bCs/>
                <w:sz w:val="18"/>
                <w:szCs w:val="18"/>
                <w:lang w:val="en-GB"/>
              </w:rPr>
            </w:pPr>
            <w:r w:rsidRPr="00532341">
              <w:rPr>
                <w:b/>
                <w:bCs/>
                <w:sz w:val="18"/>
                <w:szCs w:val="18"/>
                <w:lang w:val="en-GB"/>
              </w:rPr>
              <w:t>5.17</w:t>
            </w:r>
          </w:p>
        </w:tc>
        <w:tc>
          <w:tcPr>
            <w:tcW w:w="1134" w:type="dxa"/>
            <w:shd w:val="clear" w:color="auto" w:fill="auto"/>
            <w:hideMark/>
          </w:tcPr>
          <w:p w14:paraId="0B5804DA" w14:textId="77777777" w:rsidR="00550663" w:rsidRPr="00532341" w:rsidRDefault="00550663" w:rsidP="00DF4634">
            <w:pPr>
              <w:pStyle w:val="NormalWeb"/>
              <w:rPr>
                <w:b/>
                <w:bCs/>
                <w:sz w:val="18"/>
                <w:szCs w:val="18"/>
                <w:lang w:val="en-GB"/>
              </w:rPr>
            </w:pPr>
            <w:r w:rsidRPr="00532341">
              <w:rPr>
                <w:b/>
                <w:bCs/>
                <w:sz w:val="18"/>
                <w:szCs w:val="18"/>
                <w:lang w:val="en-GB"/>
              </w:rPr>
              <w:t>1.58-19.57</w:t>
            </w:r>
          </w:p>
        </w:tc>
        <w:tc>
          <w:tcPr>
            <w:tcW w:w="1084" w:type="dxa"/>
            <w:tcBorders>
              <w:right w:val="single" w:sz="2" w:space="0" w:color="808080" w:themeColor="background1" w:themeShade="80"/>
            </w:tcBorders>
            <w:shd w:val="clear" w:color="auto" w:fill="auto"/>
            <w:hideMark/>
          </w:tcPr>
          <w:p w14:paraId="4ABEE81A" w14:textId="77777777" w:rsidR="00550663" w:rsidRPr="00532341" w:rsidRDefault="00550663" w:rsidP="00DF4634">
            <w:pPr>
              <w:pStyle w:val="NormalWeb"/>
              <w:rPr>
                <w:b/>
                <w:bCs/>
                <w:sz w:val="18"/>
                <w:szCs w:val="18"/>
                <w:lang w:val="en-GB"/>
              </w:rPr>
            </w:pPr>
            <w:r w:rsidRPr="00532341">
              <w:rPr>
                <w:b/>
                <w:bCs/>
                <w:sz w:val="18"/>
                <w:szCs w:val="18"/>
                <w:lang w:val="en-GB"/>
              </w:rPr>
              <w:t>0.002</w:t>
            </w:r>
          </w:p>
        </w:tc>
      </w:tr>
      <w:tr w:rsidR="00550663" w:rsidRPr="00B97937" w14:paraId="1E895D0E" w14:textId="77777777" w:rsidTr="00550663">
        <w:trPr>
          <w:cnfStyle w:val="000000010000" w:firstRow="0" w:lastRow="0" w:firstColumn="0" w:lastColumn="0" w:oddVBand="0" w:evenVBand="0" w:oddHBand="0" w:evenHBand="1" w:firstRowFirstColumn="0" w:firstRowLastColumn="0" w:lastRowFirstColumn="0" w:lastRowLastColumn="0"/>
        </w:trPr>
        <w:tc>
          <w:tcPr>
            <w:tcW w:w="2268" w:type="dxa"/>
            <w:tcBorders>
              <w:left w:val="single" w:sz="2" w:space="0" w:color="808080" w:themeColor="background1" w:themeShade="80"/>
            </w:tcBorders>
            <w:shd w:val="clear" w:color="auto" w:fill="auto"/>
            <w:hideMark/>
          </w:tcPr>
          <w:p w14:paraId="242F3EA7" w14:textId="77777777" w:rsidR="00550663" w:rsidRPr="00B97937" w:rsidRDefault="00550663" w:rsidP="00DF4634">
            <w:pPr>
              <w:pStyle w:val="NormalWeb"/>
              <w:ind w:left="142"/>
              <w:jc w:val="left"/>
              <w:rPr>
                <w:sz w:val="18"/>
                <w:szCs w:val="18"/>
                <w:lang w:val="en-GB"/>
              </w:rPr>
            </w:pPr>
            <w:r w:rsidRPr="00B97937">
              <w:rPr>
                <w:sz w:val="18"/>
                <w:szCs w:val="18"/>
                <w:lang w:val="en-GB"/>
              </w:rPr>
              <w:t>Eggplant miso bun</w:t>
            </w:r>
          </w:p>
        </w:tc>
        <w:tc>
          <w:tcPr>
            <w:tcW w:w="709" w:type="dxa"/>
            <w:shd w:val="clear" w:color="auto" w:fill="auto"/>
            <w:hideMark/>
          </w:tcPr>
          <w:p w14:paraId="438352F3" w14:textId="77777777" w:rsidR="00550663" w:rsidRPr="00B97937" w:rsidRDefault="00550663" w:rsidP="00DF4634">
            <w:pPr>
              <w:pStyle w:val="NormalWeb"/>
              <w:rPr>
                <w:sz w:val="18"/>
                <w:szCs w:val="18"/>
                <w:lang w:val="en-GB"/>
              </w:rPr>
            </w:pPr>
            <w:r w:rsidRPr="00B97937">
              <w:rPr>
                <w:sz w:val="18"/>
                <w:szCs w:val="18"/>
                <w:lang w:val="en-GB"/>
              </w:rPr>
              <w:t>29</w:t>
            </w:r>
          </w:p>
        </w:tc>
        <w:tc>
          <w:tcPr>
            <w:tcW w:w="851" w:type="dxa"/>
            <w:shd w:val="clear" w:color="auto" w:fill="auto"/>
            <w:hideMark/>
          </w:tcPr>
          <w:p w14:paraId="20121CA8" w14:textId="77777777" w:rsidR="00550663" w:rsidRPr="00B97937" w:rsidRDefault="00550663" w:rsidP="00DF4634">
            <w:pPr>
              <w:pStyle w:val="NormalWeb"/>
              <w:rPr>
                <w:sz w:val="18"/>
                <w:szCs w:val="18"/>
                <w:lang w:val="en-GB"/>
              </w:rPr>
            </w:pPr>
            <w:r w:rsidRPr="00B97937">
              <w:rPr>
                <w:sz w:val="18"/>
                <w:szCs w:val="18"/>
                <w:lang w:val="en-GB"/>
              </w:rPr>
              <w:t>10</w:t>
            </w:r>
          </w:p>
        </w:tc>
        <w:tc>
          <w:tcPr>
            <w:tcW w:w="850" w:type="dxa"/>
            <w:shd w:val="clear" w:color="auto" w:fill="auto"/>
            <w:hideMark/>
          </w:tcPr>
          <w:p w14:paraId="71E20D7A" w14:textId="77777777" w:rsidR="00550663" w:rsidRPr="00B97937" w:rsidRDefault="00550663" w:rsidP="00DF4634">
            <w:pPr>
              <w:pStyle w:val="NormalWeb"/>
              <w:rPr>
                <w:sz w:val="18"/>
                <w:szCs w:val="18"/>
                <w:lang w:val="en-GB"/>
              </w:rPr>
            </w:pPr>
            <w:r w:rsidRPr="00B97937">
              <w:rPr>
                <w:sz w:val="18"/>
                <w:szCs w:val="18"/>
                <w:lang w:val="en-GB"/>
              </w:rPr>
              <w:t>34.5</w:t>
            </w:r>
          </w:p>
        </w:tc>
        <w:tc>
          <w:tcPr>
            <w:tcW w:w="851" w:type="dxa"/>
            <w:shd w:val="clear" w:color="auto" w:fill="auto"/>
            <w:hideMark/>
          </w:tcPr>
          <w:p w14:paraId="082C0739" w14:textId="77777777" w:rsidR="00550663" w:rsidRPr="00B97937" w:rsidRDefault="00550663" w:rsidP="00DF4634">
            <w:pPr>
              <w:pStyle w:val="NormalWeb"/>
              <w:rPr>
                <w:sz w:val="18"/>
                <w:szCs w:val="18"/>
                <w:lang w:val="en-GB"/>
              </w:rPr>
            </w:pPr>
            <w:r w:rsidRPr="00B97937">
              <w:rPr>
                <w:sz w:val="18"/>
                <w:szCs w:val="18"/>
                <w:lang w:val="en-GB"/>
              </w:rPr>
              <w:t>52</w:t>
            </w:r>
          </w:p>
        </w:tc>
        <w:tc>
          <w:tcPr>
            <w:tcW w:w="992" w:type="dxa"/>
            <w:shd w:val="clear" w:color="auto" w:fill="auto"/>
            <w:hideMark/>
          </w:tcPr>
          <w:p w14:paraId="1C1DB99A" w14:textId="77777777" w:rsidR="00550663" w:rsidRPr="00B97937" w:rsidRDefault="00550663" w:rsidP="00DF4634">
            <w:pPr>
              <w:pStyle w:val="NormalWeb"/>
              <w:rPr>
                <w:sz w:val="18"/>
                <w:szCs w:val="18"/>
                <w:lang w:val="en-GB"/>
              </w:rPr>
            </w:pPr>
            <w:r w:rsidRPr="00B97937">
              <w:rPr>
                <w:sz w:val="18"/>
                <w:szCs w:val="18"/>
                <w:lang w:val="en-GB"/>
              </w:rPr>
              <w:t>11</w:t>
            </w:r>
          </w:p>
        </w:tc>
        <w:tc>
          <w:tcPr>
            <w:tcW w:w="850" w:type="dxa"/>
            <w:shd w:val="clear" w:color="auto" w:fill="auto"/>
            <w:hideMark/>
          </w:tcPr>
          <w:p w14:paraId="3B65FCA5" w14:textId="77777777" w:rsidR="00550663" w:rsidRPr="00B97937" w:rsidRDefault="00550663" w:rsidP="00DF4634">
            <w:pPr>
              <w:pStyle w:val="NormalWeb"/>
              <w:rPr>
                <w:sz w:val="18"/>
                <w:szCs w:val="18"/>
                <w:lang w:val="en-GB"/>
              </w:rPr>
            </w:pPr>
            <w:r w:rsidRPr="00B97937">
              <w:rPr>
                <w:sz w:val="18"/>
                <w:szCs w:val="18"/>
                <w:lang w:val="en-GB"/>
              </w:rPr>
              <w:t>21.1</w:t>
            </w:r>
          </w:p>
        </w:tc>
        <w:tc>
          <w:tcPr>
            <w:tcW w:w="851" w:type="dxa"/>
            <w:shd w:val="clear" w:color="auto" w:fill="auto"/>
            <w:hideMark/>
          </w:tcPr>
          <w:p w14:paraId="529A2C84" w14:textId="77777777" w:rsidR="00550663" w:rsidRPr="00B97937" w:rsidRDefault="00550663" w:rsidP="00DF4634">
            <w:pPr>
              <w:pStyle w:val="NormalWeb"/>
              <w:rPr>
                <w:sz w:val="18"/>
                <w:szCs w:val="18"/>
                <w:lang w:val="en-GB"/>
              </w:rPr>
            </w:pPr>
            <w:r w:rsidRPr="00B97937">
              <w:rPr>
                <w:sz w:val="18"/>
                <w:szCs w:val="18"/>
                <w:lang w:val="en-GB"/>
              </w:rPr>
              <w:t>1.96</w:t>
            </w:r>
          </w:p>
        </w:tc>
        <w:tc>
          <w:tcPr>
            <w:tcW w:w="1134" w:type="dxa"/>
            <w:shd w:val="clear" w:color="auto" w:fill="auto"/>
            <w:hideMark/>
          </w:tcPr>
          <w:p w14:paraId="7FAAB757" w14:textId="77777777" w:rsidR="00550663" w:rsidRPr="00B97937" w:rsidRDefault="00550663" w:rsidP="00DF4634">
            <w:pPr>
              <w:pStyle w:val="NormalWeb"/>
              <w:rPr>
                <w:sz w:val="18"/>
                <w:szCs w:val="18"/>
                <w:lang w:val="en-GB"/>
              </w:rPr>
            </w:pPr>
            <w:r w:rsidRPr="00B97937">
              <w:rPr>
                <w:sz w:val="18"/>
                <w:szCs w:val="18"/>
                <w:lang w:val="en-GB"/>
              </w:rPr>
              <w:t>0.62-6.08</w:t>
            </w:r>
          </w:p>
        </w:tc>
        <w:tc>
          <w:tcPr>
            <w:tcW w:w="1084" w:type="dxa"/>
            <w:tcBorders>
              <w:right w:val="single" w:sz="2" w:space="0" w:color="808080" w:themeColor="background1" w:themeShade="80"/>
            </w:tcBorders>
            <w:shd w:val="clear" w:color="auto" w:fill="auto"/>
            <w:hideMark/>
          </w:tcPr>
          <w:p w14:paraId="53487A51" w14:textId="77777777" w:rsidR="00550663" w:rsidRPr="00B97937" w:rsidRDefault="00550663" w:rsidP="00DF4634">
            <w:pPr>
              <w:pStyle w:val="NormalWeb"/>
              <w:rPr>
                <w:sz w:val="18"/>
                <w:szCs w:val="18"/>
                <w:lang w:val="en-GB"/>
              </w:rPr>
            </w:pPr>
            <w:r w:rsidRPr="00B97937">
              <w:rPr>
                <w:sz w:val="18"/>
                <w:szCs w:val="18"/>
                <w:lang w:val="en-GB"/>
              </w:rPr>
              <w:t>0.189</w:t>
            </w:r>
          </w:p>
        </w:tc>
      </w:tr>
      <w:tr w:rsidR="00550663" w:rsidRPr="00532341" w14:paraId="0A960C5F" w14:textId="77777777" w:rsidTr="00550663">
        <w:tc>
          <w:tcPr>
            <w:tcW w:w="2268" w:type="dxa"/>
            <w:tcBorders>
              <w:left w:val="single" w:sz="2" w:space="0" w:color="808080" w:themeColor="background1" w:themeShade="80"/>
            </w:tcBorders>
            <w:shd w:val="clear" w:color="auto" w:fill="auto"/>
            <w:hideMark/>
          </w:tcPr>
          <w:p w14:paraId="16C39D95" w14:textId="77777777" w:rsidR="00550663" w:rsidRPr="00532341" w:rsidRDefault="00550663" w:rsidP="00DF4634">
            <w:pPr>
              <w:pStyle w:val="NormalWeb"/>
              <w:ind w:left="142"/>
              <w:jc w:val="left"/>
              <w:rPr>
                <w:b/>
                <w:bCs/>
                <w:sz w:val="18"/>
                <w:szCs w:val="18"/>
                <w:lang w:val="en-GB"/>
              </w:rPr>
            </w:pPr>
            <w:r w:rsidRPr="00532341">
              <w:rPr>
                <w:b/>
                <w:bCs/>
                <w:sz w:val="18"/>
                <w:szCs w:val="18"/>
                <w:lang w:val="en-GB"/>
              </w:rPr>
              <w:t>Duck breast canapé</w:t>
            </w:r>
          </w:p>
        </w:tc>
        <w:tc>
          <w:tcPr>
            <w:tcW w:w="709" w:type="dxa"/>
            <w:shd w:val="clear" w:color="auto" w:fill="auto"/>
            <w:hideMark/>
          </w:tcPr>
          <w:p w14:paraId="69811925" w14:textId="77777777" w:rsidR="00550663" w:rsidRPr="00532341" w:rsidRDefault="00550663" w:rsidP="00DF4634">
            <w:pPr>
              <w:pStyle w:val="NormalWeb"/>
              <w:rPr>
                <w:b/>
                <w:bCs/>
                <w:sz w:val="18"/>
                <w:szCs w:val="18"/>
                <w:lang w:val="en-GB"/>
              </w:rPr>
            </w:pPr>
            <w:r w:rsidRPr="00532341">
              <w:rPr>
                <w:b/>
                <w:bCs/>
                <w:sz w:val="18"/>
                <w:szCs w:val="18"/>
                <w:lang w:val="en-GB"/>
              </w:rPr>
              <w:t>28</w:t>
            </w:r>
          </w:p>
        </w:tc>
        <w:tc>
          <w:tcPr>
            <w:tcW w:w="851" w:type="dxa"/>
            <w:shd w:val="clear" w:color="auto" w:fill="auto"/>
            <w:hideMark/>
          </w:tcPr>
          <w:p w14:paraId="18AE8D3D" w14:textId="77777777" w:rsidR="00550663" w:rsidRPr="00532341" w:rsidRDefault="00550663" w:rsidP="00DF4634">
            <w:pPr>
              <w:pStyle w:val="NormalWeb"/>
              <w:rPr>
                <w:b/>
                <w:bCs/>
                <w:sz w:val="18"/>
                <w:szCs w:val="18"/>
                <w:lang w:val="en-GB"/>
              </w:rPr>
            </w:pPr>
            <w:r w:rsidRPr="00532341">
              <w:rPr>
                <w:b/>
                <w:bCs/>
                <w:sz w:val="18"/>
                <w:szCs w:val="18"/>
                <w:lang w:val="en-GB"/>
              </w:rPr>
              <w:t>14</w:t>
            </w:r>
          </w:p>
        </w:tc>
        <w:tc>
          <w:tcPr>
            <w:tcW w:w="850" w:type="dxa"/>
            <w:shd w:val="clear" w:color="auto" w:fill="auto"/>
            <w:hideMark/>
          </w:tcPr>
          <w:p w14:paraId="7B6D2D1B" w14:textId="77777777" w:rsidR="00550663" w:rsidRPr="00532341" w:rsidRDefault="00550663" w:rsidP="00DF4634">
            <w:pPr>
              <w:pStyle w:val="NormalWeb"/>
              <w:rPr>
                <w:b/>
                <w:bCs/>
                <w:sz w:val="18"/>
                <w:szCs w:val="18"/>
                <w:lang w:val="en-GB"/>
              </w:rPr>
            </w:pPr>
            <w:r w:rsidRPr="00532341">
              <w:rPr>
                <w:b/>
                <w:bCs/>
                <w:sz w:val="18"/>
                <w:szCs w:val="18"/>
                <w:lang w:val="en-GB"/>
              </w:rPr>
              <w:t>50.0</w:t>
            </w:r>
          </w:p>
        </w:tc>
        <w:tc>
          <w:tcPr>
            <w:tcW w:w="851" w:type="dxa"/>
            <w:shd w:val="clear" w:color="auto" w:fill="auto"/>
            <w:hideMark/>
          </w:tcPr>
          <w:p w14:paraId="26685DBF" w14:textId="77777777" w:rsidR="00550663" w:rsidRPr="00532341" w:rsidRDefault="00550663" w:rsidP="00DF4634">
            <w:pPr>
              <w:pStyle w:val="NormalWeb"/>
              <w:rPr>
                <w:b/>
                <w:bCs/>
                <w:sz w:val="18"/>
                <w:szCs w:val="18"/>
                <w:lang w:val="en-GB"/>
              </w:rPr>
            </w:pPr>
            <w:r w:rsidRPr="00532341">
              <w:rPr>
                <w:b/>
                <w:bCs/>
                <w:sz w:val="18"/>
                <w:szCs w:val="18"/>
                <w:lang w:val="en-GB"/>
              </w:rPr>
              <w:t>52</w:t>
            </w:r>
          </w:p>
        </w:tc>
        <w:tc>
          <w:tcPr>
            <w:tcW w:w="992" w:type="dxa"/>
            <w:shd w:val="clear" w:color="auto" w:fill="auto"/>
            <w:hideMark/>
          </w:tcPr>
          <w:p w14:paraId="0CE12276" w14:textId="77777777" w:rsidR="00550663" w:rsidRPr="00532341" w:rsidRDefault="00550663" w:rsidP="00DF4634">
            <w:pPr>
              <w:pStyle w:val="NormalWeb"/>
              <w:rPr>
                <w:b/>
                <w:bCs/>
                <w:sz w:val="18"/>
                <w:szCs w:val="18"/>
                <w:lang w:val="en-GB"/>
              </w:rPr>
            </w:pPr>
            <w:r w:rsidRPr="00532341">
              <w:rPr>
                <w:b/>
                <w:bCs/>
                <w:sz w:val="18"/>
                <w:szCs w:val="18"/>
                <w:lang w:val="en-GB"/>
              </w:rPr>
              <w:t>12</w:t>
            </w:r>
          </w:p>
        </w:tc>
        <w:tc>
          <w:tcPr>
            <w:tcW w:w="850" w:type="dxa"/>
            <w:shd w:val="clear" w:color="auto" w:fill="auto"/>
            <w:hideMark/>
          </w:tcPr>
          <w:p w14:paraId="33F3B394" w14:textId="77777777" w:rsidR="00550663" w:rsidRPr="00532341" w:rsidRDefault="00550663" w:rsidP="00DF4634">
            <w:pPr>
              <w:pStyle w:val="NormalWeb"/>
              <w:rPr>
                <w:b/>
                <w:bCs/>
                <w:sz w:val="18"/>
                <w:szCs w:val="18"/>
                <w:lang w:val="en-GB"/>
              </w:rPr>
            </w:pPr>
            <w:r w:rsidRPr="00532341">
              <w:rPr>
                <w:b/>
                <w:bCs/>
                <w:sz w:val="18"/>
                <w:szCs w:val="18"/>
                <w:lang w:val="en-GB"/>
              </w:rPr>
              <w:t>23.1</w:t>
            </w:r>
          </w:p>
        </w:tc>
        <w:tc>
          <w:tcPr>
            <w:tcW w:w="851" w:type="dxa"/>
            <w:shd w:val="clear" w:color="auto" w:fill="auto"/>
            <w:hideMark/>
          </w:tcPr>
          <w:p w14:paraId="273CFCC6" w14:textId="77777777" w:rsidR="00550663" w:rsidRPr="00532341" w:rsidRDefault="00550663" w:rsidP="00DF4634">
            <w:pPr>
              <w:pStyle w:val="NormalWeb"/>
              <w:rPr>
                <w:b/>
                <w:bCs/>
                <w:sz w:val="18"/>
                <w:szCs w:val="18"/>
                <w:lang w:val="en-GB"/>
              </w:rPr>
            </w:pPr>
            <w:r w:rsidRPr="00532341">
              <w:rPr>
                <w:b/>
                <w:bCs/>
                <w:sz w:val="18"/>
                <w:szCs w:val="18"/>
                <w:lang w:val="en-GB"/>
              </w:rPr>
              <w:t>3.33</w:t>
            </w:r>
          </w:p>
        </w:tc>
        <w:tc>
          <w:tcPr>
            <w:tcW w:w="1134" w:type="dxa"/>
            <w:shd w:val="clear" w:color="auto" w:fill="auto"/>
            <w:hideMark/>
          </w:tcPr>
          <w:p w14:paraId="69BA00C2" w14:textId="77777777" w:rsidR="00550663" w:rsidRPr="00532341" w:rsidRDefault="00550663" w:rsidP="00DF4634">
            <w:pPr>
              <w:pStyle w:val="NormalWeb"/>
              <w:rPr>
                <w:b/>
                <w:bCs/>
                <w:sz w:val="18"/>
                <w:szCs w:val="18"/>
                <w:lang w:val="en-GB"/>
              </w:rPr>
            </w:pPr>
            <w:r w:rsidRPr="00532341">
              <w:rPr>
                <w:b/>
                <w:bCs/>
                <w:sz w:val="18"/>
                <w:szCs w:val="18"/>
                <w:lang w:val="en-GB"/>
              </w:rPr>
              <w:t>1.11-9.97</w:t>
            </w:r>
          </w:p>
        </w:tc>
        <w:tc>
          <w:tcPr>
            <w:tcW w:w="1084" w:type="dxa"/>
            <w:tcBorders>
              <w:right w:val="single" w:sz="2" w:space="0" w:color="808080" w:themeColor="background1" w:themeShade="80"/>
            </w:tcBorders>
            <w:shd w:val="clear" w:color="auto" w:fill="auto"/>
            <w:hideMark/>
          </w:tcPr>
          <w:p w14:paraId="1FBC0199" w14:textId="77777777" w:rsidR="00550663" w:rsidRPr="00532341" w:rsidRDefault="00550663" w:rsidP="00DF4634">
            <w:pPr>
              <w:pStyle w:val="NormalWeb"/>
              <w:rPr>
                <w:b/>
                <w:bCs/>
                <w:sz w:val="18"/>
                <w:szCs w:val="18"/>
                <w:lang w:val="en-GB"/>
              </w:rPr>
            </w:pPr>
            <w:r w:rsidRPr="00532341">
              <w:rPr>
                <w:b/>
                <w:bCs/>
                <w:sz w:val="18"/>
                <w:szCs w:val="18"/>
                <w:lang w:val="en-GB"/>
              </w:rPr>
              <w:t>0.014</w:t>
            </w:r>
          </w:p>
        </w:tc>
      </w:tr>
      <w:tr w:rsidR="00550663" w:rsidRPr="00B97937" w14:paraId="424CBB91" w14:textId="77777777" w:rsidTr="00550663">
        <w:trPr>
          <w:cnfStyle w:val="000000010000" w:firstRow="0" w:lastRow="0" w:firstColumn="0" w:lastColumn="0" w:oddVBand="0" w:evenVBand="0" w:oddHBand="0" w:evenHBand="1" w:firstRowFirstColumn="0" w:firstRowLastColumn="0" w:lastRowFirstColumn="0" w:lastRowLastColumn="0"/>
        </w:trPr>
        <w:tc>
          <w:tcPr>
            <w:tcW w:w="2268" w:type="dxa"/>
            <w:tcBorders>
              <w:left w:val="single" w:sz="2" w:space="0" w:color="808080" w:themeColor="background1" w:themeShade="80"/>
              <w:bottom w:val="single" w:sz="2" w:space="0" w:color="808080" w:themeColor="background1" w:themeShade="80"/>
            </w:tcBorders>
            <w:shd w:val="clear" w:color="auto" w:fill="auto"/>
            <w:hideMark/>
          </w:tcPr>
          <w:p w14:paraId="39655E6C" w14:textId="77777777" w:rsidR="00550663" w:rsidRPr="00B97937" w:rsidRDefault="00550663" w:rsidP="00DF4634">
            <w:pPr>
              <w:pStyle w:val="NormalWeb"/>
              <w:ind w:left="142"/>
              <w:jc w:val="left"/>
              <w:rPr>
                <w:sz w:val="18"/>
                <w:szCs w:val="18"/>
                <w:lang w:val="en-GB"/>
              </w:rPr>
            </w:pPr>
            <w:r w:rsidRPr="00B97937">
              <w:rPr>
                <w:sz w:val="18"/>
                <w:szCs w:val="18"/>
                <w:lang w:val="en-GB"/>
              </w:rPr>
              <w:t>Lamb and fetta bastill</w:t>
            </w:r>
            <w:r w:rsidRPr="008C1027">
              <w:rPr>
                <w:sz w:val="18"/>
                <w:szCs w:val="18"/>
                <w:lang w:val="en-GB"/>
              </w:rPr>
              <w:t>a</w:t>
            </w:r>
          </w:p>
        </w:tc>
        <w:tc>
          <w:tcPr>
            <w:tcW w:w="709" w:type="dxa"/>
            <w:tcBorders>
              <w:bottom w:val="single" w:sz="2" w:space="0" w:color="808080" w:themeColor="background1" w:themeShade="80"/>
            </w:tcBorders>
            <w:shd w:val="clear" w:color="auto" w:fill="auto"/>
            <w:hideMark/>
          </w:tcPr>
          <w:p w14:paraId="00E41AC6" w14:textId="77777777" w:rsidR="00550663" w:rsidRPr="00B97937" w:rsidRDefault="00550663" w:rsidP="00DF4634">
            <w:pPr>
              <w:pStyle w:val="NormalWeb"/>
              <w:rPr>
                <w:sz w:val="18"/>
                <w:szCs w:val="18"/>
                <w:lang w:val="en-GB"/>
              </w:rPr>
            </w:pPr>
            <w:r w:rsidRPr="00B97937">
              <w:rPr>
                <w:sz w:val="18"/>
                <w:szCs w:val="18"/>
                <w:lang w:val="en-GB"/>
              </w:rPr>
              <w:t>28</w:t>
            </w:r>
          </w:p>
        </w:tc>
        <w:tc>
          <w:tcPr>
            <w:tcW w:w="851" w:type="dxa"/>
            <w:tcBorders>
              <w:bottom w:val="single" w:sz="2" w:space="0" w:color="808080" w:themeColor="background1" w:themeShade="80"/>
            </w:tcBorders>
            <w:shd w:val="clear" w:color="auto" w:fill="auto"/>
            <w:hideMark/>
          </w:tcPr>
          <w:p w14:paraId="49E3C09F" w14:textId="77777777" w:rsidR="00550663" w:rsidRPr="00B97937" w:rsidRDefault="00550663" w:rsidP="00DF4634">
            <w:pPr>
              <w:pStyle w:val="NormalWeb"/>
              <w:rPr>
                <w:sz w:val="18"/>
                <w:szCs w:val="18"/>
                <w:lang w:val="en-GB"/>
              </w:rPr>
            </w:pPr>
            <w:r w:rsidRPr="00B97937">
              <w:rPr>
                <w:sz w:val="18"/>
                <w:szCs w:val="18"/>
                <w:lang w:val="en-GB"/>
              </w:rPr>
              <w:t>15</w:t>
            </w:r>
          </w:p>
        </w:tc>
        <w:tc>
          <w:tcPr>
            <w:tcW w:w="850" w:type="dxa"/>
            <w:tcBorders>
              <w:bottom w:val="single" w:sz="2" w:space="0" w:color="808080" w:themeColor="background1" w:themeShade="80"/>
            </w:tcBorders>
            <w:shd w:val="clear" w:color="auto" w:fill="auto"/>
            <w:hideMark/>
          </w:tcPr>
          <w:p w14:paraId="4161716C" w14:textId="77777777" w:rsidR="00550663" w:rsidRPr="00B97937" w:rsidRDefault="00550663" w:rsidP="00DF4634">
            <w:pPr>
              <w:pStyle w:val="NormalWeb"/>
              <w:rPr>
                <w:sz w:val="18"/>
                <w:szCs w:val="18"/>
                <w:lang w:val="en-GB"/>
              </w:rPr>
            </w:pPr>
            <w:r w:rsidRPr="00B97937">
              <w:rPr>
                <w:sz w:val="18"/>
                <w:szCs w:val="18"/>
                <w:lang w:val="en-GB"/>
              </w:rPr>
              <w:t>53.6</w:t>
            </w:r>
          </w:p>
        </w:tc>
        <w:tc>
          <w:tcPr>
            <w:tcW w:w="851" w:type="dxa"/>
            <w:tcBorders>
              <w:bottom w:val="single" w:sz="2" w:space="0" w:color="808080" w:themeColor="background1" w:themeShade="80"/>
            </w:tcBorders>
            <w:shd w:val="clear" w:color="auto" w:fill="auto"/>
            <w:hideMark/>
          </w:tcPr>
          <w:p w14:paraId="5249237C" w14:textId="77777777" w:rsidR="00550663" w:rsidRPr="00B97937" w:rsidRDefault="00550663" w:rsidP="00DF4634">
            <w:pPr>
              <w:pStyle w:val="NormalWeb"/>
              <w:rPr>
                <w:sz w:val="18"/>
                <w:szCs w:val="18"/>
                <w:lang w:val="en-GB"/>
              </w:rPr>
            </w:pPr>
            <w:r w:rsidRPr="00B97937">
              <w:rPr>
                <w:sz w:val="18"/>
                <w:szCs w:val="18"/>
                <w:lang w:val="en-GB"/>
              </w:rPr>
              <w:t>52</w:t>
            </w:r>
          </w:p>
        </w:tc>
        <w:tc>
          <w:tcPr>
            <w:tcW w:w="992" w:type="dxa"/>
            <w:tcBorders>
              <w:bottom w:val="single" w:sz="2" w:space="0" w:color="808080" w:themeColor="background1" w:themeShade="80"/>
            </w:tcBorders>
            <w:shd w:val="clear" w:color="auto" w:fill="auto"/>
            <w:hideMark/>
          </w:tcPr>
          <w:p w14:paraId="5AE3316C" w14:textId="77777777" w:rsidR="00550663" w:rsidRPr="00B97937" w:rsidRDefault="00550663" w:rsidP="00DF4634">
            <w:pPr>
              <w:pStyle w:val="NormalWeb"/>
              <w:rPr>
                <w:sz w:val="18"/>
                <w:szCs w:val="18"/>
                <w:lang w:val="en-GB"/>
              </w:rPr>
            </w:pPr>
            <w:r w:rsidRPr="00B97937">
              <w:rPr>
                <w:sz w:val="18"/>
                <w:szCs w:val="18"/>
                <w:lang w:val="en-GB"/>
              </w:rPr>
              <w:t>17</w:t>
            </w:r>
          </w:p>
        </w:tc>
        <w:tc>
          <w:tcPr>
            <w:tcW w:w="850" w:type="dxa"/>
            <w:tcBorders>
              <w:bottom w:val="single" w:sz="2" w:space="0" w:color="808080" w:themeColor="background1" w:themeShade="80"/>
            </w:tcBorders>
            <w:shd w:val="clear" w:color="auto" w:fill="auto"/>
            <w:hideMark/>
          </w:tcPr>
          <w:p w14:paraId="58EBF338" w14:textId="77777777" w:rsidR="00550663" w:rsidRPr="00B97937" w:rsidRDefault="00550663" w:rsidP="00DF4634">
            <w:pPr>
              <w:pStyle w:val="NormalWeb"/>
              <w:rPr>
                <w:sz w:val="18"/>
                <w:szCs w:val="18"/>
                <w:lang w:val="en-GB"/>
              </w:rPr>
            </w:pPr>
            <w:r w:rsidRPr="00B97937">
              <w:rPr>
                <w:sz w:val="18"/>
                <w:szCs w:val="18"/>
                <w:lang w:val="en-GB"/>
              </w:rPr>
              <w:t>32.7</w:t>
            </w:r>
          </w:p>
        </w:tc>
        <w:tc>
          <w:tcPr>
            <w:tcW w:w="851" w:type="dxa"/>
            <w:tcBorders>
              <w:bottom w:val="single" w:sz="2" w:space="0" w:color="808080" w:themeColor="background1" w:themeShade="80"/>
            </w:tcBorders>
            <w:shd w:val="clear" w:color="auto" w:fill="auto"/>
            <w:hideMark/>
          </w:tcPr>
          <w:p w14:paraId="6EDE9644" w14:textId="77777777" w:rsidR="00550663" w:rsidRPr="00B97937" w:rsidRDefault="00550663" w:rsidP="00DF4634">
            <w:pPr>
              <w:pStyle w:val="NormalWeb"/>
              <w:rPr>
                <w:sz w:val="18"/>
                <w:szCs w:val="18"/>
                <w:lang w:val="en-GB"/>
              </w:rPr>
            </w:pPr>
            <w:r w:rsidRPr="00B97937">
              <w:rPr>
                <w:sz w:val="18"/>
                <w:szCs w:val="18"/>
                <w:lang w:val="en-GB"/>
              </w:rPr>
              <w:t>2.38</w:t>
            </w:r>
          </w:p>
        </w:tc>
        <w:tc>
          <w:tcPr>
            <w:tcW w:w="1134" w:type="dxa"/>
            <w:tcBorders>
              <w:bottom w:val="single" w:sz="2" w:space="0" w:color="808080" w:themeColor="background1" w:themeShade="80"/>
            </w:tcBorders>
            <w:shd w:val="clear" w:color="auto" w:fill="auto"/>
            <w:hideMark/>
          </w:tcPr>
          <w:p w14:paraId="6C379042" w14:textId="77777777" w:rsidR="00550663" w:rsidRPr="00B97937" w:rsidRDefault="00550663" w:rsidP="00DF4634">
            <w:pPr>
              <w:pStyle w:val="NormalWeb"/>
              <w:rPr>
                <w:sz w:val="18"/>
                <w:szCs w:val="18"/>
                <w:lang w:val="en-GB"/>
              </w:rPr>
            </w:pPr>
            <w:r w:rsidRPr="00B97937">
              <w:rPr>
                <w:sz w:val="18"/>
                <w:szCs w:val="18"/>
                <w:lang w:val="en-GB"/>
              </w:rPr>
              <w:t>0.84-6.78</w:t>
            </w:r>
          </w:p>
        </w:tc>
        <w:tc>
          <w:tcPr>
            <w:tcW w:w="1084" w:type="dxa"/>
            <w:tcBorders>
              <w:bottom w:val="single" w:sz="2" w:space="0" w:color="808080" w:themeColor="background1" w:themeShade="80"/>
              <w:right w:val="single" w:sz="2" w:space="0" w:color="808080" w:themeColor="background1" w:themeShade="80"/>
            </w:tcBorders>
            <w:shd w:val="clear" w:color="auto" w:fill="auto"/>
            <w:hideMark/>
          </w:tcPr>
          <w:p w14:paraId="2AA62100" w14:textId="77777777" w:rsidR="00550663" w:rsidRPr="00B97937" w:rsidRDefault="00550663" w:rsidP="00DF4634">
            <w:pPr>
              <w:pStyle w:val="NormalWeb"/>
              <w:rPr>
                <w:sz w:val="18"/>
                <w:szCs w:val="18"/>
                <w:lang w:val="en-GB"/>
              </w:rPr>
            </w:pPr>
            <w:r w:rsidRPr="00B97937">
              <w:rPr>
                <w:sz w:val="18"/>
                <w:szCs w:val="18"/>
                <w:lang w:val="en-GB"/>
              </w:rPr>
              <w:t>0.069</w:t>
            </w:r>
          </w:p>
        </w:tc>
      </w:tr>
      <w:tr w:rsidR="00550663" w:rsidRPr="00B97937" w14:paraId="7B8DC603" w14:textId="77777777" w:rsidTr="00550663">
        <w:tc>
          <w:tcPr>
            <w:tcW w:w="2268" w:type="dxa"/>
            <w:tcBorders>
              <w:top w:val="single" w:sz="2" w:space="0" w:color="808080" w:themeColor="background1" w:themeShade="80"/>
              <w:left w:val="single" w:sz="2" w:space="0" w:color="808080" w:themeColor="background1" w:themeShade="80"/>
            </w:tcBorders>
            <w:shd w:val="clear" w:color="auto" w:fill="auto"/>
            <w:hideMark/>
          </w:tcPr>
          <w:p w14:paraId="14C476DB" w14:textId="0381239B" w:rsidR="00550663" w:rsidRPr="00B97937" w:rsidRDefault="00550663" w:rsidP="00DF4634">
            <w:pPr>
              <w:pStyle w:val="NormalWeb"/>
              <w:jc w:val="left"/>
              <w:rPr>
                <w:sz w:val="18"/>
                <w:szCs w:val="18"/>
                <w:lang w:val="en-GB"/>
              </w:rPr>
            </w:pPr>
            <w:r w:rsidRPr="00B97937">
              <w:rPr>
                <w:sz w:val="18"/>
                <w:szCs w:val="18"/>
                <w:lang w:val="en-GB"/>
              </w:rPr>
              <w:t>Mains – any</w:t>
            </w:r>
            <w:r w:rsidR="009D72E0">
              <w:rPr>
                <w:sz w:val="18"/>
                <w:szCs w:val="18"/>
                <w:vertAlign w:val="superscript"/>
                <w:lang w:val="en-GB"/>
              </w:rPr>
              <w:t>e</w:t>
            </w:r>
          </w:p>
        </w:tc>
        <w:tc>
          <w:tcPr>
            <w:tcW w:w="709" w:type="dxa"/>
            <w:tcBorders>
              <w:top w:val="single" w:sz="2" w:space="0" w:color="808080" w:themeColor="background1" w:themeShade="80"/>
            </w:tcBorders>
            <w:shd w:val="clear" w:color="auto" w:fill="auto"/>
            <w:hideMark/>
          </w:tcPr>
          <w:p w14:paraId="5010667B" w14:textId="77777777" w:rsidR="00550663" w:rsidRPr="00B97937" w:rsidRDefault="00550663" w:rsidP="00DF4634">
            <w:pPr>
              <w:pStyle w:val="NormalWeb"/>
              <w:rPr>
                <w:sz w:val="18"/>
                <w:szCs w:val="18"/>
                <w:lang w:val="en-GB"/>
              </w:rPr>
            </w:pPr>
            <w:r w:rsidRPr="00B97937">
              <w:rPr>
                <w:sz w:val="18"/>
                <w:szCs w:val="18"/>
                <w:lang w:val="en-GB"/>
              </w:rPr>
              <w:t>29</w:t>
            </w:r>
          </w:p>
        </w:tc>
        <w:tc>
          <w:tcPr>
            <w:tcW w:w="851" w:type="dxa"/>
            <w:tcBorders>
              <w:top w:val="single" w:sz="2" w:space="0" w:color="808080" w:themeColor="background1" w:themeShade="80"/>
            </w:tcBorders>
            <w:shd w:val="clear" w:color="auto" w:fill="auto"/>
            <w:hideMark/>
          </w:tcPr>
          <w:p w14:paraId="20385BFF" w14:textId="77777777" w:rsidR="00550663" w:rsidRPr="00B97937" w:rsidRDefault="00550663" w:rsidP="00DF4634">
            <w:pPr>
              <w:pStyle w:val="NormalWeb"/>
              <w:rPr>
                <w:sz w:val="18"/>
                <w:szCs w:val="18"/>
                <w:lang w:val="en-GB"/>
              </w:rPr>
            </w:pPr>
            <w:r w:rsidRPr="00B97937">
              <w:rPr>
                <w:sz w:val="18"/>
                <w:szCs w:val="18"/>
                <w:lang w:val="en-GB"/>
              </w:rPr>
              <w:t>29</w:t>
            </w:r>
          </w:p>
        </w:tc>
        <w:tc>
          <w:tcPr>
            <w:tcW w:w="850" w:type="dxa"/>
            <w:tcBorders>
              <w:top w:val="single" w:sz="2" w:space="0" w:color="808080" w:themeColor="background1" w:themeShade="80"/>
            </w:tcBorders>
            <w:shd w:val="clear" w:color="auto" w:fill="auto"/>
            <w:hideMark/>
          </w:tcPr>
          <w:p w14:paraId="2D2DFAEA" w14:textId="77777777" w:rsidR="00550663" w:rsidRPr="00B97937" w:rsidRDefault="00550663" w:rsidP="00DF4634">
            <w:pPr>
              <w:pStyle w:val="NormalWeb"/>
              <w:rPr>
                <w:sz w:val="18"/>
                <w:szCs w:val="18"/>
                <w:lang w:val="en-GB"/>
              </w:rPr>
            </w:pPr>
            <w:r w:rsidRPr="00B97937">
              <w:rPr>
                <w:sz w:val="18"/>
                <w:szCs w:val="18"/>
                <w:lang w:val="en-GB"/>
              </w:rPr>
              <w:t>100.0</w:t>
            </w:r>
          </w:p>
        </w:tc>
        <w:tc>
          <w:tcPr>
            <w:tcW w:w="851" w:type="dxa"/>
            <w:tcBorders>
              <w:top w:val="single" w:sz="2" w:space="0" w:color="808080" w:themeColor="background1" w:themeShade="80"/>
            </w:tcBorders>
            <w:shd w:val="clear" w:color="auto" w:fill="auto"/>
            <w:hideMark/>
          </w:tcPr>
          <w:p w14:paraId="57FF9C1A" w14:textId="77777777" w:rsidR="00550663" w:rsidRPr="00B97937" w:rsidRDefault="00550663" w:rsidP="00DF4634">
            <w:pPr>
              <w:pStyle w:val="NormalWeb"/>
              <w:rPr>
                <w:sz w:val="18"/>
                <w:szCs w:val="18"/>
                <w:lang w:val="en-GB"/>
              </w:rPr>
            </w:pPr>
            <w:r w:rsidRPr="00B97937">
              <w:rPr>
                <w:sz w:val="18"/>
                <w:szCs w:val="18"/>
                <w:lang w:val="en-GB"/>
              </w:rPr>
              <w:t>54</w:t>
            </w:r>
          </w:p>
        </w:tc>
        <w:tc>
          <w:tcPr>
            <w:tcW w:w="992" w:type="dxa"/>
            <w:tcBorders>
              <w:top w:val="single" w:sz="2" w:space="0" w:color="808080" w:themeColor="background1" w:themeShade="80"/>
            </w:tcBorders>
            <w:shd w:val="clear" w:color="auto" w:fill="auto"/>
            <w:hideMark/>
          </w:tcPr>
          <w:p w14:paraId="04147B06" w14:textId="77777777" w:rsidR="00550663" w:rsidRPr="00B97937" w:rsidRDefault="00550663" w:rsidP="00DF4634">
            <w:pPr>
              <w:pStyle w:val="NormalWeb"/>
              <w:rPr>
                <w:sz w:val="18"/>
                <w:szCs w:val="18"/>
                <w:lang w:val="en-GB"/>
              </w:rPr>
            </w:pPr>
            <w:r w:rsidRPr="00B97937">
              <w:rPr>
                <w:sz w:val="18"/>
                <w:szCs w:val="18"/>
                <w:lang w:val="en-GB"/>
              </w:rPr>
              <w:t>51</w:t>
            </w:r>
          </w:p>
        </w:tc>
        <w:tc>
          <w:tcPr>
            <w:tcW w:w="850" w:type="dxa"/>
            <w:tcBorders>
              <w:top w:val="single" w:sz="2" w:space="0" w:color="808080" w:themeColor="background1" w:themeShade="80"/>
            </w:tcBorders>
            <w:shd w:val="clear" w:color="auto" w:fill="auto"/>
            <w:hideMark/>
          </w:tcPr>
          <w:p w14:paraId="20C04609" w14:textId="77777777" w:rsidR="00550663" w:rsidRPr="00B97937" w:rsidRDefault="00550663" w:rsidP="00DF4634">
            <w:pPr>
              <w:pStyle w:val="NormalWeb"/>
              <w:rPr>
                <w:sz w:val="18"/>
                <w:szCs w:val="18"/>
                <w:lang w:val="en-GB"/>
              </w:rPr>
            </w:pPr>
            <w:r w:rsidRPr="00B97937">
              <w:rPr>
                <w:sz w:val="18"/>
                <w:szCs w:val="18"/>
                <w:lang w:val="en-GB"/>
              </w:rPr>
              <w:t>94.4</w:t>
            </w:r>
          </w:p>
        </w:tc>
        <w:tc>
          <w:tcPr>
            <w:tcW w:w="851" w:type="dxa"/>
            <w:tcBorders>
              <w:top w:val="single" w:sz="2" w:space="0" w:color="808080" w:themeColor="background1" w:themeShade="80"/>
            </w:tcBorders>
            <w:shd w:val="clear" w:color="auto" w:fill="auto"/>
            <w:hideMark/>
          </w:tcPr>
          <w:p w14:paraId="0B4B8B3C" w14:textId="77777777" w:rsidR="00550663" w:rsidRPr="00B97937" w:rsidRDefault="00550663" w:rsidP="00DF4634">
            <w:pPr>
              <w:pStyle w:val="NormalWeb"/>
              <w:rPr>
                <w:sz w:val="18"/>
                <w:szCs w:val="18"/>
                <w:lang w:val="en-GB"/>
              </w:rPr>
            </w:pPr>
            <w:r w:rsidRPr="00B97937">
              <w:rPr>
                <w:sz w:val="18"/>
                <w:szCs w:val="18"/>
                <w:lang w:val="en-GB"/>
              </w:rPr>
              <w:t>2.12</w:t>
            </w:r>
          </w:p>
        </w:tc>
        <w:tc>
          <w:tcPr>
            <w:tcW w:w="1134" w:type="dxa"/>
            <w:tcBorders>
              <w:top w:val="single" w:sz="2" w:space="0" w:color="808080" w:themeColor="background1" w:themeShade="80"/>
            </w:tcBorders>
            <w:shd w:val="clear" w:color="auto" w:fill="auto"/>
            <w:hideMark/>
          </w:tcPr>
          <w:p w14:paraId="6C29269B" w14:textId="77777777" w:rsidR="00550663" w:rsidRPr="00B97937" w:rsidRDefault="00550663" w:rsidP="00DF4634">
            <w:pPr>
              <w:pStyle w:val="NormalWeb"/>
              <w:rPr>
                <w:sz w:val="18"/>
                <w:szCs w:val="18"/>
                <w:lang w:val="en-GB"/>
              </w:rPr>
            </w:pPr>
            <w:r w:rsidRPr="00B97937">
              <w:rPr>
                <w:sz w:val="18"/>
                <w:szCs w:val="18"/>
                <w:lang w:val="en-GB"/>
              </w:rPr>
              <w:t>0.22–∞</w:t>
            </w:r>
          </w:p>
        </w:tc>
        <w:tc>
          <w:tcPr>
            <w:tcW w:w="1084" w:type="dxa"/>
            <w:tcBorders>
              <w:top w:val="single" w:sz="2" w:space="0" w:color="808080" w:themeColor="background1" w:themeShade="80"/>
              <w:right w:val="single" w:sz="2" w:space="0" w:color="808080" w:themeColor="background1" w:themeShade="80"/>
            </w:tcBorders>
            <w:shd w:val="clear" w:color="auto" w:fill="auto"/>
            <w:hideMark/>
          </w:tcPr>
          <w:p w14:paraId="01BAEFCA" w14:textId="77777777" w:rsidR="00550663" w:rsidRPr="00B97937" w:rsidRDefault="00550663" w:rsidP="00DF4634">
            <w:pPr>
              <w:pStyle w:val="NormalWeb"/>
              <w:rPr>
                <w:sz w:val="18"/>
                <w:szCs w:val="18"/>
                <w:lang w:val="en-GB"/>
              </w:rPr>
            </w:pPr>
            <w:r w:rsidRPr="00B97937">
              <w:rPr>
                <w:sz w:val="18"/>
                <w:szCs w:val="18"/>
                <w:lang w:val="en-GB"/>
              </w:rPr>
              <w:t>0.540</w:t>
            </w:r>
          </w:p>
        </w:tc>
      </w:tr>
      <w:tr w:rsidR="00550663" w:rsidRPr="00532341" w14:paraId="444499D4" w14:textId="77777777" w:rsidTr="00550663">
        <w:trPr>
          <w:cnfStyle w:val="000000010000" w:firstRow="0" w:lastRow="0" w:firstColumn="0" w:lastColumn="0" w:oddVBand="0" w:evenVBand="0" w:oddHBand="0" w:evenHBand="1" w:firstRowFirstColumn="0" w:firstRowLastColumn="0" w:lastRowFirstColumn="0" w:lastRowLastColumn="0"/>
        </w:trPr>
        <w:tc>
          <w:tcPr>
            <w:tcW w:w="2268" w:type="dxa"/>
            <w:tcBorders>
              <w:left w:val="single" w:sz="2" w:space="0" w:color="808080" w:themeColor="background1" w:themeShade="80"/>
              <w:bottom w:val="single" w:sz="2" w:space="0" w:color="808080" w:themeColor="background1" w:themeShade="80"/>
            </w:tcBorders>
            <w:shd w:val="clear" w:color="auto" w:fill="auto"/>
            <w:hideMark/>
          </w:tcPr>
          <w:p w14:paraId="08F252B0" w14:textId="77777777" w:rsidR="00550663" w:rsidRPr="00532341" w:rsidRDefault="00550663" w:rsidP="00DF4634">
            <w:pPr>
              <w:pStyle w:val="NormalWeb"/>
              <w:ind w:left="142"/>
              <w:jc w:val="left"/>
              <w:rPr>
                <w:b/>
                <w:bCs/>
                <w:sz w:val="18"/>
                <w:szCs w:val="18"/>
                <w:lang w:val="en-GB"/>
              </w:rPr>
            </w:pPr>
            <w:r w:rsidRPr="00532341">
              <w:rPr>
                <w:b/>
                <w:bCs/>
                <w:sz w:val="18"/>
                <w:szCs w:val="18"/>
                <w:lang w:val="en-GB"/>
              </w:rPr>
              <w:t>Wagyu beef</w:t>
            </w:r>
          </w:p>
        </w:tc>
        <w:tc>
          <w:tcPr>
            <w:tcW w:w="709" w:type="dxa"/>
            <w:tcBorders>
              <w:bottom w:val="single" w:sz="2" w:space="0" w:color="808080" w:themeColor="background1" w:themeShade="80"/>
            </w:tcBorders>
            <w:shd w:val="clear" w:color="auto" w:fill="auto"/>
            <w:hideMark/>
          </w:tcPr>
          <w:p w14:paraId="535ADC37" w14:textId="77777777" w:rsidR="00550663" w:rsidRPr="00532341" w:rsidRDefault="00550663" w:rsidP="00DF4634">
            <w:pPr>
              <w:pStyle w:val="NormalWeb"/>
              <w:rPr>
                <w:b/>
                <w:bCs/>
                <w:sz w:val="18"/>
                <w:szCs w:val="18"/>
                <w:lang w:val="en-GB"/>
              </w:rPr>
            </w:pPr>
            <w:r w:rsidRPr="00532341">
              <w:rPr>
                <w:b/>
                <w:bCs/>
                <w:sz w:val="18"/>
                <w:szCs w:val="18"/>
                <w:lang w:val="en-GB"/>
              </w:rPr>
              <w:t>29</w:t>
            </w:r>
          </w:p>
        </w:tc>
        <w:tc>
          <w:tcPr>
            <w:tcW w:w="851" w:type="dxa"/>
            <w:tcBorders>
              <w:bottom w:val="single" w:sz="2" w:space="0" w:color="808080" w:themeColor="background1" w:themeShade="80"/>
            </w:tcBorders>
            <w:shd w:val="clear" w:color="auto" w:fill="auto"/>
            <w:hideMark/>
          </w:tcPr>
          <w:p w14:paraId="5FBEFF3F" w14:textId="77777777" w:rsidR="00550663" w:rsidRPr="00532341" w:rsidRDefault="00550663" w:rsidP="00DF4634">
            <w:pPr>
              <w:pStyle w:val="NormalWeb"/>
              <w:rPr>
                <w:b/>
                <w:bCs/>
                <w:sz w:val="18"/>
                <w:szCs w:val="18"/>
                <w:lang w:val="en-GB"/>
              </w:rPr>
            </w:pPr>
            <w:r w:rsidRPr="00532341">
              <w:rPr>
                <w:b/>
                <w:bCs/>
                <w:sz w:val="18"/>
                <w:szCs w:val="18"/>
                <w:lang w:val="en-GB"/>
              </w:rPr>
              <w:t>22</w:t>
            </w:r>
          </w:p>
        </w:tc>
        <w:tc>
          <w:tcPr>
            <w:tcW w:w="850" w:type="dxa"/>
            <w:tcBorders>
              <w:bottom w:val="single" w:sz="2" w:space="0" w:color="808080" w:themeColor="background1" w:themeShade="80"/>
            </w:tcBorders>
            <w:shd w:val="clear" w:color="auto" w:fill="auto"/>
            <w:hideMark/>
          </w:tcPr>
          <w:p w14:paraId="3D5308DA" w14:textId="77777777" w:rsidR="00550663" w:rsidRPr="00532341" w:rsidRDefault="00550663" w:rsidP="00DF4634">
            <w:pPr>
              <w:pStyle w:val="NormalWeb"/>
              <w:rPr>
                <w:b/>
                <w:bCs/>
                <w:sz w:val="18"/>
                <w:szCs w:val="18"/>
                <w:lang w:val="en-GB"/>
              </w:rPr>
            </w:pPr>
            <w:r w:rsidRPr="00532341">
              <w:rPr>
                <w:b/>
                <w:bCs/>
                <w:sz w:val="18"/>
                <w:szCs w:val="18"/>
                <w:lang w:val="en-GB"/>
              </w:rPr>
              <w:t>75.9</w:t>
            </w:r>
          </w:p>
        </w:tc>
        <w:tc>
          <w:tcPr>
            <w:tcW w:w="851" w:type="dxa"/>
            <w:tcBorders>
              <w:bottom w:val="single" w:sz="2" w:space="0" w:color="808080" w:themeColor="background1" w:themeShade="80"/>
            </w:tcBorders>
            <w:shd w:val="clear" w:color="auto" w:fill="auto"/>
            <w:hideMark/>
          </w:tcPr>
          <w:p w14:paraId="35875B6D" w14:textId="77777777" w:rsidR="00550663" w:rsidRPr="00532341" w:rsidRDefault="00550663" w:rsidP="00DF4634">
            <w:pPr>
              <w:pStyle w:val="NormalWeb"/>
              <w:rPr>
                <w:b/>
                <w:bCs/>
                <w:sz w:val="18"/>
                <w:szCs w:val="18"/>
                <w:lang w:val="en-GB"/>
              </w:rPr>
            </w:pPr>
            <w:r w:rsidRPr="00532341">
              <w:rPr>
                <w:b/>
                <w:bCs/>
                <w:sz w:val="18"/>
                <w:szCs w:val="18"/>
                <w:lang w:val="en-GB"/>
              </w:rPr>
              <w:t>54</w:t>
            </w:r>
          </w:p>
        </w:tc>
        <w:tc>
          <w:tcPr>
            <w:tcW w:w="992" w:type="dxa"/>
            <w:tcBorders>
              <w:bottom w:val="single" w:sz="2" w:space="0" w:color="808080" w:themeColor="background1" w:themeShade="80"/>
            </w:tcBorders>
            <w:shd w:val="clear" w:color="auto" w:fill="auto"/>
            <w:hideMark/>
          </w:tcPr>
          <w:p w14:paraId="24CB4256" w14:textId="77777777" w:rsidR="00550663" w:rsidRPr="00532341" w:rsidRDefault="00550663" w:rsidP="00DF4634">
            <w:pPr>
              <w:pStyle w:val="NormalWeb"/>
              <w:rPr>
                <w:b/>
                <w:bCs/>
                <w:sz w:val="18"/>
                <w:szCs w:val="18"/>
                <w:lang w:val="en-GB"/>
              </w:rPr>
            </w:pPr>
            <w:r w:rsidRPr="00532341">
              <w:rPr>
                <w:b/>
                <w:bCs/>
                <w:sz w:val="18"/>
                <w:szCs w:val="18"/>
                <w:lang w:val="en-GB"/>
              </w:rPr>
              <w:t>29</w:t>
            </w:r>
          </w:p>
        </w:tc>
        <w:tc>
          <w:tcPr>
            <w:tcW w:w="850" w:type="dxa"/>
            <w:tcBorders>
              <w:bottom w:val="single" w:sz="2" w:space="0" w:color="808080" w:themeColor="background1" w:themeShade="80"/>
            </w:tcBorders>
            <w:shd w:val="clear" w:color="auto" w:fill="auto"/>
            <w:hideMark/>
          </w:tcPr>
          <w:p w14:paraId="24BC99A3" w14:textId="77777777" w:rsidR="00550663" w:rsidRPr="00532341" w:rsidRDefault="00550663" w:rsidP="00DF4634">
            <w:pPr>
              <w:pStyle w:val="NormalWeb"/>
              <w:rPr>
                <w:b/>
                <w:bCs/>
                <w:sz w:val="18"/>
                <w:szCs w:val="18"/>
                <w:lang w:val="en-GB"/>
              </w:rPr>
            </w:pPr>
            <w:r w:rsidRPr="00532341">
              <w:rPr>
                <w:b/>
                <w:bCs/>
                <w:sz w:val="18"/>
                <w:szCs w:val="18"/>
                <w:lang w:val="en-GB"/>
              </w:rPr>
              <w:t>53.7</w:t>
            </w:r>
          </w:p>
        </w:tc>
        <w:tc>
          <w:tcPr>
            <w:tcW w:w="851" w:type="dxa"/>
            <w:tcBorders>
              <w:bottom w:val="single" w:sz="2" w:space="0" w:color="808080" w:themeColor="background1" w:themeShade="80"/>
            </w:tcBorders>
            <w:shd w:val="clear" w:color="auto" w:fill="auto"/>
            <w:hideMark/>
          </w:tcPr>
          <w:p w14:paraId="725EC520" w14:textId="77777777" w:rsidR="00550663" w:rsidRPr="00532341" w:rsidRDefault="00550663" w:rsidP="00DF4634">
            <w:pPr>
              <w:pStyle w:val="NormalWeb"/>
              <w:rPr>
                <w:b/>
                <w:bCs/>
                <w:sz w:val="18"/>
                <w:szCs w:val="18"/>
                <w:lang w:val="en-GB"/>
              </w:rPr>
            </w:pPr>
            <w:r w:rsidRPr="00532341">
              <w:rPr>
                <w:b/>
                <w:bCs/>
                <w:sz w:val="18"/>
                <w:szCs w:val="18"/>
                <w:lang w:val="en-GB"/>
              </w:rPr>
              <w:t>2.71</w:t>
            </w:r>
          </w:p>
        </w:tc>
        <w:tc>
          <w:tcPr>
            <w:tcW w:w="1134" w:type="dxa"/>
            <w:tcBorders>
              <w:bottom w:val="single" w:sz="2" w:space="0" w:color="808080" w:themeColor="background1" w:themeShade="80"/>
            </w:tcBorders>
            <w:shd w:val="clear" w:color="auto" w:fill="auto"/>
            <w:hideMark/>
          </w:tcPr>
          <w:p w14:paraId="38BD3E55" w14:textId="77777777" w:rsidR="00550663" w:rsidRPr="00532341" w:rsidRDefault="00550663" w:rsidP="00DF4634">
            <w:pPr>
              <w:pStyle w:val="NormalWeb"/>
              <w:rPr>
                <w:b/>
                <w:bCs/>
                <w:sz w:val="18"/>
                <w:szCs w:val="18"/>
                <w:lang w:val="en-GB"/>
              </w:rPr>
            </w:pPr>
            <w:r w:rsidRPr="00532341">
              <w:rPr>
                <w:b/>
                <w:bCs/>
                <w:sz w:val="18"/>
                <w:szCs w:val="18"/>
                <w:lang w:val="en-GB"/>
              </w:rPr>
              <w:t>0.91-8.72</w:t>
            </w:r>
          </w:p>
        </w:tc>
        <w:tc>
          <w:tcPr>
            <w:tcW w:w="1084" w:type="dxa"/>
            <w:tcBorders>
              <w:bottom w:val="single" w:sz="2" w:space="0" w:color="808080" w:themeColor="background1" w:themeShade="80"/>
              <w:right w:val="single" w:sz="2" w:space="0" w:color="808080" w:themeColor="background1" w:themeShade="80"/>
            </w:tcBorders>
            <w:shd w:val="clear" w:color="auto" w:fill="auto"/>
            <w:hideMark/>
          </w:tcPr>
          <w:p w14:paraId="4F0D1753" w14:textId="77777777" w:rsidR="00550663" w:rsidRPr="00532341" w:rsidRDefault="00550663" w:rsidP="00DF4634">
            <w:pPr>
              <w:pStyle w:val="NormalWeb"/>
              <w:rPr>
                <w:b/>
                <w:bCs/>
                <w:sz w:val="18"/>
                <w:szCs w:val="18"/>
                <w:lang w:val="en-GB"/>
              </w:rPr>
            </w:pPr>
            <w:r w:rsidRPr="00532341">
              <w:rPr>
                <w:b/>
                <w:bCs/>
                <w:sz w:val="18"/>
                <w:szCs w:val="18"/>
                <w:lang w:val="en-GB"/>
              </w:rPr>
              <w:t>0.048</w:t>
            </w:r>
          </w:p>
        </w:tc>
      </w:tr>
    </w:tbl>
    <w:p w14:paraId="16CE2938" w14:textId="77777777" w:rsidR="00550663" w:rsidRDefault="00550663" w:rsidP="00550663">
      <w:pPr>
        <w:pStyle w:val="CDIfootnotes"/>
        <w:rPr>
          <w:lang w:val="en-GB"/>
        </w:rPr>
      </w:pPr>
      <w:r>
        <w:rPr>
          <w:lang w:val="en-GB"/>
        </w:rPr>
        <w:t>a</w:t>
      </w:r>
      <w:r>
        <w:rPr>
          <w:lang w:val="en-GB"/>
        </w:rPr>
        <w:tab/>
        <w:t>Note: not all exposures are shown.</w:t>
      </w:r>
    </w:p>
    <w:p w14:paraId="7E0FFC97" w14:textId="77777777" w:rsidR="00550663" w:rsidRDefault="00550663" w:rsidP="00550663">
      <w:pPr>
        <w:pStyle w:val="CDIfootnotes"/>
        <w:rPr>
          <w:lang w:val="en-GB"/>
        </w:rPr>
      </w:pPr>
      <w:r>
        <w:rPr>
          <w:lang w:val="en-GB"/>
        </w:rPr>
        <w:t>b</w:t>
      </w:r>
      <w:r>
        <w:rPr>
          <w:lang w:val="en-GB"/>
        </w:rPr>
        <w:tab/>
        <w:t>OR: odds ratio.</w:t>
      </w:r>
    </w:p>
    <w:p w14:paraId="465A3659" w14:textId="77777777" w:rsidR="00550663" w:rsidRDefault="00550663" w:rsidP="00550663">
      <w:pPr>
        <w:pStyle w:val="CDIfootnotes"/>
        <w:rPr>
          <w:lang w:val="en-GB"/>
        </w:rPr>
      </w:pPr>
      <w:r>
        <w:rPr>
          <w:lang w:val="en-GB"/>
        </w:rPr>
        <w:t>c</w:t>
      </w:r>
      <w:r>
        <w:rPr>
          <w:lang w:val="en-GB"/>
        </w:rPr>
        <w:tab/>
        <w:t>CI: confidence interval.</w:t>
      </w:r>
    </w:p>
    <w:p w14:paraId="0DE3DA2A" w14:textId="77777777" w:rsidR="00550663" w:rsidRDefault="00550663" w:rsidP="00550663">
      <w:pPr>
        <w:pStyle w:val="CDIfootnotes"/>
        <w:rPr>
          <w:lang w:val="en-GB"/>
        </w:rPr>
      </w:pPr>
      <w:r>
        <w:rPr>
          <w:lang w:val="en-GB"/>
        </w:rPr>
        <w:t>d</w:t>
      </w:r>
      <w:r>
        <w:rPr>
          <w:lang w:val="en-GB"/>
        </w:rPr>
        <w:tab/>
        <w:t>χ2 to determine statistical significance unless otherwise indicated (p &lt; 0.05 indicates statistical significance).</w:t>
      </w:r>
    </w:p>
    <w:p w14:paraId="164745C6" w14:textId="72E529E2" w:rsidR="00550663" w:rsidRPr="00550663" w:rsidRDefault="00550663" w:rsidP="00550663">
      <w:pPr>
        <w:pStyle w:val="CDIfootnotes"/>
        <w:rPr>
          <w:lang w:val="en-GB"/>
        </w:rPr>
      </w:pPr>
      <w:r>
        <w:rPr>
          <w:lang w:val="en-GB"/>
        </w:rPr>
        <w:t>e</w:t>
      </w:r>
      <w:r>
        <w:rPr>
          <w:lang w:val="en-GB"/>
        </w:rPr>
        <w:tab/>
        <w:t>Odds ratio and confidence intervals calculated using exact logistic regression.</w:t>
      </w:r>
    </w:p>
    <w:p w14:paraId="54D693CC" w14:textId="77777777" w:rsidR="00550663" w:rsidRDefault="00550663" w:rsidP="00550663">
      <w:pPr>
        <w:pStyle w:val="NormalWeb"/>
        <w:rPr>
          <w:lang w:val="en-GB"/>
        </w:rPr>
      </w:pPr>
      <w:r>
        <w:rPr>
          <w:rStyle w:val="Strong"/>
          <w:lang w:val="en-GB"/>
        </w:rPr>
        <w:t>Table 3: Stratified analysis of food exposures and age, Victoria, February 2022 (n = 80)</w:t>
      </w:r>
      <w:r>
        <w:rPr>
          <w:lang w:val="en-GB"/>
        </w:rPr>
        <w:t xml:space="preserve"> </w:t>
      </w:r>
    </w:p>
    <w:tbl>
      <w:tblPr>
        <w:tblStyle w:val="CDI-StandardTable"/>
        <w:tblW w:w="0" w:type="auto"/>
        <w:tblLook w:val="04A0" w:firstRow="1" w:lastRow="0" w:firstColumn="1" w:lastColumn="0" w:noHBand="0" w:noVBand="1"/>
        <w:tblDescription w:val="Table 3 shows the adjusted odds ratio and p value following stratification of food exposures found significant in the univariate analysis and age as potential confounders&#10;"/>
      </w:tblPr>
      <w:tblGrid>
        <w:gridCol w:w="6804"/>
        <w:gridCol w:w="991"/>
        <w:gridCol w:w="1408"/>
        <w:gridCol w:w="1238"/>
      </w:tblGrid>
      <w:tr w:rsidR="00550663" w:rsidRPr="00B22B15" w14:paraId="746F4CD2" w14:textId="77777777" w:rsidTr="00550663">
        <w:trPr>
          <w:cnfStyle w:val="100000000000" w:firstRow="1" w:lastRow="0" w:firstColumn="0" w:lastColumn="0" w:oddVBand="0" w:evenVBand="0" w:oddHBand="0" w:evenHBand="0" w:firstRowFirstColumn="0" w:firstRowLastColumn="0" w:lastRowFirstColumn="0" w:lastRowLastColumn="0"/>
        </w:trPr>
        <w:tc>
          <w:tcPr>
            <w:tcW w:w="6804" w:type="dxa"/>
            <w:hideMark/>
          </w:tcPr>
          <w:p w14:paraId="46F0E11C" w14:textId="77777777" w:rsidR="00550663" w:rsidRPr="00B22B15" w:rsidRDefault="00550663" w:rsidP="00DF4634">
            <w:pPr>
              <w:pStyle w:val="NormalWeb"/>
              <w:jc w:val="left"/>
              <w:rPr>
                <w:sz w:val="18"/>
                <w:szCs w:val="18"/>
                <w:lang w:val="en-GB"/>
              </w:rPr>
            </w:pPr>
            <w:r w:rsidRPr="00B22B15">
              <w:rPr>
                <w:sz w:val="18"/>
                <w:szCs w:val="18"/>
                <w:lang w:val="en-GB"/>
              </w:rPr>
              <w:t>Characteristic</w:t>
            </w:r>
          </w:p>
        </w:tc>
        <w:tc>
          <w:tcPr>
            <w:tcW w:w="991" w:type="dxa"/>
            <w:hideMark/>
          </w:tcPr>
          <w:p w14:paraId="21F8CD82" w14:textId="77777777" w:rsidR="00550663" w:rsidRPr="00B22B15" w:rsidRDefault="00550663" w:rsidP="00DF4634">
            <w:pPr>
              <w:pStyle w:val="NormalWeb"/>
              <w:rPr>
                <w:sz w:val="18"/>
                <w:szCs w:val="18"/>
                <w:lang w:val="en-GB"/>
              </w:rPr>
            </w:pPr>
            <w:r w:rsidRPr="00B22B15">
              <w:rPr>
                <w:sz w:val="18"/>
                <w:szCs w:val="18"/>
                <w:lang w:val="en-GB"/>
              </w:rPr>
              <w:t>aOR</w:t>
            </w:r>
            <w:r w:rsidRPr="009E2451">
              <w:rPr>
                <w:sz w:val="18"/>
                <w:szCs w:val="18"/>
                <w:vertAlign w:val="superscript"/>
                <w:lang w:val="en-GB"/>
              </w:rPr>
              <w:t>a</w:t>
            </w:r>
          </w:p>
        </w:tc>
        <w:tc>
          <w:tcPr>
            <w:tcW w:w="1408" w:type="dxa"/>
            <w:hideMark/>
          </w:tcPr>
          <w:p w14:paraId="60F0C200" w14:textId="77777777" w:rsidR="00550663" w:rsidRPr="00B22B15" w:rsidRDefault="00550663" w:rsidP="00DF4634">
            <w:pPr>
              <w:pStyle w:val="NormalWeb"/>
              <w:rPr>
                <w:sz w:val="18"/>
                <w:szCs w:val="18"/>
                <w:lang w:val="en-GB"/>
              </w:rPr>
            </w:pPr>
            <w:r w:rsidRPr="00B22B15">
              <w:rPr>
                <w:sz w:val="18"/>
                <w:szCs w:val="18"/>
                <w:lang w:val="en-GB"/>
              </w:rPr>
              <w:t>95% CI</w:t>
            </w:r>
            <w:r w:rsidRPr="009E2451">
              <w:rPr>
                <w:sz w:val="18"/>
                <w:szCs w:val="18"/>
                <w:vertAlign w:val="superscript"/>
                <w:lang w:val="en-GB"/>
              </w:rPr>
              <w:t>b</w:t>
            </w:r>
          </w:p>
        </w:tc>
        <w:tc>
          <w:tcPr>
            <w:tcW w:w="1238" w:type="dxa"/>
            <w:tcBorders>
              <w:right w:val="single" w:sz="2" w:space="0" w:color="808080" w:themeColor="background1" w:themeShade="80"/>
            </w:tcBorders>
            <w:hideMark/>
          </w:tcPr>
          <w:p w14:paraId="0F4F68AC" w14:textId="77777777" w:rsidR="00550663" w:rsidRPr="00B22B15" w:rsidRDefault="00550663" w:rsidP="00DF4634">
            <w:pPr>
              <w:pStyle w:val="NormalWeb"/>
              <w:rPr>
                <w:sz w:val="18"/>
                <w:szCs w:val="18"/>
                <w:lang w:val="en-GB"/>
              </w:rPr>
            </w:pPr>
            <w:r w:rsidRPr="009E2451">
              <w:rPr>
                <w:i/>
                <w:iCs/>
                <w:sz w:val="18"/>
                <w:szCs w:val="18"/>
                <w:lang w:val="en-GB"/>
              </w:rPr>
              <w:t>p</w:t>
            </w:r>
            <w:r w:rsidRPr="00B22B15">
              <w:rPr>
                <w:sz w:val="18"/>
                <w:szCs w:val="18"/>
                <w:lang w:val="en-GB"/>
              </w:rPr>
              <w:t xml:space="preserve"> value</w:t>
            </w:r>
          </w:p>
        </w:tc>
      </w:tr>
      <w:tr w:rsidR="00550663" w:rsidRPr="009B7743" w14:paraId="5F4DEF3E" w14:textId="77777777" w:rsidTr="00550663">
        <w:tc>
          <w:tcPr>
            <w:tcW w:w="10441" w:type="dxa"/>
            <w:gridSpan w:val="4"/>
            <w:tcBorders>
              <w:right w:val="single" w:sz="2" w:space="0" w:color="808080" w:themeColor="background1" w:themeShade="80"/>
            </w:tcBorders>
            <w:shd w:val="clear" w:color="auto" w:fill="BBA991"/>
            <w:hideMark/>
          </w:tcPr>
          <w:p w14:paraId="6CE31949" w14:textId="77777777" w:rsidR="00550663" w:rsidRPr="009B7743" w:rsidRDefault="00550663" w:rsidP="00DF4634">
            <w:pPr>
              <w:pStyle w:val="NormalWeb"/>
              <w:jc w:val="left"/>
              <w:rPr>
                <w:b/>
                <w:bCs/>
                <w:sz w:val="18"/>
                <w:szCs w:val="18"/>
                <w:lang w:val="en-GB"/>
              </w:rPr>
            </w:pPr>
            <w:r w:rsidRPr="009B7743">
              <w:rPr>
                <w:b/>
                <w:bCs/>
                <w:sz w:val="18"/>
                <w:szCs w:val="18"/>
                <w:lang w:val="en-GB"/>
              </w:rPr>
              <w:t>Wagyu beef adjusted for:</w:t>
            </w:r>
          </w:p>
        </w:tc>
      </w:tr>
      <w:tr w:rsidR="00550663" w:rsidRPr="00A57672" w14:paraId="70566C94" w14:textId="77777777" w:rsidTr="00550663">
        <w:trPr>
          <w:cnfStyle w:val="000000010000" w:firstRow="0" w:lastRow="0" w:firstColumn="0" w:lastColumn="0" w:oddVBand="0" w:evenVBand="0" w:oddHBand="0" w:evenHBand="1" w:firstRowFirstColumn="0" w:firstRowLastColumn="0" w:lastRowFirstColumn="0" w:lastRowLastColumn="0"/>
        </w:trPr>
        <w:tc>
          <w:tcPr>
            <w:tcW w:w="6804" w:type="dxa"/>
            <w:tcBorders>
              <w:left w:val="single" w:sz="2" w:space="0" w:color="808080" w:themeColor="background1" w:themeShade="80"/>
            </w:tcBorders>
            <w:shd w:val="clear" w:color="auto" w:fill="auto"/>
            <w:hideMark/>
          </w:tcPr>
          <w:p w14:paraId="4BE002C0" w14:textId="77777777" w:rsidR="00550663" w:rsidRPr="00A57672" w:rsidRDefault="00550663" w:rsidP="00DF4634">
            <w:pPr>
              <w:pStyle w:val="NormalWeb"/>
              <w:jc w:val="left"/>
              <w:rPr>
                <w:b/>
                <w:bCs/>
                <w:sz w:val="18"/>
                <w:szCs w:val="18"/>
                <w:lang w:val="en-GB"/>
              </w:rPr>
            </w:pPr>
            <w:r w:rsidRPr="00A57672">
              <w:rPr>
                <w:b/>
                <w:bCs/>
                <w:sz w:val="18"/>
                <w:szCs w:val="18"/>
                <w:lang w:val="en-GB"/>
              </w:rPr>
              <w:t>Food items</w:t>
            </w:r>
          </w:p>
        </w:tc>
        <w:tc>
          <w:tcPr>
            <w:tcW w:w="991" w:type="dxa"/>
            <w:shd w:val="clear" w:color="auto" w:fill="auto"/>
            <w:hideMark/>
          </w:tcPr>
          <w:p w14:paraId="6BD668CC" w14:textId="77777777" w:rsidR="00550663" w:rsidRPr="00A57672" w:rsidRDefault="00550663" w:rsidP="00DF4634">
            <w:pPr>
              <w:rPr>
                <w:b/>
                <w:bCs/>
                <w:sz w:val="18"/>
                <w:szCs w:val="18"/>
                <w:lang w:val="en-GB"/>
              </w:rPr>
            </w:pPr>
          </w:p>
        </w:tc>
        <w:tc>
          <w:tcPr>
            <w:tcW w:w="1408" w:type="dxa"/>
            <w:shd w:val="clear" w:color="auto" w:fill="auto"/>
            <w:hideMark/>
          </w:tcPr>
          <w:p w14:paraId="1B7F4D47" w14:textId="77777777" w:rsidR="00550663" w:rsidRPr="00A57672" w:rsidRDefault="00550663" w:rsidP="00DF4634">
            <w:pPr>
              <w:rPr>
                <w:rFonts w:eastAsia="Times New Roman"/>
                <w:b/>
                <w:bCs/>
                <w:sz w:val="18"/>
                <w:szCs w:val="18"/>
              </w:rPr>
            </w:pPr>
          </w:p>
        </w:tc>
        <w:tc>
          <w:tcPr>
            <w:tcW w:w="1238" w:type="dxa"/>
            <w:tcBorders>
              <w:right w:val="single" w:sz="2" w:space="0" w:color="808080" w:themeColor="background1" w:themeShade="80"/>
            </w:tcBorders>
            <w:shd w:val="clear" w:color="auto" w:fill="auto"/>
            <w:hideMark/>
          </w:tcPr>
          <w:p w14:paraId="7DC4574F" w14:textId="77777777" w:rsidR="00550663" w:rsidRPr="00A57672" w:rsidRDefault="00550663" w:rsidP="00DF4634">
            <w:pPr>
              <w:rPr>
                <w:rFonts w:eastAsia="Times New Roman"/>
                <w:b/>
                <w:bCs/>
                <w:sz w:val="18"/>
                <w:szCs w:val="18"/>
              </w:rPr>
            </w:pPr>
          </w:p>
        </w:tc>
      </w:tr>
      <w:tr w:rsidR="00550663" w:rsidRPr="00B22B15" w14:paraId="59FACDB4" w14:textId="77777777" w:rsidTr="00550663">
        <w:tc>
          <w:tcPr>
            <w:tcW w:w="6804" w:type="dxa"/>
            <w:tcBorders>
              <w:left w:val="single" w:sz="2" w:space="0" w:color="808080" w:themeColor="background1" w:themeShade="80"/>
            </w:tcBorders>
            <w:shd w:val="clear" w:color="auto" w:fill="auto"/>
            <w:hideMark/>
          </w:tcPr>
          <w:p w14:paraId="3E9065C6" w14:textId="77777777" w:rsidR="00550663" w:rsidRPr="00B22B15" w:rsidRDefault="00550663" w:rsidP="00DF4634">
            <w:pPr>
              <w:pStyle w:val="NormalWeb"/>
              <w:ind w:left="142"/>
              <w:jc w:val="left"/>
              <w:rPr>
                <w:sz w:val="18"/>
                <w:szCs w:val="18"/>
                <w:lang w:val="en-GB"/>
              </w:rPr>
            </w:pPr>
            <w:r w:rsidRPr="00B22B15">
              <w:rPr>
                <w:sz w:val="18"/>
                <w:szCs w:val="18"/>
                <w:lang w:val="en-GB"/>
              </w:rPr>
              <w:t>Duck canapé</w:t>
            </w:r>
          </w:p>
        </w:tc>
        <w:tc>
          <w:tcPr>
            <w:tcW w:w="991" w:type="dxa"/>
            <w:shd w:val="clear" w:color="auto" w:fill="auto"/>
            <w:hideMark/>
          </w:tcPr>
          <w:p w14:paraId="449D2815" w14:textId="77777777" w:rsidR="00550663" w:rsidRPr="00B22B15" w:rsidRDefault="00550663" w:rsidP="00DF4634">
            <w:pPr>
              <w:pStyle w:val="NormalWeb"/>
              <w:rPr>
                <w:sz w:val="18"/>
                <w:szCs w:val="18"/>
                <w:lang w:val="en-GB"/>
              </w:rPr>
            </w:pPr>
            <w:r w:rsidRPr="00B22B15">
              <w:rPr>
                <w:sz w:val="18"/>
                <w:szCs w:val="18"/>
                <w:lang w:val="en-GB"/>
              </w:rPr>
              <w:t>2.25</w:t>
            </w:r>
          </w:p>
        </w:tc>
        <w:tc>
          <w:tcPr>
            <w:tcW w:w="1408" w:type="dxa"/>
            <w:shd w:val="clear" w:color="auto" w:fill="auto"/>
            <w:hideMark/>
          </w:tcPr>
          <w:p w14:paraId="5C178E96" w14:textId="77777777" w:rsidR="00550663" w:rsidRPr="00B22B15" w:rsidRDefault="00550663" w:rsidP="00DF4634">
            <w:pPr>
              <w:pStyle w:val="NormalWeb"/>
              <w:rPr>
                <w:sz w:val="18"/>
                <w:szCs w:val="18"/>
                <w:lang w:val="en-GB"/>
              </w:rPr>
            </w:pPr>
            <w:r w:rsidRPr="00B22B15">
              <w:rPr>
                <w:sz w:val="18"/>
                <w:szCs w:val="18"/>
                <w:lang w:val="en-GB"/>
              </w:rPr>
              <w:t>0.79–6.43</w:t>
            </w:r>
          </w:p>
        </w:tc>
        <w:tc>
          <w:tcPr>
            <w:tcW w:w="1238" w:type="dxa"/>
            <w:tcBorders>
              <w:right w:val="single" w:sz="2" w:space="0" w:color="808080" w:themeColor="background1" w:themeShade="80"/>
            </w:tcBorders>
            <w:shd w:val="clear" w:color="auto" w:fill="auto"/>
            <w:hideMark/>
          </w:tcPr>
          <w:p w14:paraId="0EC5EBFC" w14:textId="77777777" w:rsidR="00550663" w:rsidRPr="00B22B15" w:rsidRDefault="00550663" w:rsidP="00DF4634">
            <w:pPr>
              <w:pStyle w:val="NormalWeb"/>
              <w:rPr>
                <w:sz w:val="18"/>
                <w:szCs w:val="18"/>
                <w:lang w:val="en-GB"/>
              </w:rPr>
            </w:pPr>
            <w:r w:rsidRPr="00B22B15">
              <w:rPr>
                <w:sz w:val="18"/>
                <w:szCs w:val="18"/>
                <w:lang w:val="en-GB"/>
              </w:rPr>
              <w:t>0.129</w:t>
            </w:r>
            <w:r w:rsidRPr="009E2451">
              <w:rPr>
                <w:sz w:val="18"/>
                <w:szCs w:val="18"/>
                <w:vertAlign w:val="superscript"/>
                <w:lang w:val="en-GB"/>
              </w:rPr>
              <w:t>c</w:t>
            </w:r>
          </w:p>
        </w:tc>
      </w:tr>
      <w:tr w:rsidR="00550663" w:rsidRPr="009B7743" w14:paraId="27BB1BB9" w14:textId="77777777" w:rsidTr="00550663">
        <w:trPr>
          <w:cnfStyle w:val="000000010000" w:firstRow="0" w:lastRow="0" w:firstColumn="0" w:lastColumn="0" w:oddVBand="0" w:evenVBand="0" w:oddHBand="0" w:evenHBand="1" w:firstRowFirstColumn="0" w:firstRowLastColumn="0" w:lastRowFirstColumn="0" w:lastRowLastColumn="0"/>
        </w:trPr>
        <w:tc>
          <w:tcPr>
            <w:tcW w:w="10441" w:type="dxa"/>
            <w:gridSpan w:val="4"/>
            <w:tcBorders>
              <w:left w:val="single" w:sz="2" w:space="0" w:color="808080" w:themeColor="background1" w:themeShade="80"/>
              <w:right w:val="single" w:sz="2" w:space="0" w:color="808080" w:themeColor="background1" w:themeShade="80"/>
            </w:tcBorders>
            <w:shd w:val="clear" w:color="auto" w:fill="BBA991"/>
            <w:hideMark/>
          </w:tcPr>
          <w:p w14:paraId="05B26436" w14:textId="77777777" w:rsidR="00550663" w:rsidRPr="009B7743" w:rsidRDefault="00550663" w:rsidP="00DF4634">
            <w:pPr>
              <w:pStyle w:val="NormalWeb"/>
              <w:jc w:val="left"/>
              <w:rPr>
                <w:b/>
                <w:bCs/>
                <w:sz w:val="18"/>
                <w:szCs w:val="18"/>
                <w:lang w:val="en-GB"/>
              </w:rPr>
            </w:pPr>
            <w:r w:rsidRPr="009B7743">
              <w:rPr>
                <w:b/>
                <w:bCs/>
                <w:sz w:val="18"/>
                <w:szCs w:val="18"/>
                <w:lang w:val="en-GB"/>
              </w:rPr>
              <w:t>Duck canapé adjusted for:</w:t>
            </w:r>
          </w:p>
        </w:tc>
      </w:tr>
      <w:tr w:rsidR="00550663" w:rsidRPr="00A57672" w14:paraId="10C67B62" w14:textId="77777777" w:rsidTr="00550663">
        <w:tc>
          <w:tcPr>
            <w:tcW w:w="6804" w:type="dxa"/>
            <w:tcBorders>
              <w:left w:val="single" w:sz="2" w:space="0" w:color="808080" w:themeColor="background1" w:themeShade="80"/>
            </w:tcBorders>
            <w:shd w:val="clear" w:color="auto" w:fill="auto"/>
            <w:hideMark/>
          </w:tcPr>
          <w:p w14:paraId="50235336" w14:textId="77777777" w:rsidR="00550663" w:rsidRPr="00A57672" w:rsidRDefault="00550663" w:rsidP="00DF4634">
            <w:pPr>
              <w:pStyle w:val="NormalWeb"/>
              <w:jc w:val="left"/>
              <w:rPr>
                <w:b/>
                <w:bCs/>
                <w:sz w:val="18"/>
                <w:szCs w:val="18"/>
                <w:lang w:val="en-GB"/>
              </w:rPr>
            </w:pPr>
            <w:r w:rsidRPr="00A57672">
              <w:rPr>
                <w:b/>
                <w:bCs/>
                <w:sz w:val="18"/>
                <w:szCs w:val="18"/>
                <w:lang w:val="en-GB"/>
              </w:rPr>
              <w:t>Food items</w:t>
            </w:r>
          </w:p>
        </w:tc>
        <w:tc>
          <w:tcPr>
            <w:tcW w:w="991" w:type="dxa"/>
            <w:shd w:val="clear" w:color="auto" w:fill="auto"/>
            <w:hideMark/>
          </w:tcPr>
          <w:p w14:paraId="763C11A2" w14:textId="77777777" w:rsidR="00550663" w:rsidRPr="00A57672" w:rsidRDefault="00550663" w:rsidP="00DF4634">
            <w:pPr>
              <w:rPr>
                <w:b/>
                <w:bCs/>
                <w:sz w:val="18"/>
                <w:szCs w:val="18"/>
                <w:lang w:val="en-GB"/>
              </w:rPr>
            </w:pPr>
          </w:p>
        </w:tc>
        <w:tc>
          <w:tcPr>
            <w:tcW w:w="1408" w:type="dxa"/>
            <w:shd w:val="clear" w:color="auto" w:fill="auto"/>
            <w:hideMark/>
          </w:tcPr>
          <w:p w14:paraId="797D7DF1" w14:textId="77777777" w:rsidR="00550663" w:rsidRPr="00A57672" w:rsidRDefault="00550663" w:rsidP="00DF4634">
            <w:pPr>
              <w:rPr>
                <w:rFonts w:eastAsia="Times New Roman"/>
                <w:b/>
                <w:bCs/>
                <w:sz w:val="18"/>
                <w:szCs w:val="18"/>
              </w:rPr>
            </w:pPr>
          </w:p>
        </w:tc>
        <w:tc>
          <w:tcPr>
            <w:tcW w:w="1238" w:type="dxa"/>
            <w:tcBorders>
              <w:right w:val="single" w:sz="2" w:space="0" w:color="808080" w:themeColor="background1" w:themeShade="80"/>
            </w:tcBorders>
            <w:shd w:val="clear" w:color="auto" w:fill="auto"/>
            <w:hideMark/>
          </w:tcPr>
          <w:p w14:paraId="5E557DC3" w14:textId="77777777" w:rsidR="00550663" w:rsidRPr="00A57672" w:rsidRDefault="00550663" w:rsidP="00DF4634">
            <w:pPr>
              <w:rPr>
                <w:rFonts w:eastAsia="Times New Roman"/>
                <w:b/>
                <w:bCs/>
                <w:sz w:val="18"/>
                <w:szCs w:val="18"/>
              </w:rPr>
            </w:pPr>
          </w:p>
        </w:tc>
      </w:tr>
      <w:tr w:rsidR="00550663" w:rsidRPr="00B22B15" w14:paraId="449B3177" w14:textId="77777777" w:rsidTr="00550663">
        <w:trPr>
          <w:cnfStyle w:val="000000010000" w:firstRow="0" w:lastRow="0" w:firstColumn="0" w:lastColumn="0" w:oddVBand="0" w:evenVBand="0" w:oddHBand="0" w:evenHBand="1" w:firstRowFirstColumn="0" w:firstRowLastColumn="0" w:lastRowFirstColumn="0" w:lastRowLastColumn="0"/>
        </w:trPr>
        <w:tc>
          <w:tcPr>
            <w:tcW w:w="6804" w:type="dxa"/>
            <w:tcBorders>
              <w:left w:val="single" w:sz="2" w:space="0" w:color="808080" w:themeColor="background1" w:themeShade="80"/>
              <w:bottom w:val="single" w:sz="2" w:space="0" w:color="808080" w:themeColor="background1" w:themeShade="80"/>
            </w:tcBorders>
            <w:shd w:val="clear" w:color="auto" w:fill="auto"/>
            <w:hideMark/>
          </w:tcPr>
          <w:p w14:paraId="29781467" w14:textId="77777777" w:rsidR="00550663" w:rsidRPr="00B22B15" w:rsidRDefault="00550663" w:rsidP="00DF4634">
            <w:pPr>
              <w:pStyle w:val="NormalWeb"/>
              <w:ind w:left="142"/>
              <w:jc w:val="left"/>
              <w:rPr>
                <w:sz w:val="18"/>
                <w:szCs w:val="18"/>
                <w:lang w:val="en-GB"/>
              </w:rPr>
            </w:pPr>
            <w:r w:rsidRPr="00B22B15">
              <w:rPr>
                <w:sz w:val="18"/>
                <w:szCs w:val="18"/>
                <w:lang w:val="en-GB"/>
              </w:rPr>
              <w:t>Wagyu beef</w:t>
            </w:r>
          </w:p>
        </w:tc>
        <w:tc>
          <w:tcPr>
            <w:tcW w:w="991" w:type="dxa"/>
            <w:tcBorders>
              <w:bottom w:val="single" w:sz="2" w:space="0" w:color="808080" w:themeColor="background1" w:themeShade="80"/>
            </w:tcBorders>
            <w:shd w:val="clear" w:color="auto" w:fill="auto"/>
            <w:hideMark/>
          </w:tcPr>
          <w:p w14:paraId="7EB376ED" w14:textId="77777777" w:rsidR="00550663" w:rsidRPr="00B22B15" w:rsidRDefault="00550663" w:rsidP="00DF4634">
            <w:pPr>
              <w:pStyle w:val="NormalWeb"/>
              <w:rPr>
                <w:sz w:val="18"/>
                <w:szCs w:val="18"/>
                <w:lang w:val="en-GB"/>
              </w:rPr>
            </w:pPr>
            <w:r w:rsidRPr="00B22B15">
              <w:rPr>
                <w:sz w:val="18"/>
                <w:szCs w:val="18"/>
                <w:lang w:val="en-GB"/>
              </w:rPr>
              <w:t>2.85</w:t>
            </w:r>
          </w:p>
        </w:tc>
        <w:tc>
          <w:tcPr>
            <w:tcW w:w="1408" w:type="dxa"/>
            <w:tcBorders>
              <w:bottom w:val="single" w:sz="2" w:space="0" w:color="808080" w:themeColor="background1" w:themeShade="80"/>
            </w:tcBorders>
            <w:shd w:val="clear" w:color="auto" w:fill="auto"/>
            <w:hideMark/>
          </w:tcPr>
          <w:p w14:paraId="45E65530" w14:textId="77777777" w:rsidR="00550663" w:rsidRPr="00B22B15" w:rsidRDefault="00550663" w:rsidP="00DF4634">
            <w:pPr>
              <w:pStyle w:val="NormalWeb"/>
              <w:rPr>
                <w:sz w:val="18"/>
                <w:szCs w:val="18"/>
                <w:lang w:val="en-GB"/>
              </w:rPr>
            </w:pPr>
            <w:r w:rsidRPr="00B22B15">
              <w:rPr>
                <w:sz w:val="18"/>
                <w:szCs w:val="18"/>
                <w:lang w:val="en-GB"/>
              </w:rPr>
              <w:t>1.03–7.86</w:t>
            </w:r>
          </w:p>
        </w:tc>
        <w:tc>
          <w:tcPr>
            <w:tcW w:w="1238" w:type="dxa"/>
            <w:tcBorders>
              <w:bottom w:val="single" w:sz="2" w:space="0" w:color="808080" w:themeColor="background1" w:themeShade="80"/>
              <w:right w:val="single" w:sz="2" w:space="0" w:color="808080" w:themeColor="background1" w:themeShade="80"/>
            </w:tcBorders>
            <w:shd w:val="clear" w:color="auto" w:fill="auto"/>
            <w:hideMark/>
          </w:tcPr>
          <w:p w14:paraId="305EEC47" w14:textId="77777777" w:rsidR="00550663" w:rsidRPr="00B22B15" w:rsidRDefault="00550663" w:rsidP="00DF4634">
            <w:pPr>
              <w:pStyle w:val="NormalWeb"/>
              <w:rPr>
                <w:sz w:val="18"/>
                <w:szCs w:val="18"/>
                <w:lang w:val="en-GB"/>
              </w:rPr>
            </w:pPr>
            <w:r w:rsidRPr="00B22B15">
              <w:rPr>
                <w:sz w:val="18"/>
                <w:szCs w:val="18"/>
                <w:lang w:val="en-GB"/>
              </w:rPr>
              <w:t>0.043</w:t>
            </w:r>
            <w:r w:rsidRPr="009E2451">
              <w:rPr>
                <w:sz w:val="18"/>
                <w:szCs w:val="18"/>
                <w:vertAlign w:val="superscript"/>
                <w:lang w:val="en-GB"/>
              </w:rPr>
              <w:t>c</w:t>
            </w:r>
          </w:p>
        </w:tc>
      </w:tr>
      <w:tr w:rsidR="00550663" w:rsidRPr="009B7743" w14:paraId="032450FE" w14:textId="77777777" w:rsidTr="00550663">
        <w:tc>
          <w:tcPr>
            <w:tcW w:w="10441" w:type="dxa"/>
            <w:gridSpan w:val="4"/>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10C57BA0" w14:textId="77777777" w:rsidR="00550663" w:rsidRPr="009B7743" w:rsidRDefault="00550663" w:rsidP="00DF4634">
            <w:pPr>
              <w:pStyle w:val="NormalWeb"/>
              <w:jc w:val="left"/>
              <w:rPr>
                <w:b/>
                <w:bCs/>
                <w:sz w:val="18"/>
                <w:szCs w:val="18"/>
                <w:lang w:val="en-GB"/>
              </w:rPr>
            </w:pPr>
            <w:r w:rsidRPr="009B7743">
              <w:rPr>
                <w:b/>
                <w:bCs/>
                <w:sz w:val="18"/>
                <w:szCs w:val="18"/>
                <w:lang w:val="en-GB"/>
              </w:rPr>
              <w:t>Age group</w:t>
            </w:r>
            <w:r w:rsidRPr="009B7743">
              <w:rPr>
                <w:b/>
                <w:bCs/>
                <w:sz w:val="18"/>
                <w:szCs w:val="18"/>
                <w:vertAlign w:val="superscript"/>
                <w:lang w:val="en-GB"/>
              </w:rPr>
              <w:t>d</w:t>
            </w:r>
          </w:p>
        </w:tc>
      </w:tr>
      <w:tr w:rsidR="00550663" w:rsidRPr="00B22B15" w14:paraId="6D394182" w14:textId="77777777" w:rsidTr="00550663">
        <w:trPr>
          <w:cnfStyle w:val="000000010000" w:firstRow="0" w:lastRow="0" w:firstColumn="0" w:lastColumn="0" w:oddVBand="0" w:evenVBand="0" w:oddHBand="0" w:evenHBand="1" w:firstRowFirstColumn="0" w:firstRowLastColumn="0" w:lastRowFirstColumn="0" w:lastRowLastColumn="0"/>
        </w:trPr>
        <w:tc>
          <w:tcPr>
            <w:tcW w:w="6804" w:type="dxa"/>
            <w:tcBorders>
              <w:left w:val="single" w:sz="2" w:space="0" w:color="808080" w:themeColor="background1" w:themeShade="80"/>
            </w:tcBorders>
            <w:shd w:val="clear" w:color="auto" w:fill="auto"/>
            <w:hideMark/>
          </w:tcPr>
          <w:p w14:paraId="2343C5AA" w14:textId="77777777" w:rsidR="00550663" w:rsidRPr="00B22B15" w:rsidRDefault="00550663" w:rsidP="00DF4634">
            <w:pPr>
              <w:pStyle w:val="NormalWeb"/>
              <w:ind w:left="142"/>
              <w:jc w:val="left"/>
              <w:rPr>
                <w:sz w:val="18"/>
                <w:szCs w:val="18"/>
                <w:lang w:val="en-GB"/>
              </w:rPr>
            </w:pPr>
            <w:r w:rsidRPr="00B22B15">
              <w:rPr>
                <w:sz w:val="18"/>
                <w:szCs w:val="18"/>
                <w:lang w:val="en-GB"/>
              </w:rPr>
              <w:t>10–29 years</w:t>
            </w:r>
          </w:p>
        </w:tc>
        <w:tc>
          <w:tcPr>
            <w:tcW w:w="991" w:type="dxa"/>
            <w:shd w:val="clear" w:color="auto" w:fill="auto"/>
            <w:hideMark/>
          </w:tcPr>
          <w:p w14:paraId="7A02D6BC" w14:textId="77777777" w:rsidR="00550663" w:rsidRPr="00B22B15" w:rsidRDefault="00550663" w:rsidP="00DF4634">
            <w:pPr>
              <w:pStyle w:val="NormalWeb"/>
              <w:rPr>
                <w:sz w:val="18"/>
                <w:szCs w:val="18"/>
                <w:lang w:val="en-GB"/>
              </w:rPr>
            </w:pPr>
            <w:r w:rsidRPr="00B22B15">
              <w:rPr>
                <w:sz w:val="18"/>
                <w:szCs w:val="18"/>
                <w:lang w:val="en-GB"/>
              </w:rPr>
              <w:t>13.20</w:t>
            </w:r>
          </w:p>
        </w:tc>
        <w:tc>
          <w:tcPr>
            <w:tcW w:w="1408" w:type="dxa"/>
            <w:shd w:val="clear" w:color="auto" w:fill="auto"/>
            <w:hideMark/>
          </w:tcPr>
          <w:p w14:paraId="59F4E22E" w14:textId="77777777" w:rsidR="00550663" w:rsidRPr="00B22B15" w:rsidRDefault="00550663" w:rsidP="00DF4634">
            <w:pPr>
              <w:pStyle w:val="NormalWeb"/>
              <w:rPr>
                <w:sz w:val="18"/>
                <w:szCs w:val="18"/>
                <w:lang w:val="en-GB"/>
              </w:rPr>
            </w:pPr>
            <w:r w:rsidRPr="00B22B15">
              <w:rPr>
                <w:sz w:val="18"/>
                <w:szCs w:val="18"/>
                <w:lang w:val="en-GB"/>
              </w:rPr>
              <w:t>1.71–149.28</w:t>
            </w:r>
          </w:p>
        </w:tc>
        <w:tc>
          <w:tcPr>
            <w:tcW w:w="1238" w:type="dxa"/>
            <w:tcBorders>
              <w:right w:val="single" w:sz="2" w:space="0" w:color="808080" w:themeColor="background1" w:themeShade="80"/>
            </w:tcBorders>
            <w:shd w:val="clear" w:color="auto" w:fill="auto"/>
            <w:hideMark/>
          </w:tcPr>
          <w:p w14:paraId="2295F087" w14:textId="77777777" w:rsidR="00550663" w:rsidRPr="00B22B15" w:rsidRDefault="00550663" w:rsidP="00DF4634">
            <w:pPr>
              <w:rPr>
                <w:sz w:val="18"/>
                <w:szCs w:val="18"/>
                <w:lang w:val="en-GB"/>
              </w:rPr>
            </w:pPr>
          </w:p>
        </w:tc>
      </w:tr>
      <w:tr w:rsidR="00550663" w:rsidRPr="00B22B15" w14:paraId="06E53FB9" w14:textId="77777777" w:rsidTr="00550663">
        <w:tc>
          <w:tcPr>
            <w:tcW w:w="6804" w:type="dxa"/>
            <w:tcBorders>
              <w:left w:val="single" w:sz="2" w:space="0" w:color="808080" w:themeColor="background1" w:themeShade="80"/>
              <w:bottom w:val="single" w:sz="2" w:space="0" w:color="808080" w:themeColor="background1" w:themeShade="80"/>
            </w:tcBorders>
            <w:shd w:val="clear" w:color="auto" w:fill="auto"/>
            <w:hideMark/>
          </w:tcPr>
          <w:p w14:paraId="48930998" w14:textId="77777777" w:rsidR="00550663" w:rsidRPr="00B22B15" w:rsidRDefault="00550663" w:rsidP="00DF4634">
            <w:pPr>
              <w:pStyle w:val="NormalWeb"/>
              <w:ind w:left="142"/>
              <w:jc w:val="left"/>
              <w:rPr>
                <w:sz w:val="18"/>
                <w:szCs w:val="18"/>
                <w:lang w:val="en-GB"/>
              </w:rPr>
            </w:pPr>
            <w:r w:rsidRPr="00B22B15">
              <w:rPr>
                <w:sz w:val="18"/>
                <w:szCs w:val="18"/>
                <w:lang w:val="en-GB"/>
              </w:rPr>
              <w:t>30+ years</w:t>
            </w:r>
          </w:p>
        </w:tc>
        <w:tc>
          <w:tcPr>
            <w:tcW w:w="991" w:type="dxa"/>
            <w:tcBorders>
              <w:bottom w:val="single" w:sz="2" w:space="0" w:color="808080" w:themeColor="background1" w:themeShade="80"/>
            </w:tcBorders>
            <w:shd w:val="clear" w:color="auto" w:fill="auto"/>
            <w:hideMark/>
          </w:tcPr>
          <w:p w14:paraId="4BE3DF50" w14:textId="77777777" w:rsidR="00550663" w:rsidRPr="00B22B15" w:rsidRDefault="00550663" w:rsidP="00DF4634">
            <w:pPr>
              <w:pStyle w:val="NormalWeb"/>
              <w:rPr>
                <w:sz w:val="18"/>
                <w:szCs w:val="18"/>
                <w:lang w:val="en-GB"/>
              </w:rPr>
            </w:pPr>
            <w:r w:rsidRPr="00B22B15">
              <w:rPr>
                <w:sz w:val="18"/>
                <w:szCs w:val="18"/>
                <w:lang w:val="en-GB"/>
              </w:rPr>
              <w:t>0.81</w:t>
            </w:r>
          </w:p>
        </w:tc>
        <w:tc>
          <w:tcPr>
            <w:tcW w:w="1408" w:type="dxa"/>
            <w:tcBorders>
              <w:bottom w:val="single" w:sz="2" w:space="0" w:color="808080" w:themeColor="background1" w:themeShade="80"/>
            </w:tcBorders>
            <w:shd w:val="clear" w:color="auto" w:fill="auto"/>
            <w:hideMark/>
          </w:tcPr>
          <w:p w14:paraId="7FFAEAC2" w14:textId="77777777" w:rsidR="00550663" w:rsidRPr="00B22B15" w:rsidRDefault="00550663" w:rsidP="00DF4634">
            <w:pPr>
              <w:pStyle w:val="NormalWeb"/>
              <w:rPr>
                <w:sz w:val="18"/>
                <w:szCs w:val="18"/>
                <w:lang w:val="en-GB"/>
              </w:rPr>
            </w:pPr>
            <w:r w:rsidRPr="00B22B15">
              <w:rPr>
                <w:sz w:val="18"/>
                <w:szCs w:val="18"/>
                <w:lang w:val="en-GB"/>
              </w:rPr>
              <w:t>0.07–5.22</w:t>
            </w:r>
          </w:p>
        </w:tc>
        <w:tc>
          <w:tcPr>
            <w:tcW w:w="1238" w:type="dxa"/>
            <w:tcBorders>
              <w:bottom w:val="single" w:sz="2" w:space="0" w:color="808080" w:themeColor="background1" w:themeShade="80"/>
              <w:right w:val="single" w:sz="2" w:space="0" w:color="808080" w:themeColor="background1" w:themeShade="80"/>
            </w:tcBorders>
            <w:shd w:val="clear" w:color="auto" w:fill="auto"/>
            <w:hideMark/>
          </w:tcPr>
          <w:p w14:paraId="580D077E" w14:textId="77777777" w:rsidR="00550663" w:rsidRPr="00B22B15" w:rsidRDefault="00550663" w:rsidP="00DF4634">
            <w:pPr>
              <w:pStyle w:val="NormalWeb"/>
              <w:rPr>
                <w:sz w:val="18"/>
                <w:szCs w:val="18"/>
                <w:lang w:val="en-GB"/>
              </w:rPr>
            </w:pPr>
            <w:r w:rsidRPr="00B22B15">
              <w:rPr>
                <w:sz w:val="18"/>
                <w:szCs w:val="18"/>
                <w:lang w:val="en-GB"/>
              </w:rPr>
              <w:t>0.029</w:t>
            </w:r>
            <w:r w:rsidRPr="009E2451">
              <w:rPr>
                <w:sz w:val="18"/>
                <w:szCs w:val="18"/>
                <w:vertAlign w:val="superscript"/>
                <w:lang w:val="en-GB"/>
              </w:rPr>
              <w:t>e</w:t>
            </w:r>
          </w:p>
        </w:tc>
      </w:tr>
    </w:tbl>
    <w:p w14:paraId="23CA529B" w14:textId="77777777" w:rsidR="00550663" w:rsidRPr="001A11B0" w:rsidRDefault="00550663" w:rsidP="00550663">
      <w:pPr>
        <w:pStyle w:val="CDIfootnotes"/>
      </w:pPr>
      <w:r w:rsidRPr="001A11B0">
        <w:t>a</w:t>
      </w:r>
      <w:r w:rsidRPr="001A11B0">
        <w:tab/>
        <w:t>aOR: adjusted odds ratio.</w:t>
      </w:r>
    </w:p>
    <w:p w14:paraId="23CFD934" w14:textId="77777777" w:rsidR="00550663" w:rsidRPr="001A11B0" w:rsidRDefault="00550663" w:rsidP="00550663">
      <w:pPr>
        <w:pStyle w:val="CDIfootnotes"/>
      </w:pPr>
      <w:r w:rsidRPr="001A11B0">
        <w:t>b</w:t>
      </w:r>
      <w:r w:rsidRPr="001A11B0">
        <w:tab/>
        <w:t>CI: confidence interval.</w:t>
      </w:r>
    </w:p>
    <w:p w14:paraId="77CC7202" w14:textId="77777777" w:rsidR="00550663" w:rsidRPr="001A11B0" w:rsidRDefault="00550663" w:rsidP="00550663">
      <w:pPr>
        <w:pStyle w:val="CDIfootnotes"/>
      </w:pPr>
      <w:r w:rsidRPr="001A11B0">
        <w:t>c</w:t>
      </w:r>
      <w:r w:rsidRPr="001A11B0">
        <w:tab/>
        <w:t>Mantel-Haenzel χ</w:t>
      </w:r>
      <w:r w:rsidRPr="001A11B0">
        <w:rPr>
          <w:vertAlign w:val="superscript"/>
        </w:rPr>
        <w:t>2</w:t>
      </w:r>
      <w:r w:rsidRPr="001A11B0">
        <w:t xml:space="preserve"> test (p &lt; 0.05 indicates statistical significance).</w:t>
      </w:r>
    </w:p>
    <w:p w14:paraId="793EB9EC" w14:textId="77777777" w:rsidR="00550663" w:rsidRPr="001A11B0" w:rsidRDefault="00550663" w:rsidP="00550663">
      <w:pPr>
        <w:pStyle w:val="CDIfootnotes"/>
      </w:pPr>
      <w:r w:rsidRPr="001A11B0">
        <w:t>d</w:t>
      </w:r>
      <w:r w:rsidRPr="001A11B0">
        <w:tab/>
        <w:t>Some data missing – analysis performed using N = 52 controls.</w:t>
      </w:r>
    </w:p>
    <w:p w14:paraId="766F9508" w14:textId="77777777" w:rsidR="00550663" w:rsidRPr="001A11B0" w:rsidRDefault="00550663" w:rsidP="00550663">
      <w:pPr>
        <w:pStyle w:val="CDIfootnotes"/>
      </w:pPr>
      <w:r w:rsidRPr="001A11B0">
        <w:t>e</w:t>
      </w:r>
      <w:r w:rsidRPr="001A11B0">
        <w:tab/>
        <w:t>Mantel-Haenzel test of homogeneity (p &lt; 0.05 indicates statistical significance).</w:t>
      </w:r>
    </w:p>
    <w:p w14:paraId="10E88FB6" w14:textId="77777777" w:rsidR="00B728D8" w:rsidRDefault="00B728D8">
      <w:pPr>
        <w:rPr>
          <w:rFonts w:asciiTheme="majorHAnsi" w:eastAsiaTheme="majorEastAsia" w:hAnsiTheme="majorHAnsi" w:cstheme="majorBidi"/>
          <w:b/>
          <w:bCs/>
          <w:sz w:val="26"/>
          <w:szCs w:val="26"/>
        </w:rPr>
      </w:pPr>
      <w:r>
        <w:br w:type="page"/>
      </w:r>
    </w:p>
    <w:p w14:paraId="44DDF4AF" w14:textId="77777777" w:rsidR="00B728D8" w:rsidRPr="00865275" w:rsidRDefault="00B728D8" w:rsidP="00B728D8">
      <w:pPr>
        <w:pStyle w:val="CDIFigures"/>
      </w:pPr>
      <w:r w:rsidRPr="00865275">
        <w:rPr>
          <w:rStyle w:val="Strong"/>
          <w:b/>
          <w:bCs w:val="0"/>
        </w:rPr>
        <w:lastRenderedPageBreak/>
        <w:t>Table 4: Association of consumption of duck canapé with illness when adjusted for confounding by sex, Victoria, February 2022 (n=80)</w:t>
      </w:r>
    </w:p>
    <w:tbl>
      <w:tblPr>
        <w:tblStyle w:val="CDI-StandardTable"/>
        <w:tblW w:w="0" w:type="auto"/>
        <w:tblLook w:val="04A0" w:firstRow="1" w:lastRow="0" w:firstColumn="1" w:lastColumn="0" w:noHBand="0" w:noVBand="1"/>
        <w:tblDescription w:val="Table 4 shows the adjusted odds ratio following multivariate logistic regression of duck canape to adjust for sex as a potential confounder.&#10;"/>
      </w:tblPr>
      <w:tblGrid>
        <w:gridCol w:w="6379"/>
        <w:gridCol w:w="1134"/>
        <w:gridCol w:w="1276"/>
        <w:gridCol w:w="1651"/>
      </w:tblGrid>
      <w:tr w:rsidR="00B728D8" w:rsidRPr="00BA1660" w14:paraId="0B03D79F" w14:textId="77777777" w:rsidTr="00B728D8">
        <w:trPr>
          <w:cnfStyle w:val="100000000000" w:firstRow="1" w:lastRow="0" w:firstColumn="0" w:lastColumn="0" w:oddVBand="0" w:evenVBand="0" w:oddHBand="0" w:evenHBand="0" w:firstRowFirstColumn="0" w:firstRowLastColumn="0" w:lastRowFirstColumn="0" w:lastRowLastColumn="0"/>
        </w:trPr>
        <w:tc>
          <w:tcPr>
            <w:tcW w:w="6379" w:type="dxa"/>
            <w:hideMark/>
          </w:tcPr>
          <w:p w14:paraId="1200C6ED" w14:textId="77777777" w:rsidR="00B728D8" w:rsidRPr="00BA1660" w:rsidRDefault="00B728D8" w:rsidP="00DF4634">
            <w:pPr>
              <w:pStyle w:val="NormalWeb"/>
              <w:jc w:val="left"/>
              <w:rPr>
                <w:sz w:val="18"/>
                <w:szCs w:val="18"/>
                <w:lang w:val="en-GB"/>
              </w:rPr>
            </w:pPr>
            <w:r w:rsidRPr="00BA1660">
              <w:rPr>
                <w:sz w:val="18"/>
                <w:szCs w:val="18"/>
                <w:lang w:val="en-GB"/>
              </w:rPr>
              <w:t>Characteristic</w:t>
            </w:r>
          </w:p>
        </w:tc>
        <w:tc>
          <w:tcPr>
            <w:tcW w:w="1134" w:type="dxa"/>
            <w:hideMark/>
          </w:tcPr>
          <w:p w14:paraId="42DC3469" w14:textId="77777777" w:rsidR="00B728D8" w:rsidRPr="00BA1660" w:rsidRDefault="00B728D8" w:rsidP="00DF4634">
            <w:pPr>
              <w:pStyle w:val="NormalWeb"/>
              <w:rPr>
                <w:sz w:val="18"/>
                <w:szCs w:val="18"/>
                <w:lang w:val="en-GB"/>
              </w:rPr>
            </w:pPr>
            <w:r w:rsidRPr="00BA1660">
              <w:rPr>
                <w:sz w:val="18"/>
                <w:szCs w:val="18"/>
                <w:lang w:val="en-GB"/>
              </w:rPr>
              <w:t>aOR</w:t>
            </w:r>
            <w:r w:rsidRPr="00751738">
              <w:rPr>
                <w:sz w:val="18"/>
                <w:szCs w:val="18"/>
                <w:vertAlign w:val="superscript"/>
                <w:lang w:val="en-GB"/>
              </w:rPr>
              <w:t>a</w:t>
            </w:r>
          </w:p>
        </w:tc>
        <w:tc>
          <w:tcPr>
            <w:tcW w:w="1276" w:type="dxa"/>
            <w:hideMark/>
          </w:tcPr>
          <w:p w14:paraId="14D37078" w14:textId="77777777" w:rsidR="00B728D8" w:rsidRPr="00BA1660" w:rsidRDefault="00B728D8" w:rsidP="00DF4634">
            <w:pPr>
              <w:pStyle w:val="NormalWeb"/>
              <w:rPr>
                <w:sz w:val="18"/>
                <w:szCs w:val="18"/>
                <w:lang w:val="en-GB"/>
              </w:rPr>
            </w:pPr>
            <w:r w:rsidRPr="00BA1660">
              <w:rPr>
                <w:sz w:val="18"/>
                <w:szCs w:val="18"/>
                <w:lang w:val="en-GB"/>
              </w:rPr>
              <w:t>95% CI</w:t>
            </w:r>
            <w:r w:rsidRPr="00751738">
              <w:rPr>
                <w:sz w:val="18"/>
                <w:szCs w:val="18"/>
                <w:vertAlign w:val="superscript"/>
                <w:lang w:val="en-GB"/>
              </w:rPr>
              <w:t>b</w:t>
            </w:r>
          </w:p>
        </w:tc>
        <w:tc>
          <w:tcPr>
            <w:tcW w:w="1651" w:type="dxa"/>
            <w:hideMark/>
          </w:tcPr>
          <w:p w14:paraId="0E8E7AA5" w14:textId="77777777" w:rsidR="00B728D8" w:rsidRPr="00BA1660" w:rsidRDefault="00B728D8" w:rsidP="00DF4634">
            <w:pPr>
              <w:pStyle w:val="NormalWeb"/>
              <w:rPr>
                <w:sz w:val="18"/>
                <w:szCs w:val="18"/>
                <w:lang w:val="en-GB"/>
              </w:rPr>
            </w:pPr>
            <w:r w:rsidRPr="00BA1660">
              <w:rPr>
                <w:sz w:val="18"/>
                <w:szCs w:val="18"/>
                <w:lang w:val="en-GB"/>
              </w:rPr>
              <w:t>p value</w:t>
            </w:r>
            <w:r w:rsidRPr="00751738">
              <w:rPr>
                <w:sz w:val="18"/>
                <w:szCs w:val="18"/>
                <w:vertAlign w:val="superscript"/>
                <w:lang w:val="en-GB"/>
              </w:rPr>
              <w:t>c</w:t>
            </w:r>
          </w:p>
        </w:tc>
      </w:tr>
      <w:tr w:rsidR="00B728D8" w:rsidRPr="00BA1660" w14:paraId="6F2729FE" w14:textId="77777777" w:rsidTr="00B728D8">
        <w:tc>
          <w:tcPr>
            <w:tcW w:w="6379" w:type="dxa"/>
            <w:hideMark/>
          </w:tcPr>
          <w:p w14:paraId="2D73B3C6" w14:textId="77777777" w:rsidR="00B728D8" w:rsidRPr="00BA1660" w:rsidRDefault="00B728D8" w:rsidP="00DF4634">
            <w:pPr>
              <w:pStyle w:val="NormalWeb"/>
              <w:jc w:val="left"/>
              <w:rPr>
                <w:sz w:val="18"/>
                <w:szCs w:val="18"/>
                <w:lang w:val="en-GB"/>
              </w:rPr>
            </w:pPr>
            <w:r w:rsidRPr="00BA1660">
              <w:rPr>
                <w:sz w:val="18"/>
                <w:szCs w:val="18"/>
                <w:lang w:val="en-GB"/>
              </w:rPr>
              <w:t>Duck canapé</w:t>
            </w:r>
          </w:p>
        </w:tc>
        <w:tc>
          <w:tcPr>
            <w:tcW w:w="1134" w:type="dxa"/>
            <w:hideMark/>
          </w:tcPr>
          <w:p w14:paraId="4AC47192" w14:textId="77777777" w:rsidR="00B728D8" w:rsidRPr="00BA1660" w:rsidRDefault="00B728D8" w:rsidP="00DF4634">
            <w:pPr>
              <w:pStyle w:val="NormalWeb"/>
              <w:rPr>
                <w:sz w:val="18"/>
                <w:szCs w:val="18"/>
                <w:lang w:val="en-GB"/>
              </w:rPr>
            </w:pPr>
            <w:r w:rsidRPr="00BA1660">
              <w:rPr>
                <w:sz w:val="18"/>
                <w:szCs w:val="18"/>
                <w:lang w:val="en-GB"/>
              </w:rPr>
              <w:t>2.62</w:t>
            </w:r>
          </w:p>
        </w:tc>
        <w:tc>
          <w:tcPr>
            <w:tcW w:w="1276" w:type="dxa"/>
            <w:hideMark/>
          </w:tcPr>
          <w:p w14:paraId="6D45C22E" w14:textId="77777777" w:rsidR="00B728D8" w:rsidRPr="00BA1660" w:rsidRDefault="00B728D8" w:rsidP="00DF4634">
            <w:pPr>
              <w:pStyle w:val="NormalWeb"/>
              <w:rPr>
                <w:sz w:val="18"/>
                <w:szCs w:val="18"/>
                <w:lang w:val="en-GB"/>
              </w:rPr>
            </w:pPr>
            <w:r w:rsidRPr="00BA1660">
              <w:rPr>
                <w:sz w:val="18"/>
                <w:szCs w:val="18"/>
                <w:lang w:val="en-GB"/>
              </w:rPr>
              <w:t>0.93–7.40</w:t>
            </w:r>
          </w:p>
        </w:tc>
        <w:tc>
          <w:tcPr>
            <w:tcW w:w="1651" w:type="dxa"/>
            <w:hideMark/>
          </w:tcPr>
          <w:p w14:paraId="28375E3E" w14:textId="77777777" w:rsidR="00B728D8" w:rsidRPr="00BA1660" w:rsidRDefault="00B728D8" w:rsidP="00DF4634">
            <w:pPr>
              <w:pStyle w:val="NormalWeb"/>
              <w:rPr>
                <w:sz w:val="18"/>
                <w:szCs w:val="18"/>
                <w:lang w:val="en-GB"/>
              </w:rPr>
            </w:pPr>
            <w:r w:rsidRPr="00BA1660">
              <w:rPr>
                <w:sz w:val="18"/>
                <w:szCs w:val="18"/>
                <w:lang w:val="en-GB"/>
              </w:rPr>
              <w:t>0.069</w:t>
            </w:r>
          </w:p>
        </w:tc>
      </w:tr>
      <w:tr w:rsidR="00B728D8" w:rsidRPr="00BA1660" w14:paraId="2195D1ED" w14:textId="77777777" w:rsidTr="00B728D8">
        <w:trPr>
          <w:cnfStyle w:val="000000010000" w:firstRow="0" w:lastRow="0" w:firstColumn="0" w:lastColumn="0" w:oddVBand="0" w:evenVBand="0" w:oddHBand="0" w:evenHBand="1" w:firstRowFirstColumn="0" w:firstRowLastColumn="0" w:lastRowFirstColumn="0" w:lastRowLastColumn="0"/>
        </w:trPr>
        <w:tc>
          <w:tcPr>
            <w:tcW w:w="6379" w:type="dxa"/>
            <w:hideMark/>
          </w:tcPr>
          <w:p w14:paraId="4C82DB53" w14:textId="77777777" w:rsidR="00B728D8" w:rsidRPr="00BA1660" w:rsidRDefault="00B728D8" w:rsidP="00DF4634">
            <w:pPr>
              <w:pStyle w:val="NormalWeb"/>
              <w:jc w:val="left"/>
              <w:rPr>
                <w:sz w:val="18"/>
                <w:szCs w:val="18"/>
                <w:lang w:val="en-GB"/>
              </w:rPr>
            </w:pPr>
            <w:r w:rsidRPr="00BA1660">
              <w:rPr>
                <w:sz w:val="18"/>
                <w:szCs w:val="18"/>
                <w:lang w:val="en-GB"/>
              </w:rPr>
              <w:t>Male sex</w:t>
            </w:r>
          </w:p>
        </w:tc>
        <w:tc>
          <w:tcPr>
            <w:tcW w:w="1134" w:type="dxa"/>
            <w:hideMark/>
          </w:tcPr>
          <w:p w14:paraId="5324E847" w14:textId="77777777" w:rsidR="00B728D8" w:rsidRPr="00BA1660" w:rsidRDefault="00B728D8" w:rsidP="00DF4634">
            <w:pPr>
              <w:pStyle w:val="NormalWeb"/>
              <w:rPr>
                <w:sz w:val="18"/>
                <w:szCs w:val="18"/>
                <w:lang w:val="en-GB"/>
              </w:rPr>
            </w:pPr>
            <w:r w:rsidRPr="00BA1660">
              <w:rPr>
                <w:sz w:val="18"/>
                <w:szCs w:val="18"/>
                <w:lang w:val="en-GB"/>
              </w:rPr>
              <w:t>2.13</w:t>
            </w:r>
          </w:p>
        </w:tc>
        <w:tc>
          <w:tcPr>
            <w:tcW w:w="1276" w:type="dxa"/>
            <w:hideMark/>
          </w:tcPr>
          <w:p w14:paraId="49EFBF90" w14:textId="77777777" w:rsidR="00B728D8" w:rsidRPr="00BA1660" w:rsidRDefault="00B728D8" w:rsidP="00DF4634">
            <w:pPr>
              <w:pStyle w:val="NormalWeb"/>
              <w:rPr>
                <w:sz w:val="18"/>
                <w:szCs w:val="18"/>
                <w:lang w:val="en-GB"/>
              </w:rPr>
            </w:pPr>
            <w:r w:rsidRPr="00BA1660">
              <w:rPr>
                <w:sz w:val="18"/>
                <w:szCs w:val="18"/>
                <w:lang w:val="en-GB"/>
              </w:rPr>
              <w:t>0.77–5.90</w:t>
            </w:r>
          </w:p>
        </w:tc>
        <w:tc>
          <w:tcPr>
            <w:tcW w:w="1651" w:type="dxa"/>
            <w:hideMark/>
          </w:tcPr>
          <w:p w14:paraId="0D94D401" w14:textId="77777777" w:rsidR="00B728D8" w:rsidRPr="00BA1660" w:rsidRDefault="00B728D8" w:rsidP="00DF4634">
            <w:pPr>
              <w:pStyle w:val="NormalWeb"/>
              <w:rPr>
                <w:sz w:val="18"/>
                <w:szCs w:val="18"/>
                <w:lang w:val="en-GB"/>
              </w:rPr>
            </w:pPr>
            <w:r w:rsidRPr="00BA1660">
              <w:rPr>
                <w:sz w:val="18"/>
                <w:szCs w:val="18"/>
                <w:lang w:val="en-GB"/>
              </w:rPr>
              <w:t>0.146</w:t>
            </w:r>
          </w:p>
        </w:tc>
      </w:tr>
    </w:tbl>
    <w:p w14:paraId="0BA34758" w14:textId="77777777" w:rsidR="00B728D8" w:rsidRDefault="00B728D8" w:rsidP="00B728D8">
      <w:pPr>
        <w:pStyle w:val="CDIfootnotes"/>
        <w:rPr>
          <w:lang w:val="en-GB"/>
        </w:rPr>
      </w:pPr>
      <w:r>
        <w:rPr>
          <w:lang w:val="en-GB"/>
        </w:rPr>
        <w:t>a</w:t>
      </w:r>
      <w:r>
        <w:rPr>
          <w:lang w:val="en-GB"/>
        </w:rPr>
        <w:tab/>
        <w:t>aOR: adjusted odds ratio.</w:t>
      </w:r>
    </w:p>
    <w:p w14:paraId="11F4B112" w14:textId="77777777" w:rsidR="00B728D8" w:rsidRDefault="00B728D8" w:rsidP="00B728D8">
      <w:pPr>
        <w:pStyle w:val="CDIfootnotes"/>
        <w:rPr>
          <w:lang w:val="en-GB"/>
        </w:rPr>
      </w:pPr>
      <w:r>
        <w:rPr>
          <w:lang w:val="en-GB"/>
        </w:rPr>
        <w:t>b</w:t>
      </w:r>
      <w:r>
        <w:rPr>
          <w:lang w:val="en-GB"/>
        </w:rPr>
        <w:tab/>
        <w:t>CI: confidence interval.</w:t>
      </w:r>
    </w:p>
    <w:p w14:paraId="7339B88F" w14:textId="77777777" w:rsidR="00B728D8" w:rsidRDefault="00B728D8" w:rsidP="00B728D8">
      <w:pPr>
        <w:pStyle w:val="CDIfootnotes"/>
        <w:rPr>
          <w:lang w:val="en-GB"/>
        </w:rPr>
      </w:pPr>
      <w:r>
        <w:rPr>
          <w:lang w:val="en-GB"/>
        </w:rPr>
        <w:t>c</w:t>
      </w:r>
      <w:r>
        <w:rPr>
          <w:lang w:val="en-GB"/>
        </w:rPr>
        <w:tab/>
        <w:t>Multivariate logistic regression (</w:t>
      </w:r>
      <w:r w:rsidRPr="00751738">
        <w:rPr>
          <w:i/>
          <w:iCs/>
          <w:lang w:val="en-GB"/>
        </w:rPr>
        <w:t>p</w:t>
      </w:r>
      <w:r>
        <w:rPr>
          <w:lang w:val="en-GB"/>
        </w:rPr>
        <w:t xml:space="preserve"> &lt; 0.05 indicates statistical significance).</w:t>
      </w:r>
    </w:p>
    <w:p w14:paraId="6F83E3C7" w14:textId="17F0EE09" w:rsidR="00DC6C3F" w:rsidRPr="00F6361D" w:rsidRDefault="00DC6C3F" w:rsidP="00F6361D">
      <w:pPr>
        <w:pStyle w:val="Heading2"/>
      </w:pPr>
      <w:r w:rsidRPr="00F6361D">
        <w:t xml:space="preserve">Environmental investigation </w:t>
      </w:r>
    </w:p>
    <w:p w14:paraId="31C63497" w14:textId="77777777" w:rsidR="00DC6C3F" w:rsidRDefault="00DC6C3F" w:rsidP="00F6361D">
      <w:r>
        <w:t xml:space="preserve">The paté used in the preparation of the parfait for the duck canapé was a duck and cherry paté log containing both duck (24%) and chicken livers. The poultry livers used to make the paté were obtained frozen and thawed in the fridge. The paté supplied to the wedding had been prepared more than two months prior, and no additional livers from the same batch used to make the paté were available for testing. </w:t>
      </w:r>
    </w:p>
    <w:p w14:paraId="1BDC62E5" w14:textId="77777777" w:rsidR="00DC6C3F" w:rsidRDefault="00DC6C3F" w:rsidP="00F6361D">
      <w:r>
        <w:t xml:space="preserve">Livers were reportedly cooked at 120 </w:t>
      </w:r>
      <w:r>
        <w:rPr>
          <w:vertAlign w:val="superscript"/>
        </w:rPr>
        <w:t>o</w:t>
      </w:r>
      <w:r>
        <w:t xml:space="preserve">C until an internal temperature of more than 65 </w:t>
      </w:r>
      <w:r>
        <w:rPr>
          <w:vertAlign w:val="superscript"/>
        </w:rPr>
        <w:t>o</w:t>
      </w:r>
      <w:r>
        <w:t xml:space="preserve">C was reached for more than 10 minutes, blended with duck fat and butter, and rested for 20 minutes, which reportedly resulted in an internal temperature rise to 68–71 </w:t>
      </w:r>
      <w:r>
        <w:rPr>
          <w:vertAlign w:val="superscript"/>
        </w:rPr>
        <w:t>o</w:t>
      </w:r>
      <w:r>
        <w:t xml:space="preserve">C due to residual heat. However, no temperature records were kept or were available for the batch supplied to the wedding to confirm this process. Environmental swabs of blending and sieving equipment on site at the manufacturer’s premises were also requested but not obtained. </w:t>
      </w:r>
    </w:p>
    <w:p w14:paraId="70CA9D17" w14:textId="77777777" w:rsidR="00DC6C3F" w:rsidRDefault="00DC6C3F" w:rsidP="00F6361D">
      <w:r>
        <w:t xml:space="preserve">The duck liver paté was whipped into a parfait and placed into piping bags at the central production kitchen. The premises also prepared and cooked the duck breast. Raw duck breast was marinated and refrigerated overnight at a recorded temperature of 5 </w:t>
      </w:r>
      <w:r>
        <w:rPr>
          <w:vertAlign w:val="superscript"/>
        </w:rPr>
        <w:t>o</w:t>
      </w:r>
      <w:r>
        <w:t xml:space="preserve">C. The next day it was washed and cold smoked for one hour, before being pan-fried to golden and roasted at 160 </w:t>
      </w:r>
      <w:r>
        <w:rPr>
          <w:vertAlign w:val="superscript"/>
        </w:rPr>
        <w:t>o</w:t>
      </w:r>
      <w:r>
        <w:t xml:space="preserve">C for 6–8 minutes. The finishing temperature was verbally reported to have been 74 </w:t>
      </w:r>
      <w:r>
        <w:rPr>
          <w:vertAlign w:val="superscript"/>
        </w:rPr>
        <w:t>o</w:t>
      </w:r>
      <w:r>
        <w:t xml:space="preserve">C. Following cooking, it was then blast chilled and sliced. The whipped parfait and sliced duck were then sent to the reception venue for assembly. </w:t>
      </w:r>
    </w:p>
    <w:p w14:paraId="27F97A83" w14:textId="77777777" w:rsidR="00DC6C3F" w:rsidRDefault="00DC6C3F" w:rsidP="00F6361D">
      <w:r>
        <w:t xml:space="preserve">Several processes at the central production kitchen were ambiguous, including how the duck breast was cold smoked; whether kitchen equipment used to whip the paté was used to prepare other food items; and the details of cleaning and sanitisation protocols for the whipping/blending equipment. Council additionally reported that all food preparation was performed on a large bench simultaneously and knives used were washed in the sink and wiped between usage, but not sanitised. </w:t>
      </w:r>
    </w:p>
    <w:p w14:paraId="28DDB082" w14:textId="77777777" w:rsidR="00DC6C3F" w:rsidRDefault="00DC6C3F" w:rsidP="00F6361D">
      <w:r>
        <w:t xml:space="preserve">Following inspection of the reception venue, no significant issues with hygiene and food storage were identified. The venue did not cook any of the ingredients, rather only reheated and assembled pre-cooked, pre-washed and pre-prepared ingredients from the central production kitchen. It was noted, however, that staff did not use gloves when slicing and mixing ingredients, and that salads and sides were mixed by hand in stainless steel mixing bowls. </w:t>
      </w:r>
    </w:p>
    <w:p w14:paraId="5BC9388D" w14:textId="77777777" w:rsidR="00DC6C3F" w:rsidRDefault="00DC6C3F" w:rsidP="00F6361D">
      <w:r>
        <w:t xml:space="preserve">The EHOs were unable to determine whether canapé ingredients were prepared in a single batch specifically for the outbreak function, or if they were prepared and supplied to multiple functions/venues simultaneously. No complaints of illness were reported from three additional functions that had occurred on either side of the wedding reception; however, none of these events had been served duck canapé. </w:t>
      </w:r>
    </w:p>
    <w:p w14:paraId="59AC22DD" w14:textId="77777777" w:rsidR="0091795C" w:rsidRDefault="0091795C">
      <w:pPr>
        <w:rPr>
          <w:rFonts w:asciiTheme="majorHAnsi" w:eastAsiaTheme="majorEastAsia" w:hAnsiTheme="majorHAnsi" w:cstheme="majorBidi"/>
          <w:b/>
          <w:bCs/>
          <w:sz w:val="26"/>
          <w:szCs w:val="26"/>
        </w:rPr>
      </w:pPr>
      <w:r>
        <w:br w:type="page"/>
      </w:r>
    </w:p>
    <w:p w14:paraId="518B6472" w14:textId="02783C40" w:rsidR="00DC6C3F" w:rsidRPr="00F6361D" w:rsidRDefault="00DC6C3F" w:rsidP="00F6361D">
      <w:pPr>
        <w:pStyle w:val="Heading2"/>
      </w:pPr>
      <w:r w:rsidRPr="00F6361D">
        <w:lastRenderedPageBreak/>
        <w:t xml:space="preserve">Laboratory investigation </w:t>
      </w:r>
    </w:p>
    <w:p w14:paraId="6B99407A" w14:textId="77777777" w:rsidR="00DC6C3F" w:rsidRDefault="00DC6C3F" w:rsidP="00F6361D">
      <w:r>
        <w:t xml:space="preserve">Of 11 faecal samples obtained, four had </w:t>
      </w:r>
      <w:r w:rsidRPr="00F6361D">
        <w:rPr>
          <w:rStyle w:val="Emphasis"/>
          <w:b w:val="0"/>
          <w:bCs w:val="0"/>
        </w:rPr>
        <w:t xml:space="preserve">Campylobacter </w:t>
      </w:r>
      <w:r>
        <w:t xml:space="preserve">isolated by bacterial culture and/or detected by polymerase chain reaction. Of these, two were further speciated and identified as </w:t>
      </w:r>
      <w:r w:rsidRPr="00F6361D">
        <w:rPr>
          <w:rStyle w:val="Emphasis"/>
          <w:b w:val="0"/>
          <w:bCs w:val="0"/>
        </w:rPr>
        <w:t>Campylobacter jejuni</w:t>
      </w:r>
      <w:r>
        <w:t xml:space="preserve">. No other bacterial or viral pathogens were detected. </w:t>
      </w:r>
    </w:p>
    <w:p w14:paraId="714B8B11" w14:textId="77777777" w:rsidR="00DC6C3F" w:rsidRDefault="00DC6C3F" w:rsidP="00F6361D">
      <w:r>
        <w:t xml:space="preserve">No leftover food samples from the reception venue were available to undergo microbiological testing. No </w:t>
      </w:r>
      <w:r w:rsidRPr="00F6361D">
        <w:rPr>
          <w:rStyle w:val="Emphasis"/>
          <w:b w:val="0"/>
          <w:bCs w:val="0"/>
        </w:rPr>
        <w:t>Campylobacter</w:t>
      </w:r>
      <w:r>
        <w:t xml:space="preserve"> or other bacterial pathogens were isolated from the additional food samples collected from the paté manufacturer. </w:t>
      </w:r>
    </w:p>
    <w:p w14:paraId="7A230A07" w14:textId="77777777" w:rsidR="00DC6C3F" w:rsidRPr="00F6361D" w:rsidRDefault="00DC6C3F" w:rsidP="00F6361D">
      <w:pPr>
        <w:pStyle w:val="Heading1"/>
      </w:pPr>
      <w:r w:rsidRPr="00F6361D">
        <w:t xml:space="preserve">Discussion </w:t>
      </w:r>
    </w:p>
    <w:p w14:paraId="2D449C50" w14:textId="77777777" w:rsidR="00DC6C3F" w:rsidRDefault="00DC6C3F" w:rsidP="00F6361D">
      <w:r>
        <w:t xml:space="preserve">The results from the epidemiological investigation support the hypothesis that the duck breast with apple relish brioche canapé was the most likely vehicle of infection in this outbreak. </w:t>
      </w:r>
    </w:p>
    <w:p w14:paraId="3C2D86F3" w14:textId="77777777" w:rsidR="00DC6C3F" w:rsidRDefault="00DC6C3F" w:rsidP="00F6361D">
      <w:r>
        <w:t xml:space="preserve">The duck canapé remained the only food with elevated OR that was significantly associated with illness following univariate analysis and stratification, with cases 2.85 times more likely to have eaten duck canapé than controls. There was strong evidence of an age-dependent effect, with 10–29-year-old cases 13.2 times more likely to have eaten the duck canapé. It’s important to note, however, that when adjusted OR were calculated to control for confounding by sex, there was a loss in strength of association of the duck canapé with illness, likely a result of the small sample size. </w:t>
      </w:r>
    </w:p>
    <w:p w14:paraId="399EE29B" w14:textId="77777777" w:rsidR="00DC6C3F" w:rsidRDefault="00DC6C3F" w:rsidP="00F6361D">
      <w:r>
        <w:t xml:space="preserve">The canapé contained both duck breast meat and duck liver parfait, both of which fit the biological plausibility of the source of transmission. </w:t>
      </w:r>
      <w:r w:rsidRPr="00F6361D">
        <w:rPr>
          <w:rStyle w:val="Emphasis"/>
          <w:b w:val="0"/>
          <w:bCs w:val="0"/>
        </w:rPr>
        <w:t>Campylobacter</w:t>
      </w:r>
      <w:r>
        <w:t xml:space="preserve"> is a commensal organism in the gastrointestinal tract of poultry and is also a frequent internal and external contaminant of poultry liver.</w:t>
      </w:r>
      <w:r>
        <w:rPr>
          <w:vertAlign w:val="superscript"/>
        </w:rPr>
        <w:t>7</w:t>
      </w:r>
      <w:r>
        <w:t xml:space="preserve"> The ability of the liver to concentrate the pathogen and provide optimal growth conditions, with a neutral pH and high water activity, supports the rationale that the liver parfait in this outbreak could be considered the higher risk food component in the canapé, rather than the duck breast. Additionally, </w:t>
      </w:r>
      <w:r w:rsidRPr="00F6361D">
        <w:rPr>
          <w:rStyle w:val="Emphasis"/>
          <w:b w:val="0"/>
          <w:bCs w:val="0"/>
        </w:rPr>
        <w:t>Campylobacter</w:t>
      </w:r>
      <w:r>
        <w:t xml:space="preserve"> contamination of chicken meat has been shown to be more commonly on the skin of the bird than permeating into the muscle.</w:t>
      </w:r>
      <w:r>
        <w:rPr>
          <w:vertAlign w:val="superscript"/>
        </w:rPr>
        <w:t>8</w:t>
      </w:r>
      <w:r>
        <w:t xml:space="preserve"> If a similar circumstance holds for duck meat, pan searing the duck breast followed by roasting to an internal temperature of 74 </w:t>
      </w:r>
      <w:r>
        <w:rPr>
          <w:vertAlign w:val="superscript"/>
        </w:rPr>
        <w:t>o</w:t>
      </w:r>
      <w:r>
        <w:t xml:space="preserve">C would have been sufficient to destroy any bacteria contaminating the meat. </w:t>
      </w:r>
    </w:p>
    <w:p w14:paraId="1F683558" w14:textId="77777777" w:rsidR="00DC6C3F" w:rsidRDefault="00DC6C3F" w:rsidP="00F6361D">
      <w:r>
        <w:t xml:space="preserve">Prevalence of </w:t>
      </w:r>
      <w:r w:rsidRPr="00F6361D">
        <w:rPr>
          <w:rStyle w:val="Emphasis"/>
          <w:b w:val="0"/>
          <w:bCs w:val="0"/>
        </w:rPr>
        <w:t>Campylobacter</w:t>
      </w:r>
      <w:r>
        <w:t xml:space="preserve"> in poultry liver has been reported to be as high as 90–96% in retailed livers from Australia and New Zealand.</w:t>
      </w:r>
      <w:r>
        <w:rPr>
          <w:vertAlign w:val="superscript"/>
        </w:rPr>
        <w:t>9,10</w:t>
      </w:r>
      <w:r>
        <w:t xml:space="preserve"> In addition, paté and parfait have been linked to a number of outbreaks of campylobacteriosis both internationally and within Australia.</w:t>
      </w:r>
      <w:r>
        <w:rPr>
          <w:vertAlign w:val="superscript"/>
        </w:rPr>
        <w:t>3,11–16</w:t>
      </w:r>
      <w:r>
        <w:t xml:space="preserve"> The majority occurred in restaurant or commercial catering settings.</w:t>
      </w:r>
      <w:r>
        <w:rPr>
          <w:vertAlign w:val="superscript"/>
        </w:rPr>
        <w:t>3</w:t>
      </w:r>
      <w:r>
        <w:t xml:space="preserve"> </w:t>
      </w:r>
    </w:p>
    <w:p w14:paraId="7BD32D0F" w14:textId="77777777" w:rsidR="00DC6C3F" w:rsidRDefault="00DC6C3F" w:rsidP="00F6361D">
      <w:r>
        <w:t>In the majority of paté- and liver-associated outbreaks, inadequate cooking or undercooking of the liver is thought to be the significant contributing factor. This has included shallow frying or lightly cooking to retain the pink colour;</w:t>
      </w:r>
      <w:r>
        <w:rPr>
          <w:vertAlign w:val="superscript"/>
        </w:rPr>
        <w:t>11,13</w:t>
      </w:r>
      <w:r>
        <w:t xml:space="preserve"> cooking only to a core temperature of 60 </w:t>
      </w:r>
      <w:r>
        <w:rPr>
          <w:vertAlign w:val="superscript"/>
        </w:rPr>
        <w:t>o</w:t>
      </w:r>
      <w:r>
        <w:t>C;</w:t>
      </w:r>
      <w:r>
        <w:rPr>
          <w:vertAlign w:val="superscript"/>
        </w:rPr>
        <w:t>17</w:t>
      </w:r>
      <w:r>
        <w:t xml:space="preserve"> or not holding at adequate temperature for long enough.</w:t>
      </w:r>
      <w:r>
        <w:rPr>
          <w:vertAlign w:val="superscript"/>
        </w:rPr>
        <w:t>18</w:t>
      </w:r>
      <w:r>
        <w:t xml:space="preserve"> Inactivation of </w:t>
      </w:r>
      <w:r w:rsidRPr="00F6361D">
        <w:rPr>
          <w:rStyle w:val="Emphasis"/>
          <w:b w:val="0"/>
          <w:bCs w:val="0"/>
        </w:rPr>
        <w:t xml:space="preserve">Campylobacter </w:t>
      </w:r>
      <w:r>
        <w:t>has been shown to be proportional to cooking time.</w:t>
      </w:r>
      <w:r>
        <w:rPr>
          <w:vertAlign w:val="superscript"/>
        </w:rPr>
        <w:t>4</w:t>
      </w:r>
      <w:r>
        <w:t xml:space="preserve"> It has also been shown that pan-frying does not always uniformly heat all livers to the desired core temperature.</w:t>
      </w:r>
      <w:r>
        <w:rPr>
          <w:vertAlign w:val="superscript"/>
        </w:rPr>
        <w:t>19</w:t>
      </w:r>
      <w:r>
        <w:t xml:space="preserve"> </w:t>
      </w:r>
    </w:p>
    <w:p w14:paraId="6F748C36" w14:textId="77777777" w:rsidR="00DC6C3F" w:rsidRDefault="00DC6C3F" w:rsidP="00F6361D">
      <w:r>
        <w:t>Following a review of outbreaks linked to poultry liver,</w:t>
      </w:r>
      <w:r>
        <w:rPr>
          <w:vertAlign w:val="superscript"/>
        </w:rPr>
        <w:t>15</w:t>
      </w:r>
      <w:r>
        <w:t xml:space="preserve"> guidelines have been developed by Food Standards Australia (FSA) recommending that whole livers are cooked to an internal temperature of 70 </w:t>
      </w:r>
      <w:r>
        <w:rPr>
          <w:vertAlign w:val="superscript"/>
        </w:rPr>
        <w:t>o</w:t>
      </w:r>
      <w:r>
        <w:t>C for at least two minutes, measured using a digital probe.</w:t>
      </w:r>
      <w:r>
        <w:rPr>
          <w:vertAlign w:val="superscript"/>
        </w:rPr>
        <w:t>20</w:t>
      </w:r>
      <w:r>
        <w:t xml:space="preserve"> The guidelines also suggest that the safest way to prepare paté is to bake the whole dish in a waterbath at temperatures greater than 150 </w:t>
      </w:r>
      <w:r>
        <w:rPr>
          <w:vertAlign w:val="superscript"/>
        </w:rPr>
        <w:t>o</w:t>
      </w:r>
      <w:r>
        <w:t xml:space="preserve">C for two hours. These methods ensure the final paté product reaches an internal temperature sufficient to kill pathogenic bacteria. </w:t>
      </w:r>
    </w:p>
    <w:p w14:paraId="6533E5E2" w14:textId="77777777" w:rsidR="00DC6C3F" w:rsidRDefault="00DC6C3F" w:rsidP="00F6361D">
      <w:r>
        <w:lastRenderedPageBreak/>
        <w:t xml:space="preserve">It is unclear if the livers were cooked in a waterbath or pan fried, and whether internal temperatures reported were reached, as no temperature records were kept. If prepared in a waterbath, temperatures and cooking times were likely insufficient, based on the FSA guidelines; and if pan-fried, uneven cooking may have resulted in some livers failing to reach an appropriate internal temperature. </w:t>
      </w:r>
    </w:p>
    <w:p w14:paraId="1306E918" w14:textId="77777777" w:rsidR="00DC6C3F" w:rsidRDefault="00DC6C3F" w:rsidP="00F6361D">
      <w:r>
        <w:t xml:space="preserve">Neither the duck breast nor the liver parfait was a component of any other dish; however, 14 cases (50%) reported not eating duck canapé and still became unwell. While this may be attributed to misclassification of food exposures, it may also be the result of cross-contamination during food preparation. While there were reports of staff not wearing gloves and mixing dishes by hand at the wedding venue, the risk of cross-contamination was likely higher at the central production kitchen where equipment used to whip the paté into parfait may have been used on other ready-to-eat foods. Raw duck breast was also washed prior to cooking, which may have contaminated the sink and other surfaces. In addition, all food products were reportedly prepared together on a single table, and knives were not properly sanitised between usage. While biological plausibility and the univariate analysis implicate the duck canapé as the likely source of illness, the small study sample size and lack of microbiological evidence mean cross-contamination of other foods cannot be ruled out. </w:t>
      </w:r>
    </w:p>
    <w:p w14:paraId="0B28F6F8" w14:textId="77777777" w:rsidR="00DC6C3F" w:rsidRDefault="00DC6C3F" w:rsidP="00F6361D">
      <w:r>
        <w:t xml:space="preserve">Conversely, 12 controls (22%) reported eating the duck and didn’t become unwell. This may be attributable to multiple batches of canapés being prepared and served, some which were not contaminated or which may have had uneven distribution of </w:t>
      </w:r>
      <w:r w:rsidRPr="00F6361D">
        <w:rPr>
          <w:rStyle w:val="Emphasis"/>
          <w:b w:val="0"/>
          <w:bCs w:val="0"/>
        </w:rPr>
        <w:t>Campylobacter</w:t>
      </w:r>
      <w:r>
        <w:t xml:space="preserve"> within the batch. Additionally, it could be related to dose response or prior immunity. While the infectious dose of </w:t>
      </w:r>
      <w:r w:rsidRPr="00F6361D">
        <w:rPr>
          <w:rStyle w:val="Emphasis"/>
          <w:b w:val="0"/>
          <w:bCs w:val="0"/>
        </w:rPr>
        <w:t>Campylobacter</w:t>
      </w:r>
      <w:r>
        <w:t xml:space="preserve"> is low—less than 500 organisms can cause infection</w:t>
      </w:r>
      <w:r>
        <w:rPr>
          <w:vertAlign w:val="superscript"/>
        </w:rPr>
        <w:t>6</w:t>
      </w:r>
      <w:r>
        <w:t xml:space="preserve">—the dose required to produce symptomatic illness may be higher, depending on </w:t>
      </w:r>
      <w:r w:rsidRPr="00F6361D">
        <w:rPr>
          <w:rStyle w:val="Emphasis"/>
          <w:b w:val="0"/>
          <w:bCs w:val="0"/>
        </w:rPr>
        <w:t>Campylobacter</w:t>
      </w:r>
      <w:r>
        <w:t xml:space="preserve"> strain virulence and immune status of the host.</w:t>
      </w:r>
      <w:r>
        <w:rPr>
          <w:vertAlign w:val="superscript"/>
        </w:rPr>
        <w:t>21</w:t>
      </w:r>
      <w:r>
        <w:t xml:space="preserve"> There is evidence to suggest that prior infection with </w:t>
      </w:r>
      <w:r w:rsidRPr="00F6361D">
        <w:rPr>
          <w:rStyle w:val="Emphasis"/>
          <w:b w:val="0"/>
          <w:bCs w:val="0"/>
        </w:rPr>
        <w:t>Campylobacter</w:t>
      </w:r>
      <w:r>
        <w:t xml:space="preserve"> provides acquired immunity which confers protection against symptomatic infection, and that seroprevalence to </w:t>
      </w:r>
      <w:r w:rsidRPr="00F6361D">
        <w:rPr>
          <w:rStyle w:val="Emphasis"/>
          <w:b w:val="0"/>
          <w:bCs w:val="0"/>
        </w:rPr>
        <w:t>Campylobacter</w:t>
      </w:r>
      <w:r>
        <w:t xml:space="preserve"> increases with age, leading to a reduction in symptomatic infection despite repeat exposures.</w:t>
      </w:r>
      <w:r>
        <w:rPr>
          <w:vertAlign w:val="superscript"/>
        </w:rPr>
        <w:t>22</w:t>
      </w:r>
      <w:r>
        <w:t xml:space="preserve"> </w:t>
      </w:r>
    </w:p>
    <w:p w14:paraId="3D9732E1" w14:textId="77777777" w:rsidR="00DC6C3F" w:rsidRPr="00F6361D" w:rsidRDefault="00DC6C3F" w:rsidP="00F6361D">
      <w:pPr>
        <w:pStyle w:val="Heading2"/>
      </w:pPr>
      <w:r w:rsidRPr="00F6361D">
        <w:t xml:space="preserve">Limitations </w:t>
      </w:r>
    </w:p>
    <w:p w14:paraId="6C87B0B6" w14:textId="77777777" w:rsidR="00DC6C3F" w:rsidRDefault="00DC6C3F" w:rsidP="00F6361D">
      <w:r>
        <w:t xml:space="preserve">A major limitation of this investigation was the inability to obtain microbiological evidence of </w:t>
      </w:r>
      <w:r w:rsidRPr="00F6361D">
        <w:rPr>
          <w:rStyle w:val="Emphasis"/>
          <w:b w:val="0"/>
          <w:bCs w:val="0"/>
        </w:rPr>
        <w:t>Campylobacter</w:t>
      </w:r>
      <w:r>
        <w:t xml:space="preserve"> in any food samples. Instead, evidence obtained from the environmental investigation, as well as the large body of evidence in the literature reporting an association with </w:t>
      </w:r>
      <w:r w:rsidRPr="00F6361D">
        <w:rPr>
          <w:rStyle w:val="Emphasis"/>
          <w:b w:val="0"/>
          <w:bCs w:val="0"/>
        </w:rPr>
        <w:t xml:space="preserve">Campylobacter </w:t>
      </w:r>
      <w:r>
        <w:t xml:space="preserve">infection in humans and consumption of poultry meat and poultry liver, support the results obtained from the epidemiological investigation. </w:t>
      </w:r>
    </w:p>
    <w:p w14:paraId="2C932131" w14:textId="77777777" w:rsidR="00DC6C3F" w:rsidRDefault="00DC6C3F" w:rsidP="00F6361D">
      <w:r>
        <w:t xml:space="preserve">The small sample size resulted in a lack of statistical power, making it difficult to obtain a discernibly high OR for any single food exposure. Analytical studies in outbreak investigations are almost always limited by statistical power, as there are constraints on the number of cases able to be included. </w:t>
      </w:r>
    </w:p>
    <w:p w14:paraId="236D1E02" w14:textId="77777777" w:rsidR="00DC6C3F" w:rsidRDefault="00DC6C3F" w:rsidP="00F6361D">
      <w:r>
        <w:t xml:space="preserve">While use of unmatched controls led to significant differences in age and sex between cases and controls, we attempted to control for confounding by these variables during analysis using stratification and multivariate logistic regression. Selection bias was curtailed as much as possible by randomising controls from the same population that generated the cases. To limit recall bias, a standardised questionnaire was used, listing all foods on the menu with no open-ended questions; however, the delay between the event and notification of gastrointestinal illness may have had an effect on recall of foods eaten. </w:t>
      </w:r>
    </w:p>
    <w:p w14:paraId="2C24F7F6" w14:textId="77777777" w:rsidR="00DC6C3F" w:rsidRPr="00F6361D" w:rsidRDefault="00DC6C3F" w:rsidP="00F6361D">
      <w:pPr>
        <w:pStyle w:val="Heading2"/>
      </w:pPr>
      <w:r w:rsidRPr="00F6361D">
        <w:t xml:space="preserve">Conclusion </w:t>
      </w:r>
    </w:p>
    <w:p w14:paraId="21496BEA" w14:textId="77777777" w:rsidR="00DC6C3F" w:rsidRDefault="00DC6C3F" w:rsidP="00F6361D">
      <w:r>
        <w:t xml:space="preserve">The evidence suggests this was a foodborne outbreak caused by </w:t>
      </w:r>
      <w:r w:rsidRPr="00F6361D">
        <w:rPr>
          <w:rStyle w:val="Emphasis"/>
          <w:b w:val="0"/>
          <w:bCs w:val="0"/>
        </w:rPr>
        <w:t>Campylobacter jejuni</w:t>
      </w:r>
      <w:r>
        <w:t xml:space="preserve">, with the duck and apple relish brioche canapé the most likely food vehicle. Consistent with the literature on </w:t>
      </w:r>
      <w:r w:rsidRPr="00F6361D">
        <w:rPr>
          <w:rStyle w:val="Emphasis"/>
          <w:b w:val="0"/>
          <w:bCs w:val="0"/>
        </w:rPr>
        <w:t>Campylobacter</w:t>
      </w:r>
      <w:r>
        <w:t xml:space="preserve"> transmission, it is likely that inadequate cooking of duck liver for the parfait was the contributing factor that led to illness. This emphasises risks posed by poultry dishes if undercooked, and shows that education of food handlers in preparing </w:t>
      </w:r>
      <w:r>
        <w:lastRenderedPageBreak/>
        <w:t xml:space="preserve">poultry liver remains a priority. It also highlights the need to ensure food safety procedures are properly monitored and reviewed to ensure adherence. </w:t>
      </w:r>
    </w:p>
    <w:p w14:paraId="18BDB7CB" w14:textId="77777777" w:rsidR="00DC6C3F" w:rsidRPr="00F6361D" w:rsidRDefault="00DC6C3F" w:rsidP="00F6361D">
      <w:pPr>
        <w:pStyle w:val="Heading1"/>
      </w:pPr>
      <w:r w:rsidRPr="00F6361D">
        <w:t xml:space="preserve">Acknowledgements </w:t>
      </w:r>
    </w:p>
    <w:p w14:paraId="41409AAC" w14:textId="77777777" w:rsidR="00DC6C3F" w:rsidRDefault="00DC6C3F" w:rsidP="00F6361D">
      <w:r>
        <w:t>This investigation was completed while Jane McAllister was a Scholar in the Australian National University Master of Applied Epidemiology program funded by the Victorian Department of Health. The authors would like to acknowledge the additional people and organisations for their assistance with the investigation: staff in Information Systems Support (ISS), Communicable Disease Prevention and Control (CDPC) and Communicable Disease Epidemiology and Surveillance (CDES), Health Protection Branch, Victorian Department of Health; environmental health officers at the associated Victorian local government authorities; and laboratory staff at the primary diagnostic laboratories and Microbiological Diagnostic Unit Public Health Laboratory, Melbourne, Victoria.</w:t>
      </w:r>
    </w:p>
    <w:p w14:paraId="667A8D9A" w14:textId="77777777" w:rsidR="00DC6C3F" w:rsidRPr="00F6361D" w:rsidRDefault="00DC6C3F" w:rsidP="00F6361D">
      <w:pPr>
        <w:pStyle w:val="Heading1"/>
      </w:pPr>
      <w:r w:rsidRPr="00F6361D">
        <w:t xml:space="preserve">Author details </w:t>
      </w:r>
    </w:p>
    <w:p w14:paraId="069733FA" w14:textId="77777777" w:rsidR="00DC6C3F" w:rsidRDefault="00DC6C3F" w:rsidP="00F6361D">
      <w:r>
        <w:t>Jane McAllister</w:t>
      </w:r>
      <w:r>
        <w:rPr>
          <w:vertAlign w:val="superscript"/>
        </w:rPr>
        <w:t xml:space="preserve">1,2,3 </w:t>
      </w:r>
    </w:p>
    <w:p w14:paraId="71B1A7ED" w14:textId="77777777" w:rsidR="00DC6C3F" w:rsidRDefault="00DC6C3F" w:rsidP="00F6361D">
      <w:r>
        <w:t>Joy Gregory</w:t>
      </w:r>
      <w:r>
        <w:rPr>
          <w:vertAlign w:val="superscript"/>
        </w:rPr>
        <w:t xml:space="preserve">1 </w:t>
      </w:r>
    </w:p>
    <w:p w14:paraId="47843272" w14:textId="77777777" w:rsidR="00DC6C3F" w:rsidRDefault="00DC6C3F" w:rsidP="00F6361D">
      <w:r>
        <w:t>Jim Adamopoulos</w:t>
      </w:r>
      <w:r>
        <w:rPr>
          <w:vertAlign w:val="superscript"/>
        </w:rPr>
        <w:t xml:space="preserve">1 </w:t>
      </w:r>
    </w:p>
    <w:p w14:paraId="3590294A" w14:textId="77777777" w:rsidR="00DC6C3F" w:rsidRDefault="00DC6C3F" w:rsidP="00F6361D">
      <w:r>
        <w:t>Madeleine Walsh</w:t>
      </w:r>
      <w:r>
        <w:rPr>
          <w:vertAlign w:val="superscript"/>
        </w:rPr>
        <w:t xml:space="preserve">1 </w:t>
      </w:r>
    </w:p>
    <w:p w14:paraId="768CC89B" w14:textId="77777777" w:rsidR="00DC6C3F" w:rsidRDefault="00DC6C3F" w:rsidP="00F6361D">
      <w:r>
        <w:t>Anastasia Stylianopoulos</w:t>
      </w:r>
      <w:r>
        <w:rPr>
          <w:vertAlign w:val="superscript"/>
        </w:rPr>
        <w:t xml:space="preserve">1 </w:t>
      </w:r>
    </w:p>
    <w:p w14:paraId="11F8E284" w14:textId="77777777" w:rsidR="00DC6C3F" w:rsidRDefault="00DC6C3F" w:rsidP="00F6361D">
      <w:r>
        <w:t>Anna-Lena Arnold</w:t>
      </w:r>
      <w:r>
        <w:rPr>
          <w:vertAlign w:val="superscript"/>
        </w:rPr>
        <w:t xml:space="preserve">1 </w:t>
      </w:r>
    </w:p>
    <w:p w14:paraId="14168D57" w14:textId="77777777" w:rsidR="00DC6C3F" w:rsidRDefault="00DC6C3F" w:rsidP="00F6361D">
      <w:r>
        <w:t>Russell Stafford</w:t>
      </w:r>
      <w:r>
        <w:rPr>
          <w:vertAlign w:val="superscript"/>
        </w:rPr>
        <w:t xml:space="preserve">3 </w:t>
      </w:r>
    </w:p>
    <w:p w14:paraId="4038FC9A" w14:textId="77777777" w:rsidR="00DC6C3F" w:rsidRDefault="00DC6C3F" w:rsidP="00F6361D">
      <w:r>
        <w:t>Patiyan Andersson</w:t>
      </w:r>
      <w:r>
        <w:rPr>
          <w:vertAlign w:val="superscript"/>
        </w:rPr>
        <w:t xml:space="preserve">2 </w:t>
      </w:r>
    </w:p>
    <w:p w14:paraId="653F6A0C" w14:textId="77777777" w:rsidR="00DC6C3F" w:rsidRDefault="00DC6C3F" w:rsidP="00F6361D">
      <w:r>
        <w:t>Tony Stewart</w:t>
      </w:r>
      <w:r>
        <w:rPr>
          <w:vertAlign w:val="superscript"/>
        </w:rPr>
        <w:t xml:space="preserve">4 </w:t>
      </w:r>
    </w:p>
    <w:p w14:paraId="4CD440D9" w14:textId="77777777" w:rsidR="00DC6C3F" w:rsidRPr="00F6361D" w:rsidRDefault="00DC6C3F" w:rsidP="00F6361D">
      <w:pPr>
        <w:pStyle w:val="ListParagraph"/>
        <w:numPr>
          <w:ilvl w:val="0"/>
          <w:numId w:val="9"/>
        </w:numPr>
        <w:rPr>
          <w:rFonts w:eastAsia="Times New Roman"/>
        </w:rPr>
      </w:pPr>
      <w:r w:rsidRPr="00F6361D">
        <w:rPr>
          <w:rFonts w:eastAsia="Times New Roman"/>
        </w:rPr>
        <w:t xml:space="preserve">Health Protection Branch, Victorian Government Department of Health, Melbourne, Victoria, Australia. </w:t>
      </w:r>
    </w:p>
    <w:p w14:paraId="05C8B3A8" w14:textId="77777777" w:rsidR="00DC6C3F" w:rsidRPr="00F6361D" w:rsidRDefault="00DC6C3F" w:rsidP="00F6361D">
      <w:pPr>
        <w:pStyle w:val="ListParagraph"/>
        <w:numPr>
          <w:ilvl w:val="0"/>
          <w:numId w:val="9"/>
        </w:numPr>
        <w:rPr>
          <w:rFonts w:eastAsia="Times New Roman"/>
        </w:rPr>
      </w:pPr>
      <w:r w:rsidRPr="00F6361D">
        <w:rPr>
          <w:rFonts w:eastAsia="Times New Roman"/>
        </w:rPr>
        <w:t xml:space="preserve">Microbiological Diagnostic Unit Public Health Laboratory, Peter Doherty Institute for Infection and Immunity, Melbourne, Victoria, Australia. </w:t>
      </w:r>
    </w:p>
    <w:p w14:paraId="7FA0D9F1" w14:textId="77777777" w:rsidR="00DC6C3F" w:rsidRPr="00F6361D" w:rsidRDefault="00DC6C3F" w:rsidP="00F6361D">
      <w:pPr>
        <w:pStyle w:val="ListParagraph"/>
        <w:numPr>
          <w:ilvl w:val="0"/>
          <w:numId w:val="9"/>
        </w:numPr>
        <w:rPr>
          <w:rFonts w:eastAsia="Times New Roman"/>
        </w:rPr>
      </w:pPr>
      <w:r w:rsidRPr="00F6361D">
        <w:rPr>
          <w:rFonts w:eastAsia="Times New Roman"/>
        </w:rPr>
        <w:t xml:space="preserve">OzFoodnet, Communicable Diseases Branch, Queensland Health, Brisbane, Queensland, Australia. </w:t>
      </w:r>
    </w:p>
    <w:p w14:paraId="58D5EF4E" w14:textId="77777777" w:rsidR="00DC6C3F" w:rsidRPr="00F6361D" w:rsidRDefault="00DC6C3F" w:rsidP="00F6361D">
      <w:pPr>
        <w:pStyle w:val="ListParagraph"/>
        <w:numPr>
          <w:ilvl w:val="0"/>
          <w:numId w:val="9"/>
        </w:numPr>
        <w:rPr>
          <w:rFonts w:eastAsia="Times New Roman"/>
        </w:rPr>
      </w:pPr>
      <w:r w:rsidRPr="00F6361D">
        <w:rPr>
          <w:rFonts w:eastAsia="Times New Roman"/>
        </w:rPr>
        <w:t xml:space="preserve">National Centre for Epidemiology and Population Health, Australian National University, Canberra, Australian Capital Territory, Australia. </w:t>
      </w:r>
    </w:p>
    <w:p w14:paraId="224A6DD0" w14:textId="77777777" w:rsidR="00DC6C3F" w:rsidRPr="00F6361D" w:rsidRDefault="00DC6C3F" w:rsidP="00C6766B">
      <w:pPr>
        <w:pStyle w:val="Heading2"/>
        <w:spacing w:after="200"/>
      </w:pPr>
      <w:r w:rsidRPr="00F6361D">
        <w:t xml:space="preserve">Corresponding author </w:t>
      </w:r>
    </w:p>
    <w:p w14:paraId="1C637C50" w14:textId="77777777" w:rsidR="00DC6C3F" w:rsidRDefault="00DC6C3F" w:rsidP="00F6361D">
      <w:r>
        <w:t xml:space="preserve">Ms Jane McAllister </w:t>
      </w:r>
    </w:p>
    <w:p w14:paraId="2FA4C1EF" w14:textId="77777777" w:rsidR="00DC6C3F" w:rsidRDefault="00DC6C3F" w:rsidP="00F6361D">
      <w:r>
        <w:t xml:space="preserve">Address: Victorian Government Department of Health, 500 Lonsdale St Melbourne, Vic 3000. </w:t>
      </w:r>
    </w:p>
    <w:p w14:paraId="5EB0C27E" w14:textId="77777777" w:rsidR="00DC6C3F" w:rsidRDefault="00DC6C3F" w:rsidP="00F6361D">
      <w:r>
        <w:t xml:space="preserve">Phone: +61 3 9500 4629. </w:t>
      </w:r>
    </w:p>
    <w:p w14:paraId="3E223F5B" w14:textId="77777777" w:rsidR="00DC6C3F" w:rsidRDefault="00DC6C3F" w:rsidP="00F6361D">
      <w:r>
        <w:t xml:space="preserve">Email: jane.mcallister@health.vic.gov.au </w:t>
      </w:r>
    </w:p>
    <w:p w14:paraId="42E548E5" w14:textId="77777777" w:rsidR="00DC6C3F" w:rsidRPr="00F6361D" w:rsidRDefault="00DC6C3F" w:rsidP="00F6361D">
      <w:pPr>
        <w:pStyle w:val="Heading1"/>
      </w:pPr>
      <w:r w:rsidRPr="00F6361D">
        <w:lastRenderedPageBreak/>
        <w:t xml:space="preserve">References </w:t>
      </w:r>
    </w:p>
    <w:p w14:paraId="712A53ED"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Australian Government Department of Health and Aged Care. National Notifable Diseases Surveillance System—Notification rate of campylobacteriosis 2019. [Internet.] Canberra: Australian Government Department of Health and Aged Care. [Accessed in May 2022.] Available from: http://www9.health.gov.au/cda/source/cda-index.cfm. </w:t>
      </w:r>
    </w:p>
    <w:p w14:paraId="7FE2AA06"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Hall G, Yohannes K, Raupach J, Becker N, Kirk M. Estimating community incidence of </w:t>
      </w:r>
      <w:r w:rsidRPr="00F6361D">
        <w:rPr>
          <w:rStyle w:val="Emphasis"/>
          <w:rFonts w:eastAsia="Times New Roman"/>
          <w:b w:val="0"/>
          <w:bCs w:val="0"/>
        </w:rPr>
        <w:t>Salmonella</w:t>
      </w:r>
      <w:r w:rsidRPr="00F6361D">
        <w:rPr>
          <w:rFonts w:eastAsia="Times New Roman"/>
        </w:rPr>
        <w:t xml:space="preserve">, </w:t>
      </w:r>
      <w:r w:rsidRPr="00F6361D">
        <w:rPr>
          <w:rStyle w:val="Emphasis"/>
          <w:rFonts w:eastAsia="Times New Roman"/>
          <w:b w:val="0"/>
          <w:bCs w:val="0"/>
        </w:rPr>
        <w:t>Campylobacter</w:t>
      </w:r>
      <w:r w:rsidRPr="00F6361D">
        <w:rPr>
          <w:rFonts w:eastAsia="Times New Roman"/>
        </w:rPr>
        <w:t xml:space="preserve">, and Shiga toxin-producing </w:t>
      </w:r>
      <w:r w:rsidRPr="00F6361D">
        <w:rPr>
          <w:rStyle w:val="Emphasis"/>
          <w:rFonts w:eastAsia="Times New Roman"/>
          <w:b w:val="0"/>
          <w:bCs w:val="0"/>
        </w:rPr>
        <w:t>Escherichia coli</w:t>
      </w:r>
      <w:r w:rsidRPr="00F6361D">
        <w:rPr>
          <w:rFonts w:eastAsia="Times New Roman"/>
        </w:rPr>
        <w:t xml:space="preserve"> infections, Australia. </w:t>
      </w:r>
      <w:r w:rsidRPr="00F6361D">
        <w:rPr>
          <w:rStyle w:val="Emphasis"/>
          <w:rFonts w:eastAsia="Times New Roman"/>
          <w:b w:val="0"/>
          <w:bCs w:val="0"/>
        </w:rPr>
        <w:t>Emerg Infect Dis</w:t>
      </w:r>
      <w:r w:rsidRPr="00F6361D">
        <w:rPr>
          <w:rFonts w:eastAsia="Times New Roman"/>
        </w:rPr>
        <w:t xml:space="preserve">. 2008;14(10):1601–9. doi: https://doi.org/10.3201/eid1410.071042. </w:t>
      </w:r>
    </w:p>
    <w:p w14:paraId="35A19CFE"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Moffatt CRM, Fearnley E, Bell R, Wright R, Gregory J, Sloan-Gardner T et al. Characteristics of </w:t>
      </w:r>
      <w:r w:rsidRPr="00F6361D">
        <w:rPr>
          <w:rStyle w:val="Emphasis"/>
          <w:rFonts w:eastAsia="Times New Roman"/>
          <w:b w:val="0"/>
          <w:bCs w:val="0"/>
        </w:rPr>
        <w:t>Campylobacter</w:t>
      </w:r>
      <w:r w:rsidRPr="00F6361D">
        <w:rPr>
          <w:rFonts w:eastAsia="Times New Roman"/>
        </w:rPr>
        <w:t xml:space="preserve"> gastroenteritis outbreaks in Australia, 2001 to 2016. </w:t>
      </w:r>
      <w:r w:rsidRPr="00F6361D">
        <w:rPr>
          <w:rStyle w:val="Emphasis"/>
          <w:rFonts w:eastAsia="Times New Roman"/>
          <w:b w:val="0"/>
          <w:bCs w:val="0"/>
        </w:rPr>
        <w:t>Foodborne Pathog Dis</w:t>
      </w:r>
      <w:r w:rsidRPr="00F6361D">
        <w:rPr>
          <w:rFonts w:eastAsia="Times New Roman"/>
        </w:rPr>
        <w:t xml:space="preserve">. 2020;17(5):308–15. doi: https://doi.org/10.1089/fpd.2019.2731. </w:t>
      </w:r>
    </w:p>
    <w:p w14:paraId="14109D02"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Hope KG, Merritt TD, Durrheim DN. Short incubation periods in </w:t>
      </w:r>
      <w:r w:rsidRPr="00F6361D">
        <w:rPr>
          <w:rStyle w:val="Emphasis"/>
          <w:rFonts w:eastAsia="Times New Roman"/>
          <w:b w:val="0"/>
          <w:bCs w:val="0"/>
        </w:rPr>
        <w:t>Campylobacter</w:t>
      </w:r>
      <w:r w:rsidRPr="00F6361D">
        <w:rPr>
          <w:rFonts w:eastAsia="Times New Roman"/>
        </w:rPr>
        <w:t xml:space="preserve"> outbreaks associated with poultry liver dishes. </w:t>
      </w:r>
      <w:r w:rsidRPr="00F6361D">
        <w:rPr>
          <w:rStyle w:val="Emphasis"/>
          <w:rFonts w:eastAsia="Times New Roman"/>
          <w:b w:val="0"/>
          <w:bCs w:val="0"/>
        </w:rPr>
        <w:t>Commun Dis Intell Q Rep</w:t>
      </w:r>
      <w:r w:rsidRPr="00F6361D">
        <w:rPr>
          <w:rFonts w:eastAsia="Times New Roman"/>
        </w:rPr>
        <w:t xml:space="preserve">. 2014;38(1):E20–3. </w:t>
      </w:r>
    </w:p>
    <w:p w14:paraId="5C641C4F"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Victorian Department of Health. Campylobacter infection. [Internet.] Melbourne: Victoria State Government Department of Health; 8 October 2015. [Accessed in May 2022.] Available from: https://www.health.vic.gov.au/infectious-diseases/campylobacter-infection. </w:t>
      </w:r>
    </w:p>
    <w:p w14:paraId="079EE097"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Laughlin ME, Chatham-Stephens K, Geissler AL. Campylobacteriosis. [Internet.] Atlanta: Federal Government of the United States, Department of Health and Human Services, Centers For Disease Control and Prevention; 24 June 2019. Available from: https://wwwnc.cdc.gov/travel/yellowbook/2020/travel-related-infectious-diseases/campylobacteriosis. </w:t>
      </w:r>
    </w:p>
    <w:p w14:paraId="751AA4D1"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Facciolà A, Riso R, Avventuroso E, Visalli G, Delia SA, Laganà P. </w:t>
      </w:r>
      <w:r w:rsidRPr="00F6361D">
        <w:rPr>
          <w:rStyle w:val="Emphasis"/>
          <w:rFonts w:eastAsia="Times New Roman"/>
          <w:b w:val="0"/>
          <w:bCs w:val="0"/>
        </w:rPr>
        <w:t>Campylobacter</w:t>
      </w:r>
      <w:r w:rsidRPr="00F6361D">
        <w:rPr>
          <w:rFonts w:eastAsia="Times New Roman"/>
        </w:rPr>
        <w:t xml:space="preserve">: from microbiology to prevention. </w:t>
      </w:r>
      <w:r w:rsidRPr="00F6361D">
        <w:rPr>
          <w:rStyle w:val="Emphasis"/>
          <w:rFonts w:eastAsia="Times New Roman"/>
          <w:b w:val="0"/>
          <w:bCs w:val="0"/>
        </w:rPr>
        <w:t>J Prev Med Hyg</w:t>
      </w:r>
      <w:r w:rsidRPr="00F6361D">
        <w:rPr>
          <w:rFonts w:eastAsia="Times New Roman"/>
        </w:rPr>
        <w:t xml:space="preserve">. 2017;58(2):E79–92. </w:t>
      </w:r>
    </w:p>
    <w:p w14:paraId="1A31ED53"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Hansson I, Nyman A, Lahti E, Gustafsson P, Olsson Engvall E. Associations between </w:t>
      </w:r>
      <w:r w:rsidRPr="00F6361D">
        <w:rPr>
          <w:rStyle w:val="Emphasis"/>
          <w:rFonts w:eastAsia="Times New Roman"/>
          <w:b w:val="0"/>
          <w:bCs w:val="0"/>
        </w:rPr>
        <w:t>Campylobacter</w:t>
      </w:r>
      <w:r w:rsidRPr="00F6361D">
        <w:rPr>
          <w:rFonts w:eastAsia="Times New Roman"/>
        </w:rPr>
        <w:t xml:space="preserve"> levels on chicken skin, underlying muscle, caecum and packaged fillets. </w:t>
      </w:r>
      <w:r w:rsidRPr="00F6361D">
        <w:rPr>
          <w:rStyle w:val="Emphasis"/>
          <w:rFonts w:eastAsia="Times New Roman"/>
          <w:b w:val="0"/>
          <w:bCs w:val="0"/>
        </w:rPr>
        <w:t>Food Microbiol</w:t>
      </w:r>
      <w:r w:rsidRPr="00F6361D">
        <w:rPr>
          <w:rFonts w:eastAsia="Times New Roman"/>
        </w:rPr>
        <w:t xml:space="preserve">. 2015;48:178–81. doi: https://doi.org/10.1016/j.fm.2014.12.013. </w:t>
      </w:r>
    </w:p>
    <w:p w14:paraId="086A4553"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New South Wales Government Food Authority (NSW Food Authority). </w:t>
      </w:r>
      <w:r w:rsidRPr="00F6361D">
        <w:rPr>
          <w:rStyle w:val="Emphasis"/>
          <w:rFonts w:eastAsia="Times New Roman"/>
          <w:b w:val="0"/>
          <w:bCs w:val="0"/>
        </w:rPr>
        <w:t>Campylobacter in chicken liver</w:t>
      </w:r>
      <w:r w:rsidRPr="00F6361D">
        <w:rPr>
          <w:rFonts w:eastAsia="Times New Roman"/>
        </w:rPr>
        <w:t xml:space="preserve">. Sydney: NSW Food Authority; September 2018. Available from: https://www.foodauthority.nsw.gov.au/sites/default/files/_Documents/scienceandtechnical/campylobacter_in_chicken_liver.pdf. </w:t>
      </w:r>
    </w:p>
    <w:p w14:paraId="6FF22F28"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Whyte R, Hudson JA, Graham C. </w:t>
      </w:r>
      <w:r w:rsidRPr="00F6361D">
        <w:rPr>
          <w:rStyle w:val="Emphasis"/>
          <w:rFonts w:eastAsia="Times New Roman"/>
          <w:b w:val="0"/>
          <w:bCs w:val="0"/>
        </w:rPr>
        <w:t>Campylobacter</w:t>
      </w:r>
      <w:r w:rsidRPr="00F6361D">
        <w:rPr>
          <w:rFonts w:eastAsia="Times New Roman"/>
        </w:rPr>
        <w:t xml:space="preserve"> in chicken livers and their destruction by pan frying. </w:t>
      </w:r>
      <w:r w:rsidRPr="00F6361D">
        <w:rPr>
          <w:rStyle w:val="Emphasis"/>
          <w:rFonts w:eastAsia="Times New Roman"/>
          <w:b w:val="0"/>
          <w:bCs w:val="0"/>
        </w:rPr>
        <w:t>Lett Appl Microbiol</w:t>
      </w:r>
      <w:r w:rsidRPr="00F6361D">
        <w:rPr>
          <w:rFonts w:eastAsia="Times New Roman"/>
        </w:rPr>
        <w:t xml:space="preserve">. 2006;43(6):591–5. doi: https://doi.org/10.1111/j.1472-765X.2006.02020.x. </w:t>
      </w:r>
    </w:p>
    <w:p w14:paraId="3907FF9A"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Abid M, Wimalarathna H, Mills J, Saldana L, Pang W, Richardson JF et al. Duck liver-associated outbreak of campylobacteriosis among humans, United Kingdom, 2011. </w:t>
      </w:r>
      <w:r w:rsidRPr="00F6361D">
        <w:rPr>
          <w:rStyle w:val="Emphasis"/>
          <w:rFonts w:eastAsia="Times New Roman"/>
          <w:b w:val="0"/>
          <w:bCs w:val="0"/>
        </w:rPr>
        <w:t>Emerg Infect Dis</w:t>
      </w:r>
      <w:r w:rsidRPr="00F6361D">
        <w:rPr>
          <w:rFonts w:eastAsia="Times New Roman"/>
        </w:rPr>
        <w:t xml:space="preserve">. 2013;19(8):1310–3. doi: https://doi.org/10.3201/eid1908.121535. </w:t>
      </w:r>
    </w:p>
    <w:p w14:paraId="02E58A58"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Wensley A, Padfield S, Hughes GJ. An outbreak of campylobacteriosis at a hotel in England: the ongoing risk due to consumption of chicken liver dishes. </w:t>
      </w:r>
      <w:r w:rsidRPr="00F6361D">
        <w:rPr>
          <w:rStyle w:val="Emphasis"/>
          <w:rFonts w:eastAsia="Times New Roman"/>
          <w:b w:val="0"/>
          <w:bCs w:val="0"/>
        </w:rPr>
        <w:t>Epidemiol Infect</w:t>
      </w:r>
      <w:r w:rsidRPr="00F6361D">
        <w:rPr>
          <w:rFonts w:eastAsia="Times New Roman"/>
        </w:rPr>
        <w:t xml:space="preserve">. 2020;148:e32. doi: https://doi.org/10.1017/S095026882000028X. </w:t>
      </w:r>
    </w:p>
    <w:p w14:paraId="3AF90BD0"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Young NJ, Day J, Montsho-Hammond F, Verlander NQ, Irish C, Pankhania B et al. </w:t>
      </w:r>
      <w:r w:rsidRPr="00F6361D">
        <w:rPr>
          <w:rStyle w:val="Emphasis"/>
          <w:rFonts w:eastAsia="Times New Roman"/>
          <w:b w:val="0"/>
          <w:bCs w:val="0"/>
        </w:rPr>
        <w:t>Campylobacter</w:t>
      </w:r>
      <w:r w:rsidRPr="00F6361D">
        <w:rPr>
          <w:rFonts w:eastAsia="Times New Roman"/>
        </w:rPr>
        <w:t xml:space="preserve"> infection associated with consumption of duck liver pate: a retrospective cohort study in the setting of near universal exposure. </w:t>
      </w:r>
      <w:r w:rsidRPr="00F6361D">
        <w:rPr>
          <w:rStyle w:val="Emphasis"/>
          <w:rFonts w:eastAsia="Times New Roman"/>
          <w:b w:val="0"/>
          <w:bCs w:val="0"/>
        </w:rPr>
        <w:t>Epidemiol Infect</w:t>
      </w:r>
      <w:r w:rsidRPr="00F6361D">
        <w:rPr>
          <w:rFonts w:eastAsia="Times New Roman"/>
        </w:rPr>
        <w:t xml:space="preserve">. 2014;142(6):1269–76. doi: https://doi.org/10.1017/S0950268813001969. </w:t>
      </w:r>
    </w:p>
    <w:p w14:paraId="7F470D18"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Parry A, Fearnley E, Denehy E. ‘Surprise’: Outbreak of </w:t>
      </w:r>
      <w:r w:rsidRPr="00F6361D">
        <w:rPr>
          <w:rStyle w:val="Emphasis"/>
          <w:rFonts w:eastAsia="Times New Roman"/>
          <w:b w:val="0"/>
          <w:bCs w:val="0"/>
        </w:rPr>
        <w:t>Campylobacter</w:t>
      </w:r>
      <w:r w:rsidRPr="00F6361D">
        <w:rPr>
          <w:rFonts w:eastAsia="Times New Roman"/>
        </w:rPr>
        <w:t xml:space="preserve"> infection associated with chicken liver pâté at a surprise birthday party, Adelaide, Australia, 2012. </w:t>
      </w:r>
      <w:r w:rsidRPr="00F6361D">
        <w:rPr>
          <w:rStyle w:val="Emphasis"/>
          <w:rFonts w:eastAsia="Times New Roman"/>
          <w:b w:val="0"/>
          <w:bCs w:val="0"/>
        </w:rPr>
        <w:t>Western Pac Surveill Response J</w:t>
      </w:r>
      <w:r w:rsidRPr="00F6361D">
        <w:rPr>
          <w:rFonts w:eastAsia="Times New Roman"/>
        </w:rPr>
        <w:t xml:space="preserve">. 2012;3(4):16–9. doi: https://doi.org/10.5365/WPSAR.2012.3.4.011. </w:t>
      </w:r>
    </w:p>
    <w:p w14:paraId="63CE3D17"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Merritt T, Combs B, Pingault N. </w:t>
      </w:r>
      <w:r w:rsidRPr="00F6361D">
        <w:rPr>
          <w:rStyle w:val="Emphasis"/>
          <w:rFonts w:eastAsia="Times New Roman"/>
          <w:b w:val="0"/>
          <w:bCs w:val="0"/>
        </w:rPr>
        <w:t>Campylobacter</w:t>
      </w:r>
      <w:r w:rsidRPr="00F6361D">
        <w:rPr>
          <w:rFonts w:eastAsia="Times New Roman"/>
        </w:rPr>
        <w:t xml:space="preserve"> outbreaks associated with poultry liver dishes. </w:t>
      </w:r>
      <w:r w:rsidRPr="00F6361D">
        <w:rPr>
          <w:rStyle w:val="Emphasis"/>
          <w:rFonts w:eastAsia="Times New Roman"/>
          <w:b w:val="0"/>
          <w:bCs w:val="0"/>
        </w:rPr>
        <w:t>Commun Dis Intell Q Rep</w:t>
      </w:r>
      <w:r w:rsidRPr="00F6361D">
        <w:rPr>
          <w:rFonts w:eastAsia="Times New Roman"/>
        </w:rPr>
        <w:t xml:space="preserve">. 2011;35(4):299–300. </w:t>
      </w:r>
    </w:p>
    <w:p w14:paraId="7A0A806E" w14:textId="77777777" w:rsidR="00DC6C3F" w:rsidRPr="00F6361D" w:rsidRDefault="00DC6C3F" w:rsidP="00F6361D">
      <w:pPr>
        <w:pStyle w:val="ListParagraph"/>
        <w:numPr>
          <w:ilvl w:val="0"/>
          <w:numId w:val="10"/>
        </w:numPr>
        <w:rPr>
          <w:rFonts w:eastAsia="Times New Roman"/>
        </w:rPr>
      </w:pPr>
      <w:r w:rsidRPr="00F6361D">
        <w:rPr>
          <w:rFonts w:eastAsia="Times New Roman"/>
        </w:rPr>
        <w:lastRenderedPageBreak/>
        <w:t xml:space="preserve">Scott MK, Geissler A, Poissant T, DeBess E, Melius B, Eckmann K et al. Notes from the field: campylobacteriosis outbreak associated with consuming undercooked chicken liver pâté – Ohio and Oregon, December 2013–January 2014. </w:t>
      </w:r>
      <w:r w:rsidRPr="00F6361D">
        <w:rPr>
          <w:rStyle w:val="Emphasis"/>
          <w:rFonts w:eastAsia="Times New Roman"/>
          <w:b w:val="0"/>
          <w:bCs w:val="0"/>
        </w:rPr>
        <w:t>MMWR Morb Mortal Wkly Rep</w:t>
      </w:r>
      <w:r w:rsidRPr="00F6361D">
        <w:rPr>
          <w:rFonts w:eastAsia="Times New Roman"/>
        </w:rPr>
        <w:t xml:space="preserve">. 2015;64(14):399. </w:t>
      </w:r>
    </w:p>
    <w:p w14:paraId="7FEDFD6F"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Edwards DS, Milne LM, Morrow K, Sheridan P, Verlander NQ, Mulla R et al. Campylobacteriosis outbreak associated with consumption of undercooked chicken liver pâté in the East of England, September 2011: identification of a dose-response risk. </w:t>
      </w:r>
      <w:r w:rsidRPr="00F6361D">
        <w:rPr>
          <w:rStyle w:val="Emphasis"/>
          <w:rFonts w:eastAsia="Times New Roman"/>
          <w:b w:val="0"/>
          <w:bCs w:val="0"/>
        </w:rPr>
        <w:t>Epidemiol Infect</w:t>
      </w:r>
      <w:r w:rsidRPr="00F6361D">
        <w:rPr>
          <w:rFonts w:eastAsia="Times New Roman"/>
        </w:rPr>
        <w:t xml:space="preserve">. 2014;142(2):352–7. doi: https://doi.org/10.1017/S0950268813001222. </w:t>
      </w:r>
    </w:p>
    <w:p w14:paraId="682086BB"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Inns T, Foster K, Gorton R. Cohort study of a campylobacteriosis outbreak associated with chicken liver parfait, United Kingdom, June 2010. </w:t>
      </w:r>
      <w:r w:rsidRPr="00F6361D">
        <w:rPr>
          <w:rStyle w:val="Emphasis"/>
          <w:rFonts w:eastAsia="Times New Roman"/>
          <w:b w:val="0"/>
          <w:bCs w:val="0"/>
        </w:rPr>
        <w:t>Euro Surveill</w:t>
      </w:r>
      <w:r w:rsidRPr="00F6361D">
        <w:rPr>
          <w:rFonts w:eastAsia="Times New Roman"/>
        </w:rPr>
        <w:t xml:space="preserve">. 2010;15(44):19704. doi: https://doi.org/10.2807/ese.15.44.19704-en. </w:t>
      </w:r>
    </w:p>
    <w:p w14:paraId="42DD9411"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Hutchison M, Harrison D, Richardson I, Tchórzewska M. A method for the preparation of chicken liver pate that reliably destroys campylobacters. </w:t>
      </w:r>
      <w:r w:rsidRPr="00F6361D">
        <w:rPr>
          <w:rStyle w:val="Emphasis"/>
          <w:rFonts w:eastAsia="Times New Roman"/>
          <w:b w:val="0"/>
          <w:bCs w:val="0"/>
        </w:rPr>
        <w:t>Int J Environ Res Public Health</w:t>
      </w:r>
      <w:r w:rsidRPr="00F6361D">
        <w:rPr>
          <w:rFonts w:eastAsia="Times New Roman"/>
        </w:rPr>
        <w:t xml:space="preserve">. 2015;12(5):4652–69. doi: https://doi.org/10.3390/ijerph120504652. </w:t>
      </w:r>
    </w:p>
    <w:p w14:paraId="49862BBD"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Food Standards Australia New Zealand (FSANZ). Poultry liver dishes - how to cook them safely. [Internet.] Canberra: FSANZ; March 2017. Available from: https://www.foodstandards.gov.au/consumer/safety/poultryliver/Pages/default.aspx. </w:t>
      </w:r>
    </w:p>
    <w:p w14:paraId="3B48CA27"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Teunis PFM, Bonačić Marinović A, Tribble DR, Porter CK, Swart A. Acute illness from </w:t>
      </w:r>
      <w:r w:rsidRPr="00F6361D">
        <w:rPr>
          <w:rStyle w:val="Emphasis"/>
          <w:rFonts w:eastAsia="Times New Roman"/>
          <w:b w:val="0"/>
          <w:bCs w:val="0"/>
        </w:rPr>
        <w:t>Campylobacter jejuni</w:t>
      </w:r>
      <w:r w:rsidRPr="00F6361D">
        <w:rPr>
          <w:rFonts w:eastAsia="Times New Roman"/>
        </w:rPr>
        <w:t xml:space="preserve"> may require high doses while infection occurs at low doses. </w:t>
      </w:r>
      <w:r w:rsidRPr="00F6361D">
        <w:rPr>
          <w:rStyle w:val="Emphasis"/>
          <w:rFonts w:eastAsia="Times New Roman"/>
          <w:b w:val="0"/>
          <w:bCs w:val="0"/>
        </w:rPr>
        <w:t>Epidemics</w:t>
      </w:r>
      <w:r w:rsidRPr="00F6361D">
        <w:rPr>
          <w:rFonts w:eastAsia="Times New Roman"/>
        </w:rPr>
        <w:t xml:space="preserve">. 2018;24:1–20. doi: https://doi.org/10.1016/j.epidem.2018.02.001. </w:t>
      </w:r>
    </w:p>
    <w:p w14:paraId="7280017F" w14:textId="77777777" w:rsidR="00DC6C3F" w:rsidRPr="00F6361D" w:rsidRDefault="00DC6C3F" w:rsidP="00F6361D">
      <w:pPr>
        <w:pStyle w:val="ListParagraph"/>
        <w:numPr>
          <w:ilvl w:val="0"/>
          <w:numId w:val="10"/>
        </w:numPr>
        <w:rPr>
          <w:rFonts w:eastAsia="Times New Roman"/>
        </w:rPr>
      </w:pPr>
      <w:r w:rsidRPr="00F6361D">
        <w:rPr>
          <w:rFonts w:eastAsia="Times New Roman"/>
        </w:rPr>
        <w:t xml:space="preserve">Ang CW, Teunis PFM, Herbrink P, Keijser J, Van Duynhoven YHTP, Visser CE et al. Seroepidemiological studies indicate frequent and repeated exposure to </w:t>
      </w:r>
      <w:r w:rsidRPr="00F6361D">
        <w:rPr>
          <w:rStyle w:val="Emphasis"/>
          <w:rFonts w:eastAsia="Times New Roman"/>
          <w:b w:val="0"/>
          <w:bCs w:val="0"/>
        </w:rPr>
        <w:t>Campylobacter</w:t>
      </w:r>
      <w:r w:rsidRPr="00F6361D">
        <w:rPr>
          <w:rFonts w:eastAsia="Times New Roman"/>
        </w:rPr>
        <w:t xml:space="preserve"> spp. during childhood. </w:t>
      </w:r>
      <w:r w:rsidRPr="00F6361D">
        <w:rPr>
          <w:rStyle w:val="Emphasis"/>
          <w:rFonts w:eastAsia="Times New Roman"/>
          <w:b w:val="0"/>
          <w:bCs w:val="0"/>
        </w:rPr>
        <w:t>Epidemiol Infect</w:t>
      </w:r>
      <w:r w:rsidRPr="00F6361D">
        <w:rPr>
          <w:rFonts w:eastAsia="Times New Roman"/>
        </w:rPr>
        <w:t>. 2011;139(9):1361–8. doi: https://doi.org/10.1017/S0950268810002359.</w:t>
      </w:r>
    </w:p>
    <w:p w14:paraId="28EFCB4E" w14:textId="4AC768D2" w:rsidR="008B5348" w:rsidRDefault="008B5348">
      <w:pPr>
        <w:rPr>
          <w:rStyle w:val="A10"/>
        </w:rPr>
      </w:pPr>
    </w:p>
    <w:p w14:paraId="77B9A0FE" w14:textId="3BC25A4B" w:rsidR="008622CD" w:rsidRDefault="008622CD">
      <w:pPr>
        <w:rPr>
          <w:rStyle w:val="Strong"/>
          <w:lang w:val="en-GB"/>
        </w:rPr>
      </w:pPr>
    </w:p>
    <w:p w14:paraId="5F0D249E" w14:textId="77777777" w:rsidR="00B513E0" w:rsidRDefault="00B513E0">
      <w:pPr>
        <w:rPr>
          <w:rStyle w:val="A10"/>
        </w:rPr>
      </w:pPr>
    </w:p>
    <w:p w14:paraId="5E6737EB" w14:textId="77777777" w:rsidR="00B513E0" w:rsidRDefault="00B513E0">
      <w:pPr>
        <w:rPr>
          <w:rStyle w:val="A10"/>
        </w:rPr>
      </w:pPr>
    </w:p>
    <w:p w14:paraId="7A5FDDA8" w14:textId="77777777" w:rsidR="00B513E0" w:rsidRDefault="00B513E0">
      <w:pPr>
        <w:rPr>
          <w:rStyle w:val="A10"/>
        </w:rPr>
      </w:pPr>
    </w:p>
    <w:p w14:paraId="5CFCDCD5" w14:textId="38D910A2" w:rsidR="00B513E0" w:rsidRDefault="00B513E0">
      <w:pPr>
        <w:rPr>
          <w:rStyle w:val="A10"/>
        </w:rPr>
        <w:sectPr w:rsidR="00B513E0"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6BB0C18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6FE26D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F243603" w14:textId="77777777" w:rsidR="000A5F42" w:rsidRPr="000606CC" w:rsidRDefault="000A5F42" w:rsidP="000A5F42">
      <w:pPr>
        <w:pStyle w:val="NoSpacing"/>
        <w:rPr>
          <w:rStyle w:val="URI"/>
          <w:rFonts w:cstheme="minorHAnsi"/>
          <w:sz w:val="20"/>
          <w:szCs w:val="18"/>
        </w:rPr>
      </w:pPr>
    </w:p>
    <w:p w14:paraId="7B38BDF8" w14:textId="25F2A10D"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4ADCCBBA" w14:textId="77777777" w:rsidR="000A5F42" w:rsidRPr="000606CC" w:rsidRDefault="000A5F42" w:rsidP="000A5F42">
      <w:pPr>
        <w:pStyle w:val="NoSpacing"/>
        <w:rPr>
          <w:rStyle w:val="Strong"/>
          <w:rFonts w:cstheme="minorHAnsi"/>
          <w:sz w:val="20"/>
          <w:szCs w:val="18"/>
        </w:rPr>
      </w:pPr>
    </w:p>
    <w:p w14:paraId="1380897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4527885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8A5EB64"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0440BE2" w14:textId="39C5232C"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13359E" w:rsidRPr="0013359E">
        <w:rPr>
          <w:rFonts w:cstheme="minorHAnsi"/>
          <w:sz w:val="20"/>
          <w:szCs w:val="18"/>
        </w:rPr>
        <w:t>David Durrheim, Mark Ferson, Clare Huppatz, John Kaldor, Martyn Kirk, Meru Sheel and Steph</w:t>
      </w:r>
      <w:r w:rsidR="0013359E">
        <w:rPr>
          <w:rFonts w:cstheme="minorHAnsi"/>
          <w:sz w:val="20"/>
          <w:szCs w:val="18"/>
        </w:rPr>
        <w:t> </w:t>
      </w:r>
      <w:r w:rsidR="0013359E" w:rsidRPr="0013359E">
        <w:rPr>
          <w:rFonts w:cstheme="minorHAnsi"/>
          <w:sz w:val="20"/>
          <w:szCs w:val="18"/>
        </w:rPr>
        <w:t>Williams</w:t>
      </w:r>
    </w:p>
    <w:p w14:paraId="3D88AB8D" w14:textId="77777777" w:rsidR="000A5F42" w:rsidRPr="000606CC" w:rsidRDefault="000A5F42" w:rsidP="000A5F42">
      <w:pPr>
        <w:pStyle w:val="NoSpacing"/>
        <w:rPr>
          <w:rStyle w:val="Strong"/>
          <w:rFonts w:cstheme="minorHAnsi"/>
          <w:sz w:val="20"/>
          <w:szCs w:val="18"/>
        </w:rPr>
      </w:pPr>
    </w:p>
    <w:p w14:paraId="3F2A20E1" w14:textId="4783DE2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E3C3DB7" w14:textId="77777777" w:rsidR="000A5F42" w:rsidRPr="000606CC" w:rsidRDefault="000A5F42" w:rsidP="000A5F42">
      <w:pPr>
        <w:pStyle w:val="NoSpacing"/>
        <w:rPr>
          <w:rStyle w:val="Strong"/>
          <w:rFonts w:cstheme="minorHAnsi"/>
          <w:sz w:val="20"/>
          <w:szCs w:val="18"/>
        </w:rPr>
      </w:pPr>
    </w:p>
    <w:p w14:paraId="7818777C" w14:textId="4CB61850"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5DACC05D" w14:textId="77777777" w:rsidR="000A5F42" w:rsidRPr="000606CC" w:rsidRDefault="000A5F42" w:rsidP="000A5F42">
      <w:pPr>
        <w:pStyle w:val="NoSpacing"/>
        <w:rPr>
          <w:rStyle w:val="Strong"/>
          <w:rFonts w:cstheme="minorHAnsi"/>
          <w:sz w:val="20"/>
          <w:szCs w:val="18"/>
        </w:rPr>
      </w:pPr>
    </w:p>
    <w:p w14:paraId="475C946A" w14:textId="3B4CBF0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5B67E2D" w14:textId="77777777" w:rsidR="000A5F42" w:rsidRPr="000606CC" w:rsidRDefault="000A5F42" w:rsidP="000A5F42">
      <w:pPr>
        <w:pStyle w:val="NoSpacing"/>
        <w:rPr>
          <w:rStyle w:val="Strong"/>
          <w:rFonts w:cstheme="minorHAnsi"/>
          <w:sz w:val="20"/>
          <w:szCs w:val="18"/>
        </w:rPr>
      </w:pPr>
    </w:p>
    <w:p w14:paraId="05134BC2" w14:textId="2DEF2C1D"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04E08EC" w14:textId="76B1337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5CB92F75" w14:textId="77777777" w:rsidR="000A5F42" w:rsidRPr="000606CC" w:rsidRDefault="000A5F42" w:rsidP="000A5F42">
      <w:pPr>
        <w:pStyle w:val="NoSpacing"/>
        <w:pBdr>
          <w:bottom w:val="single" w:sz="6" w:space="1" w:color="auto"/>
        </w:pBdr>
        <w:rPr>
          <w:rStyle w:val="Strong"/>
          <w:rFonts w:cstheme="minorHAnsi"/>
          <w:sz w:val="12"/>
          <w:szCs w:val="18"/>
        </w:rPr>
      </w:pPr>
    </w:p>
    <w:p w14:paraId="475E80A8" w14:textId="77777777" w:rsidR="000A5F42" w:rsidRPr="000606CC" w:rsidRDefault="000A5F42" w:rsidP="000A5F42">
      <w:pPr>
        <w:pStyle w:val="NoSpacing"/>
        <w:rPr>
          <w:rFonts w:cstheme="minorHAnsi"/>
          <w:sz w:val="20"/>
          <w:szCs w:val="18"/>
        </w:rPr>
      </w:pPr>
    </w:p>
    <w:p w14:paraId="0F7A8F1E"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6BD11C75" w14:textId="77777777" w:rsidR="000A5F42" w:rsidRPr="000606CC" w:rsidRDefault="000A5F42" w:rsidP="000A5F42">
      <w:pPr>
        <w:pStyle w:val="NoSpacing"/>
        <w:rPr>
          <w:rFonts w:cstheme="minorHAnsi"/>
          <w:sz w:val="20"/>
          <w:szCs w:val="18"/>
        </w:rPr>
      </w:pPr>
    </w:p>
    <w:p w14:paraId="503D94F0"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65878C5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513B60">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1C1F8E38" w14:textId="58920116"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19FBF0F" w14:textId="77777777" w:rsidR="000A5F42" w:rsidRPr="000606CC" w:rsidRDefault="000A5F42" w:rsidP="000A5F42">
      <w:pPr>
        <w:pStyle w:val="NoSpacing"/>
        <w:rPr>
          <w:rFonts w:cstheme="minorHAnsi"/>
          <w:sz w:val="20"/>
          <w:szCs w:val="18"/>
        </w:rPr>
      </w:pPr>
    </w:p>
    <w:p w14:paraId="6871453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C79339C" w14:textId="0F4D581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0BDCAC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7C1A003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C877E2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500346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3E63146" w14:textId="77777777" w:rsidR="000A5F42" w:rsidRPr="000606CC" w:rsidRDefault="000A5F42" w:rsidP="000A5F42">
      <w:pPr>
        <w:pStyle w:val="NoSpacing"/>
        <w:rPr>
          <w:rStyle w:val="Strong"/>
          <w:rFonts w:cstheme="minorHAnsi"/>
          <w:sz w:val="20"/>
          <w:szCs w:val="18"/>
        </w:rPr>
      </w:pPr>
    </w:p>
    <w:p w14:paraId="20FD219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9FDC165" w14:textId="77777777" w:rsidR="000A5F42" w:rsidRPr="000606CC" w:rsidRDefault="000A5F42" w:rsidP="000A5F42">
      <w:pPr>
        <w:pStyle w:val="NoSpacing"/>
        <w:rPr>
          <w:rStyle w:val="Strong"/>
          <w:rFonts w:cstheme="minorHAnsi"/>
          <w:sz w:val="20"/>
          <w:szCs w:val="18"/>
        </w:rPr>
      </w:pPr>
    </w:p>
    <w:p w14:paraId="06F113FD" w14:textId="3859619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99891A5" w14:textId="77777777" w:rsidR="000A5F42" w:rsidRPr="000606CC" w:rsidRDefault="000A5F42" w:rsidP="000A5F42">
      <w:pPr>
        <w:pStyle w:val="NoSpacing"/>
        <w:rPr>
          <w:rStyle w:val="URI"/>
          <w:rFonts w:cstheme="minorHAnsi"/>
          <w:sz w:val="20"/>
          <w:szCs w:val="18"/>
        </w:rPr>
      </w:pPr>
    </w:p>
    <w:p w14:paraId="0DC48557" w14:textId="050C1C5E" w:rsidR="00677E74" w:rsidRPr="00677E74" w:rsidRDefault="000A5F42" w:rsidP="00677E74">
      <w:pPr>
        <w:pStyle w:val="NoSpacing"/>
        <w:rPr>
          <w:rFonts w:cstheme="minorHAnsi"/>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677E74" w:rsidRPr="00677E74"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212A" w14:textId="77777777" w:rsidR="00513B60" w:rsidRDefault="00513B60" w:rsidP="00E54DBA">
      <w:r>
        <w:separator/>
      </w:r>
    </w:p>
    <w:p w14:paraId="6C241A87" w14:textId="77777777" w:rsidR="00513B60" w:rsidRDefault="00513B60"/>
    <w:p w14:paraId="401A97D1" w14:textId="77777777" w:rsidR="00513B60" w:rsidRDefault="00513B60" w:rsidP="008714B0"/>
  </w:endnote>
  <w:endnote w:type="continuationSeparator" w:id="0">
    <w:p w14:paraId="2707A97B" w14:textId="77777777" w:rsidR="00513B60" w:rsidRDefault="00513B60" w:rsidP="00E54DBA">
      <w:r>
        <w:continuationSeparator/>
      </w:r>
    </w:p>
    <w:p w14:paraId="6BFDA5BA" w14:textId="77777777" w:rsidR="00513B60" w:rsidRDefault="00513B60"/>
    <w:p w14:paraId="7CCBCCCC" w14:textId="77777777" w:rsidR="00513B60" w:rsidRDefault="00513B6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DE16" w14:textId="330B8C76"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F6361D">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13B60">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13B60">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77E74">
      <w:rPr>
        <w:sz w:val="18"/>
      </w:rPr>
      <w:t>https://doi.org/10.33321/cdi.2023.47.10</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77E74">
      <w:rPr>
        <w:sz w:val="18"/>
      </w:rPr>
      <w:t>28/02/2023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E094" w14:textId="080BD7B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F6361D">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13B60">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13B60">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77E74">
      <w:rPr>
        <w:sz w:val="18"/>
      </w:rPr>
      <w:t>https://doi.org/10.33321/cdi.2023.47.10</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677E74">
      <w:rPr>
        <w:sz w:val="18"/>
      </w:rPr>
      <w:t>28/02/2023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9D6D" w14:textId="77777777" w:rsidR="00513B60" w:rsidRPr="00B91FB5" w:rsidRDefault="00513B60" w:rsidP="00B91FB5">
      <w:pPr>
        <w:spacing w:after="0" w:line="240" w:lineRule="auto"/>
        <w:rPr>
          <w:sz w:val="18"/>
          <w:szCs w:val="18"/>
        </w:rPr>
      </w:pPr>
      <w:r w:rsidRPr="00B91FB5">
        <w:rPr>
          <w:sz w:val="18"/>
          <w:szCs w:val="18"/>
        </w:rPr>
        <w:separator/>
      </w:r>
    </w:p>
  </w:footnote>
  <w:footnote w:type="continuationSeparator" w:id="0">
    <w:p w14:paraId="4DC57B19" w14:textId="77777777" w:rsidR="00513B60" w:rsidRDefault="00513B60" w:rsidP="00E54DBA">
      <w:r>
        <w:continuationSeparator/>
      </w:r>
    </w:p>
  </w:footnote>
  <w:footnote w:type="continuationNotice" w:id="1">
    <w:p w14:paraId="06A425EC" w14:textId="77777777" w:rsidR="00513B60" w:rsidRPr="00224EFF" w:rsidRDefault="00513B60"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79F3" w14:textId="4BF6C9CA" w:rsidR="00257484" w:rsidRPr="00A153B6" w:rsidRDefault="000F582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052E0">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A7A9"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3271BAA4" wp14:editId="5011FC92">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3744"/>
    <w:multiLevelType w:val="hybridMultilevel"/>
    <w:tmpl w:val="DC16D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B45356"/>
    <w:multiLevelType w:val="multilevel"/>
    <w:tmpl w:val="C33A1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5F7E76"/>
    <w:multiLevelType w:val="multilevel"/>
    <w:tmpl w:val="7570D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C414E5"/>
    <w:multiLevelType w:val="hybridMultilevel"/>
    <w:tmpl w:val="80221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60"/>
    <w:rsid w:val="00000B5B"/>
    <w:rsid w:val="00001611"/>
    <w:rsid w:val="000104A8"/>
    <w:rsid w:val="0001246E"/>
    <w:rsid w:val="000124B1"/>
    <w:rsid w:val="00016FE6"/>
    <w:rsid w:val="00031064"/>
    <w:rsid w:val="00031692"/>
    <w:rsid w:val="00032531"/>
    <w:rsid w:val="000325A0"/>
    <w:rsid w:val="00046D9E"/>
    <w:rsid w:val="000471BF"/>
    <w:rsid w:val="00047B68"/>
    <w:rsid w:val="00052600"/>
    <w:rsid w:val="0005643C"/>
    <w:rsid w:val="0006264A"/>
    <w:rsid w:val="00073D77"/>
    <w:rsid w:val="00081655"/>
    <w:rsid w:val="000864E0"/>
    <w:rsid w:val="000969B3"/>
    <w:rsid w:val="000A5F42"/>
    <w:rsid w:val="000B4841"/>
    <w:rsid w:val="000D4B4D"/>
    <w:rsid w:val="000F5826"/>
    <w:rsid w:val="00113D58"/>
    <w:rsid w:val="001200CB"/>
    <w:rsid w:val="0013359E"/>
    <w:rsid w:val="001378A3"/>
    <w:rsid w:val="00155582"/>
    <w:rsid w:val="00161590"/>
    <w:rsid w:val="00171CC0"/>
    <w:rsid w:val="001723AC"/>
    <w:rsid w:val="00175494"/>
    <w:rsid w:val="00175629"/>
    <w:rsid w:val="001830EC"/>
    <w:rsid w:val="00183534"/>
    <w:rsid w:val="001A11B0"/>
    <w:rsid w:val="001A4A96"/>
    <w:rsid w:val="001A5D05"/>
    <w:rsid w:val="001A796C"/>
    <w:rsid w:val="001B2614"/>
    <w:rsid w:val="001B37B8"/>
    <w:rsid w:val="001B3ACD"/>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4E23"/>
    <w:rsid w:val="00256309"/>
    <w:rsid w:val="00257484"/>
    <w:rsid w:val="00260636"/>
    <w:rsid w:val="0026283E"/>
    <w:rsid w:val="00275C5C"/>
    <w:rsid w:val="00275C78"/>
    <w:rsid w:val="00280594"/>
    <w:rsid w:val="00281EE3"/>
    <w:rsid w:val="00284713"/>
    <w:rsid w:val="00284E4A"/>
    <w:rsid w:val="002A3799"/>
    <w:rsid w:val="002A3BCC"/>
    <w:rsid w:val="002A4516"/>
    <w:rsid w:val="002A569F"/>
    <w:rsid w:val="002A7066"/>
    <w:rsid w:val="002B001E"/>
    <w:rsid w:val="002B09B7"/>
    <w:rsid w:val="002B2680"/>
    <w:rsid w:val="002B75A9"/>
    <w:rsid w:val="002C21B0"/>
    <w:rsid w:val="002E2FB3"/>
    <w:rsid w:val="002F327B"/>
    <w:rsid w:val="00301626"/>
    <w:rsid w:val="003059EC"/>
    <w:rsid w:val="0031006D"/>
    <w:rsid w:val="00316CCD"/>
    <w:rsid w:val="00324F7E"/>
    <w:rsid w:val="003323BC"/>
    <w:rsid w:val="00346D42"/>
    <w:rsid w:val="00346E11"/>
    <w:rsid w:val="00355317"/>
    <w:rsid w:val="003601C0"/>
    <w:rsid w:val="003635F5"/>
    <w:rsid w:val="00372A88"/>
    <w:rsid w:val="00381A0F"/>
    <w:rsid w:val="00385E11"/>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7DE"/>
    <w:rsid w:val="004A38F6"/>
    <w:rsid w:val="004B4EB6"/>
    <w:rsid w:val="004C083C"/>
    <w:rsid w:val="004C67C6"/>
    <w:rsid w:val="004D29DE"/>
    <w:rsid w:val="004E7CB1"/>
    <w:rsid w:val="00510EAC"/>
    <w:rsid w:val="00513B60"/>
    <w:rsid w:val="00532341"/>
    <w:rsid w:val="00542A57"/>
    <w:rsid w:val="00550663"/>
    <w:rsid w:val="00565974"/>
    <w:rsid w:val="005732C0"/>
    <w:rsid w:val="0057336D"/>
    <w:rsid w:val="0057489A"/>
    <w:rsid w:val="00574ACF"/>
    <w:rsid w:val="00581588"/>
    <w:rsid w:val="0058540B"/>
    <w:rsid w:val="00587C87"/>
    <w:rsid w:val="00590B80"/>
    <w:rsid w:val="005B3134"/>
    <w:rsid w:val="005B385B"/>
    <w:rsid w:val="005B4E61"/>
    <w:rsid w:val="005B595A"/>
    <w:rsid w:val="005B66C2"/>
    <w:rsid w:val="005C66A6"/>
    <w:rsid w:val="005C7C18"/>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2E27"/>
    <w:rsid w:val="00656427"/>
    <w:rsid w:val="00660255"/>
    <w:rsid w:val="00663EA5"/>
    <w:rsid w:val="00677E74"/>
    <w:rsid w:val="006971F3"/>
    <w:rsid w:val="006C74A3"/>
    <w:rsid w:val="006D1381"/>
    <w:rsid w:val="006D31BC"/>
    <w:rsid w:val="006E7943"/>
    <w:rsid w:val="006F24EA"/>
    <w:rsid w:val="00704CA9"/>
    <w:rsid w:val="007052E0"/>
    <w:rsid w:val="0071048D"/>
    <w:rsid w:val="00710F86"/>
    <w:rsid w:val="007111A8"/>
    <w:rsid w:val="0072198E"/>
    <w:rsid w:val="00723B5F"/>
    <w:rsid w:val="00731BC3"/>
    <w:rsid w:val="00741192"/>
    <w:rsid w:val="00743A33"/>
    <w:rsid w:val="00746080"/>
    <w:rsid w:val="0075144A"/>
    <w:rsid w:val="00751738"/>
    <w:rsid w:val="00777236"/>
    <w:rsid w:val="00786329"/>
    <w:rsid w:val="00792C7D"/>
    <w:rsid w:val="00794A4D"/>
    <w:rsid w:val="007A5234"/>
    <w:rsid w:val="007B7854"/>
    <w:rsid w:val="007C56A1"/>
    <w:rsid w:val="007C6454"/>
    <w:rsid w:val="007D2102"/>
    <w:rsid w:val="007E01E0"/>
    <w:rsid w:val="007E5CA0"/>
    <w:rsid w:val="007F0B93"/>
    <w:rsid w:val="007F2ECA"/>
    <w:rsid w:val="007F3B80"/>
    <w:rsid w:val="00811708"/>
    <w:rsid w:val="00816B90"/>
    <w:rsid w:val="00817799"/>
    <w:rsid w:val="00822F5F"/>
    <w:rsid w:val="00824FD3"/>
    <w:rsid w:val="00826589"/>
    <w:rsid w:val="00834BCC"/>
    <w:rsid w:val="00850D54"/>
    <w:rsid w:val="00852E2B"/>
    <w:rsid w:val="008622CD"/>
    <w:rsid w:val="00865275"/>
    <w:rsid w:val="008714B0"/>
    <w:rsid w:val="00876331"/>
    <w:rsid w:val="00880726"/>
    <w:rsid w:val="00880A4D"/>
    <w:rsid w:val="0089194B"/>
    <w:rsid w:val="008A3544"/>
    <w:rsid w:val="008B48B8"/>
    <w:rsid w:val="008B5348"/>
    <w:rsid w:val="008B58F8"/>
    <w:rsid w:val="008C0712"/>
    <w:rsid w:val="008C1027"/>
    <w:rsid w:val="008C4520"/>
    <w:rsid w:val="008C5F09"/>
    <w:rsid w:val="008D470F"/>
    <w:rsid w:val="008E1F8F"/>
    <w:rsid w:val="008E4768"/>
    <w:rsid w:val="008E761E"/>
    <w:rsid w:val="008F77B3"/>
    <w:rsid w:val="009008F5"/>
    <w:rsid w:val="00904CC1"/>
    <w:rsid w:val="009066AF"/>
    <w:rsid w:val="00912050"/>
    <w:rsid w:val="00912E48"/>
    <w:rsid w:val="00912E68"/>
    <w:rsid w:val="0091795C"/>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B7743"/>
    <w:rsid w:val="009C49F8"/>
    <w:rsid w:val="009D72E0"/>
    <w:rsid w:val="009D77CC"/>
    <w:rsid w:val="009D797A"/>
    <w:rsid w:val="009E2423"/>
    <w:rsid w:val="009E2451"/>
    <w:rsid w:val="009E55D7"/>
    <w:rsid w:val="009F4150"/>
    <w:rsid w:val="009F5665"/>
    <w:rsid w:val="009F5DAD"/>
    <w:rsid w:val="00A01BCA"/>
    <w:rsid w:val="00A10458"/>
    <w:rsid w:val="00A153B6"/>
    <w:rsid w:val="00A164D5"/>
    <w:rsid w:val="00A273C3"/>
    <w:rsid w:val="00A30C37"/>
    <w:rsid w:val="00A36C65"/>
    <w:rsid w:val="00A41BBE"/>
    <w:rsid w:val="00A4288C"/>
    <w:rsid w:val="00A443E3"/>
    <w:rsid w:val="00A45BDD"/>
    <w:rsid w:val="00A46A0A"/>
    <w:rsid w:val="00A553F8"/>
    <w:rsid w:val="00A57672"/>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22B15"/>
    <w:rsid w:val="00B31427"/>
    <w:rsid w:val="00B33861"/>
    <w:rsid w:val="00B40DE2"/>
    <w:rsid w:val="00B50210"/>
    <w:rsid w:val="00B513E0"/>
    <w:rsid w:val="00B53955"/>
    <w:rsid w:val="00B6408A"/>
    <w:rsid w:val="00B6478A"/>
    <w:rsid w:val="00B714B8"/>
    <w:rsid w:val="00B728D8"/>
    <w:rsid w:val="00B82C2C"/>
    <w:rsid w:val="00B8720B"/>
    <w:rsid w:val="00B876EF"/>
    <w:rsid w:val="00B91FB5"/>
    <w:rsid w:val="00B97937"/>
    <w:rsid w:val="00BA1660"/>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6766B"/>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60A8"/>
    <w:rsid w:val="00D373A1"/>
    <w:rsid w:val="00D37C0F"/>
    <w:rsid w:val="00D45661"/>
    <w:rsid w:val="00D45943"/>
    <w:rsid w:val="00D47D22"/>
    <w:rsid w:val="00D51865"/>
    <w:rsid w:val="00D51D0C"/>
    <w:rsid w:val="00D6183C"/>
    <w:rsid w:val="00D74140"/>
    <w:rsid w:val="00DA6E56"/>
    <w:rsid w:val="00DA78DD"/>
    <w:rsid w:val="00DB18EB"/>
    <w:rsid w:val="00DB1C65"/>
    <w:rsid w:val="00DC24E5"/>
    <w:rsid w:val="00DC5775"/>
    <w:rsid w:val="00DC6705"/>
    <w:rsid w:val="00DC6C3F"/>
    <w:rsid w:val="00DD0E94"/>
    <w:rsid w:val="00DD1766"/>
    <w:rsid w:val="00DD2DE8"/>
    <w:rsid w:val="00DE38B4"/>
    <w:rsid w:val="00DE5D02"/>
    <w:rsid w:val="00DF2102"/>
    <w:rsid w:val="00E005A9"/>
    <w:rsid w:val="00E065BA"/>
    <w:rsid w:val="00E1166E"/>
    <w:rsid w:val="00E20CB2"/>
    <w:rsid w:val="00E24DC0"/>
    <w:rsid w:val="00E2519C"/>
    <w:rsid w:val="00E25F2A"/>
    <w:rsid w:val="00E41455"/>
    <w:rsid w:val="00E42AD2"/>
    <w:rsid w:val="00E50856"/>
    <w:rsid w:val="00E538CC"/>
    <w:rsid w:val="00E54BBD"/>
    <w:rsid w:val="00E54DBA"/>
    <w:rsid w:val="00E63D7C"/>
    <w:rsid w:val="00E640D5"/>
    <w:rsid w:val="00E66E2E"/>
    <w:rsid w:val="00E67691"/>
    <w:rsid w:val="00E84AE4"/>
    <w:rsid w:val="00E92237"/>
    <w:rsid w:val="00E951EF"/>
    <w:rsid w:val="00EA3D54"/>
    <w:rsid w:val="00EA56D9"/>
    <w:rsid w:val="00EA5CE3"/>
    <w:rsid w:val="00EA6ADF"/>
    <w:rsid w:val="00EB51C1"/>
    <w:rsid w:val="00EB5AE1"/>
    <w:rsid w:val="00EB5E0B"/>
    <w:rsid w:val="00EC2171"/>
    <w:rsid w:val="00ED442D"/>
    <w:rsid w:val="00ED70C2"/>
    <w:rsid w:val="00EE18FF"/>
    <w:rsid w:val="00EE489F"/>
    <w:rsid w:val="00EF5804"/>
    <w:rsid w:val="00F00EF8"/>
    <w:rsid w:val="00F0647F"/>
    <w:rsid w:val="00F10CE3"/>
    <w:rsid w:val="00F12006"/>
    <w:rsid w:val="00F13443"/>
    <w:rsid w:val="00F14F3B"/>
    <w:rsid w:val="00F16362"/>
    <w:rsid w:val="00F207C7"/>
    <w:rsid w:val="00F36B6D"/>
    <w:rsid w:val="00F43FA3"/>
    <w:rsid w:val="00F55648"/>
    <w:rsid w:val="00F6361D"/>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6E95F0A"/>
  <w15:docId w15:val="{9FCDFD24-EC8A-42F4-B1F0-6335C4C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8547605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23</TotalTime>
  <Pages>12</Pages>
  <Words>5038</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Communicable Diseases Intelligence - A foodborne outbreak of campylobacteriosis at a wedding – Melbourne, Australia, 2022</vt:lpstr>
    </vt:vector>
  </TitlesOfParts>
  <Company>Australian Government, Department of Health</Company>
  <LinksUpToDate>false</LinksUpToDate>
  <CharactersWithSpaces>35059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foodborne outbreak of campylobacteriosis at a wedding – Melbourne, Australia, 2022</dc:title>
  <dc:subject>Campylobacter is the most common bacterial cause of foodborne gastroenteritis in Australia, however outbreaks caused by the pathogen are relatively uncommon. This report describes an outbreak that occurred at a wedding reception in Melbourne in early 2022, and the epidemiological and environmental investigation conducted to determine the likely source of infection.</dc:subject>
  <dc:creator>Jane McAllister; Joy Gregory; Jim Adamopoulos; Madeleine Walsh; Anastasia Stylianopoulos; Anna-Lena Arnold; Russell Stafford; Patiyan Andersson; Tony Stewart</dc:creator>
  <cp:keywords>Campylobacter jejuni; campylobacteriosis; foodborne illness; gastroenteritis; duck liver; outbreak investigation</cp:keywords>
  <dc:description>© Commonwealth of Australia CC BY-NC-ND ISSN: 2209-6051 (Online)</dc:description>
  <cp:lastModifiedBy>YOUSEFI, Kasra</cp:lastModifiedBy>
  <cp:revision>10</cp:revision>
  <cp:lastPrinted>2018-05-10T02:19:00Z</cp:lastPrinted>
  <dcterms:created xsi:type="dcterms:W3CDTF">2023-01-17T05:23:00Z</dcterms:created>
  <dcterms:modified xsi:type="dcterms:W3CDTF">2023-02-21T23:52:00Z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28/02/2023</vt:lpwstr>
  </property>
  <property fmtid="{D5CDD505-2E9C-101B-9397-08002B2CF9AE}" pid="5" name="DOI">
    <vt:lpwstr>https://doi.org/10.33321/cdi.2023.47.10</vt:lpwstr>
  </property>
</Properties>
</file>