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DAA56" w14:textId="77777777" w:rsidR="002033AF" w:rsidRDefault="002033AF" w:rsidP="00EA51E9">
      <w:pPr>
        <w:pStyle w:val="Title"/>
        <w:rPr>
          <w:rFonts w:eastAsia="Times New Roman"/>
          <w:sz w:val="48"/>
          <w:szCs w:val="48"/>
        </w:rPr>
      </w:pPr>
      <w:r>
        <w:rPr>
          <w:rFonts w:eastAsia="Times New Roman"/>
        </w:rPr>
        <w:t xml:space="preserve">Serology study of healthcare workers following a hospital-based outbreak of COVID-19 in </w:t>
      </w:r>
      <w:proofErr w:type="gramStart"/>
      <w:r>
        <w:rPr>
          <w:rFonts w:eastAsia="Times New Roman"/>
        </w:rPr>
        <w:t>North West</w:t>
      </w:r>
      <w:proofErr w:type="gramEnd"/>
      <w:r>
        <w:rPr>
          <w:rFonts w:eastAsia="Times New Roman"/>
        </w:rPr>
        <w:t xml:space="preserve"> Tasmania, Australia, 2020 </w:t>
      </w:r>
    </w:p>
    <w:p w14:paraId="092C55B9" w14:textId="77777777" w:rsidR="002033AF" w:rsidRDefault="002033AF" w:rsidP="00EA51E9">
      <w:r>
        <w:t xml:space="preserve">Michelle McPherson, Nicola Stephens, Kylie J Smith, M Therese </w:t>
      </w:r>
      <w:proofErr w:type="spellStart"/>
      <w:r>
        <w:t>Marfori</w:t>
      </w:r>
      <w:proofErr w:type="spellEnd"/>
      <w:r>
        <w:t xml:space="preserve">, Meru Sheel, Louise Cooley, Belinda McEwan, Mark Veitch, Fay H Johnston </w:t>
      </w:r>
    </w:p>
    <w:p w14:paraId="04E161B1" w14:textId="77777777" w:rsidR="002033AF" w:rsidRPr="009148D1" w:rsidRDefault="002033AF" w:rsidP="009148D1">
      <w:pPr>
        <w:pStyle w:val="Heading1"/>
      </w:pPr>
      <w:r w:rsidRPr="009148D1">
        <w:t xml:space="preserve">Abstract </w:t>
      </w:r>
    </w:p>
    <w:p w14:paraId="556D81B7" w14:textId="77777777" w:rsidR="002033AF" w:rsidRPr="009148D1" w:rsidRDefault="002033AF" w:rsidP="009148D1">
      <w:pPr>
        <w:pStyle w:val="Heading2"/>
      </w:pPr>
      <w:r w:rsidRPr="009148D1">
        <w:t xml:space="preserve">Introduction </w:t>
      </w:r>
    </w:p>
    <w:p w14:paraId="65162F15" w14:textId="77777777" w:rsidR="002033AF" w:rsidRDefault="002033AF" w:rsidP="009148D1">
      <w:r>
        <w:t xml:space="preserve">Healthcare facilities are high-risk settings for coronavirus disease 2019 (COVID-19) transmission. Early in the COVID-19 pandemic, the first large healthcare-associated outbreak within Australia occurred in Tasmania. </w:t>
      </w:r>
      <w:proofErr w:type="gramStart"/>
      <w:r>
        <w:t>Several</w:t>
      </w:r>
      <w:proofErr w:type="gramEnd"/>
      <w:r>
        <w:t xml:space="preserve"> operational research studies were conducted amongst workers from the implicated hospital campus, to learn more about COVID-19 transmission. </w:t>
      </w:r>
    </w:p>
    <w:p w14:paraId="1F191E29" w14:textId="77777777" w:rsidR="002033AF" w:rsidRPr="009148D1" w:rsidRDefault="002033AF" w:rsidP="009148D1">
      <w:pPr>
        <w:pStyle w:val="Heading2"/>
      </w:pPr>
      <w:r w:rsidRPr="009148D1">
        <w:t xml:space="preserve">Methods </w:t>
      </w:r>
    </w:p>
    <w:p w14:paraId="21A6C318" w14:textId="77777777" w:rsidR="002033AF" w:rsidRDefault="002033AF" w:rsidP="009148D1">
      <w:r>
        <w:t xml:space="preserve">Healthcare workers (HCWs) from the implicated hospital campus were invited to complete an online survey and </w:t>
      </w:r>
      <w:proofErr w:type="gramStart"/>
      <w:r>
        <w:t>participate</w:t>
      </w:r>
      <w:proofErr w:type="gramEnd"/>
      <w:r>
        <w:t xml:space="preserve"> in a serology study. Blood samples for serological testing were collected at </w:t>
      </w:r>
      <w:proofErr w:type="gramStart"/>
      <w:r>
        <w:t>approximately 12</w:t>
      </w:r>
      <w:proofErr w:type="gramEnd"/>
      <w:r>
        <w:t xml:space="preserve"> weeks (round one) and eight months (round two) after the outbreak. A descriptive analysis </w:t>
      </w:r>
      <w:proofErr w:type="gramStart"/>
      <w:r>
        <w:t>was conducted</w:t>
      </w:r>
      <w:proofErr w:type="gramEnd"/>
      <w:r>
        <w:t xml:space="preserve"> of participant characteristics, serology results, and longevity of antibodies. </w:t>
      </w:r>
    </w:p>
    <w:p w14:paraId="15972C0A" w14:textId="77777777" w:rsidR="002033AF" w:rsidRPr="009148D1" w:rsidRDefault="002033AF" w:rsidP="009148D1">
      <w:pPr>
        <w:pStyle w:val="Heading2"/>
      </w:pPr>
      <w:r w:rsidRPr="009148D1">
        <w:t xml:space="preserve">Results </w:t>
      </w:r>
    </w:p>
    <w:p w14:paraId="63813793" w14:textId="77777777" w:rsidR="002033AF" w:rsidRDefault="002033AF" w:rsidP="009148D1">
      <w:r>
        <w:t xml:space="preserve">There were 261 HCWs in round one, of whom 44 (17%) were polymerase chain reaction (PCR) confirmed outbreak cases; 129 of the 261 (49%) </w:t>
      </w:r>
      <w:proofErr w:type="gramStart"/>
      <w:r>
        <w:t>participated</w:t>
      </w:r>
      <w:proofErr w:type="gramEnd"/>
      <w:r>
        <w:t xml:space="preserve"> in round two, of whom 34 (27%) were outbreak cases. The prevalence of positive antibodies at round one was 15% (n = 38) and at round two was 12% (n = 15). There were 15 participants (12%) who were seropositive in both rounds, with a further 9% (n = 12) of round two participants </w:t>
      </w:r>
      <w:proofErr w:type="gramStart"/>
      <w:r>
        <w:t>having</w:t>
      </w:r>
      <w:proofErr w:type="gramEnd"/>
      <w:r>
        <w:t xml:space="preserve"> equivocal results after previously being seropositive. Six HCWs not identified as cases during the outbreak were seropositive in round one, with three still seropositive in round two. Of those who </w:t>
      </w:r>
      <w:proofErr w:type="gramStart"/>
      <w:r>
        <w:t>participated</w:t>
      </w:r>
      <w:proofErr w:type="gramEnd"/>
      <w:r>
        <w:t xml:space="preserve"> in both rounds, 68% (n = 88) were seronegative at both time points. </w:t>
      </w:r>
    </w:p>
    <w:p w14:paraId="6F3DE83A" w14:textId="77777777" w:rsidR="002033AF" w:rsidRPr="009148D1" w:rsidRDefault="002033AF" w:rsidP="009148D1">
      <w:pPr>
        <w:pStyle w:val="Heading2"/>
      </w:pPr>
      <w:r w:rsidRPr="009148D1">
        <w:t xml:space="preserve">Discussion </w:t>
      </w:r>
    </w:p>
    <w:p w14:paraId="3502F381" w14:textId="77777777" w:rsidR="002033AF" w:rsidRDefault="002033AF" w:rsidP="009148D1">
      <w:r>
        <w:t xml:space="preserve">Our findings </w:t>
      </w:r>
      <w:proofErr w:type="gramStart"/>
      <w:r>
        <w:t>demonstrate</w:t>
      </w:r>
      <w:proofErr w:type="gramEnd"/>
      <w:r>
        <w:t xml:space="preserve"> that serological testing after this large healthcare-associated COVID-19 outbreak complemented the findings of earlier diagnostic testing, with evidence of additional infections to those diagnosed when use of PCR testing had been restricted. The results also </w:t>
      </w:r>
      <w:proofErr w:type="gramStart"/>
      <w:r>
        <w:t>provide</w:t>
      </w:r>
      <w:proofErr w:type="gramEnd"/>
      <w:r>
        <w:t xml:space="preserve"> evidence of persisting SARS-CoV-2 antibody response eight months after an outbreak in an unvaccinated population. The high proportion of HCWs who remained seronegative is consistent with low community transmission in Tasmania after this outbreak. </w:t>
      </w:r>
    </w:p>
    <w:p w14:paraId="4D446E36" w14:textId="77777777" w:rsidR="002033AF" w:rsidRDefault="002033AF" w:rsidP="009148D1">
      <w:r>
        <w:t xml:space="preserve">Keywords: COVID-19, seroprevalence, healthcare workers, hospital-based outbreak </w:t>
      </w:r>
    </w:p>
    <w:p w14:paraId="5544D8FE" w14:textId="77777777" w:rsidR="002033AF" w:rsidRPr="009148D1" w:rsidRDefault="002033AF" w:rsidP="009148D1">
      <w:pPr>
        <w:pStyle w:val="Heading1"/>
      </w:pPr>
      <w:r w:rsidRPr="009148D1">
        <w:t xml:space="preserve">Introduction </w:t>
      </w:r>
    </w:p>
    <w:p w14:paraId="4D457E23" w14:textId="77777777" w:rsidR="002033AF" w:rsidRDefault="002033AF" w:rsidP="009148D1">
      <w:r>
        <w:t>Healthcare facilities are high-risk settings for coronavirus disease 2019 (COVID-19) transmission, due to the increased risk of healthcare-acquired infections and the significant consequences of transmission within a facility.</w:t>
      </w:r>
      <w:r>
        <w:rPr>
          <w:vertAlign w:val="superscript"/>
        </w:rPr>
        <w:t>1,2</w:t>
      </w:r>
      <w:r>
        <w:t xml:space="preserve"> In April 2020, the North West region of Tasmania experienced a large healthcare-associated outbreak of COVID-19.</w:t>
      </w:r>
      <w:r>
        <w:rPr>
          <w:vertAlign w:val="superscript"/>
        </w:rPr>
        <w:t>3</w:t>
      </w:r>
      <w:r>
        <w:t xml:space="preserve"> The outbreak was declared on 3</w:t>
      </w:r>
      <w:r>
        <w:rPr>
          <w:vertAlign w:val="superscript"/>
        </w:rPr>
        <w:t xml:space="preserve"> </w:t>
      </w:r>
      <w:r>
        <w:t xml:space="preserve">April 2020, one month after the first COVID-19 case had been notified in Tasmania, </w:t>
      </w:r>
      <w:r>
        <w:lastRenderedPageBreak/>
        <w:t xml:space="preserve">and when knowledge of transmission of SARS-CoV-2 in healthcare settings was limited. By 29 April, 138 cases were associated with this hospital-based outbreak, including </w:t>
      </w:r>
      <w:proofErr w:type="gramStart"/>
      <w:r>
        <w:t>81</w:t>
      </w:r>
      <w:proofErr w:type="gramEnd"/>
      <w:r>
        <w:t xml:space="preserve"> healthcare workers (HCWs) across three hospitals, two geographically located on the same campus. Notably, cases in the outbreak included both clinical and non-clinical staff.</w:t>
      </w:r>
      <w:r>
        <w:rPr>
          <w:vertAlign w:val="superscript"/>
        </w:rPr>
        <w:t>3</w:t>
      </w:r>
      <w:r>
        <w:t xml:space="preserve"> </w:t>
      </w:r>
    </w:p>
    <w:p w14:paraId="7E04D3D6" w14:textId="77777777" w:rsidR="002033AF" w:rsidRDefault="002033AF" w:rsidP="009148D1">
      <w:r>
        <w:t xml:space="preserve">Initially, during the COVID-19 pandemic in Australia, the </w:t>
      </w:r>
      <w:proofErr w:type="gramStart"/>
      <w:r>
        <w:t>capacity</w:t>
      </w:r>
      <w:proofErr w:type="gramEnd"/>
      <w:r>
        <w:t xml:space="preserve"> for polymerase chain reaction (PCR) testing for SARS-CoV-2 was constrained by shortages of swabs for specimen collection and certain reagents. At the time of the outbreak, guidance restricted PCR testing to symptomatic persons, and therefore PCR testing did not extend to the entire outbreak cohort, nor to asymptomatic contacts. However, given the extent of transmission within the campus, all HCWs from the implicated premises were </w:t>
      </w:r>
      <w:proofErr w:type="gramStart"/>
      <w:r>
        <w:t>tested</w:t>
      </w:r>
      <w:proofErr w:type="gramEnd"/>
      <w:r>
        <w:t xml:space="preserve"> using PCR for return-to-work screening as an additional risk mitigation measure. </w:t>
      </w:r>
    </w:p>
    <w:p w14:paraId="1A3FB1C1" w14:textId="77777777" w:rsidR="002033AF" w:rsidRDefault="002033AF" w:rsidP="009148D1">
      <w:r>
        <w:t xml:space="preserve">As this outbreak was the largest of its kind within Australia at the time, Tasmania’s Public Health Services took the opportunity to conduct </w:t>
      </w:r>
      <w:proofErr w:type="gramStart"/>
      <w:r>
        <w:t>several</w:t>
      </w:r>
      <w:proofErr w:type="gramEnd"/>
      <w:r>
        <w:t xml:space="preserve"> operational research studies amongst the cohort of workers from the implicated hospital campus. All clinical and non-clinical staff (including catering, cleaning, and other support services) were invited to complete an online survey to </w:t>
      </w:r>
      <w:proofErr w:type="gramStart"/>
      <w:r>
        <w:t>determine</w:t>
      </w:r>
      <w:proofErr w:type="gramEnd"/>
      <w:r>
        <w:t xml:space="preserve"> the characteristics of those diagnosed with COVID-19, the frequency of potential risk factors for COVID-19, and infection prevention and control practices among HCWs during the outbreak. Respondents were invited to </w:t>
      </w:r>
      <w:proofErr w:type="gramStart"/>
      <w:r>
        <w:t>participate</w:t>
      </w:r>
      <w:proofErr w:type="gramEnd"/>
      <w:r>
        <w:t xml:space="preserve"> in a serology study using commercially available SARS-CoV-2 immunoassays. These assays had an analytical sensitivity ranging from 92% to 98%, and specificity approaching </w:t>
      </w:r>
      <w:proofErr w:type="gramStart"/>
      <w:r>
        <w:t>100</w:t>
      </w:r>
      <w:proofErr w:type="gramEnd"/>
      <w:r>
        <w:t>%.</w:t>
      </w:r>
      <w:r>
        <w:rPr>
          <w:vertAlign w:val="superscript"/>
        </w:rPr>
        <w:t>4</w:t>
      </w:r>
      <w:r>
        <w:t xml:space="preserve"> With immunoglobulin G (IgG) seroconversion occurring in 91% to 99% of cases,</w:t>
      </w:r>
      <w:r>
        <w:rPr>
          <w:vertAlign w:val="superscript"/>
        </w:rPr>
        <w:t>5,6</w:t>
      </w:r>
      <w:r>
        <w:t xml:space="preserve"> measuring for the presence of antibodies to SARS-CoV-2 could determine the extent of COVID-19 infection in this cohort, and the longevity of the immune response to natural infection. Some studies had </w:t>
      </w:r>
      <w:proofErr w:type="gramStart"/>
      <w:r>
        <w:t>indicated</w:t>
      </w:r>
      <w:proofErr w:type="gramEnd"/>
      <w:r>
        <w:t xml:space="preserve"> that in the pre-vaccination period, antibodies against SARS-CoV-2 persist for up to six months following natural infection.</w:t>
      </w:r>
      <w:r>
        <w:rPr>
          <w:vertAlign w:val="superscript"/>
        </w:rPr>
        <w:t>7–9</w:t>
      </w:r>
      <w:r>
        <w:t xml:space="preserve"> </w:t>
      </w:r>
    </w:p>
    <w:p w14:paraId="1892FA14" w14:textId="77777777" w:rsidR="002033AF" w:rsidRDefault="002033AF" w:rsidP="009148D1">
      <w:r>
        <w:t xml:space="preserve">The </w:t>
      </w:r>
      <w:proofErr w:type="gramStart"/>
      <w:r>
        <w:t>objectives</w:t>
      </w:r>
      <w:proofErr w:type="gramEnd"/>
      <w:r>
        <w:t xml:space="preserve"> of this study were to describe the prevalence of antibody responses to SARS-CoV-2 and to measure the longevity of SARS-CoV-2 antibodies among the cohort of HCWs who worked at the healthcare campus during the 2020 hospital-based outbreak of COVID-19 in North Tasmania. The study measured antibody prevalence at two time points, </w:t>
      </w:r>
      <w:proofErr w:type="gramStart"/>
      <w:r>
        <w:t>approximately 12</w:t>
      </w:r>
      <w:proofErr w:type="gramEnd"/>
      <w:r>
        <w:t xml:space="preserve"> weeks (‘round one’) and eight months (‘round two’) after the outbreak exposure period. This study was undertaken before COVID-19 vaccination in Australia, which did not </w:t>
      </w:r>
      <w:proofErr w:type="gramStart"/>
      <w:r>
        <w:t>commence</w:t>
      </w:r>
      <w:proofErr w:type="gramEnd"/>
      <w:r>
        <w:t xml:space="preserve"> until February 2021, and when there was no evident community transmission in Tasmania. </w:t>
      </w:r>
    </w:p>
    <w:p w14:paraId="5990973F" w14:textId="77777777" w:rsidR="002033AF" w:rsidRPr="009148D1" w:rsidRDefault="002033AF" w:rsidP="009148D1">
      <w:pPr>
        <w:pStyle w:val="Heading1"/>
      </w:pPr>
      <w:r w:rsidRPr="009148D1">
        <w:t xml:space="preserve">Methods </w:t>
      </w:r>
    </w:p>
    <w:p w14:paraId="1B073EC1" w14:textId="77777777" w:rsidR="002033AF" w:rsidRPr="009148D1" w:rsidRDefault="002033AF" w:rsidP="009148D1">
      <w:pPr>
        <w:pStyle w:val="Heading2"/>
      </w:pPr>
      <w:r w:rsidRPr="009148D1">
        <w:t xml:space="preserve">Participants </w:t>
      </w:r>
    </w:p>
    <w:p w14:paraId="7FFF370B" w14:textId="77777777" w:rsidR="002033AF" w:rsidRDefault="002033AF" w:rsidP="009148D1">
      <w:r>
        <w:t xml:space="preserve">Participants </w:t>
      </w:r>
      <w:proofErr w:type="gramStart"/>
      <w:r>
        <w:t>were recruited</w:t>
      </w:r>
      <w:proofErr w:type="gramEnd"/>
      <w:r>
        <w:t xml:space="preserve"> from the online survey sent to 1,779 clinical and non-clinical workers who worked on the implicated health campus between 20 March and 13 April 2020. All eligible workers that accessed the online survey could </w:t>
      </w:r>
      <w:proofErr w:type="gramStart"/>
      <w:r>
        <w:t>elect</w:t>
      </w:r>
      <w:proofErr w:type="gramEnd"/>
      <w:r>
        <w:t xml:space="preserve"> to be contacted by the researchers for enrolment into the serology study. For both rounds, participants with positive and equivocal serology results received their result by phone call; participants with negative results received these by email. </w:t>
      </w:r>
    </w:p>
    <w:p w14:paraId="7CEFA564" w14:textId="77777777" w:rsidR="002033AF" w:rsidRPr="009148D1" w:rsidRDefault="002033AF" w:rsidP="009148D1">
      <w:pPr>
        <w:pStyle w:val="Heading2"/>
      </w:pPr>
      <w:r w:rsidRPr="009148D1">
        <w:t xml:space="preserve">Serum collection and testing </w:t>
      </w:r>
    </w:p>
    <w:p w14:paraId="10A8EC09" w14:textId="77777777" w:rsidR="002033AF" w:rsidRDefault="002033AF" w:rsidP="002D24BB">
      <w:r>
        <w:t xml:space="preserve">The first serum samples (two 5 ml samples) were collected from participants over a six-week period from 6 July to 14 August 2020, </w:t>
      </w:r>
      <w:proofErr w:type="gramStart"/>
      <w:r>
        <w:t>approximately 12</w:t>
      </w:r>
      <w:proofErr w:type="gramEnd"/>
      <w:r>
        <w:t xml:space="preserve"> weeks after the outbreak exposure period. The second round of samples were collected between 7 and 24 December 2020, </w:t>
      </w:r>
      <w:proofErr w:type="gramStart"/>
      <w:r>
        <w:t>approximately eight</w:t>
      </w:r>
      <w:proofErr w:type="gramEnd"/>
      <w:r>
        <w:t xml:space="preserve"> months after the outbreak exposure period. Serological testing </w:t>
      </w:r>
      <w:proofErr w:type="gramStart"/>
      <w:r>
        <w:t>was performed</w:t>
      </w:r>
      <w:proofErr w:type="gramEnd"/>
      <w:r>
        <w:t xml:space="preserve"> using Abbott SARS-CoV-2 IgG Assay (Abbott Diagnostics, Abbott Park, IL, USA), a chemiluminescent microparticle immunoassay for qualitative detection of IgG against SARS-CoV-2 spike receptor protein. Results </w:t>
      </w:r>
      <w:proofErr w:type="gramStart"/>
      <w:r>
        <w:t>were reported</w:t>
      </w:r>
      <w:proofErr w:type="gramEnd"/>
      <w:r>
        <w:t xml:space="preserve"> according to the manufacturer’s instructions, with a signal/cut off index used for this </w:t>
      </w:r>
      <w:r>
        <w:lastRenderedPageBreak/>
        <w:t xml:space="preserve">study as per the manufacturer’s instructions (&lt; 0.49: anti-SARS-CoV-2 antibodies not detected; 0.49 to &lt; 1.4: equivocal; and ≥ 1.4: anti-SARS-CoV-2 antibodies detected). </w:t>
      </w:r>
    </w:p>
    <w:p w14:paraId="3B73CEBD" w14:textId="77777777" w:rsidR="002033AF" w:rsidRPr="002D24BB" w:rsidRDefault="002033AF" w:rsidP="002D24BB">
      <w:pPr>
        <w:pStyle w:val="Heading2"/>
      </w:pPr>
      <w:r w:rsidRPr="002D24BB">
        <w:t xml:space="preserve">Data collection and analysis </w:t>
      </w:r>
    </w:p>
    <w:p w14:paraId="64CF0EB6" w14:textId="77777777" w:rsidR="002033AF" w:rsidRDefault="002033AF" w:rsidP="002D24BB">
      <w:r>
        <w:t xml:space="preserve">A purpose-built database was </w:t>
      </w:r>
      <w:proofErr w:type="gramStart"/>
      <w:r>
        <w:t>utilised</w:t>
      </w:r>
      <w:proofErr w:type="gramEnd"/>
      <w:r>
        <w:t xml:space="preserve"> to record the contact details and demographics of participants from the survey who had agreed to be contacted for the serology study, and the results of both rounds of serology tests. Participants who did not complete the survey instead answered five questions about age, sex, occupation, smoking status, and symptom profile during specimen collection. Serology results </w:t>
      </w:r>
      <w:proofErr w:type="gramStart"/>
      <w:r>
        <w:t>were linked</w:t>
      </w:r>
      <w:proofErr w:type="gramEnd"/>
      <w:r>
        <w:t xml:space="preserve"> to participants’ responses to either the online survey or the five questions, and to the state-wide SARS-CoV-2 PCR database. </w:t>
      </w:r>
    </w:p>
    <w:p w14:paraId="76744517" w14:textId="77777777" w:rsidR="002033AF" w:rsidRDefault="002033AF" w:rsidP="002D24BB">
      <w:r>
        <w:t xml:space="preserve">Outbreak cases </w:t>
      </w:r>
      <w:proofErr w:type="gramStart"/>
      <w:r>
        <w:t>were defined</w:t>
      </w:r>
      <w:proofErr w:type="gramEnd"/>
      <w:r>
        <w:t xml:space="preserve"> as participants who had been notified to the Tasmanian Department of Health with a PCR-positive COVID-19 diagnosis during the outbreak period. Outbreak non-cases were participants who had not been diagnosed with COVID-19 during the outbreak period, either because they had a negative PCR test or were not </w:t>
      </w:r>
      <w:proofErr w:type="gramStart"/>
      <w:r>
        <w:t>tested</w:t>
      </w:r>
      <w:proofErr w:type="gramEnd"/>
      <w:r>
        <w:t xml:space="preserve"> during the outbreak period. Positive and negative results of PCR tests performed during the outbreak period and return-to-work testing </w:t>
      </w:r>
      <w:proofErr w:type="gramStart"/>
      <w:r>
        <w:t>were reviewed</w:t>
      </w:r>
      <w:proofErr w:type="gramEnd"/>
      <w:r>
        <w:t xml:space="preserve">. </w:t>
      </w:r>
    </w:p>
    <w:p w14:paraId="658B6F8D" w14:textId="77777777" w:rsidR="002033AF" w:rsidRDefault="002033AF" w:rsidP="002D24BB">
      <w:r>
        <w:t xml:space="preserve">A descriptive analysis </w:t>
      </w:r>
      <w:proofErr w:type="gramStart"/>
      <w:r>
        <w:t>was conducted</w:t>
      </w:r>
      <w:proofErr w:type="gramEnd"/>
      <w:r>
        <w:t xml:space="preserve"> of participant characteristics and the serology results, with reference to their outbreak case status. Longevity of antibodies </w:t>
      </w:r>
      <w:proofErr w:type="gramStart"/>
      <w:r>
        <w:t>was assessed</w:t>
      </w:r>
      <w:proofErr w:type="gramEnd"/>
      <w:r>
        <w:t xml:space="preserve"> by considering the serology results from both rounds as paired outcomes (e.g., seropositive-seropositive, seropositive-seronegative). The number of days between the outbreak and serum sample collections </w:t>
      </w:r>
      <w:proofErr w:type="gramStart"/>
      <w:r>
        <w:t>were calculated</w:t>
      </w:r>
      <w:proofErr w:type="gramEnd"/>
      <w:r>
        <w:t xml:space="preserve"> as the date of each serum collection minus the date of the first positive SARS-CoV-2 PCR result for cases, and the start of return-to-work testing for non-cases (25 April 2020). The analysis </w:t>
      </w:r>
      <w:proofErr w:type="gramStart"/>
      <w:r>
        <w:t>was conducted</w:t>
      </w:r>
      <w:proofErr w:type="gramEnd"/>
      <w:r>
        <w:t xml:space="preserve"> in Stata/SE17 for Windows. </w:t>
      </w:r>
    </w:p>
    <w:p w14:paraId="31435927" w14:textId="77777777" w:rsidR="002033AF" w:rsidRPr="002D24BB" w:rsidRDefault="002033AF" w:rsidP="002D24BB">
      <w:pPr>
        <w:pStyle w:val="Heading2"/>
      </w:pPr>
      <w:r w:rsidRPr="002D24BB">
        <w:t xml:space="preserve">Ethical considerations </w:t>
      </w:r>
    </w:p>
    <w:p w14:paraId="7FBFFA57" w14:textId="77777777" w:rsidR="002033AF" w:rsidRDefault="002033AF" w:rsidP="002D24BB">
      <w:r>
        <w:t xml:space="preserve">Human Research and Ethics Committee approval </w:t>
      </w:r>
      <w:proofErr w:type="gramStart"/>
      <w:r>
        <w:t>was obtained</w:t>
      </w:r>
      <w:proofErr w:type="gramEnd"/>
      <w:r>
        <w:t xml:space="preserve"> through University of Tasmania (Project ID 21786). Informed written consent </w:t>
      </w:r>
      <w:proofErr w:type="gramStart"/>
      <w:r>
        <w:t>was obtained</w:t>
      </w:r>
      <w:proofErr w:type="gramEnd"/>
      <w:r>
        <w:t xml:space="preserve"> from all participants. </w:t>
      </w:r>
    </w:p>
    <w:p w14:paraId="2D0F1680" w14:textId="77777777" w:rsidR="007A0B75" w:rsidRDefault="007A0B75">
      <w:pPr>
        <w:rPr>
          <w:rFonts w:asciiTheme="majorHAnsi" w:eastAsiaTheme="majorEastAsia" w:hAnsiTheme="majorHAnsi" w:cstheme="majorBidi"/>
          <w:b/>
          <w:bCs/>
          <w:sz w:val="32"/>
          <w:szCs w:val="28"/>
        </w:rPr>
      </w:pPr>
      <w:r>
        <w:br w:type="page"/>
      </w:r>
    </w:p>
    <w:p w14:paraId="02F3DF42" w14:textId="2FA02097" w:rsidR="002033AF" w:rsidRPr="002D24BB" w:rsidRDefault="002033AF" w:rsidP="002D24BB">
      <w:pPr>
        <w:pStyle w:val="Heading1"/>
      </w:pPr>
      <w:r w:rsidRPr="002D24BB">
        <w:lastRenderedPageBreak/>
        <w:t xml:space="preserve">Results </w:t>
      </w:r>
    </w:p>
    <w:p w14:paraId="60C89FFF" w14:textId="77777777" w:rsidR="002033AF" w:rsidRPr="002D24BB" w:rsidRDefault="002033AF" w:rsidP="002D24BB">
      <w:pPr>
        <w:pStyle w:val="Heading2"/>
      </w:pPr>
      <w:r w:rsidRPr="002D24BB">
        <w:t xml:space="preserve">Description of participants </w:t>
      </w:r>
    </w:p>
    <w:p w14:paraId="0BAEDC40" w14:textId="77777777" w:rsidR="002033AF" w:rsidRDefault="002033AF" w:rsidP="002D24BB">
      <w:r>
        <w:t xml:space="preserve">There were 261 HCW who </w:t>
      </w:r>
      <w:proofErr w:type="gramStart"/>
      <w:r>
        <w:t>provided</w:t>
      </w:r>
      <w:proofErr w:type="gramEnd"/>
      <w:r>
        <w:t xml:space="preserve"> serum samples in round one; 129 of the 261 from round one (49%) also provided serum samples in round two. </w:t>
      </w:r>
    </w:p>
    <w:p w14:paraId="2EF67F05" w14:textId="22CCC2C2" w:rsidR="00124ACE" w:rsidRDefault="002033AF" w:rsidP="007A0B75">
      <w:r>
        <w:t xml:space="preserve">Most participants (84% in both rounds) were female and the median age for participants was 46 years for the first round and 47 years in the second round. Nurses and midwives were the most common occupations (Table 1). There was a higher proportion of outbreak cases in round two compared with round one (27% versus 17%) and compared with those who </w:t>
      </w:r>
      <w:proofErr w:type="gramStart"/>
      <w:r>
        <w:t>participated</w:t>
      </w:r>
      <w:proofErr w:type="gramEnd"/>
      <w:r>
        <w:t xml:space="preserve"> in round one but not round two (8%). </w:t>
      </w:r>
    </w:p>
    <w:p w14:paraId="4173B730" w14:textId="77777777" w:rsidR="00124ACE" w:rsidRDefault="00124ACE" w:rsidP="00124ACE">
      <w:pPr>
        <w:pStyle w:val="CDIFigures"/>
        <w:rPr>
          <w:sz w:val="24"/>
          <w:szCs w:val="24"/>
          <w:lang w:val="en-GB"/>
        </w:rPr>
      </w:pPr>
      <w:r>
        <w:rPr>
          <w:lang w:val="en-GB"/>
        </w:rPr>
        <w:t xml:space="preserve">Table 1: Characteristics of participants in the serology study, </w:t>
      </w:r>
      <w:proofErr w:type="gramStart"/>
      <w:r>
        <w:rPr>
          <w:lang w:val="en-GB"/>
        </w:rPr>
        <w:t>North West</w:t>
      </w:r>
      <w:proofErr w:type="gramEnd"/>
      <w:r>
        <w:rPr>
          <w:lang w:val="en-GB"/>
        </w:rPr>
        <w:t xml:space="preserve"> Tasmania, 2020 </w:t>
      </w:r>
    </w:p>
    <w:tbl>
      <w:tblPr>
        <w:tblStyle w:val="CDI-StandardTable"/>
        <w:tblW w:w="0" w:type="auto"/>
        <w:tblLook w:val="04A0" w:firstRow="1" w:lastRow="0" w:firstColumn="1" w:lastColumn="0" w:noHBand="0" w:noVBand="1"/>
        <w:tblDescription w:val="Table 1 summarises the characteristics of participants in the serology study for three groups: those that participated in round one testing, those that participated in round two testing and those that participated in round one but not round two. Characteristics included sex, age, occupation and outbreak case status."/>
      </w:tblPr>
      <w:tblGrid>
        <w:gridCol w:w="3402"/>
        <w:gridCol w:w="1418"/>
        <w:gridCol w:w="850"/>
        <w:gridCol w:w="1418"/>
        <w:gridCol w:w="992"/>
        <w:gridCol w:w="1418"/>
        <w:gridCol w:w="942"/>
      </w:tblGrid>
      <w:tr w:rsidR="00124ACE" w:rsidRPr="00FE5D8A" w14:paraId="3113E884" w14:textId="77777777" w:rsidTr="00124ACE">
        <w:trPr>
          <w:cnfStyle w:val="100000000000" w:firstRow="1" w:lastRow="0" w:firstColumn="0" w:lastColumn="0" w:oddVBand="0" w:evenVBand="0" w:oddHBand="0" w:evenHBand="0" w:firstRowFirstColumn="0" w:firstRowLastColumn="0" w:lastRowFirstColumn="0" w:lastRowLastColumn="0"/>
          <w:tblHeader/>
        </w:trPr>
        <w:tc>
          <w:tcPr>
            <w:tcW w:w="3402" w:type="dxa"/>
            <w:vMerge w:val="restart"/>
            <w:hideMark/>
          </w:tcPr>
          <w:p w14:paraId="0F477426" w14:textId="77777777" w:rsidR="00124ACE" w:rsidRPr="00FE5D8A" w:rsidRDefault="00124ACE" w:rsidP="00926E27">
            <w:pPr>
              <w:pStyle w:val="NormalWeb"/>
              <w:jc w:val="left"/>
              <w:rPr>
                <w:sz w:val="18"/>
                <w:szCs w:val="18"/>
                <w:lang w:val="en-GB"/>
              </w:rPr>
            </w:pPr>
            <w:r w:rsidRPr="00FE5D8A">
              <w:rPr>
                <w:sz w:val="18"/>
                <w:szCs w:val="18"/>
                <w:lang w:val="en-GB"/>
              </w:rPr>
              <w:t>Characteristic</w:t>
            </w:r>
          </w:p>
        </w:tc>
        <w:tc>
          <w:tcPr>
            <w:tcW w:w="2268" w:type="dxa"/>
            <w:gridSpan w:val="2"/>
            <w:hideMark/>
          </w:tcPr>
          <w:p w14:paraId="433F82C3" w14:textId="77777777" w:rsidR="00124ACE" w:rsidRPr="00FE5D8A" w:rsidRDefault="00124ACE" w:rsidP="00926E27">
            <w:pPr>
              <w:pStyle w:val="NormalWeb"/>
              <w:rPr>
                <w:sz w:val="18"/>
                <w:szCs w:val="18"/>
                <w:lang w:val="en-GB"/>
              </w:rPr>
            </w:pPr>
            <w:r w:rsidRPr="00FE5D8A">
              <w:rPr>
                <w:sz w:val="18"/>
                <w:szCs w:val="18"/>
                <w:lang w:val="en-GB"/>
              </w:rPr>
              <w:t>Round one</w:t>
            </w:r>
            <w:r w:rsidRPr="00FE5D8A">
              <w:rPr>
                <w:sz w:val="18"/>
                <w:szCs w:val="18"/>
                <w:lang w:val="en-GB"/>
              </w:rPr>
              <w:br/>
              <w:t>(n = 261)</w:t>
            </w:r>
            <w:r>
              <w:rPr>
                <w:sz w:val="18"/>
                <w:szCs w:val="18"/>
                <w:lang w:val="en-GB"/>
              </w:rPr>
              <w:br/>
            </w:r>
            <w:r w:rsidRPr="00FE5D8A">
              <w:rPr>
                <w:sz w:val="18"/>
                <w:szCs w:val="18"/>
                <w:lang w:val="en-GB"/>
              </w:rPr>
              <w:t>July/August 2020</w:t>
            </w:r>
          </w:p>
        </w:tc>
        <w:tc>
          <w:tcPr>
            <w:tcW w:w="2410" w:type="dxa"/>
            <w:gridSpan w:val="2"/>
            <w:hideMark/>
          </w:tcPr>
          <w:p w14:paraId="76884C14" w14:textId="77777777" w:rsidR="00124ACE" w:rsidRPr="00FE5D8A" w:rsidRDefault="00124ACE" w:rsidP="00926E27">
            <w:pPr>
              <w:pStyle w:val="NormalWeb"/>
              <w:rPr>
                <w:sz w:val="18"/>
                <w:szCs w:val="18"/>
                <w:lang w:val="en-GB"/>
              </w:rPr>
            </w:pPr>
            <w:r w:rsidRPr="00FE5D8A">
              <w:rPr>
                <w:sz w:val="18"/>
                <w:szCs w:val="18"/>
                <w:lang w:val="en-GB"/>
              </w:rPr>
              <w:t>Round two</w:t>
            </w:r>
            <w:r w:rsidRPr="00FE5D8A">
              <w:rPr>
                <w:sz w:val="18"/>
                <w:szCs w:val="18"/>
                <w:lang w:val="en-GB"/>
              </w:rPr>
              <w:br/>
              <w:t>(n = 129)</w:t>
            </w:r>
            <w:r>
              <w:rPr>
                <w:sz w:val="18"/>
                <w:szCs w:val="18"/>
                <w:lang w:val="en-GB"/>
              </w:rPr>
              <w:br/>
            </w:r>
            <w:r w:rsidRPr="00FE5D8A">
              <w:rPr>
                <w:sz w:val="18"/>
                <w:szCs w:val="18"/>
                <w:lang w:val="en-GB"/>
              </w:rPr>
              <w:t>December 2020</w:t>
            </w:r>
          </w:p>
        </w:tc>
        <w:tc>
          <w:tcPr>
            <w:tcW w:w="2360" w:type="dxa"/>
            <w:gridSpan w:val="2"/>
            <w:hideMark/>
          </w:tcPr>
          <w:p w14:paraId="65DB81EA" w14:textId="77777777" w:rsidR="00124ACE" w:rsidRPr="00FE5D8A" w:rsidRDefault="00124ACE" w:rsidP="00926E27">
            <w:pPr>
              <w:pStyle w:val="NormalWeb"/>
              <w:rPr>
                <w:sz w:val="18"/>
                <w:szCs w:val="18"/>
                <w:lang w:val="en-GB"/>
              </w:rPr>
            </w:pPr>
            <w:r w:rsidRPr="00FE5D8A">
              <w:rPr>
                <w:sz w:val="18"/>
                <w:szCs w:val="18"/>
                <w:lang w:val="en-GB"/>
              </w:rPr>
              <w:t>Round one but not round two</w:t>
            </w:r>
            <w:r w:rsidRPr="00FE5D8A">
              <w:rPr>
                <w:sz w:val="18"/>
                <w:szCs w:val="18"/>
                <w:lang w:val="en-GB"/>
              </w:rPr>
              <w:br/>
              <w:t>(n = 132)</w:t>
            </w:r>
          </w:p>
        </w:tc>
      </w:tr>
      <w:tr w:rsidR="00124ACE" w:rsidRPr="00FE5D8A" w14:paraId="3BC2EBC0" w14:textId="77777777" w:rsidTr="00124ACE">
        <w:trPr>
          <w:cnfStyle w:val="100000000000" w:firstRow="1" w:lastRow="0" w:firstColumn="0" w:lastColumn="0" w:oddVBand="0" w:evenVBand="0" w:oddHBand="0" w:evenHBand="0" w:firstRowFirstColumn="0" w:firstRowLastColumn="0" w:lastRowFirstColumn="0" w:lastRowLastColumn="0"/>
          <w:tblHeader/>
        </w:trPr>
        <w:tc>
          <w:tcPr>
            <w:tcW w:w="3402" w:type="dxa"/>
            <w:vMerge/>
            <w:hideMark/>
          </w:tcPr>
          <w:p w14:paraId="63CBE91E" w14:textId="77777777" w:rsidR="00124ACE" w:rsidRPr="00FE5D8A" w:rsidRDefault="00124ACE" w:rsidP="00926E27">
            <w:pPr>
              <w:jc w:val="left"/>
              <w:rPr>
                <w:sz w:val="18"/>
                <w:szCs w:val="18"/>
                <w:lang w:val="en-GB"/>
              </w:rPr>
            </w:pPr>
          </w:p>
        </w:tc>
        <w:tc>
          <w:tcPr>
            <w:tcW w:w="1418" w:type="dxa"/>
            <w:hideMark/>
          </w:tcPr>
          <w:p w14:paraId="20BB0396" w14:textId="77777777" w:rsidR="00124ACE" w:rsidRPr="00FE5D8A" w:rsidRDefault="00124ACE" w:rsidP="00926E27">
            <w:pPr>
              <w:pStyle w:val="NormalWeb"/>
              <w:rPr>
                <w:sz w:val="18"/>
                <w:szCs w:val="18"/>
                <w:lang w:val="en-GB"/>
              </w:rPr>
            </w:pPr>
            <w:r w:rsidRPr="00FE5D8A">
              <w:rPr>
                <w:sz w:val="18"/>
                <w:szCs w:val="18"/>
                <w:lang w:val="en-GB"/>
              </w:rPr>
              <w:t>Number</w:t>
            </w:r>
          </w:p>
        </w:tc>
        <w:tc>
          <w:tcPr>
            <w:tcW w:w="850" w:type="dxa"/>
            <w:hideMark/>
          </w:tcPr>
          <w:p w14:paraId="4185433F" w14:textId="77777777" w:rsidR="00124ACE" w:rsidRPr="00FE5D8A" w:rsidRDefault="00124ACE" w:rsidP="00926E27">
            <w:pPr>
              <w:pStyle w:val="NormalWeb"/>
              <w:rPr>
                <w:sz w:val="18"/>
                <w:szCs w:val="18"/>
                <w:lang w:val="en-GB"/>
              </w:rPr>
            </w:pPr>
            <w:r w:rsidRPr="00FE5D8A">
              <w:rPr>
                <w:sz w:val="18"/>
                <w:szCs w:val="18"/>
                <w:lang w:val="en-GB"/>
              </w:rPr>
              <w:t>Percent</w:t>
            </w:r>
          </w:p>
        </w:tc>
        <w:tc>
          <w:tcPr>
            <w:tcW w:w="1418" w:type="dxa"/>
            <w:hideMark/>
          </w:tcPr>
          <w:p w14:paraId="307192BE" w14:textId="77777777" w:rsidR="00124ACE" w:rsidRPr="00FE5D8A" w:rsidRDefault="00124ACE" w:rsidP="00926E27">
            <w:pPr>
              <w:pStyle w:val="NormalWeb"/>
              <w:rPr>
                <w:sz w:val="18"/>
                <w:szCs w:val="18"/>
                <w:lang w:val="en-GB"/>
              </w:rPr>
            </w:pPr>
            <w:r w:rsidRPr="00FE5D8A">
              <w:rPr>
                <w:sz w:val="18"/>
                <w:szCs w:val="18"/>
                <w:lang w:val="en-GB"/>
              </w:rPr>
              <w:t>Number</w:t>
            </w:r>
          </w:p>
        </w:tc>
        <w:tc>
          <w:tcPr>
            <w:tcW w:w="992" w:type="dxa"/>
            <w:hideMark/>
          </w:tcPr>
          <w:p w14:paraId="1017481C" w14:textId="77777777" w:rsidR="00124ACE" w:rsidRPr="00FE5D8A" w:rsidRDefault="00124ACE" w:rsidP="00926E27">
            <w:pPr>
              <w:pStyle w:val="NormalWeb"/>
              <w:rPr>
                <w:sz w:val="18"/>
                <w:szCs w:val="18"/>
                <w:lang w:val="en-GB"/>
              </w:rPr>
            </w:pPr>
            <w:r w:rsidRPr="00FE5D8A">
              <w:rPr>
                <w:sz w:val="18"/>
                <w:szCs w:val="18"/>
                <w:lang w:val="en-GB"/>
              </w:rPr>
              <w:t>Percent</w:t>
            </w:r>
          </w:p>
        </w:tc>
        <w:tc>
          <w:tcPr>
            <w:tcW w:w="1418" w:type="dxa"/>
            <w:hideMark/>
          </w:tcPr>
          <w:p w14:paraId="68361FC7" w14:textId="77777777" w:rsidR="00124ACE" w:rsidRPr="00FE5D8A" w:rsidRDefault="00124ACE" w:rsidP="00926E27">
            <w:pPr>
              <w:pStyle w:val="NormalWeb"/>
              <w:rPr>
                <w:sz w:val="18"/>
                <w:szCs w:val="18"/>
                <w:lang w:val="en-GB"/>
              </w:rPr>
            </w:pPr>
            <w:r w:rsidRPr="00FE5D8A">
              <w:rPr>
                <w:sz w:val="18"/>
                <w:szCs w:val="18"/>
                <w:lang w:val="en-GB"/>
              </w:rPr>
              <w:t>Number</w:t>
            </w:r>
          </w:p>
        </w:tc>
        <w:tc>
          <w:tcPr>
            <w:tcW w:w="942" w:type="dxa"/>
            <w:hideMark/>
          </w:tcPr>
          <w:p w14:paraId="7F6E0BAD" w14:textId="77777777" w:rsidR="00124ACE" w:rsidRPr="00FE5D8A" w:rsidRDefault="00124ACE" w:rsidP="00926E27">
            <w:pPr>
              <w:pStyle w:val="NormalWeb"/>
              <w:rPr>
                <w:sz w:val="18"/>
                <w:szCs w:val="18"/>
                <w:lang w:val="en-GB"/>
              </w:rPr>
            </w:pPr>
            <w:r w:rsidRPr="00FE5D8A">
              <w:rPr>
                <w:sz w:val="18"/>
                <w:szCs w:val="18"/>
                <w:lang w:val="en-GB"/>
              </w:rPr>
              <w:t>Percent</w:t>
            </w:r>
          </w:p>
        </w:tc>
      </w:tr>
      <w:tr w:rsidR="00124ACE" w:rsidRPr="005A6769" w14:paraId="4FC1B463" w14:textId="77777777" w:rsidTr="00124ACE">
        <w:tc>
          <w:tcPr>
            <w:tcW w:w="10440" w:type="dxa"/>
            <w:gridSpan w:val="7"/>
            <w:shd w:val="clear" w:color="auto" w:fill="BBA991"/>
            <w:hideMark/>
          </w:tcPr>
          <w:p w14:paraId="3FDB00FD" w14:textId="77777777" w:rsidR="00124ACE" w:rsidRPr="005A6769" w:rsidRDefault="00124ACE" w:rsidP="00926E27">
            <w:pPr>
              <w:pStyle w:val="NormalWeb"/>
              <w:jc w:val="left"/>
              <w:rPr>
                <w:b/>
                <w:bCs/>
                <w:color w:val="auto"/>
                <w:sz w:val="18"/>
                <w:szCs w:val="18"/>
                <w:lang w:val="en-GB"/>
              </w:rPr>
            </w:pPr>
            <w:r w:rsidRPr="005A6769">
              <w:rPr>
                <w:b/>
                <w:bCs/>
                <w:color w:val="auto"/>
                <w:sz w:val="18"/>
                <w:szCs w:val="18"/>
                <w:lang w:val="en-GB"/>
              </w:rPr>
              <w:t>Sex</w:t>
            </w:r>
          </w:p>
        </w:tc>
      </w:tr>
      <w:tr w:rsidR="00124ACE" w:rsidRPr="00FE5D8A" w14:paraId="58A9028D" w14:textId="77777777" w:rsidTr="00124ACE">
        <w:trPr>
          <w:cnfStyle w:val="000000010000" w:firstRow="0" w:lastRow="0" w:firstColumn="0" w:lastColumn="0" w:oddVBand="0" w:evenVBand="0" w:oddHBand="0" w:evenHBand="1" w:firstRowFirstColumn="0" w:firstRowLastColumn="0" w:lastRowFirstColumn="0" w:lastRowLastColumn="0"/>
        </w:trPr>
        <w:tc>
          <w:tcPr>
            <w:tcW w:w="3402" w:type="dxa"/>
            <w:hideMark/>
          </w:tcPr>
          <w:p w14:paraId="553228EF" w14:textId="77777777" w:rsidR="00124ACE" w:rsidRPr="00FE5D8A" w:rsidRDefault="00124ACE" w:rsidP="00926E27">
            <w:pPr>
              <w:pStyle w:val="NormalWeb"/>
              <w:jc w:val="left"/>
              <w:rPr>
                <w:sz w:val="18"/>
                <w:szCs w:val="18"/>
                <w:lang w:val="en-GB"/>
              </w:rPr>
            </w:pPr>
            <w:r w:rsidRPr="00FE5D8A">
              <w:rPr>
                <w:sz w:val="18"/>
                <w:szCs w:val="18"/>
                <w:lang w:val="en-GB"/>
              </w:rPr>
              <w:t>Female</w:t>
            </w:r>
          </w:p>
        </w:tc>
        <w:tc>
          <w:tcPr>
            <w:tcW w:w="1418" w:type="dxa"/>
            <w:hideMark/>
          </w:tcPr>
          <w:p w14:paraId="0059330B" w14:textId="77777777" w:rsidR="00124ACE" w:rsidRPr="00FE5D8A" w:rsidRDefault="00124ACE" w:rsidP="00926E27">
            <w:pPr>
              <w:pStyle w:val="NormalWeb"/>
              <w:rPr>
                <w:sz w:val="18"/>
                <w:szCs w:val="18"/>
                <w:lang w:val="en-GB"/>
              </w:rPr>
            </w:pPr>
            <w:r w:rsidRPr="00FE5D8A">
              <w:rPr>
                <w:sz w:val="18"/>
                <w:szCs w:val="18"/>
                <w:lang w:val="en-GB"/>
              </w:rPr>
              <w:t>220</w:t>
            </w:r>
          </w:p>
        </w:tc>
        <w:tc>
          <w:tcPr>
            <w:tcW w:w="850" w:type="dxa"/>
            <w:hideMark/>
          </w:tcPr>
          <w:p w14:paraId="7907D4C8" w14:textId="77777777" w:rsidR="00124ACE" w:rsidRPr="00FE5D8A" w:rsidRDefault="00124ACE" w:rsidP="00926E27">
            <w:pPr>
              <w:pStyle w:val="NormalWeb"/>
              <w:rPr>
                <w:sz w:val="18"/>
                <w:szCs w:val="18"/>
                <w:lang w:val="en-GB"/>
              </w:rPr>
            </w:pPr>
            <w:r w:rsidRPr="00FE5D8A">
              <w:rPr>
                <w:sz w:val="18"/>
                <w:szCs w:val="18"/>
                <w:lang w:val="en-GB"/>
              </w:rPr>
              <w:t>84</w:t>
            </w:r>
          </w:p>
        </w:tc>
        <w:tc>
          <w:tcPr>
            <w:tcW w:w="1418" w:type="dxa"/>
            <w:hideMark/>
          </w:tcPr>
          <w:p w14:paraId="3C7AE7CE" w14:textId="77777777" w:rsidR="00124ACE" w:rsidRPr="00FE5D8A" w:rsidRDefault="00124ACE" w:rsidP="00926E27">
            <w:pPr>
              <w:pStyle w:val="NormalWeb"/>
              <w:rPr>
                <w:sz w:val="18"/>
                <w:szCs w:val="18"/>
                <w:lang w:val="en-GB"/>
              </w:rPr>
            </w:pPr>
            <w:r w:rsidRPr="00FE5D8A">
              <w:rPr>
                <w:sz w:val="18"/>
                <w:szCs w:val="18"/>
                <w:lang w:val="en-GB"/>
              </w:rPr>
              <w:t>108</w:t>
            </w:r>
          </w:p>
        </w:tc>
        <w:tc>
          <w:tcPr>
            <w:tcW w:w="992" w:type="dxa"/>
            <w:hideMark/>
          </w:tcPr>
          <w:p w14:paraId="521BA852" w14:textId="77777777" w:rsidR="00124ACE" w:rsidRPr="00FE5D8A" w:rsidRDefault="00124ACE" w:rsidP="00926E27">
            <w:pPr>
              <w:pStyle w:val="NormalWeb"/>
              <w:rPr>
                <w:sz w:val="18"/>
                <w:szCs w:val="18"/>
                <w:lang w:val="en-GB"/>
              </w:rPr>
            </w:pPr>
            <w:r w:rsidRPr="00FE5D8A">
              <w:rPr>
                <w:sz w:val="18"/>
                <w:szCs w:val="18"/>
                <w:lang w:val="en-GB"/>
              </w:rPr>
              <w:t>84</w:t>
            </w:r>
          </w:p>
        </w:tc>
        <w:tc>
          <w:tcPr>
            <w:tcW w:w="1418" w:type="dxa"/>
            <w:hideMark/>
          </w:tcPr>
          <w:p w14:paraId="0A152D81" w14:textId="77777777" w:rsidR="00124ACE" w:rsidRPr="00FE5D8A" w:rsidRDefault="00124ACE" w:rsidP="00926E27">
            <w:pPr>
              <w:pStyle w:val="NormalWeb"/>
              <w:rPr>
                <w:sz w:val="18"/>
                <w:szCs w:val="18"/>
                <w:lang w:val="en-GB"/>
              </w:rPr>
            </w:pPr>
            <w:r w:rsidRPr="00FE5D8A">
              <w:rPr>
                <w:sz w:val="18"/>
                <w:szCs w:val="18"/>
                <w:lang w:val="en-GB"/>
              </w:rPr>
              <w:t>112</w:t>
            </w:r>
          </w:p>
        </w:tc>
        <w:tc>
          <w:tcPr>
            <w:tcW w:w="942" w:type="dxa"/>
            <w:hideMark/>
          </w:tcPr>
          <w:p w14:paraId="697F6DED" w14:textId="77777777" w:rsidR="00124ACE" w:rsidRPr="00FE5D8A" w:rsidRDefault="00124ACE" w:rsidP="00926E27">
            <w:pPr>
              <w:pStyle w:val="NormalWeb"/>
              <w:rPr>
                <w:sz w:val="18"/>
                <w:szCs w:val="18"/>
                <w:lang w:val="en-GB"/>
              </w:rPr>
            </w:pPr>
            <w:r w:rsidRPr="00FE5D8A">
              <w:rPr>
                <w:sz w:val="18"/>
                <w:szCs w:val="18"/>
                <w:lang w:val="en-GB"/>
              </w:rPr>
              <w:t>85</w:t>
            </w:r>
          </w:p>
        </w:tc>
      </w:tr>
      <w:tr w:rsidR="00124ACE" w:rsidRPr="00FE5D8A" w14:paraId="6A57B406" w14:textId="77777777" w:rsidTr="00124ACE">
        <w:tc>
          <w:tcPr>
            <w:tcW w:w="3402" w:type="dxa"/>
            <w:hideMark/>
          </w:tcPr>
          <w:p w14:paraId="66D3B2D0" w14:textId="77777777" w:rsidR="00124ACE" w:rsidRPr="00FE5D8A" w:rsidRDefault="00124ACE" w:rsidP="00926E27">
            <w:pPr>
              <w:pStyle w:val="NormalWeb"/>
              <w:jc w:val="left"/>
              <w:rPr>
                <w:sz w:val="18"/>
                <w:szCs w:val="18"/>
                <w:lang w:val="en-GB"/>
              </w:rPr>
            </w:pPr>
            <w:r w:rsidRPr="00FE5D8A">
              <w:rPr>
                <w:sz w:val="18"/>
                <w:szCs w:val="18"/>
                <w:lang w:val="en-GB"/>
              </w:rPr>
              <w:t>Male</w:t>
            </w:r>
          </w:p>
        </w:tc>
        <w:tc>
          <w:tcPr>
            <w:tcW w:w="1418" w:type="dxa"/>
            <w:hideMark/>
          </w:tcPr>
          <w:p w14:paraId="627FBC5D" w14:textId="77777777" w:rsidR="00124ACE" w:rsidRPr="00FE5D8A" w:rsidRDefault="00124ACE" w:rsidP="00926E27">
            <w:pPr>
              <w:pStyle w:val="NormalWeb"/>
              <w:rPr>
                <w:sz w:val="18"/>
                <w:szCs w:val="18"/>
                <w:lang w:val="en-GB"/>
              </w:rPr>
            </w:pPr>
            <w:r w:rsidRPr="00FE5D8A">
              <w:rPr>
                <w:sz w:val="18"/>
                <w:szCs w:val="18"/>
                <w:lang w:val="en-GB"/>
              </w:rPr>
              <w:t>40</w:t>
            </w:r>
          </w:p>
        </w:tc>
        <w:tc>
          <w:tcPr>
            <w:tcW w:w="850" w:type="dxa"/>
            <w:hideMark/>
          </w:tcPr>
          <w:p w14:paraId="596A1DB7" w14:textId="77777777" w:rsidR="00124ACE" w:rsidRPr="00FE5D8A" w:rsidRDefault="00124ACE" w:rsidP="00926E27">
            <w:pPr>
              <w:pStyle w:val="NormalWeb"/>
              <w:rPr>
                <w:sz w:val="18"/>
                <w:szCs w:val="18"/>
                <w:lang w:val="en-GB"/>
              </w:rPr>
            </w:pPr>
            <w:r w:rsidRPr="00FE5D8A">
              <w:rPr>
                <w:sz w:val="18"/>
                <w:szCs w:val="18"/>
                <w:lang w:val="en-GB"/>
              </w:rPr>
              <w:t>15</w:t>
            </w:r>
          </w:p>
        </w:tc>
        <w:tc>
          <w:tcPr>
            <w:tcW w:w="1418" w:type="dxa"/>
            <w:hideMark/>
          </w:tcPr>
          <w:p w14:paraId="5702DED4" w14:textId="77777777" w:rsidR="00124ACE" w:rsidRPr="00FE5D8A" w:rsidRDefault="00124ACE" w:rsidP="00926E27">
            <w:pPr>
              <w:pStyle w:val="NormalWeb"/>
              <w:rPr>
                <w:sz w:val="18"/>
                <w:szCs w:val="18"/>
                <w:lang w:val="en-GB"/>
              </w:rPr>
            </w:pPr>
            <w:r w:rsidRPr="00FE5D8A">
              <w:rPr>
                <w:sz w:val="18"/>
                <w:szCs w:val="18"/>
                <w:lang w:val="en-GB"/>
              </w:rPr>
              <w:t>21</w:t>
            </w:r>
          </w:p>
        </w:tc>
        <w:tc>
          <w:tcPr>
            <w:tcW w:w="992" w:type="dxa"/>
            <w:hideMark/>
          </w:tcPr>
          <w:p w14:paraId="242B53B1" w14:textId="77777777" w:rsidR="00124ACE" w:rsidRPr="00FE5D8A" w:rsidRDefault="00124ACE" w:rsidP="00926E27">
            <w:pPr>
              <w:pStyle w:val="NormalWeb"/>
              <w:rPr>
                <w:sz w:val="18"/>
                <w:szCs w:val="18"/>
                <w:lang w:val="en-GB"/>
              </w:rPr>
            </w:pPr>
            <w:r w:rsidRPr="00FE5D8A">
              <w:rPr>
                <w:sz w:val="18"/>
                <w:szCs w:val="18"/>
                <w:lang w:val="en-GB"/>
              </w:rPr>
              <w:t>16</w:t>
            </w:r>
          </w:p>
        </w:tc>
        <w:tc>
          <w:tcPr>
            <w:tcW w:w="1418" w:type="dxa"/>
            <w:hideMark/>
          </w:tcPr>
          <w:p w14:paraId="2D367DA0" w14:textId="77777777" w:rsidR="00124ACE" w:rsidRPr="00FE5D8A" w:rsidRDefault="00124ACE" w:rsidP="00926E27">
            <w:pPr>
              <w:pStyle w:val="NormalWeb"/>
              <w:rPr>
                <w:sz w:val="18"/>
                <w:szCs w:val="18"/>
                <w:lang w:val="en-GB"/>
              </w:rPr>
            </w:pPr>
            <w:r w:rsidRPr="00FE5D8A">
              <w:rPr>
                <w:sz w:val="18"/>
                <w:szCs w:val="18"/>
                <w:lang w:val="en-GB"/>
              </w:rPr>
              <w:t>19</w:t>
            </w:r>
          </w:p>
        </w:tc>
        <w:tc>
          <w:tcPr>
            <w:tcW w:w="942" w:type="dxa"/>
            <w:hideMark/>
          </w:tcPr>
          <w:p w14:paraId="1E7E322D" w14:textId="77777777" w:rsidR="00124ACE" w:rsidRPr="00FE5D8A" w:rsidRDefault="00124ACE" w:rsidP="00926E27">
            <w:pPr>
              <w:pStyle w:val="NormalWeb"/>
              <w:rPr>
                <w:sz w:val="18"/>
                <w:szCs w:val="18"/>
                <w:lang w:val="en-GB"/>
              </w:rPr>
            </w:pPr>
            <w:r w:rsidRPr="00FE5D8A">
              <w:rPr>
                <w:sz w:val="18"/>
                <w:szCs w:val="18"/>
                <w:lang w:val="en-GB"/>
              </w:rPr>
              <w:t>14</w:t>
            </w:r>
          </w:p>
        </w:tc>
      </w:tr>
      <w:tr w:rsidR="00124ACE" w:rsidRPr="00FE5D8A" w14:paraId="312EBCD3" w14:textId="77777777" w:rsidTr="00124ACE">
        <w:trPr>
          <w:cnfStyle w:val="000000010000" w:firstRow="0" w:lastRow="0" w:firstColumn="0" w:lastColumn="0" w:oddVBand="0" w:evenVBand="0" w:oddHBand="0" w:evenHBand="1" w:firstRowFirstColumn="0" w:firstRowLastColumn="0" w:lastRowFirstColumn="0" w:lastRowLastColumn="0"/>
        </w:trPr>
        <w:tc>
          <w:tcPr>
            <w:tcW w:w="3402" w:type="dxa"/>
            <w:hideMark/>
          </w:tcPr>
          <w:p w14:paraId="41A2358D" w14:textId="77777777" w:rsidR="00124ACE" w:rsidRPr="00FE5D8A" w:rsidRDefault="00124ACE" w:rsidP="00926E27">
            <w:pPr>
              <w:pStyle w:val="NormalWeb"/>
              <w:jc w:val="left"/>
              <w:rPr>
                <w:sz w:val="18"/>
                <w:szCs w:val="18"/>
                <w:lang w:val="en-GB"/>
              </w:rPr>
            </w:pPr>
            <w:r w:rsidRPr="00FE5D8A">
              <w:rPr>
                <w:sz w:val="18"/>
                <w:szCs w:val="18"/>
                <w:lang w:val="en-GB"/>
              </w:rPr>
              <w:t>Not reported</w:t>
            </w:r>
          </w:p>
        </w:tc>
        <w:tc>
          <w:tcPr>
            <w:tcW w:w="1418" w:type="dxa"/>
            <w:hideMark/>
          </w:tcPr>
          <w:p w14:paraId="06ED473B" w14:textId="77777777" w:rsidR="00124ACE" w:rsidRPr="00FE5D8A" w:rsidRDefault="00124ACE" w:rsidP="00926E27">
            <w:pPr>
              <w:pStyle w:val="NormalWeb"/>
              <w:rPr>
                <w:sz w:val="18"/>
                <w:szCs w:val="18"/>
                <w:lang w:val="en-GB"/>
              </w:rPr>
            </w:pPr>
            <w:r w:rsidRPr="00FE5D8A">
              <w:rPr>
                <w:sz w:val="18"/>
                <w:szCs w:val="18"/>
                <w:lang w:val="en-GB"/>
              </w:rPr>
              <w:t>1</w:t>
            </w:r>
          </w:p>
        </w:tc>
        <w:tc>
          <w:tcPr>
            <w:tcW w:w="850" w:type="dxa"/>
            <w:hideMark/>
          </w:tcPr>
          <w:p w14:paraId="57D25037" w14:textId="77777777" w:rsidR="00124ACE" w:rsidRPr="00FE5D8A" w:rsidRDefault="00124ACE" w:rsidP="00926E27">
            <w:pPr>
              <w:pStyle w:val="NormalWeb"/>
              <w:rPr>
                <w:sz w:val="18"/>
                <w:szCs w:val="18"/>
                <w:lang w:val="en-GB"/>
              </w:rPr>
            </w:pPr>
            <w:r w:rsidRPr="00FE5D8A">
              <w:rPr>
                <w:sz w:val="18"/>
                <w:szCs w:val="18"/>
                <w:lang w:val="en-GB"/>
              </w:rPr>
              <w:t>1</w:t>
            </w:r>
          </w:p>
        </w:tc>
        <w:tc>
          <w:tcPr>
            <w:tcW w:w="1418" w:type="dxa"/>
            <w:hideMark/>
          </w:tcPr>
          <w:p w14:paraId="3A5C2725" w14:textId="77777777" w:rsidR="00124ACE" w:rsidRPr="00FE5D8A" w:rsidRDefault="00124ACE" w:rsidP="00926E27">
            <w:pPr>
              <w:pStyle w:val="NormalWeb"/>
              <w:rPr>
                <w:sz w:val="18"/>
                <w:szCs w:val="18"/>
                <w:lang w:val="en-GB"/>
              </w:rPr>
            </w:pPr>
            <w:r w:rsidRPr="00FE5D8A">
              <w:rPr>
                <w:sz w:val="18"/>
                <w:szCs w:val="18"/>
                <w:lang w:val="en-GB"/>
              </w:rPr>
              <w:t>0</w:t>
            </w:r>
          </w:p>
        </w:tc>
        <w:tc>
          <w:tcPr>
            <w:tcW w:w="992" w:type="dxa"/>
            <w:hideMark/>
          </w:tcPr>
          <w:p w14:paraId="7C56961F" w14:textId="77777777" w:rsidR="00124ACE" w:rsidRPr="00FE5D8A" w:rsidRDefault="00124ACE" w:rsidP="00926E27">
            <w:pPr>
              <w:pStyle w:val="NormalWeb"/>
              <w:rPr>
                <w:sz w:val="18"/>
                <w:szCs w:val="18"/>
                <w:lang w:val="en-GB"/>
              </w:rPr>
            </w:pPr>
            <w:r w:rsidRPr="00FE5D8A">
              <w:rPr>
                <w:sz w:val="18"/>
                <w:szCs w:val="18"/>
                <w:lang w:val="en-GB"/>
              </w:rPr>
              <w:t>0</w:t>
            </w:r>
          </w:p>
        </w:tc>
        <w:tc>
          <w:tcPr>
            <w:tcW w:w="1418" w:type="dxa"/>
            <w:hideMark/>
          </w:tcPr>
          <w:p w14:paraId="20CA21BE" w14:textId="77777777" w:rsidR="00124ACE" w:rsidRPr="00FE5D8A" w:rsidRDefault="00124ACE" w:rsidP="00926E27">
            <w:pPr>
              <w:pStyle w:val="NormalWeb"/>
              <w:rPr>
                <w:sz w:val="18"/>
                <w:szCs w:val="18"/>
                <w:lang w:val="en-GB"/>
              </w:rPr>
            </w:pPr>
            <w:r w:rsidRPr="00FE5D8A">
              <w:rPr>
                <w:sz w:val="18"/>
                <w:szCs w:val="18"/>
                <w:lang w:val="en-GB"/>
              </w:rPr>
              <w:t>1</w:t>
            </w:r>
          </w:p>
        </w:tc>
        <w:tc>
          <w:tcPr>
            <w:tcW w:w="942" w:type="dxa"/>
            <w:hideMark/>
          </w:tcPr>
          <w:p w14:paraId="057D40E1" w14:textId="77777777" w:rsidR="00124ACE" w:rsidRPr="00FE5D8A" w:rsidRDefault="00124ACE" w:rsidP="00926E27">
            <w:pPr>
              <w:pStyle w:val="NormalWeb"/>
              <w:rPr>
                <w:sz w:val="18"/>
                <w:szCs w:val="18"/>
                <w:lang w:val="en-GB"/>
              </w:rPr>
            </w:pPr>
            <w:r w:rsidRPr="00FE5D8A">
              <w:rPr>
                <w:sz w:val="18"/>
                <w:szCs w:val="18"/>
                <w:lang w:val="en-GB"/>
              </w:rPr>
              <w:t>1</w:t>
            </w:r>
          </w:p>
        </w:tc>
      </w:tr>
      <w:tr w:rsidR="00124ACE" w:rsidRPr="004F4B13" w14:paraId="738CCA5C" w14:textId="77777777" w:rsidTr="00124ACE">
        <w:tc>
          <w:tcPr>
            <w:tcW w:w="10440" w:type="dxa"/>
            <w:gridSpan w:val="7"/>
            <w:shd w:val="clear" w:color="auto" w:fill="BBA991"/>
            <w:hideMark/>
          </w:tcPr>
          <w:p w14:paraId="690EB042" w14:textId="77777777" w:rsidR="00124ACE" w:rsidRPr="004F4B13" w:rsidRDefault="00124ACE" w:rsidP="00926E27">
            <w:pPr>
              <w:pStyle w:val="NormalWeb"/>
              <w:jc w:val="left"/>
              <w:rPr>
                <w:b/>
                <w:bCs/>
                <w:sz w:val="18"/>
                <w:szCs w:val="18"/>
                <w:lang w:val="en-GB"/>
              </w:rPr>
            </w:pPr>
            <w:r w:rsidRPr="004F4B13">
              <w:rPr>
                <w:b/>
                <w:bCs/>
                <w:sz w:val="18"/>
                <w:szCs w:val="18"/>
                <w:lang w:val="en-GB"/>
              </w:rPr>
              <w:t>Age</w:t>
            </w:r>
          </w:p>
        </w:tc>
      </w:tr>
      <w:tr w:rsidR="00124ACE" w:rsidRPr="00FE5D8A" w14:paraId="152B114F" w14:textId="77777777" w:rsidTr="00124ACE">
        <w:trPr>
          <w:cnfStyle w:val="000000010000" w:firstRow="0" w:lastRow="0" w:firstColumn="0" w:lastColumn="0" w:oddVBand="0" w:evenVBand="0" w:oddHBand="0" w:evenHBand="1" w:firstRowFirstColumn="0" w:firstRowLastColumn="0" w:lastRowFirstColumn="0" w:lastRowLastColumn="0"/>
        </w:trPr>
        <w:tc>
          <w:tcPr>
            <w:tcW w:w="3402" w:type="dxa"/>
            <w:hideMark/>
          </w:tcPr>
          <w:p w14:paraId="7B3C2B52" w14:textId="77777777" w:rsidR="00124ACE" w:rsidRPr="00FE5D8A" w:rsidRDefault="00124ACE" w:rsidP="00926E27">
            <w:pPr>
              <w:pStyle w:val="NormalWeb"/>
              <w:jc w:val="left"/>
              <w:rPr>
                <w:sz w:val="18"/>
                <w:szCs w:val="18"/>
                <w:lang w:val="en-GB"/>
              </w:rPr>
            </w:pPr>
            <w:r w:rsidRPr="00FE5D8A">
              <w:rPr>
                <w:sz w:val="18"/>
                <w:szCs w:val="18"/>
                <w:lang w:val="en-GB"/>
              </w:rPr>
              <w:t>21–30 years</w:t>
            </w:r>
          </w:p>
        </w:tc>
        <w:tc>
          <w:tcPr>
            <w:tcW w:w="1418" w:type="dxa"/>
            <w:hideMark/>
          </w:tcPr>
          <w:p w14:paraId="4E56EB63" w14:textId="77777777" w:rsidR="00124ACE" w:rsidRPr="00FE5D8A" w:rsidRDefault="00124ACE" w:rsidP="00926E27">
            <w:pPr>
              <w:pStyle w:val="NormalWeb"/>
              <w:rPr>
                <w:sz w:val="18"/>
                <w:szCs w:val="18"/>
                <w:lang w:val="en-GB"/>
              </w:rPr>
            </w:pPr>
            <w:r w:rsidRPr="00FE5D8A">
              <w:rPr>
                <w:sz w:val="18"/>
                <w:szCs w:val="18"/>
                <w:lang w:val="en-GB"/>
              </w:rPr>
              <w:t>39</w:t>
            </w:r>
          </w:p>
        </w:tc>
        <w:tc>
          <w:tcPr>
            <w:tcW w:w="850" w:type="dxa"/>
            <w:hideMark/>
          </w:tcPr>
          <w:p w14:paraId="779125E1" w14:textId="77777777" w:rsidR="00124ACE" w:rsidRPr="00FE5D8A" w:rsidRDefault="00124ACE" w:rsidP="00926E27">
            <w:pPr>
              <w:pStyle w:val="NormalWeb"/>
              <w:rPr>
                <w:sz w:val="18"/>
                <w:szCs w:val="18"/>
                <w:lang w:val="en-GB"/>
              </w:rPr>
            </w:pPr>
            <w:r w:rsidRPr="00FE5D8A">
              <w:rPr>
                <w:sz w:val="18"/>
                <w:szCs w:val="18"/>
                <w:lang w:val="en-GB"/>
              </w:rPr>
              <w:t>15</w:t>
            </w:r>
          </w:p>
        </w:tc>
        <w:tc>
          <w:tcPr>
            <w:tcW w:w="1418" w:type="dxa"/>
            <w:hideMark/>
          </w:tcPr>
          <w:p w14:paraId="16671EAE" w14:textId="77777777" w:rsidR="00124ACE" w:rsidRPr="00FE5D8A" w:rsidRDefault="00124ACE" w:rsidP="00926E27">
            <w:pPr>
              <w:pStyle w:val="NormalWeb"/>
              <w:rPr>
                <w:sz w:val="18"/>
                <w:szCs w:val="18"/>
                <w:lang w:val="en-GB"/>
              </w:rPr>
            </w:pPr>
            <w:r w:rsidRPr="00FE5D8A">
              <w:rPr>
                <w:sz w:val="18"/>
                <w:szCs w:val="18"/>
                <w:lang w:val="en-GB"/>
              </w:rPr>
              <w:t>6</w:t>
            </w:r>
          </w:p>
        </w:tc>
        <w:tc>
          <w:tcPr>
            <w:tcW w:w="992" w:type="dxa"/>
            <w:hideMark/>
          </w:tcPr>
          <w:p w14:paraId="0D10A918" w14:textId="77777777" w:rsidR="00124ACE" w:rsidRPr="00FE5D8A" w:rsidRDefault="00124ACE" w:rsidP="00926E27">
            <w:pPr>
              <w:pStyle w:val="NormalWeb"/>
              <w:rPr>
                <w:sz w:val="18"/>
                <w:szCs w:val="18"/>
                <w:lang w:val="en-GB"/>
              </w:rPr>
            </w:pPr>
            <w:r w:rsidRPr="00FE5D8A">
              <w:rPr>
                <w:sz w:val="18"/>
                <w:szCs w:val="18"/>
                <w:lang w:val="en-GB"/>
              </w:rPr>
              <w:t>5</w:t>
            </w:r>
          </w:p>
        </w:tc>
        <w:tc>
          <w:tcPr>
            <w:tcW w:w="1418" w:type="dxa"/>
            <w:hideMark/>
          </w:tcPr>
          <w:p w14:paraId="5333B3D1" w14:textId="77777777" w:rsidR="00124ACE" w:rsidRPr="00FE5D8A" w:rsidRDefault="00124ACE" w:rsidP="00926E27">
            <w:pPr>
              <w:pStyle w:val="NormalWeb"/>
              <w:rPr>
                <w:sz w:val="18"/>
                <w:szCs w:val="18"/>
                <w:lang w:val="en-GB"/>
              </w:rPr>
            </w:pPr>
            <w:r w:rsidRPr="00FE5D8A">
              <w:rPr>
                <w:sz w:val="18"/>
                <w:szCs w:val="18"/>
                <w:lang w:val="en-GB"/>
              </w:rPr>
              <w:t>33</w:t>
            </w:r>
          </w:p>
        </w:tc>
        <w:tc>
          <w:tcPr>
            <w:tcW w:w="942" w:type="dxa"/>
            <w:hideMark/>
          </w:tcPr>
          <w:p w14:paraId="01863850" w14:textId="77777777" w:rsidR="00124ACE" w:rsidRPr="00FE5D8A" w:rsidRDefault="00124ACE" w:rsidP="00926E27">
            <w:pPr>
              <w:pStyle w:val="NormalWeb"/>
              <w:rPr>
                <w:sz w:val="18"/>
                <w:szCs w:val="18"/>
                <w:lang w:val="en-GB"/>
              </w:rPr>
            </w:pPr>
            <w:r w:rsidRPr="00FE5D8A">
              <w:rPr>
                <w:sz w:val="18"/>
                <w:szCs w:val="18"/>
                <w:lang w:val="en-GB"/>
              </w:rPr>
              <w:t>25</w:t>
            </w:r>
          </w:p>
        </w:tc>
      </w:tr>
      <w:tr w:rsidR="00124ACE" w:rsidRPr="00FE5D8A" w14:paraId="6909A92A" w14:textId="77777777" w:rsidTr="00124ACE">
        <w:tc>
          <w:tcPr>
            <w:tcW w:w="3402" w:type="dxa"/>
            <w:hideMark/>
          </w:tcPr>
          <w:p w14:paraId="3043B8AD" w14:textId="77777777" w:rsidR="00124ACE" w:rsidRPr="00FE5D8A" w:rsidRDefault="00124ACE" w:rsidP="00926E27">
            <w:pPr>
              <w:pStyle w:val="NormalWeb"/>
              <w:jc w:val="left"/>
              <w:rPr>
                <w:sz w:val="18"/>
                <w:szCs w:val="18"/>
                <w:lang w:val="en-GB"/>
              </w:rPr>
            </w:pPr>
            <w:r w:rsidRPr="00FE5D8A">
              <w:rPr>
                <w:sz w:val="18"/>
                <w:szCs w:val="18"/>
                <w:lang w:val="en-GB"/>
              </w:rPr>
              <w:t>31–40 years</w:t>
            </w:r>
          </w:p>
        </w:tc>
        <w:tc>
          <w:tcPr>
            <w:tcW w:w="1418" w:type="dxa"/>
            <w:hideMark/>
          </w:tcPr>
          <w:p w14:paraId="311093F0" w14:textId="77777777" w:rsidR="00124ACE" w:rsidRPr="00FE5D8A" w:rsidRDefault="00124ACE" w:rsidP="00926E27">
            <w:pPr>
              <w:pStyle w:val="NormalWeb"/>
              <w:rPr>
                <w:sz w:val="18"/>
                <w:szCs w:val="18"/>
                <w:lang w:val="en-GB"/>
              </w:rPr>
            </w:pPr>
            <w:r w:rsidRPr="00FE5D8A">
              <w:rPr>
                <w:sz w:val="18"/>
                <w:szCs w:val="18"/>
                <w:lang w:val="en-GB"/>
              </w:rPr>
              <w:t>50</w:t>
            </w:r>
          </w:p>
        </w:tc>
        <w:tc>
          <w:tcPr>
            <w:tcW w:w="850" w:type="dxa"/>
            <w:hideMark/>
          </w:tcPr>
          <w:p w14:paraId="64081A2A" w14:textId="77777777" w:rsidR="00124ACE" w:rsidRPr="00FE5D8A" w:rsidRDefault="00124ACE" w:rsidP="00926E27">
            <w:pPr>
              <w:pStyle w:val="NormalWeb"/>
              <w:rPr>
                <w:sz w:val="18"/>
                <w:szCs w:val="18"/>
                <w:lang w:val="en-GB"/>
              </w:rPr>
            </w:pPr>
            <w:r w:rsidRPr="00FE5D8A">
              <w:rPr>
                <w:sz w:val="18"/>
                <w:szCs w:val="18"/>
                <w:lang w:val="en-GB"/>
              </w:rPr>
              <w:t>19</w:t>
            </w:r>
          </w:p>
        </w:tc>
        <w:tc>
          <w:tcPr>
            <w:tcW w:w="1418" w:type="dxa"/>
            <w:hideMark/>
          </w:tcPr>
          <w:p w14:paraId="25E0B9C1" w14:textId="77777777" w:rsidR="00124ACE" w:rsidRPr="00FE5D8A" w:rsidRDefault="00124ACE" w:rsidP="00926E27">
            <w:pPr>
              <w:pStyle w:val="NormalWeb"/>
              <w:rPr>
                <w:sz w:val="18"/>
                <w:szCs w:val="18"/>
                <w:lang w:val="en-GB"/>
              </w:rPr>
            </w:pPr>
            <w:r w:rsidRPr="00FE5D8A">
              <w:rPr>
                <w:sz w:val="18"/>
                <w:szCs w:val="18"/>
                <w:lang w:val="en-GB"/>
              </w:rPr>
              <w:t>32</w:t>
            </w:r>
          </w:p>
        </w:tc>
        <w:tc>
          <w:tcPr>
            <w:tcW w:w="992" w:type="dxa"/>
            <w:hideMark/>
          </w:tcPr>
          <w:p w14:paraId="3942DFE7" w14:textId="77777777" w:rsidR="00124ACE" w:rsidRPr="00FE5D8A" w:rsidRDefault="00124ACE" w:rsidP="00926E27">
            <w:pPr>
              <w:pStyle w:val="NormalWeb"/>
              <w:rPr>
                <w:sz w:val="18"/>
                <w:szCs w:val="18"/>
                <w:lang w:val="en-GB"/>
              </w:rPr>
            </w:pPr>
            <w:r w:rsidRPr="00FE5D8A">
              <w:rPr>
                <w:sz w:val="18"/>
                <w:szCs w:val="18"/>
                <w:lang w:val="en-GB"/>
              </w:rPr>
              <w:t>25</w:t>
            </w:r>
          </w:p>
        </w:tc>
        <w:tc>
          <w:tcPr>
            <w:tcW w:w="1418" w:type="dxa"/>
            <w:hideMark/>
          </w:tcPr>
          <w:p w14:paraId="55948300" w14:textId="77777777" w:rsidR="00124ACE" w:rsidRPr="00FE5D8A" w:rsidRDefault="00124ACE" w:rsidP="00926E27">
            <w:pPr>
              <w:pStyle w:val="NormalWeb"/>
              <w:rPr>
                <w:sz w:val="18"/>
                <w:szCs w:val="18"/>
                <w:lang w:val="en-GB"/>
              </w:rPr>
            </w:pPr>
            <w:r w:rsidRPr="00FE5D8A">
              <w:rPr>
                <w:sz w:val="18"/>
                <w:szCs w:val="18"/>
                <w:lang w:val="en-GB"/>
              </w:rPr>
              <w:t>18</w:t>
            </w:r>
          </w:p>
        </w:tc>
        <w:tc>
          <w:tcPr>
            <w:tcW w:w="942" w:type="dxa"/>
            <w:hideMark/>
          </w:tcPr>
          <w:p w14:paraId="3D7267EC" w14:textId="77777777" w:rsidR="00124ACE" w:rsidRPr="00FE5D8A" w:rsidRDefault="00124ACE" w:rsidP="00926E27">
            <w:pPr>
              <w:pStyle w:val="NormalWeb"/>
              <w:rPr>
                <w:sz w:val="18"/>
                <w:szCs w:val="18"/>
                <w:lang w:val="en-GB"/>
              </w:rPr>
            </w:pPr>
            <w:r w:rsidRPr="00FE5D8A">
              <w:rPr>
                <w:sz w:val="18"/>
                <w:szCs w:val="18"/>
                <w:lang w:val="en-GB"/>
              </w:rPr>
              <w:t>14</w:t>
            </w:r>
          </w:p>
        </w:tc>
      </w:tr>
      <w:tr w:rsidR="00124ACE" w:rsidRPr="00FE5D8A" w14:paraId="41E2C32D" w14:textId="77777777" w:rsidTr="00124ACE">
        <w:trPr>
          <w:cnfStyle w:val="000000010000" w:firstRow="0" w:lastRow="0" w:firstColumn="0" w:lastColumn="0" w:oddVBand="0" w:evenVBand="0" w:oddHBand="0" w:evenHBand="1" w:firstRowFirstColumn="0" w:firstRowLastColumn="0" w:lastRowFirstColumn="0" w:lastRowLastColumn="0"/>
        </w:trPr>
        <w:tc>
          <w:tcPr>
            <w:tcW w:w="3402" w:type="dxa"/>
            <w:hideMark/>
          </w:tcPr>
          <w:p w14:paraId="32ABA7B2" w14:textId="77777777" w:rsidR="00124ACE" w:rsidRPr="00FE5D8A" w:rsidRDefault="00124ACE" w:rsidP="00926E27">
            <w:pPr>
              <w:pStyle w:val="NormalWeb"/>
              <w:jc w:val="left"/>
              <w:rPr>
                <w:sz w:val="18"/>
                <w:szCs w:val="18"/>
                <w:lang w:val="en-GB"/>
              </w:rPr>
            </w:pPr>
            <w:r w:rsidRPr="00FE5D8A">
              <w:rPr>
                <w:sz w:val="18"/>
                <w:szCs w:val="18"/>
                <w:lang w:val="en-GB"/>
              </w:rPr>
              <w:t>41–50 years</w:t>
            </w:r>
          </w:p>
        </w:tc>
        <w:tc>
          <w:tcPr>
            <w:tcW w:w="1418" w:type="dxa"/>
            <w:hideMark/>
          </w:tcPr>
          <w:p w14:paraId="7E4D1FAB" w14:textId="77777777" w:rsidR="00124ACE" w:rsidRPr="00FE5D8A" w:rsidRDefault="00124ACE" w:rsidP="00926E27">
            <w:pPr>
              <w:pStyle w:val="NormalWeb"/>
              <w:rPr>
                <w:sz w:val="18"/>
                <w:szCs w:val="18"/>
                <w:lang w:val="en-GB"/>
              </w:rPr>
            </w:pPr>
            <w:r w:rsidRPr="00FE5D8A">
              <w:rPr>
                <w:sz w:val="18"/>
                <w:szCs w:val="18"/>
                <w:lang w:val="en-GB"/>
              </w:rPr>
              <w:t>49</w:t>
            </w:r>
          </w:p>
        </w:tc>
        <w:tc>
          <w:tcPr>
            <w:tcW w:w="850" w:type="dxa"/>
            <w:hideMark/>
          </w:tcPr>
          <w:p w14:paraId="6FC4D250" w14:textId="77777777" w:rsidR="00124ACE" w:rsidRPr="00FE5D8A" w:rsidRDefault="00124ACE" w:rsidP="00926E27">
            <w:pPr>
              <w:pStyle w:val="NormalWeb"/>
              <w:rPr>
                <w:sz w:val="18"/>
                <w:szCs w:val="18"/>
                <w:lang w:val="en-GB"/>
              </w:rPr>
            </w:pPr>
            <w:r w:rsidRPr="00FE5D8A">
              <w:rPr>
                <w:sz w:val="18"/>
                <w:szCs w:val="18"/>
                <w:lang w:val="en-GB"/>
              </w:rPr>
              <w:t>19</w:t>
            </w:r>
          </w:p>
        </w:tc>
        <w:tc>
          <w:tcPr>
            <w:tcW w:w="1418" w:type="dxa"/>
            <w:hideMark/>
          </w:tcPr>
          <w:p w14:paraId="6CC5362E" w14:textId="77777777" w:rsidR="00124ACE" w:rsidRPr="00FE5D8A" w:rsidRDefault="00124ACE" w:rsidP="00926E27">
            <w:pPr>
              <w:pStyle w:val="NormalWeb"/>
              <w:rPr>
                <w:sz w:val="18"/>
                <w:szCs w:val="18"/>
                <w:lang w:val="en-GB"/>
              </w:rPr>
            </w:pPr>
            <w:r w:rsidRPr="00FE5D8A">
              <w:rPr>
                <w:sz w:val="18"/>
                <w:szCs w:val="18"/>
                <w:lang w:val="en-GB"/>
              </w:rPr>
              <w:t>27</w:t>
            </w:r>
          </w:p>
        </w:tc>
        <w:tc>
          <w:tcPr>
            <w:tcW w:w="992" w:type="dxa"/>
            <w:hideMark/>
          </w:tcPr>
          <w:p w14:paraId="64BC6AEF" w14:textId="77777777" w:rsidR="00124ACE" w:rsidRPr="00FE5D8A" w:rsidRDefault="00124ACE" w:rsidP="00926E27">
            <w:pPr>
              <w:pStyle w:val="NormalWeb"/>
              <w:rPr>
                <w:sz w:val="18"/>
                <w:szCs w:val="18"/>
                <w:lang w:val="en-GB"/>
              </w:rPr>
            </w:pPr>
            <w:r w:rsidRPr="00FE5D8A">
              <w:rPr>
                <w:sz w:val="18"/>
                <w:szCs w:val="18"/>
                <w:lang w:val="en-GB"/>
              </w:rPr>
              <w:t>21</w:t>
            </w:r>
          </w:p>
        </w:tc>
        <w:tc>
          <w:tcPr>
            <w:tcW w:w="1418" w:type="dxa"/>
            <w:hideMark/>
          </w:tcPr>
          <w:p w14:paraId="2B5F4624" w14:textId="77777777" w:rsidR="00124ACE" w:rsidRPr="00FE5D8A" w:rsidRDefault="00124ACE" w:rsidP="00926E27">
            <w:pPr>
              <w:pStyle w:val="NormalWeb"/>
              <w:rPr>
                <w:sz w:val="18"/>
                <w:szCs w:val="18"/>
                <w:lang w:val="en-GB"/>
              </w:rPr>
            </w:pPr>
            <w:r w:rsidRPr="00FE5D8A">
              <w:rPr>
                <w:sz w:val="18"/>
                <w:szCs w:val="18"/>
                <w:lang w:val="en-GB"/>
              </w:rPr>
              <w:t>22</w:t>
            </w:r>
          </w:p>
        </w:tc>
        <w:tc>
          <w:tcPr>
            <w:tcW w:w="942" w:type="dxa"/>
            <w:hideMark/>
          </w:tcPr>
          <w:p w14:paraId="01129B77" w14:textId="77777777" w:rsidR="00124ACE" w:rsidRPr="00FE5D8A" w:rsidRDefault="00124ACE" w:rsidP="00926E27">
            <w:pPr>
              <w:pStyle w:val="NormalWeb"/>
              <w:rPr>
                <w:sz w:val="18"/>
                <w:szCs w:val="18"/>
                <w:lang w:val="en-GB"/>
              </w:rPr>
            </w:pPr>
            <w:r w:rsidRPr="00FE5D8A">
              <w:rPr>
                <w:sz w:val="18"/>
                <w:szCs w:val="18"/>
                <w:lang w:val="en-GB"/>
              </w:rPr>
              <w:t>17</w:t>
            </w:r>
          </w:p>
        </w:tc>
      </w:tr>
      <w:tr w:rsidR="00124ACE" w:rsidRPr="00FE5D8A" w14:paraId="2F3EBF86" w14:textId="77777777" w:rsidTr="00124ACE">
        <w:tc>
          <w:tcPr>
            <w:tcW w:w="3402" w:type="dxa"/>
            <w:hideMark/>
          </w:tcPr>
          <w:p w14:paraId="33666FDD" w14:textId="77777777" w:rsidR="00124ACE" w:rsidRPr="00FE5D8A" w:rsidRDefault="00124ACE" w:rsidP="00926E27">
            <w:pPr>
              <w:pStyle w:val="NormalWeb"/>
              <w:jc w:val="left"/>
              <w:rPr>
                <w:sz w:val="18"/>
                <w:szCs w:val="18"/>
                <w:lang w:val="en-GB"/>
              </w:rPr>
            </w:pPr>
            <w:r w:rsidRPr="00FE5D8A">
              <w:rPr>
                <w:sz w:val="18"/>
                <w:szCs w:val="18"/>
                <w:lang w:val="en-GB"/>
              </w:rPr>
              <w:t>51–60 years</w:t>
            </w:r>
          </w:p>
        </w:tc>
        <w:tc>
          <w:tcPr>
            <w:tcW w:w="1418" w:type="dxa"/>
            <w:hideMark/>
          </w:tcPr>
          <w:p w14:paraId="7BDE4068" w14:textId="77777777" w:rsidR="00124ACE" w:rsidRPr="00FE5D8A" w:rsidRDefault="00124ACE" w:rsidP="00926E27">
            <w:pPr>
              <w:pStyle w:val="NormalWeb"/>
              <w:rPr>
                <w:sz w:val="18"/>
                <w:szCs w:val="18"/>
                <w:lang w:val="en-GB"/>
              </w:rPr>
            </w:pPr>
            <w:r w:rsidRPr="00FE5D8A">
              <w:rPr>
                <w:sz w:val="18"/>
                <w:szCs w:val="18"/>
                <w:lang w:val="en-GB"/>
              </w:rPr>
              <w:t>86</w:t>
            </w:r>
          </w:p>
        </w:tc>
        <w:tc>
          <w:tcPr>
            <w:tcW w:w="850" w:type="dxa"/>
            <w:hideMark/>
          </w:tcPr>
          <w:p w14:paraId="1859CECB" w14:textId="77777777" w:rsidR="00124ACE" w:rsidRPr="00FE5D8A" w:rsidRDefault="00124ACE" w:rsidP="00926E27">
            <w:pPr>
              <w:pStyle w:val="NormalWeb"/>
              <w:rPr>
                <w:sz w:val="18"/>
                <w:szCs w:val="18"/>
                <w:lang w:val="en-GB"/>
              </w:rPr>
            </w:pPr>
            <w:r w:rsidRPr="00FE5D8A">
              <w:rPr>
                <w:sz w:val="18"/>
                <w:szCs w:val="18"/>
                <w:lang w:val="en-GB"/>
              </w:rPr>
              <w:t>33</w:t>
            </w:r>
          </w:p>
        </w:tc>
        <w:tc>
          <w:tcPr>
            <w:tcW w:w="1418" w:type="dxa"/>
            <w:hideMark/>
          </w:tcPr>
          <w:p w14:paraId="485F02B5" w14:textId="77777777" w:rsidR="00124ACE" w:rsidRPr="00FE5D8A" w:rsidRDefault="00124ACE" w:rsidP="00926E27">
            <w:pPr>
              <w:pStyle w:val="NormalWeb"/>
              <w:rPr>
                <w:sz w:val="18"/>
                <w:szCs w:val="18"/>
                <w:lang w:val="en-GB"/>
              </w:rPr>
            </w:pPr>
            <w:r w:rsidRPr="00FE5D8A">
              <w:rPr>
                <w:sz w:val="18"/>
                <w:szCs w:val="18"/>
                <w:lang w:val="en-GB"/>
              </w:rPr>
              <w:t>46</w:t>
            </w:r>
          </w:p>
        </w:tc>
        <w:tc>
          <w:tcPr>
            <w:tcW w:w="992" w:type="dxa"/>
            <w:hideMark/>
          </w:tcPr>
          <w:p w14:paraId="7FF7C619" w14:textId="77777777" w:rsidR="00124ACE" w:rsidRPr="00FE5D8A" w:rsidRDefault="00124ACE" w:rsidP="00926E27">
            <w:pPr>
              <w:pStyle w:val="NormalWeb"/>
              <w:rPr>
                <w:sz w:val="18"/>
                <w:szCs w:val="18"/>
                <w:lang w:val="en-GB"/>
              </w:rPr>
            </w:pPr>
            <w:r w:rsidRPr="00FE5D8A">
              <w:rPr>
                <w:sz w:val="18"/>
                <w:szCs w:val="18"/>
                <w:lang w:val="en-GB"/>
              </w:rPr>
              <w:t>36</w:t>
            </w:r>
          </w:p>
        </w:tc>
        <w:tc>
          <w:tcPr>
            <w:tcW w:w="1418" w:type="dxa"/>
            <w:hideMark/>
          </w:tcPr>
          <w:p w14:paraId="5F779FF2" w14:textId="77777777" w:rsidR="00124ACE" w:rsidRPr="00FE5D8A" w:rsidRDefault="00124ACE" w:rsidP="00926E27">
            <w:pPr>
              <w:pStyle w:val="NormalWeb"/>
              <w:rPr>
                <w:sz w:val="18"/>
                <w:szCs w:val="18"/>
                <w:lang w:val="en-GB"/>
              </w:rPr>
            </w:pPr>
            <w:r w:rsidRPr="00FE5D8A">
              <w:rPr>
                <w:sz w:val="18"/>
                <w:szCs w:val="18"/>
                <w:lang w:val="en-GB"/>
              </w:rPr>
              <w:t>40</w:t>
            </w:r>
          </w:p>
        </w:tc>
        <w:tc>
          <w:tcPr>
            <w:tcW w:w="942" w:type="dxa"/>
            <w:hideMark/>
          </w:tcPr>
          <w:p w14:paraId="0B3FF24A" w14:textId="77777777" w:rsidR="00124ACE" w:rsidRPr="00FE5D8A" w:rsidRDefault="00124ACE" w:rsidP="00926E27">
            <w:pPr>
              <w:pStyle w:val="NormalWeb"/>
              <w:rPr>
                <w:sz w:val="18"/>
                <w:szCs w:val="18"/>
                <w:lang w:val="en-GB"/>
              </w:rPr>
            </w:pPr>
            <w:r w:rsidRPr="00FE5D8A">
              <w:rPr>
                <w:sz w:val="18"/>
                <w:szCs w:val="18"/>
                <w:lang w:val="en-GB"/>
              </w:rPr>
              <w:t>30</w:t>
            </w:r>
          </w:p>
        </w:tc>
      </w:tr>
      <w:tr w:rsidR="00124ACE" w:rsidRPr="00FE5D8A" w14:paraId="12B5922A" w14:textId="77777777" w:rsidTr="00124ACE">
        <w:trPr>
          <w:cnfStyle w:val="000000010000" w:firstRow="0" w:lastRow="0" w:firstColumn="0" w:lastColumn="0" w:oddVBand="0" w:evenVBand="0" w:oddHBand="0" w:evenHBand="1" w:firstRowFirstColumn="0" w:firstRowLastColumn="0" w:lastRowFirstColumn="0" w:lastRowLastColumn="0"/>
        </w:trPr>
        <w:tc>
          <w:tcPr>
            <w:tcW w:w="3402" w:type="dxa"/>
            <w:hideMark/>
          </w:tcPr>
          <w:p w14:paraId="15464BD4" w14:textId="77777777" w:rsidR="00124ACE" w:rsidRPr="00FE5D8A" w:rsidRDefault="00124ACE" w:rsidP="00926E27">
            <w:pPr>
              <w:pStyle w:val="NormalWeb"/>
              <w:jc w:val="left"/>
              <w:rPr>
                <w:sz w:val="18"/>
                <w:szCs w:val="18"/>
                <w:lang w:val="en-GB"/>
              </w:rPr>
            </w:pPr>
            <w:r w:rsidRPr="00FE5D8A">
              <w:rPr>
                <w:sz w:val="18"/>
                <w:szCs w:val="18"/>
                <w:lang w:val="en-GB"/>
              </w:rPr>
              <w:t>&gt; 60 years</w:t>
            </w:r>
          </w:p>
        </w:tc>
        <w:tc>
          <w:tcPr>
            <w:tcW w:w="1418" w:type="dxa"/>
            <w:hideMark/>
          </w:tcPr>
          <w:p w14:paraId="44D7B6D1" w14:textId="77777777" w:rsidR="00124ACE" w:rsidRPr="00FE5D8A" w:rsidRDefault="00124ACE" w:rsidP="00926E27">
            <w:pPr>
              <w:pStyle w:val="NormalWeb"/>
              <w:rPr>
                <w:sz w:val="18"/>
                <w:szCs w:val="18"/>
                <w:lang w:val="en-GB"/>
              </w:rPr>
            </w:pPr>
            <w:r w:rsidRPr="00FE5D8A">
              <w:rPr>
                <w:sz w:val="18"/>
                <w:szCs w:val="18"/>
                <w:lang w:val="en-GB"/>
              </w:rPr>
              <w:t>33</w:t>
            </w:r>
          </w:p>
        </w:tc>
        <w:tc>
          <w:tcPr>
            <w:tcW w:w="850" w:type="dxa"/>
            <w:hideMark/>
          </w:tcPr>
          <w:p w14:paraId="228D4F9D" w14:textId="77777777" w:rsidR="00124ACE" w:rsidRPr="00FE5D8A" w:rsidRDefault="00124ACE" w:rsidP="00926E27">
            <w:pPr>
              <w:pStyle w:val="NormalWeb"/>
              <w:rPr>
                <w:sz w:val="18"/>
                <w:szCs w:val="18"/>
                <w:lang w:val="en-GB"/>
              </w:rPr>
            </w:pPr>
            <w:r w:rsidRPr="00FE5D8A">
              <w:rPr>
                <w:sz w:val="18"/>
                <w:szCs w:val="18"/>
                <w:lang w:val="en-GB"/>
              </w:rPr>
              <w:t>13</w:t>
            </w:r>
          </w:p>
        </w:tc>
        <w:tc>
          <w:tcPr>
            <w:tcW w:w="1418" w:type="dxa"/>
            <w:hideMark/>
          </w:tcPr>
          <w:p w14:paraId="2233EBCA" w14:textId="77777777" w:rsidR="00124ACE" w:rsidRPr="00FE5D8A" w:rsidRDefault="00124ACE" w:rsidP="00926E27">
            <w:pPr>
              <w:pStyle w:val="NormalWeb"/>
              <w:rPr>
                <w:sz w:val="18"/>
                <w:szCs w:val="18"/>
                <w:lang w:val="en-GB"/>
              </w:rPr>
            </w:pPr>
            <w:r w:rsidRPr="00FE5D8A">
              <w:rPr>
                <w:sz w:val="18"/>
                <w:szCs w:val="18"/>
                <w:lang w:val="en-GB"/>
              </w:rPr>
              <w:t>15</w:t>
            </w:r>
          </w:p>
        </w:tc>
        <w:tc>
          <w:tcPr>
            <w:tcW w:w="992" w:type="dxa"/>
            <w:hideMark/>
          </w:tcPr>
          <w:p w14:paraId="3CE96F3D" w14:textId="77777777" w:rsidR="00124ACE" w:rsidRPr="00FE5D8A" w:rsidRDefault="00124ACE" w:rsidP="00926E27">
            <w:pPr>
              <w:pStyle w:val="NormalWeb"/>
              <w:rPr>
                <w:sz w:val="18"/>
                <w:szCs w:val="18"/>
                <w:lang w:val="en-GB"/>
              </w:rPr>
            </w:pPr>
            <w:r w:rsidRPr="00FE5D8A">
              <w:rPr>
                <w:sz w:val="18"/>
                <w:szCs w:val="18"/>
                <w:lang w:val="en-GB"/>
              </w:rPr>
              <w:t>12</w:t>
            </w:r>
          </w:p>
        </w:tc>
        <w:tc>
          <w:tcPr>
            <w:tcW w:w="1418" w:type="dxa"/>
            <w:hideMark/>
          </w:tcPr>
          <w:p w14:paraId="625D3C3E" w14:textId="77777777" w:rsidR="00124ACE" w:rsidRPr="00FE5D8A" w:rsidRDefault="00124ACE" w:rsidP="00926E27">
            <w:pPr>
              <w:pStyle w:val="NormalWeb"/>
              <w:rPr>
                <w:sz w:val="18"/>
                <w:szCs w:val="18"/>
                <w:lang w:val="en-GB"/>
              </w:rPr>
            </w:pPr>
            <w:r w:rsidRPr="00FE5D8A">
              <w:rPr>
                <w:sz w:val="18"/>
                <w:szCs w:val="18"/>
                <w:lang w:val="en-GB"/>
              </w:rPr>
              <w:t>17</w:t>
            </w:r>
          </w:p>
        </w:tc>
        <w:tc>
          <w:tcPr>
            <w:tcW w:w="942" w:type="dxa"/>
            <w:hideMark/>
          </w:tcPr>
          <w:p w14:paraId="2DDD027F" w14:textId="77777777" w:rsidR="00124ACE" w:rsidRPr="00FE5D8A" w:rsidRDefault="00124ACE" w:rsidP="00926E27">
            <w:pPr>
              <w:pStyle w:val="NormalWeb"/>
              <w:rPr>
                <w:sz w:val="18"/>
                <w:szCs w:val="18"/>
                <w:lang w:val="en-GB"/>
              </w:rPr>
            </w:pPr>
            <w:r w:rsidRPr="00FE5D8A">
              <w:rPr>
                <w:sz w:val="18"/>
                <w:szCs w:val="18"/>
                <w:lang w:val="en-GB"/>
              </w:rPr>
              <w:t>13</w:t>
            </w:r>
          </w:p>
        </w:tc>
      </w:tr>
      <w:tr w:rsidR="00124ACE" w:rsidRPr="00FE5D8A" w14:paraId="7F08D38A" w14:textId="77777777" w:rsidTr="00124ACE">
        <w:tc>
          <w:tcPr>
            <w:tcW w:w="3402" w:type="dxa"/>
            <w:hideMark/>
          </w:tcPr>
          <w:p w14:paraId="5AB5086F" w14:textId="77777777" w:rsidR="00124ACE" w:rsidRPr="00FE5D8A" w:rsidRDefault="00124ACE" w:rsidP="00926E27">
            <w:pPr>
              <w:pStyle w:val="NormalWeb"/>
              <w:jc w:val="left"/>
              <w:rPr>
                <w:sz w:val="18"/>
                <w:szCs w:val="18"/>
                <w:lang w:val="en-GB"/>
              </w:rPr>
            </w:pPr>
            <w:r w:rsidRPr="00FE5D8A">
              <w:rPr>
                <w:sz w:val="18"/>
                <w:szCs w:val="18"/>
                <w:lang w:val="en-GB"/>
              </w:rPr>
              <w:t>Missing</w:t>
            </w:r>
          </w:p>
        </w:tc>
        <w:tc>
          <w:tcPr>
            <w:tcW w:w="1418" w:type="dxa"/>
            <w:hideMark/>
          </w:tcPr>
          <w:p w14:paraId="6E11667C" w14:textId="77777777" w:rsidR="00124ACE" w:rsidRPr="00FE5D8A" w:rsidRDefault="00124ACE" w:rsidP="00926E27">
            <w:pPr>
              <w:pStyle w:val="NormalWeb"/>
              <w:rPr>
                <w:sz w:val="18"/>
                <w:szCs w:val="18"/>
                <w:lang w:val="en-GB"/>
              </w:rPr>
            </w:pPr>
            <w:r w:rsidRPr="00FE5D8A">
              <w:rPr>
                <w:sz w:val="18"/>
                <w:szCs w:val="18"/>
                <w:lang w:val="en-GB"/>
              </w:rPr>
              <w:t>4</w:t>
            </w:r>
          </w:p>
        </w:tc>
        <w:tc>
          <w:tcPr>
            <w:tcW w:w="850" w:type="dxa"/>
            <w:hideMark/>
          </w:tcPr>
          <w:p w14:paraId="2C958CEC" w14:textId="77777777" w:rsidR="00124ACE" w:rsidRPr="00FE5D8A" w:rsidRDefault="00124ACE" w:rsidP="00926E27">
            <w:pPr>
              <w:pStyle w:val="NormalWeb"/>
              <w:rPr>
                <w:sz w:val="18"/>
                <w:szCs w:val="18"/>
                <w:lang w:val="en-GB"/>
              </w:rPr>
            </w:pPr>
            <w:r w:rsidRPr="00FE5D8A">
              <w:rPr>
                <w:sz w:val="18"/>
                <w:szCs w:val="18"/>
                <w:lang w:val="en-GB"/>
              </w:rPr>
              <w:t>1</w:t>
            </w:r>
          </w:p>
        </w:tc>
        <w:tc>
          <w:tcPr>
            <w:tcW w:w="1418" w:type="dxa"/>
            <w:hideMark/>
          </w:tcPr>
          <w:p w14:paraId="004C068A" w14:textId="77777777" w:rsidR="00124ACE" w:rsidRPr="00FE5D8A" w:rsidRDefault="00124ACE" w:rsidP="00926E27">
            <w:pPr>
              <w:pStyle w:val="NormalWeb"/>
              <w:rPr>
                <w:sz w:val="18"/>
                <w:szCs w:val="18"/>
                <w:lang w:val="en-GB"/>
              </w:rPr>
            </w:pPr>
            <w:r w:rsidRPr="00FE5D8A">
              <w:rPr>
                <w:sz w:val="18"/>
                <w:szCs w:val="18"/>
                <w:lang w:val="en-GB"/>
              </w:rPr>
              <w:t>1</w:t>
            </w:r>
          </w:p>
        </w:tc>
        <w:tc>
          <w:tcPr>
            <w:tcW w:w="992" w:type="dxa"/>
            <w:hideMark/>
          </w:tcPr>
          <w:p w14:paraId="7FA39693" w14:textId="77777777" w:rsidR="00124ACE" w:rsidRPr="00FE5D8A" w:rsidRDefault="00124ACE" w:rsidP="00926E27">
            <w:pPr>
              <w:pStyle w:val="NormalWeb"/>
              <w:rPr>
                <w:sz w:val="18"/>
                <w:szCs w:val="18"/>
                <w:lang w:val="en-GB"/>
              </w:rPr>
            </w:pPr>
            <w:r w:rsidRPr="00FE5D8A">
              <w:rPr>
                <w:sz w:val="18"/>
                <w:szCs w:val="18"/>
                <w:lang w:val="en-GB"/>
              </w:rPr>
              <w:t>1</w:t>
            </w:r>
          </w:p>
        </w:tc>
        <w:tc>
          <w:tcPr>
            <w:tcW w:w="1418" w:type="dxa"/>
            <w:hideMark/>
          </w:tcPr>
          <w:p w14:paraId="41D47951" w14:textId="77777777" w:rsidR="00124ACE" w:rsidRPr="00FE5D8A" w:rsidRDefault="00124ACE" w:rsidP="00926E27">
            <w:pPr>
              <w:pStyle w:val="NormalWeb"/>
              <w:rPr>
                <w:sz w:val="18"/>
                <w:szCs w:val="18"/>
                <w:lang w:val="en-GB"/>
              </w:rPr>
            </w:pPr>
            <w:r w:rsidRPr="00FE5D8A">
              <w:rPr>
                <w:sz w:val="18"/>
                <w:szCs w:val="18"/>
                <w:lang w:val="en-GB"/>
              </w:rPr>
              <w:t>2</w:t>
            </w:r>
          </w:p>
        </w:tc>
        <w:tc>
          <w:tcPr>
            <w:tcW w:w="942" w:type="dxa"/>
            <w:hideMark/>
          </w:tcPr>
          <w:p w14:paraId="0F3F00A8" w14:textId="77777777" w:rsidR="00124ACE" w:rsidRPr="00FE5D8A" w:rsidRDefault="00124ACE" w:rsidP="00926E27">
            <w:pPr>
              <w:pStyle w:val="NormalWeb"/>
              <w:rPr>
                <w:sz w:val="18"/>
                <w:szCs w:val="18"/>
                <w:lang w:val="en-GB"/>
              </w:rPr>
            </w:pPr>
            <w:r w:rsidRPr="00FE5D8A">
              <w:rPr>
                <w:sz w:val="18"/>
                <w:szCs w:val="18"/>
                <w:lang w:val="en-GB"/>
              </w:rPr>
              <w:t>1</w:t>
            </w:r>
          </w:p>
        </w:tc>
      </w:tr>
      <w:tr w:rsidR="00124ACE" w:rsidRPr="005A6769" w14:paraId="26F53DF0" w14:textId="77777777" w:rsidTr="00124ACE">
        <w:trPr>
          <w:cnfStyle w:val="000000010000" w:firstRow="0" w:lastRow="0" w:firstColumn="0" w:lastColumn="0" w:oddVBand="0" w:evenVBand="0" w:oddHBand="0" w:evenHBand="1" w:firstRowFirstColumn="0" w:firstRowLastColumn="0" w:lastRowFirstColumn="0" w:lastRowLastColumn="0"/>
        </w:trPr>
        <w:tc>
          <w:tcPr>
            <w:tcW w:w="10440" w:type="dxa"/>
            <w:gridSpan w:val="7"/>
            <w:shd w:val="clear" w:color="auto" w:fill="BBA991"/>
            <w:hideMark/>
          </w:tcPr>
          <w:p w14:paraId="10A86346" w14:textId="77777777" w:rsidR="00124ACE" w:rsidRPr="005A6769" w:rsidRDefault="00124ACE" w:rsidP="00926E27">
            <w:pPr>
              <w:pStyle w:val="NormalWeb"/>
              <w:jc w:val="left"/>
              <w:rPr>
                <w:b/>
                <w:bCs/>
                <w:sz w:val="18"/>
                <w:szCs w:val="18"/>
                <w:lang w:val="en-GB"/>
              </w:rPr>
            </w:pPr>
            <w:proofErr w:type="spellStart"/>
            <w:r w:rsidRPr="005A6769">
              <w:rPr>
                <w:b/>
                <w:bCs/>
                <w:sz w:val="18"/>
                <w:szCs w:val="18"/>
                <w:lang w:val="en-GB"/>
              </w:rPr>
              <w:t>Occupation</w:t>
            </w:r>
            <w:r w:rsidRPr="005A6769">
              <w:rPr>
                <w:b/>
                <w:bCs/>
                <w:sz w:val="18"/>
                <w:szCs w:val="18"/>
                <w:vertAlign w:val="superscript"/>
                <w:lang w:val="en-GB"/>
              </w:rPr>
              <w:t>a</w:t>
            </w:r>
            <w:proofErr w:type="spellEnd"/>
          </w:p>
        </w:tc>
      </w:tr>
      <w:tr w:rsidR="00124ACE" w:rsidRPr="00FE5D8A" w14:paraId="3A3C85E5" w14:textId="77777777" w:rsidTr="00124ACE">
        <w:tc>
          <w:tcPr>
            <w:tcW w:w="3402" w:type="dxa"/>
            <w:hideMark/>
          </w:tcPr>
          <w:p w14:paraId="2955DAEF" w14:textId="77777777" w:rsidR="00124ACE" w:rsidRPr="00FE5D8A" w:rsidRDefault="00124ACE" w:rsidP="00926E27">
            <w:pPr>
              <w:pStyle w:val="NormalWeb"/>
              <w:jc w:val="left"/>
              <w:rPr>
                <w:sz w:val="18"/>
                <w:szCs w:val="18"/>
                <w:lang w:val="en-GB"/>
              </w:rPr>
            </w:pPr>
            <w:r w:rsidRPr="00FE5D8A">
              <w:rPr>
                <w:sz w:val="18"/>
                <w:szCs w:val="18"/>
                <w:lang w:val="en-GB"/>
              </w:rPr>
              <w:t>Nurse/midwife</w:t>
            </w:r>
          </w:p>
        </w:tc>
        <w:tc>
          <w:tcPr>
            <w:tcW w:w="1418" w:type="dxa"/>
            <w:hideMark/>
          </w:tcPr>
          <w:p w14:paraId="5DBCC5E2" w14:textId="77777777" w:rsidR="00124ACE" w:rsidRPr="00FE5D8A" w:rsidRDefault="00124ACE" w:rsidP="00926E27">
            <w:pPr>
              <w:pStyle w:val="NormalWeb"/>
              <w:rPr>
                <w:sz w:val="18"/>
                <w:szCs w:val="18"/>
                <w:lang w:val="en-GB"/>
              </w:rPr>
            </w:pPr>
            <w:r w:rsidRPr="00FE5D8A">
              <w:rPr>
                <w:sz w:val="18"/>
                <w:szCs w:val="18"/>
                <w:lang w:val="en-GB"/>
              </w:rPr>
              <w:t>141</w:t>
            </w:r>
          </w:p>
        </w:tc>
        <w:tc>
          <w:tcPr>
            <w:tcW w:w="850" w:type="dxa"/>
            <w:hideMark/>
          </w:tcPr>
          <w:p w14:paraId="2E005EBF" w14:textId="77777777" w:rsidR="00124ACE" w:rsidRPr="00FE5D8A" w:rsidRDefault="00124ACE" w:rsidP="00926E27">
            <w:pPr>
              <w:pStyle w:val="NormalWeb"/>
              <w:rPr>
                <w:sz w:val="18"/>
                <w:szCs w:val="18"/>
                <w:lang w:val="en-GB"/>
              </w:rPr>
            </w:pPr>
            <w:r w:rsidRPr="00FE5D8A">
              <w:rPr>
                <w:sz w:val="18"/>
                <w:szCs w:val="18"/>
                <w:lang w:val="en-GB"/>
              </w:rPr>
              <w:t>54</w:t>
            </w:r>
          </w:p>
        </w:tc>
        <w:tc>
          <w:tcPr>
            <w:tcW w:w="1418" w:type="dxa"/>
            <w:hideMark/>
          </w:tcPr>
          <w:p w14:paraId="5F3F9196" w14:textId="77777777" w:rsidR="00124ACE" w:rsidRPr="00FE5D8A" w:rsidRDefault="00124ACE" w:rsidP="00926E27">
            <w:pPr>
              <w:pStyle w:val="NormalWeb"/>
              <w:rPr>
                <w:sz w:val="18"/>
                <w:szCs w:val="18"/>
                <w:lang w:val="en-GB"/>
              </w:rPr>
            </w:pPr>
            <w:r w:rsidRPr="00FE5D8A">
              <w:rPr>
                <w:sz w:val="18"/>
                <w:szCs w:val="18"/>
                <w:lang w:val="en-GB"/>
              </w:rPr>
              <w:t>69</w:t>
            </w:r>
          </w:p>
        </w:tc>
        <w:tc>
          <w:tcPr>
            <w:tcW w:w="992" w:type="dxa"/>
            <w:hideMark/>
          </w:tcPr>
          <w:p w14:paraId="24C11D48" w14:textId="77777777" w:rsidR="00124ACE" w:rsidRPr="00FE5D8A" w:rsidRDefault="00124ACE" w:rsidP="00926E27">
            <w:pPr>
              <w:pStyle w:val="NormalWeb"/>
              <w:rPr>
                <w:sz w:val="18"/>
                <w:szCs w:val="18"/>
                <w:lang w:val="en-GB"/>
              </w:rPr>
            </w:pPr>
            <w:r w:rsidRPr="00FE5D8A">
              <w:rPr>
                <w:sz w:val="18"/>
                <w:szCs w:val="18"/>
                <w:lang w:val="en-GB"/>
              </w:rPr>
              <w:t>53</w:t>
            </w:r>
          </w:p>
        </w:tc>
        <w:tc>
          <w:tcPr>
            <w:tcW w:w="1418" w:type="dxa"/>
            <w:hideMark/>
          </w:tcPr>
          <w:p w14:paraId="1F8D1B51" w14:textId="77777777" w:rsidR="00124ACE" w:rsidRPr="00FE5D8A" w:rsidRDefault="00124ACE" w:rsidP="00926E27">
            <w:pPr>
              <w:pStyle w:val="NormalWeb"/>
              <w:rPr>
                <w:sz w:val="18"/>
                <w:szCs w:val="18"/>
                <w:lang w:val="en-GB"/>
              </w:rPr>
            </w:pPr>
            <w:r w:rsidRPr="00FE5D8A">
              <w:rPr>
                <w:sz w:val="18"/>
                <w:szCs w:val="18"/>
                <w:lang w:val="en-GB"/>
              </w:rPr>
              <w:t>72</w:t>
            </w:r>
          </w:p>
        </w:tc>
        <w:tc>
          <w:tcPr>
            <w:tcW w:w="942" w:type="dxa"/>
            <w:hideMark/>
          </w:tcPr>
          <w:p w14:paraId="035DA2D5" w14:textId="77777777" w:rsidR="00124ACE" w:rsidRPr="00FE5D8A" w:rsidRDefault="00124ACE" w:rsidP="00926E27">
            <w:pPr>
              <w:pStyle w:val="NormalWeb"/>
              <w:rPr>
                <w:sz w:val="18"/>
                <w:szCs w:val="18"/>
                <w:lang w:val="en-GB"/>
              </w:rPr>
            </w:pPr>
            <w:r w:rsidRPr="00FE5D8A">
              <w:rPr>
                <w:sz w:val="18"/>
                <w:szCs w:val="18"/>
                <w:lang w:val="en-GB"/>
              </w:rPr>
              <w:t>55</w:t>
            </w:r>
          </w:p>
        </w:tc>
      </w:tr>
      <w:tr w:rsidR="00124ACE" w:rsidRPr="00FE5D8A" w14:paraId="2C52BF21" w14:textId="77777777" w:rsidTr="00124ACE">
        <w:trPr>
          <w:cnfStyle w:val="000000010000" w:firstRow="0" w:lastRow="0" w:firstColumn="0" w:lastColumn="0" w:oddVBand="0" w:evenVBand="0" w:oddHBand="0" w:evenHBand="1" w:firstRowFirstColumn="0" w:firstRowLastColumn="0" w:lastRowFirstColumn="0" w:lastRowLastColumn="0"/>
        </w:trPr>
        <w:tc>
          <w:tcPr>
            <w:tcW w:w="3402" w:type="dxa"/>
            <w:hideMark/>
          </w:tcPr>
          <w:p w14:paraId="3EE964BA" w14:textId="77777777" w:rsidR="00124ACE" w:rsidRPr="00FE5D8A" w:rsidRDefault="00124ACE" w:rsidP="00926E27">
            <w:pPr>
              <w:pStyle w:val="NormalWeb"/>
              <w:jc w:val="left"/>
              <w:rPr>
                <w:sz w:val="18"/>
                <w:szCs w:val="18"/>
                <w:lang w:val="en-GB"/>
              </w:rPr>
            </w:pPr>
            <w:r w:rsidRPr="00FE5D8A">
              <w:rPr>
                <w:sz w:val="18"/>
                <w:szCs w:val="18"/>
                <w:lang w:val="en-GB"/>
              </w:rPr>
              <w:t>Allied health</w:t>
            </w:r>
          </w:p>
        </w:tc>
        <w:tc>
          <w:tcPr>
            <w:tcW w:w="1418" w:type="dxa"/>
            <w:hideMark/>
          </w:tcPr>
          <w:p w14:paraId="1ACA18CD" w14:textId="77777777" w:rsidR="00124ACE" w:rsidRPr="00FE5D8A" w:rsidRDefault="00124ACE" w:rsidP="00926E27">
            <w:pPr>
              <w:pStyle w:val="NormalWeb"/>
              <w:rPr>
                <w:sz w:val="18"/>
                <w:szCs w:val="18"/>
                <w:lang w:val="en-GB"/>
              </w:rPr>
            </w:pPr>
            <w:r w:rsidRPr="00FE5D8A">
              <w:rPr>
                <w:sz w:val="18"/>
                <w:szCs w:val="18"/>
                <w:lang w:val="en-GB"/>
              </w:rPr>
              <w:t>28</w:t>
            </w:r>
          </w:p>
        </w:tc>
        <w:tc>
          <w:tcPr>
            <w:tcW w:w="850" w:type="dxa"/>
            <w:hideMark/>
          </w:tcPr>
          <w:p w14:paraId="56263328" w14:textId="77777777" w:rsidR="00124ACE" w:rsidRPr="00FE5D8A" w:rsidRDefault="00124ACE" w:rsidP="00926E27">
            <w:pPr>
              <w:pStyle w:val="NormalWeb"/>
              <w:rPr>
                <w:sz w:val="18"/>
                <w:szCs w:val="18"/>
                <w:lang w:val="en-GB"/>
              </w:rPr>
            </w:pPr>
            <w:r w:rsidRPr="00FE5D8A">
              <w:rPr>
                <w:sz w:val="18"/>
                <w:szCs w:val="18"/>
                <w:lang w:val="en-GB"/>
              </w:rPr>
              <w:t>11</w:t>
            </w:r>
          </w:p>
        </w:tc>
        <w:tc>
          <w:tcPr>
            <w:tcW w:w="1418" w:type="dxa"/>
            <w:hideMark/>
          </w:tcPr>
          <w:p w14:paraId="128578B3" w14:textId="77777777" w:rsidR="00124ACE" w:rsidRPr="00FE5D8A" w:rsidRDefault="00124ACE" w:rsidP="00926E27">
            <w:pPr>
              <w:pStyle w:val="NormalWeb"/>
              <w:rPr>
                <w:sz w:val="18"/>
                <w:szCs w:val="18"/>
                <w:lang w:val="en-GB"/>
              </w:rPr>
            </w:pPr>
            <w:r w:rsidRPr="00FE5D8A">
              <w:rPr>
                <w:sz w:val="18"/>
                <w:szCs w:val="18"/>
                <w:lang w:val="en-GB"/>
              </w:rPr>
              <w:t>10</w:t>
            </w:r>
          </w:p>
        </w:tc>
        <w:tc>
          <w:tcPr>
            <w:tcW w:w="992" w:type="dxa"/>
            <w:hideMark/>
          </w:tcPr>
          <w:p w14:paraId="25742579" w14:textId="77777777" w:rsidR="00124ACE" w:rsidRPr="00FE5D8A" w:rsidRDefault="00124ACE" w:rsidP="00926E27">
            <w:pPr>
              <w:pStyle w:val="NormalWeb"/>
              <w:rPr>
                <w:sz w:val="18"/>
                <w:szCs w:val="18"/>
                <w:lang w:val="en-GB"/>
              </w:rPr>
            </w:pPr>
            <w:r w:rsidRPr="00FE5D8A">
              <w:rPr>
                <w:sz w:val="18"/>
                <w:szCs w:val="18"/>
                <w:lang w:val="en-GB"/>
              </w:rPr>
              <w:t>8</w:t>
            </w:r>
          </w:p>
        </w:tc>
        <w:tc>
          <w:tcPr>
            <w:tcW w:w="1418" w:type="dxa"/>
            <w:hideMark/>
          </w:tcPr>
          <w:p w14:paraId="73CE6081" w14:textId="77777777" w:rsidR="00124ACE" w:rsidRPr="00FE5D8A" w:rsidRDefault="00124ACE" w:rsidP="00926E27">
            <w:pPr>
              <w:pStyle w:val="NormalWeb"/>
              <w:rPr>
                <w:sz w:val="18"/>
                <w:szCs w:val="18"/>
                <w:lang w:val="en-GB"/>
              </w:rPr>
            </w:pPr>
            <w:r w:rsidRPr="00FE5D8A">
              <w:rPr>
                <w:sz w:val="18"/>
                <w:szCs w:val="18"/>
                <w:lang w:val="en-GB"/>
              </w:rPr>
              <w:t>18</w:t>
            </w:r>
          </w:p>
        </w:tc>
        <w:tc>
          <w:tcPr>
            <w:tcW w:w="942" w:type="dxa"/>
            <w:hideMark/>
          </w:tcPr>
          <w:p w14:paraId="4F5934FD" w14:textId="77777777" w:rsidR="00124ACE" w:rsidRPr="00FE5D8A" w:rsidRDefault="00124ACE" w:rsidP="00926E27">
            <w:pPr>
              <w:pStyle w:val="NormalWeb"/>
              <w:rPr>
                <w:sz w:val="18"/>
                <w:szCs w:val="18"/>
                <w:lang w:val="en-GB"/>
              </w:rPr>
            </w:pPr>
            <w:r w:rsidRPr="00FE5D8A">
              <w:rPr>
                <w:sz w:val="18"/>
                <w:szCs w:val="18"/>
                <w:lang w:val="en-GB"/>
              </w:rPr>
              <w:t>14</w:t>
            </w:r>
          </w:p>
        </w:tc>
      </w:tr>
      <w:tr w:rsidR="00124ACE" w:rsidRPr="00FE5D8A" w14:paraId="1D8F6F60" w14:textId="77777777" w:rsidTr="00124ACE">
        <w:tc>
          <w:tcPr>
            <w:tcW w:w="3402" w:type="dxa"/>
            <w:hideMark/>
          </w:tcPr>
          <w:p w14:paraId="7D7B1A12" w14:textId="77777777" w:rsidR="00124ACE" w:rsidRPr="00FE5D8A" w:rsidRDefault="00124ACE" w:rsidP="00926E27">
            <w:pPr>
              <w:pStyle w:val="NormalWeb"/>
              <w:jc w:val="left"/>
              <w:rPr>
                <w:sz w:val="18"/>
                <w:szCs w:val="18"/>
                <w:lang w:val="en-GB"/>
              </w:rPr>
            </w:pPr>
            <w:r w:rsidRPr="00FE5D8A">
              <w:rPr>
                <w:sz w:val="18"/>
                <w:szCs w:val="18"/>
                <w:lang w:val="en-GB"/>
              </w:rPr>
              <w:t>Administration</w:t>
            </w:r>
          </w:p>
        </w:tc>
        <w:tc>
          <w:tcPr>
            <w:tcW w:w="1418" w:type="dxa"/>
            <w:hideMark/>
          </w:tcPr>
          <w:p w14:paraId="76A41082" w14:textId="77777777" w:rsidR="00124ACE" w:rsidRPr="00FE5D8A" w:rsidRDefault="00124ACE" w:rsidP="00926E27">
            <w:pPr>
              <w:pStyle w:val="NormalWeb"/>
              <w:rPr>
                <w:sz w:val="18"/>
                <w:szCs w:val="18"/>
                <w:lang w:val="en-GB"/>
              </w:rPr>
            </w:pPr>
            <w:r w:rsidRPr="00FE5D8A">
              <w:rPr>
                <w:sz w:val="18"/>
                <w:szCs w:val="18"/>
                <w:lang w:val="en-GB"/>
              </w:rPr>
              <w:t>1</w:t>
            </w:r>
          </w:p>
        </w:tc>
        <w:tc>
          <w:tcPr>
            <w:tcW w:w="850" w:type="dxa"/>
            <w:hideMark/>
          </w:tcPr>
          <w:p w14:paraId="0F1A41B1" w14:textId="77777777" w:rsidR="00124ACE" w:rsidRPr="00FE5D8A" w:rsidRDefault="00124ACE" w:rsidP="00926E27">
            <w:pPr>
              <w:pStyle w:val="NormalWeb"/>
              <w:rPr>
                <w:sz w:val="18"/>
                <w:szCs w:val="18"/>
                <w:lang w:val="en-GB"/>
              </w:rPr>
            </w:pPr>
            <w:r w:rsidRPr="00FE5D8A">
              <w:rPr>
                <w:sz w:val="18"/>
                <w:szCs w:val="18"/>
                <w:lang w:val="en-GB"/>
              </w:rPr>
              <w:t>0</w:t>
            </w:r>
          </w:p>
        </w:tc>
        <w:tc>
          <w:tcPr>
            <w:tcW w:w="1418" w:type="dxa"/>
            <w:hideMark/>
          </w:tcPr>
          <w:p w14:paraId="7D56DD84" w14:textId="77777777" w:rsidR="00124ACE" w:rsidRPr="00FE5D8A" w:rsidRDefault="00124ACE" w:rsidP="00926E27">
            <w:pPr>
              <w:pStyle w:val="NormalWeb"/>
              <w:rPr>
                <w:sz w:val="18"/>
                <w:szCs w:val="18"/>
                <w:lang w:val="en-GB"/>
              </w:rPr>
            </w:pPr>
            <w:r w:rsidRPr="00FE5D8A">
              <w:rPr>
                <w:sz w:val="18"/>
                <w:szCs w:val="18"/>
                <w:lang w:val="en-GB"/>
              </w:rPr>
              <w:t>1</w:t>
            </w:r>
          </w:p>
        </w:tc>
        <w:tc>
          <w:tcPr>
            <w:tcW w:w="992" w:type="dxa"/>
            <w:hideMark/>
          </w:tcPr>
          <w:p w14:paraId="087D1654" w14:textId="77777777" w:rsidR="00124ACE" w:rsidRPr="00FE5D8A" w:rsidRDefault="00124ACE" w:rsidP="00926E27">
            <w:pPr>
              <w:pStyle w:val="NormalWeb"/>
              <w:rPr>
                <w:sz w:val="18"/>
                <w:szCs w:val="18"/>
                <w:lang w:val="en-GB"/>
              </w:rPr>
            </w:pPr>
            <w:r w:rsidRPr="00FE5D8A">
              <w:rPr>
                <w:sz w:val="18"/>
                <w:szCs w:val="18"/>
                <w:lang w:val="en-GB"/>
              </w:rPr>
              <w:t>1</w:t>
            </w:r>
          </w:p>
        </w:tc>
        <w:tc>
          <w:tcPr>
            <w:tcW w:w="1418" w:type="dxa"/>
            <w:hideMark/>
          </w:tcPr>
          <w:p w14:paraId="41CE5448" w14:textId="77777777" w:rsidR="00124ACE" w:rsidRPr="00FE5D8A" w:rsidRDefault="00124ACE" w:rsidP="00926E27">
            <w:pPr>
              <w:pStyle w:val="NormalWeb"/>
              <w:rPr>
                <w:sz w:val="18"/>
                <w:szCs w:val="18"/>
                <w:lang w:val="en-GB"/>
              </w:rPr>
            </w:pPr>
            <w:r w:rsidRPr="00FE5D8A">
              <w:rPr>
                <w:sz w:val="18"/>
                <w:szCs w:val="18"/>
                <w:lang w:val="en-GB"/>
              </w:rPr>
              <w:t>0</w:t>
            </w:r>
          </w:p>
        </w:tc>
        <w:tc>
          <w:tcPr>
            <w:tcW w:w="942" w:type="dxa"/>
            <w:hideMark/>
          </w:tcPr>
          <w:p w14:paraId="238417BD" w14:textId="77777777" w:rsidR="00124ACE" w:rsidRPr="00FE5D8A" w:rsidRDefault="00124ACE" w:rsidP="00926E27">
            <w:pPr>
              <w:pStyle w:val="NormalWeb"/>
              <w:rPr>
                <w:sz w:val="18"/>
                <w:szCs w:val="18"/>
                <w:lang w:val="en-GB"/>
              </w:rPr>
            </w:pPr>
            <w:r w:rsidRPr="00FE5D8A">
              <w:rPr>
                <w:sz w:val="18"/>
                <w:szCs w:val="18"/>
                <w:lang w:val="en-GB"/>
              </w:rPr>
              <w:t>0</w:t>
            </w:r>
          </w:p>
        </w:tc>
      </w:tr>
      <w:tr w:rsidR="00124ACE" w:rsidRPr="00FE5D8A" w14:paraId="1649F107" w14:textId="77777777" w:rsidTr="00124ACE">
        <w:trPr>
          <w:cnfStyle w:val="000000010000" w:firstRow="0" w:lastRow="0" w:firstColumn="0" w:lastColumn="0" w:oddVBand="0" w:evenVBand="0" w:oddHBand="0" w:evenHBand="1" w:firstRowFirstColumn="0" w:firstRowLastColumn="0" w:lastRowFirstColumn="0" w:lastRowLastColumn="0"/>
        </w:trPr>
        <w:tc>
          <w:tcPr>
            <w:tcW w:w="3402" w:type="dxa"/>
            <w:hideMark/>
          </w:tcPr>
          <w:p w14:paraId="22B074D1" w14:textId="77777777" w:rsidR="00124ACE" w:rsidRPr="00FE5D8A" w:rsidRDefault="00124ACE" w:rsidP="00926E27">
            <w:pPr>
              <w:pStyle w:val="NormalWeb"/>
              <w:jc w:val="left"/>
              <w:rPr>
                <w:sz w:val="18"/>
                <w:szCs w:val="18"/>
                <w:lang w:val="en-GB"/>
              </w:rPr>
            </w:pPr>
            <w:r w:rsidRPr="00FE5D8A">
              <w:rPr>
                <w:sz w:val="18"/>
                <w:szCs w:val="18"/>
                <w:lang w:val="en-GB"/>
              </w:rPr>
              <w:t>Medical doctor</w:t>
            </w:r>
          </w:p>
        </w:tc>
        <w:tc>
          <w:tcPr>
            <w:tcW w:w="1418" w:type="dxa"/>
            <w:hideMark/>
          </w:tcPr>
          <w:p w14:paraId="667E3F94" w14:textId="77777777" w:rsidR="00124ACE" w:rsidRPr="00FE5D8A" w:rsidRDefault="00124ACE" w:rsidP="00926E27">
            <w:pPr>
              <w:pStyle w:val="NormalWeb"/>
              <w:rPr>
                <w:sz w:val="18"/>
                <w:szCs w:val="18"/>
                <w:lang w:val="en-GB"/>
              </w:rPr>
            </w:pPr>
            <w:r w:rsidRPr="00FE5D8A">
              <w:rPr>
                <w:sz w:val="18"/>
                <w:szCs w:val="18"/>
                <w:lang w:val="en-GB"/>
              </w:rPr>
              <w:t>17</w:t>
            </w:r>
          </w:p>
        </w:tc>
        <w:tc>
          <w:tcPr>
            <w:tcW w:w="850" w:type="dxa"/>
            <w:hideMark/>
          </w:tcPr>
          <w:p w14:paraId="1459FFD0" w14:textId="77777777" w:rsidR="00124ACE" w:rsidRPr="00FE5D8A" w:rsidRDefault="00124ACE" w:rsidP="00926E27">
            <w:pPr>
              <w:pStyle w:val="NormalWeb"/>
              <w:rPr>
                <w:sz w:val="18"/>
                <w:szCs w:val="18"/>
                <w:lang w:val="en-GB"/>
              </w:rPr>
            </w:pPr>
            <w:r w:rsidRPr="00FE5D8A">
              <w:rPr>
                <w:sz w:val="18"/>
                <w:szCs w:val="18"/>
                <w:lang w:val="en-GB"/>
              </w:rPr>
              <w:t>7</w:t>
            </w:r>
          </w:p>
        </w:tc>
        <w:tc>
          <w:tcPr>
            <w:tcW w:w="1418" w:type="dxa"/>
            <w:hideMark/>
          </w:tcPr>
          <w:p w14:paraId="5BB78961" w14:textId="77777777" w:rsidR="00124ACE" w:rsidRPr="00FE5D8A" w:rsidRDefault="00124ACE" w:rsidP="00926E27">
            <w:pPr>
              <w:pStyle w:val="NormalWeb"/>
              <w:rPr>
                <w:sz w:val="18"/>
                <w:szCs w:val="18"/>
                <w:lang w:val="en-GB"/>
              </w:rPr>
            </w:pPr>
            <w:r w:rsidRPr="00FE5D8A">
              <w:rPr>
                <w:sz w:val="18"/>
                <w:szCs w:val="18"/>
                <w:lang w:val="en-GB"/>
              </w:rPr>
              <w:t>11</w:t>
            </w:r>
          </w:p>
        </w:tc>
        <w:tc>
          <w:tcPr>
            <w:tcW w:w="992" w:type="dxa"/>
            <w:hideMark/>
          </w:tcPr>
          <w:p w14:paraId="2B1E3EA2" w14:textId="77777777" w:rsidR="00124ACE" w:rsidRPr="00FE5D8A" w:rsidRDefault="00124ACE" w:rsidP="00926E27">
            <w:pPr>
              <w:pStyle w:val="NormalWeb"/>
              <w:rPr>
                <w:sz w:val="18"/>
                <w:szCs w:val="18"/>
                <w:lang w:val="en-GB"/>
              </w:rPr>
            </w:pPr>
            <w:r w:rsidRPr="00FE5D8A">
              <w:rPr>
                <w:sz w:val="18"/>
                <w:szCs w:val="18"/>
                <w:lang w:val="en-GB"/>
              </w:rPr>
              <w:t>9</w:t>
            </w:r>
          </w:p>
        </w:tc>
        <w:tc>
          <w:tcPr>
            <w:tcW w:w="1418" w:type="dxa"/>
            <w:hideMark/>
          </w:tcPr>
          <w:p w14:paraId="42559203" w14:textId="77777777" w:rsidR="00124ACE" w:rsidRPr="00FE5D8A" w:rsidRDefault="00124ACE" w:rsidP="00926E27">
            <w:pPr>
              <w:pStyle w:val="NormalWeb"/>
              <w:rPr>
                <w:sz w:val="18"/>
                <w:szCs w:val="18"/>
                <w:lang w:val="en-GB"/>
              </w:rPr>
            </w:pPr>
            <w:r w:rsidRPr="00FE5D8A">
              <w:rPr>
                <w:sz w:val="18"/>
                <w:szCs w:val="18"/>
                <w:lang w:val="en-GB"/>
              </w:rPr>
              <w:t>6</w:t>
            </w:r>
          </w:p>
        </w:tc>
        <w:tc>
          <w:tcPr>
            <w:tcW w:w="942" w:type="dxa"/>
            <w:hideMark/>
          </w:tcPr>
          <w:p w14:paraId="67CF49AA" w14:textId="77777777" w:rsidR="00124ACE" w:rsidRPr="00FE5D8A" w:rsidRDefault="00124ACE" w:rsidP="00926E27">
            <w:pPr>
              <w:pStyle w:val="NormalWeb"/>
              <w:rPr>
                <w:sz w:val="18"/>
                <w:szCs w:val="18"/>
                <w:lang w:val="en-GB"/>
              </w:rPr>
            </w:pPr>
            <w:r w:rsidRPr="00FE5D8A">
              <w:rPr>
                <w:sz w:val="18"/>
                <w:szCs w:val="18"/>
                <w:lang w:val="en-GB"/>
              </w:rPr>
              <w:t>5</w:t>
            </w:r>
          </w:p>
        </w:tc>
      </w:tr>
      <w:tr w:rsidR="00124ACE" w:rsidRPr="00FE5D8A" w14:paraId="1BBD969D" w14:textId="77777777" w:rsidTr="00124ACE">
        <w:tc>
          <w:tcPr>
            <w:tcW w:w="3402" w:type="dxa"/>
            <w:hideMark/>
          </w:tcPr>
          <w:p w14:paraId="2DB04D18" w14:textId="77777777" w:rsidR="00124ACE" w:rsidRPr="00FE5D8A" w:rsidRDefault="00124ACE" w:rsidP="00926E27">
            <w:pPr>
              <w:pStyle w:val="NormalWeb"/>
              <w:jc w:val="left"/>
              <w:rPr>
                <w:sz w:val="18"/>
                <w:szCs w:val="18"/>
                <w:lang w:val="en-GB"/>
              </w:rPr>
            </w:pPr>
            <w:r w:rsidRPr="00FE5D8A">
              <w:rPr>
                <w:sz w:val="18"/>
                <w:szCs w:val="18"/>
                <w:lang w:val="en-GB"/>
              </w:rPr>
              <w:t>Cleaner</w:t>
            </w:r>
          </w:p>
        </w:tc>
        <w:tc>
          <w:tcPr>
            <w:tcW w:w="1418" w:type="dxa"/>
            <w:hideMark/>
          </w:tcPr>
          <w:p w14:paraId="5F8A6A5B" w14:textId="77777777" w:rsidR="00124ACE" w:rsidRPr="00FE5D8A" w:rsidRDefault="00124ACE" w:rsidP="00926E27">
            <w:pPr>
              <w:pStyle w:val="NormalWeb"/>
              <w:rPr>
                <w:sz w:val="18"/>
                <w:szCs w:val="18"/>
                <w:lang w:val="en-GB"/>
              </w:rPr>
            </w:pPr>
            <w:r w:rsidRPr="00FE5D8A">
              <w:rPr>
                <w:sz w:val="18"/>
                <w:szCs w:val="18"/>
                <w:lang w:val="en-GB"/>
              </w:rPr>
              <w:t>9</w:t>
            </w:r>
          </w:p>
        </w:tc>
        <w:tc>
          <w:tcPr>
            <w:tcW w:w="850" w:type="dxa"/>
            <w:hideMark/>
          </w:tcPr>
          <w:p w14:paraId="5C1F20B0" w14:textId="77777777" w:rsidR="00124ACE" w:rsidRPr="00FE5D8A" w:rsidRDefault="00124ACE" w:rsidP="00926E27">
            <w:pPr>
              <w:pStyle w:val="NormalWeb"/>
              <w:rPr>
                <w:sz w:val="18"/>
                <w:szCs w:val="18"/>
                <w:lang w:val="en-GB"/>
              </w:rPr>
            </w:pPr>
            <w:r w:rsidRPr="00FE5D8A">
              <w:rPr>
                <w:sz w:val="18"/>
                <w:szCs w:val="18"/>
                <w:lang w:val="en-GB"/>
              </w:rPr>
              <w:t>3</w:t>
            </w:r>
          </w:p>
        </w:tc>
        <w:tc>
          <w:tcPr>
            <w:tcW w:w="1418" w:type="dxa"/>
            <w:hideMark/>
          </w:tcPr>
          <w:p w14:paraId="3135F4E7" w14:textId="77777777" w:rsidR="00124ACE" w:rsidRPr="00FE5D8A" w:rsidRDefault="00124ACE" w:rsidP="00926E27">
            <w:pPr>
              <w:pStyle w:val="NormalWeb"/>
              <w:rPr>
                <w:sz w:val="18"/>
                <w:szCs w:val="18"/>
                <w:lang w:val="en-GB"/>
              </w:rPr>
            </w:pPr>
            <w:r w:rsidRPr="00FE5D8A">
              <w:rPr>
                <w:sz w:val="18"/>
                <w:szCs w:val="18"/>
                <w:lang w:val="en-GB"/>
              </w:rPr>
              <w:t>3</w:t>
            </w:r>
          </w:p>
        </w:tc>
        <w:tc>
          <w:tcPr>
            <w:tcW w:w="992" w:type="dxa"/>
            <w:hideMark/>
          </w:tcPr>
          <w:p w14:paraId="7E010A25" w14:textId="77777777" w:rsidR="00124ACE" w:rsidRPr="00FE5D8A" w:rsidRDefault="00124ACE" w:rsidP="00926E27">
            <w:pPr>
              <w:pStyle w:val="NormalWeb"/>
              <w:rPr>
                <w:sz w:val="18"/>
                <w:szCs w:val="18"/>
                <w:lang w:val="en-GB"/>
              </w:rPr>
            </w:pPr>
            <w:r w:rsidRPr="00FE5D8A">
              <w:rPr>
                <w:sz w:val="18"/>
                <w:szCs w:val="18"/>
                <w:lang w:val="en-GB"/>
              </w:rPr>
              <w:t>2</w:t>
            </w:r>
          </w:p>
        </w:tc>
        <w:tc>
          <w:tcPr>
            <w:tcW w:w="1418" w:type="dxa"/>
            <w:hideMark/>
          </w:tcPr>
          <w:p w14:paraId="08EF318B" w14:textId="77777777" w:rsidR="00124ACE" w:rsidRPr="00FE5D8A" w:rsidRDefault="00124ACE" w:rsidP="00926E27">
            <w:pPr>
              <w:pStyle w:val="NormalWeb"/>
              <w:rPr>
                <w:sz w:val="18"/>
                <w:szCs w:val="18"/>
                <w:lang w:val="en-GB"/>
              </w:rPr>
            </w:pPr>
            <w:r w:rsidRPr="00FE5D8A">
              <w:rPr>
                <w:sz w:val="18"/>
                <w:szCs w:val="18"/>
                <w:lang w:val="en-GB"/>
              </w:rPr>
              <w:t>6</w:t>
            </w:r>
          </w:p>
        </w:tc>
        <w:tc>
          <w:tcPr>
            <w:tcW w:w="942" w:type="dxa"/>
            <w:hideMark/>
          </w:tcPr>
          <w:p w14:paraId="5B4C5DF6" w14:textId="77777777" w:rsidR="00124ACE" w:rsidRPr="00FE5D8A" w:rsidRDefault="00124ACE" w:rsidP="00926E27">
            <w:pPr>
              <w:pStyle w:val="NormalWeb"/>
              <w:rPr>
                <w:sz w:val="18"/>
                <w:szCs w:val="18"/>
                <w:lang w:val="en-GB"/>
              </w:rPr>
            </w:pPr>
            <w:r w:rsidRPr="00FE5D8A">
              <w:rPr>
                <w:sz w:val="18"/>
                <w:szCs w:val="18"/>
                <w:lang w:val="en-GB"/>
              </w:rPr>
              <w:t>5</w:t>
            </w:r>
          </w:p>
        </w:tc>
      </w:tr>
      <w:tr w:rsidR="00124ACE" w:rsidRPr="00FE5D8A" w14:paraId="2E2301D6" w14:textId="77777777" w:rsidTr="00124ACE">
        <w:trPr>
          <w:cnfStyle w:val="000000010000" w:firstRow="0" w:lastRow="0" w:firstColumn="0" w:lastColumn="0" w:oddVBand="0" w:evenVBand="0" w:oddHBand="0" w:evenHBand="1" w:firstRowFirstColumn="0" w:firstRowLastColumn="0" w:lastRowFirstColumn="0" w:lastRowLastColumn="0"/>
        </w:trPr>
        <w:tc>
          <w:tcPr>
            <w:tcW w:w="3402" w:type="dxa"/>
            <w:hideMark/>
          </w:tcPr>
          <w:p w14:paraId="5347BC42" w14:textId="77777777" w:rsidR="00124ACE" w:rsidRPr="00FE5D8A" w:rsidRDefault="00124ACE" w:rsidP="00926E27">
            <w:pPr>
              <w:pStyle w:val="NormalWeb"/>
              <w:jc w:val="left"/>
              <w:rPr>
                <w:sz w:val="18"/>
                <w:szCs w:val="18"/>
                <w:lang w:val="en-GB"/>
              </w:rPr>
            </w:pPr>
            <w:r w:rsidRPr="00FE5D8A">
              <w:rPr>
                <w:sz w:val="18"/>
                <w:szCs w:val="18"/>
                <w:lang w:val="en-GB"/>
              </w:rPr>
              <w:t>Catering/food service</w:t>
            </w:r>
          </w:p>
        </w:tc>
        <w:tc>
          <w:tcPr>
            <w:tcW w:w="1418" w:type="dxa"/>
            <w:hideMark/>
          </w:tcPr>
          <w:p w14:paraId="020E04CD" w14:textId="77777777" w:rsidR="00124ACE" w:rsidRPr="00FE5D8A" w:rsidRDefault="00124ACE" w:rsidP="00926E27">
            <w:pPr>
              <w:pStyle w:val="NormalWeb"/>
              <w:rPr>
                <w:sz w:val="18"/>
                <w:szCs w:val="18"/>
                <w:lang w:val="en-GB"/>
              </w:rPr>
            </w:pPr>
            <w:r w:rsidRPr="00FE5D8A">
              <w:rPr>
                <w:sz w:val="18"/>
                <w:szCs w:val="18"/>
                <w:lang w:val="en-GB"/>
              </w:rPr>
              <w:t>2</w:t>
            </w:r>
          </w:p>
        </w:tc>
        <w:tc>
          <w:tcPr>
            <w:tcW w:w="850" w:type="dxa"/>
            <w:hideMark/>
          </w:tcPr>
          <w:p w14:paraId="6EDAD143" w14:textId="77777777" w:rsidR="00124ACE" w:rsidRPr="00FE5D8A" w:rsidRDefault="00124ACE" w:rsidP="00926E27">
            <w:pPr>
              <w:pStyle w:val="NormalWeb"/>
              <w:rPr>
                <w:sz w:val="18"/>
                <w:szCs w:val="18"/>
                <w:lang w:val="en-GB"/>
              </w:rPr>
            </w:pPr>
            <w:r w:rsidRPr="00FE5D8A">
              <w:rPr>
                <w:sz w:val="18"/>
                <w:szCs w:val="18"/>
                <w:lang w:val="en-GB"/>
              </w:rPr>
              <w:t>1</w:t>
            </w:r>
          </w:p>
        </w:tc>
        <w:tc>
          <w:tcPr>
            <w:tcW w:w="1418" w:type="dxa"/>
            <w:hideMark/>
          </w:tcPr>
          <w:p w14:paraId="5B9AD84C" w14:textId="77777777" w:rsidR="00124ACE" w:rsidRPr="00FE5D8A" w:rsidRDefault="00124ACE" w:rsidP="00926E27">
            <w:pPr>
              <w:pStyle w:val="NormalWeb"/>
              <w:rPr>
                <w:sz w:val="18"/>
                <w:szCs w:val="18"/>
                <w:lang w:val="en-GB"/>
              </w:rPr>
            </w:pPr>
            <w:r w:rsidRPr="00FE5D8A">
              <w:rPr>
                <w:sz w:val="18"/>
                <w:szCs w:val="18"/>
                <w:lang w:val="en-GB"/>
              </w:rPr>
              <w:t>1</w:t>
            </w:r>
          </w:p>
        </w:tc>
        <w:tc>
          <w:tcPr>
            <w:tcW w:w="992" w:type="dxa"/>
            <w:hideMark/>
          </w:tcPr>
          <w:p w14:paraId="5E68CE2C" w14:textId="77777777" w:rsidR="00124ACE" w:rsidRPr="00FE5D8A" w:rsidRDefault="00124ACE" w:rsidP="00926E27">
            <w:pPr>
              <w:pStyle w:val="NormalWeb"/>
              <w:rPr>
                <w:sz w:val="18"/>
                <w:szCs w:val="18"/>
                <w:lang w:val="en-GB"/>
              </w:rPr>
            </w:pPr>
            <w:r w:rsidRPr="00FE5D8A">
              <w:rPr>
                <w:sz w:val="18"/>
                <w:szCs w:val="18"/>
                <w:lang w:val="en-GB"/>
              </w:rPr>
              <w:t>1</w:t>
            </w:r>
          </w:p>
        </w:tc>
        <w:tc>
          <w:tcPr>
            <w:tcW w:w="1418" w:type="dxa"/>
            <w:hideMark/>
          </w:tcPr>
          <w:p w14:paraId="75BA63C5" w14:textId="77777777" w:rsidR="00124ACE" w:rsidRPr="00FE5D8A" w:rsidRDefault="00124ACE" w:rsidP="00926E27">
            <w:pPr>
              <w:pStyle w:val="NormalWeb"/>
              <w:rPr>
                <w:sz w:val="18"/>
                <w:szCs w:val="18"/>
                <w:lang w:val="en-GB"/>
              </w:rPr>
            </w:pPr>
            <w:r w:rsidRPr="00FE5D8A">
              <w:rPr>
                <w:sz w:val="18"/>
                <w:szCs w:val="18"/>
                <w:lang w:val="en-GB"/>
              </w:rPr>
              <w:t>1</w:t>
            </w:r>
          </w:p>
        </w:tc>
        <w:tc>
          <w:tcPr>
            <w:tcW w:w="942" w:type="dxa"/>
            <w:hideMark/>
          </w:tcPr>
          <w:p w14:paraId="0A926B17" w14:textId="77777777" w:rsidR="00124ACE" w:rsidRPr="00FE5D8A" w:rsidRDefault="00124ACE" w:rsidP="00926E27">
            <w:pPr>
              <w:pStyle w:val="NormalWeb"/>
              <w:rPr>
                <w:sz w:val="18"/>
                <w:szCs w:val="18"/>
                <w:lang w:val="en-GB"/>
              </w:rPr>
            </w:pPr>
            <w:r w:rsidRPr="00FE5D8A">
              <w:rPr>
                <w:sz w:val="18"/>
                <w:szCs w:val="18"/>
                <w:lang w:val="en-GB"/>
              </w:rPr>
              <w:t>1</w:t>
            </w:r>
          </w:p>
        </w:tc>
      </w:tr>
      <w:tr w:rsidR="00124ACE" w:rsidRPr="00FE5D8A" w14:paraId="28AD9E78" w14:textId="77777777" w:rsidTr="00124ACE">
        <w:tc>
          <w:tcPr>
            <w:tcW w:w="3402" w:type="dxa"/>
            <w:hideMark/>
          </w:tcPr>
          <w:p w14:paraId="100A363A" w14:textId="77777777" w:rsidR="00124ACE" w:rsidRPr="00FE5D8A" w:rsidRDefault="00124ACE" w:rsidP="00926E27">
            <w:pPr>
              <w:pStyle w:val="NormalWeb"/>
              <w:jc w:val="left"/>
              <w:rPr>
                <w:sz w:val="18"/>
                <w:szCs w:val="18"/>
                <w:lang w:val="en-GB"/>
              </w:rPr>
            </w:pPr>
            <w:r w:rsidRPr="00FE5D8A">
              <w:rPr>
                <w:sz w:val="18"/>
                <w:szCs w:val="18"/>
                <w:lang w:val="en-GB"/>
              </w:rPr>
              <w:t>Attendant/security</w:t>
            </w:r>
          </w:p>
        </w:tc>
        <w:tc>
          <w:tcPr>
            <w:tcW w:w="1418" w:type="dxa"/>
            <w:hideMark/>
          </w:tcPr>
          <w:p w14:paraId="72CF0D7C" w14:textId="77777777" w:rsidR="00124ACE" w:rsidRPr="00FE5D8A" w:rsidRDefault="00124ACE" w:rsidP="00926E27">
            <w:pPr>
              <w:pStyle w:val="NormalWeb"/>
              <w:rPr>
                <w:sz w:val="18"/>
                <w:szCs w:val="18"/>
                <w:lang w:val="en-GB"/>
              </w:rPr>
            </w:pPr>
            <w:r w:rsidRPr="00FE5D8A">
              <w:rPr>
                <w:sz w:val="18"/>
                <w:szCs w:val="18"/>
                <w:lang w:val="en-GB"/>
              </w:rPr>
              <w:t>8</w:t>
            </w:r>
          </w:p>
        </w:tc>
        <w:tc>
          <w:tcPr>
            <w:tcW w:w="850" w:type="dxa"/>
            <w:hideMark/>
          </w:tcPr>
          <w:p w14:paraId="0C4533A7" w14:textId="77777777" w:rsidR="00124ACE" w:rsidRPr="00FE5D8A" w:rsidRDefault="00124ACE" w:rsidP="00926E27">
            <w:pPr>
              <w:pStyle w:val="NormalWeb"/>
              <w:rPr>
                <w:sz w:val="18"/>
                <w:szCs w:val="18"/>
                <w:lang w:val="en-GB"/>
              </w:rPr>
            </w:pPr>
            <w:r w:rsidRPr="00FE5D8A">
              <w:rPr>
                <w:sz w:val="18"/>
                <w:szCs w:val="18"/>
                <w:lang w:val="en-GB"/>
              </w:rPr>
              <w:t>3</w:t>
            </w:r>
          </w:p>
        </w:tc>
        <w:tc>
          <w:tcPr>
            <w:tcW w:w="1418" w:type="dxa"/>
            <w:hideMark/>
          </w:tcPr>
          <w:p w14:paraId="55DB4CD5" w14:textId="77777777" w:rsidR="00124ACE" w:rsidRPr="00FE5D8A" w:rsidRDefault="00124ACE" w:rsidP="00926E27">
            <w:pPr>
              <w:pStyle w:val="NormalWeb"/>
              <w:rPr>
                <w:sz w:val="18"/>
                <w:szCs w:val="18"/>
                <w:lang w:val="en-GB"/>
              </w:rPr>
            </w:pPr>
            <w:r w:rsidRPr="00FE5D8A">
              <w:rPr>
                <w:sz w:val="18"/>
                <w:szCs w:val="18"/>
                <w:lang w:val="en-GB"/>
              </w:rPr>
              <w:t>2</w:t>
            </w:r>
          </w:p>
        </w:tc>
        <w:tc>
          <w:tcPr>
            <w:tcW w:w="992" w:type="dxa"/>
            <w:hideMark/>
          </w:tcPr>
          <w:p w14:paraId="591F65F0" w14:textId="77777777" w:rsidR="00124ACE" w:rsidRPr="00FE5D8A" w:rsidRDefault="00124ACE" w:rsidP="00926E27">
            <w:pPr>
              <w:pStyle w:val="NormalWeb"/>
              <w:rPr>
                <w:sz w:val="18"/>
                <w:szCs w:val="18"/>
                <w:lang w:val="en-GB"/>
              </w:rPr>
            </w:pPr>
            <w:r w:rsidRPr="00FE5D8A">
              <w:rPr>
                <w:sz w:val="18"/>
                <w:szCs w:val="18"/>
                <w:lang w:val="en-GB"/>
              </w:rPr>
              <w:t>2</w:t>
            </w:r>
          </w:p>
        </w:tc>
        <w:tc>
          <w:tcPr>
            <w:tcW w:w="1418" w:type="dxa"/>
            <w:hideMark/>
          </w:tcPr>
          <w:p w14:paraId="24968ADF" w14:textId="77777777" w:rsidR="00124ACE" w:rsidRPr="00FE5D8A" w:rsidRDefault="00124ACE" w:rsidP="00926E27">
            <w:pPr>
              <w:pStyle w:val="NormalWeb"/>
              <w:rPr>
                <w:sz w:val="18"/>
                <w:szCs w:val="18"/>
                <w:lang w:val="en-GB"/>
              </w:rPr>
            </w:pPr>
            <w:r w:rsidRPr="00FE5D8A">
              <w:rPr>
                <w:sz w:val="18"/>
                <w:szCs w:val="18"/>
                <w:lang w:val="en-GB"/>
              </w:rPr>
              <w:t>6</w:t>
            </w:r>
          </w:p>
        </w:tc>
        <w:tc>
          <w:tcPr>
            <w:tcW w:w="942" w:type="dxa"/>
            <w:hideMark/>
          </w:tcPr>
          <w:p w14:paraId="3E5A48F4" w14:textId="77777777" w:rsidR="00124ACE" w:rsidRPr="00FE5D8A" w:rsidRDefault="00124ACE" w:rsidP="00926E27">
            <w:pPr>
              <w:pStyle w:val="NormalWeb"/>
              <w:rPr>
                <w:sz w:val="18"/>
                <w:szCs w:val="18"/>
                <w:lang w:val="en-GB"/>
              </w:rPr>
            </w:pPr>
            <w:r w:rsidRPr="00FE5D8A">
              <w:rPr>
                <w:sz w:val="18"/>
                <w:szCs w:val="18"/>
                <w:lang w:val="en-GB"/>
              </w:rPr>
              <w:t>5</w:t>
            </w:r>
          </w:p>
        </w:tc>
      </w:tr>
      <w:tr w:rsidR="00124ACE" w:rsidRPr="00FE5D8A" w14:paraId="029E4B70" w14:textId="77777777" w:rsidTr="00124ACE">
        <w:trPr>
          <w:cnfStyle w:val="000000010000" w:firstRow="0" w:lastRow="0" w:firstColumn="0" w:lastColumn="0" w:oddVBand="0" w:evenVBand="0" w:oddHBand="0" w:evenHBand="1" w:firstRowFirstColumn="0" w:firstRowLastColumn="0" w:lastRowFirstColumn="0" w:lastRowLastColumn="0"/>
        </w:trPr>
        <w:tc>
          <w:tcPr>
            <w:tcW w:w="3402" w:type="dxa"/>
            <w:hideMark/>
          </w:tcPr>
          <w:p w14:paraId="27A535AA" w14:textId="77777777" w:rsidR="00124ACE" w:rsidRPr="00FE5D8A" w:rsidRDefault="00124ACE" w:rsidP="00926E27">
            <w:pPr>
              <w:pStyle w:val="NormalWeb"/>
              <w:jc w:val="left"/>
              <w:rPr>
                <w:sz w:val="18"/>
                <w:szCs w:val="18"/>
                <w:lang w:val="en-GB"/>
              </w:rPr>
            </w:pPr>
            <w:r w:rsidRPr="00FE5D8A">
              <w:rPr>
                <w:sz w:val="18"/>
                <w:szCs w:val="18"/>
                <w:lang w:val="en-GB"/>
              </w:rPr>
              <w:t>Other</w:t>
            </w:r>
          </w:p>
        </w:tc>
        <w:tc>
          <w:tcPr>
            <w:tcW w:w="1418" w:type="dxa"/>
            <w:hideMark/>
          </w:tcPr>
          <w:p w14:paraId="08088CF5" w14:textId="77777777" w:rsidR="00124ACE" w:rsidRPr="00FE5D8A" w:rsidRDefault="00124ACE" w:rsidP="00926E27">
            <w:pPr>
              <w:pStyle w:val="NormalWeb"/>
              <w:rPr>
                <w:sz w:val="18"/>
                <w:szCs w:val="18"/>
                <w:lang w:val="en-GB"/>
              </w:rPr>
            </w:pPr>
            <w:r w:rsidRPr="00FE5D8A">
              <w:rPr>
                <w:sz w:val="18"/>
                <w:szCs w:val="18"/>
                <w:lang w:val="en-GB"/>
              </w:rPr>
              <w:t>43</w:t>
            </w:r>
          </w:p>
        </w:tc>
        <w:tc>
          <w:tcPr>
            <w:tcW w:w="850" w:type="dxa"/>
            <w:hideMark/>
          </w:tcPr>
          <w:p w14:paraId="4B145072" w14:textId="77777777" w:rsidR="00124ACE" w:rsidRPr="00FE5D8A" w:rsidRDefault="00124ACE" w:rsidP="00926E27">
            <w:pPr>
              <w:pStyle w:val="NormalWeb"/>
              <w:rPr>
                <w:sz w:val="18"/>
                <w:szCs w:val="18"/>
                <w:lang w:val="en-GB"/>
              </w:rPr>
            </w:pPr>
            <w:r w:rsidRPr="00FE5D8A">
              <w:rPr>
                <w:sz w:val="18"/>
                <w:szCs w:val="18"/>
                <w:lang w:val="en-GB"/>
              </w:rPr>
              <w:t>16</w:t>
            </w:r>
          </w:p>
        </w:tc>
        <w:tc>
          <w:tcPr>
            <w:tcW w:w="1418" w:type="dxa"/>
            <w:hideMark/>
          </w:tcPr>
          <w:p w14:paraId="655EFD27" w14:textId="77777777" w:rsidR="00124ACE" w:rsidRPr="00FE5D8A" w:rsidRDefault="00124ACE" w:rsidP="00926E27">
            <w:pPr>
              <w:pStyle w:val="NormalWeb"/>
              <w:rPr>
                <w:sz w:val="18"/>
                <w:szCs w:val="18"/>
                <w:lang w:val="en-GB"/>
              </w:rPr>
            </w:pPr>
            <w:r w:rsidRPr="00FE5D8A">
              <w:rPr>
                <w:sz w:val="18"/>
                <w:szCs w:val="18"/>
                <w:lang w:val="en-GB"/>
              </w:rPr>
              <w:t>29</w:t>
            </w:r>
          </w:p>
        </w:tc>
        <w:tc>
          <w:tcPr>
            <w:tcW w:w="992" w:type="dxa"/>
            <w:hideMark/>
          </w:tcPr>
          <w:p w14:paraId="0822B5E9" w14:textId="77777777" w:rsidR="00124ACE" w:rsidRPr="00FE5D8A" w:rsidRDefault="00124ACE" w:rsidP="00926E27">
            <w:pPr>
              <w:pStyle w:val="NormalWeb"/>
              <w:rPr>
                <w:sz w:val="18"/>
                <w:szCs w:val="18"/>
                <w:lang w:val="en-GB"/>
              </w:rPr>
            </w:pPr>
            <w:r w:rsidRPr="00FE5D8A">
              <w:rPr>
                <w:sz w:val="18"/>
                <w:szCs w:val="18"/>
                <w:lang w:val="en-GB"/>
              </w:rPr>
              <w:t>22</w:t>
            </w:r>
          </w:p>
        </w:tc>
        <w:tc>
          <w:tcPr>
            <w:tcW w:w="1418" w:type="dxa"/>
            <w:hideMark/>
          </w:tcPr>
          <w:p w14:paraId="36A95EF9" w14:textId="77777777" w:rsidR="00124ACE" w:rsidRPr="00FE5D8A" w:rsidRDefault="00124ACE" w:rsidP="00926E27">
            <w:pPr>
              <w:pStyle w:val="NormalWeb"/>
              <w:rPr>
                <w:sz w:val="18"/>
                <w:szCs w:val="18"/>
                <w:lang w:val="en-GB"/>
              </w:rPr>
            </w:pPr>
            <w:r w:rsidRPr="00FE5D8A">
              <w:rPr>
                <w:sz w:val="18"/>
                <w:szCs w:val="18"/>
                <w:lang w:val="en-GB"/>
              </w:rPr>
              <w:t>14</w:t>
            </w:r>
          </w:p>
        </w:tc>
        <w:tc>
          <w:tcPr>
            <w:tcW w:w="942" w:type="dxa"/>
            <w:hideMark/>
          </w:tcPr>
          <w:p w14:paraId="1AAD3A32" w14:textId="77777777" w:rsidR="00124ACE" w:rsidRPr="00FE5D8A" w:rsidRDefault="00124ACE" w:rsidP="00926E27">
            <w:pPr>
              <w:pStyle w:val="NormalWeb"/>
              <w:rPr>
                <w:sz w:val="18"/>
                <w:szCs w:val="18"/>
                <w:lang w:val="en-GB"/>
              </w:rPr>
            </w:pPr>
            <w:r w:rsidRPr="00FE5D8A">
              <w:rPr>
                <w:sz w:val="18"/>
                <w:szCs w:val="18"/>
                <w:lang w:val="en-GB"/>
              </w:rPr>
              <w:t>11</w:t>
            </w:r>
          </w:p>
        </w:tc>
      </w:tr>
      <w:tr w:rsidR="00124ACE" w:rsidRPr="00FE5D8A" w14:paraId="350945D1" w14:textId="77777777" w:rsidTr="00124ACE">
        <w:tc>
          <w:tcPr>
            <w:tcW w:w="3402" w:type="dxa"/>
            <w:hideMark/>
          </w:tcPr>
          <w:p w14:paraId="0DC0AECE" w14:textId="77777777" w:rsidR="00124ACE" w:rsidRPr="00FE5D8A" w:rsidRDefault="00124ACE" w:rsidP="00926E27">
            <w:pPr>
              <w:pStyle w:val="NormalWeb"/>
              <w:jc w:val="left"/>
              <w:rPr>
                <w:sz w:val="18"/>
                <w:szCs w:val="18"/>
                <w:lang w:val="en-GB"/>
              </w:rPr>
            </w:pPr>
            <w:r w:rsidRPr="00FE5D8A">
              <w:rPr>
                <w:sz w:val="18"/>
                <w:szCs w:val="18"/>
                <w:lang w:val="en-GB"/>
              </w:rPr>
              <w:t>Missing</w:t>
            </w:r>
          </w:p>
        </w:tc>
        <w:tc>
          <w:tcPr>
            <w:tcW w:w="1418" w:type="dxa"/>
            <w:hideMark/>
          </w:tcPr>
          <w:p w14:paraId="33FEC146" w14:textId="77777777" w:rsidR="00124ACE" w:rsidRPr="00FE5D8A" w:rsidRDefault="00124ACE" w:rsidP="00926E27">
            <w:pPr>
              <w:pStyle w:val="NormalWeb"/>
              <w:rPr>
                <w:sz w:val="18"/>
                <w:szCs w:val="18"/>
                <w:lang w:val="en-GB"/>
              </w:rPr>
            </w:pPr>
            <w:r w:rsidRPr="00FE5D8A">
              <w:rPr>
                <w:sz w:val="18"/>
                <w:szCs w:val="18"/>
                <w:lang w:val="en-GB"/>
              </w:rPr>
              <w:t>12</w:t>
            </w:r>
          </w:p>
        </w:tc>
        <w:tc>
          <w:tcPr>
            <w:tcW w:w="850" w:type="dxa"/>
            <w:hideMark/>
          </w:tcPr>
          <w:p w14:paraId="4F4959E5" w14:textId="77777777" w:rsidR="00124ACE" w:rsidRPr="00FE5D8A" w:rsidRDefault="00124ACE" w:rsidP="00926E27">
            <w:pPr>
              <w:pStyle w:val="NormalWeb"/>
              <w:rPr>
                <w:sz w:val="18"/>
                <w:szCs w:val="18"/>
                <w:lang w:val="en-GB"/>
              </w:rPr>
            </w:pPr>
            <w:r w:rsidRPr="00FE5D8A">
              <w:rPr>
                <w:sz w:val="18"/>
                <w:szCs w:val="18"/>
                <w:lang w:val="en-GB"/>
              </w:rPr>
              <w:t>4</w:t>
            </w:r>
          </w:p>
        </w:tc>
        <w:tc>
          <w:tcPr>
            <w:tcW w:w="1418" w:type="dxa"/>
            <w:hideMark/>
          </w:tcPr>
          <w:p w14:paraId="4C0A7A43" w14:textId="77777777" w:rsidR="00124ACE" w:rsidRPr="00FE5D8A" w:rsidRDefault="00124ACE" w:rsidP="00926E27">
            <w:pPr>
              <w:pStyle w:val="NormalWeb"/>
              <w:rPr>
                <w:sz w:val="18"/>
                <w:szCs w:val="18"/>
                <w:lang w:val="en-GB"/>
              </w:rPr>
            </w:pPr>
            <w:r w:rsidRPr="00FE5D8A">
              <w:rPr>
                <w:sz w:val="18"/>
                <w:szCs w:val="18"/>
                <w:lang w:val="en-GB"/>
              </w:rPr>
              <w:t>3</w:t>
            </w:r>
          </w:p>
        </w:tc>
        <w:tc>
          <w:tcPr>
            <w:tcW w:w="992" w:type="dxa"/>
            <w:hideMark/>
          </w:tcPr>
          <w:p w14:paraId="49012E89" w14:textId="77777777" w:rsidR="00124ACE" w:rsidRPr="00FE5D8A" w:rsidRDefault="00124ACE" w:rsidP="00926E27">
            <w:pPr>
              <w:pStyle w:val="NormalWeb"/>
              <w:rPr>
                <w:sz w:val="18"/>
                <w:szCs w:val="18"/>
                <w:lang w:val="en-GB"/>
              </w:rPr>
            </w:pPr>
            <w:r w:rsidRPr="00FE5D8A">
              <w:rPr>
                <w:sz w:val="18"/>
                <w:szCs w:val="18"/>
                <w:lang w:val="en-GB"/>
              </w:rPr>
              <w:t>2</w:t>
            </w:r>
          </w:p>
        </w:tc>
        <w:tc>
          <w:tcPr>
            <w:tcW w:w="1418" w:type="dxa"/>
            <w:hideMark/>
          </w:tcPr>
          <w:p w14:paraId="4D632193" w14:textId="77777777" w:rsidR="00124ACE" w:rsidRPr="00FE5D8A" w:rsidRDefault="00124ACE" w:rsidP="00926E27">
            <w:pPr>
              <w:pStyle w:val="NormalWeb"/>
              <w:rPr>
                <w:sz w:val="18"/>
                <w:szCs w:val="18"/>
                <w:lang w:val="en-GB"/>
              </w:rPr>
            </w:pPr>
            <w:r w:rsidRPr="00FE5D8A">
              <w:rPr>
                <w:sz w:val="18"/>
                <w:szCs w:val="18"/>
                <w:lang w:val="en-GB"/>
              </w:rPr>
              <w:t>9</w:t>
            </w:r>
          </w:p>
        </w:tc>
        <w:tc>
          <w:tcPr>
            <w:tcW w:w="942" w:type="dxa"/>
            <w:hideMark/>
          </w:tcPr>
          <w:p w14:paraId="6F0BDC24" w14:textId="77777777" w:rsidR="00124ACE" w:rsidRPr="00FE5D8A" w:rsidRDefault="00124ACE" w:rsidP="00926E27">
            <w:pPr>
              <w:pStyle w:val="NormalWeb"/>
              <w:rPr>
                <w:sz w:val="18"/>
                <w:szCs w:val="18"/>
                <w:lang w:val="en-GB"/>
              </w:rPr>
            </w:pPr>
            <w:r w:rsidRPr="00FE5D8A">
              <w:rPr>
                <w:sz w:val="18"/>
                <w:szCs w:val="18"/>
                <w:lang w:val="en-GB"/>
              </w:rPr>
              <w:t>7</w:t>
            </w:r>
          </w:p>
        </w:tc>
      </w:tr>
      <w:tr w:rsidR="00124ACE" w:rsidRPr="005A6769" w14:paraId="7FCFFCDF" w14:textId="77777777" w:rsidTr="00124ACE">
        <w:trPr>
          <w:cnfStyle w:val="000000010000" w:firstRow="0" w:lastRow="0" w:firstColumn="0" w:lastColumn="0" w:oddVBand="0" w:evenVBand="0" w:oddHBand="0" w:evenHBand="1" w:firstRowFirstColumn="0" w:firstRowLastColumn="0" w:lastRowFirstColumn="0" w:lastRowLastColumn="0"/>
        </w:trPr>
        <w:tc>
          <w:tcPr>
            <w:tcW w:w="10440" w:type="dxa"/>
            <w:gridSpan w:val="7"/>
            <w:shd w:val="clear" w:color="auto" w:fill="BBA991"/>
            <w:hideMark/>
          </w:tcPr>
          <w:p w14:paraId="3FC83CC4" w14:textId="77777777" w:rsidR="00124ACE" w:rsidRPr="005A6769" w:rsidRDefault="00124ACE" w:rsidP="00926E27">
            <w:pPr>
              <w:pStyle w:val="NormalWeb"/>
              <w:jc w:val="left"/>
              <w:rPr>
                <w:b/>
                <w:bCs/>
                <w:sz w:val="18"/>
                <w:szCs w:val="18"/>
                <w:lang w:val="en-GB"/>
              </w:rPr>
            </w:pPr>
            <w:r w:rsidRPr="005A6769">
              <w:rPr>
                <w:b/>
                <w:bCs/>
                <w:sz w:val="18"/>
                <w:szCs w:val="18"/>
                <w:lang w:val="en-GB"/>
              </w:rPr>
              <w:t>Outbreak case status</w:t>
            </w:r>
          </w:p>
        </w:tc>
      </w:tr>
      <w:tr w:rsidR="00124ACE" w:rsidRPr="00FE5D8A" w14:paraId="6205F450" w14:textId="77777777" w:rsidTr="00124ACE">
        <w:tc>
          <w:tcPr>
            <w:tcW w:w="3402" w:type="dxa"/>
            <w:hideMark/>
          </w:tcPr>
          <w:p w14:paraId="6924F6C3" w14:textId="77777777" w:rsidR="00124ACE" w:rsidRPr="00FE5D8A" w:rsidRDefault="00124ACE" w:rsidP="00926E27">
            <w:pPr>
              <w:pStyle w:val="NormalWeb"/>
              <w:jc w:val="left"/>
              <w:rPr>
                <w:sz w:val="18"/>
                <w:szCs w:val="18"/>
                <w:lang w:val="en-GB"/>
              </w:rPr>
            </w:pPr>
            <w:r w:rsidRPr="00FE5D8A">
              <w:rPr>
                <w:sz w:val="18"/>
                <w:szCs w:val="18"/>
                <w:lang w:val="en-GB"/>
              </w:rPr>
              <w:t>Outbreak case</w:t>
            </w:r>
          </w:p>
        </w:tc>
        <w:tc>
          <w:tcPr>
            <w:tcW w:w="1418" w:type="dxa"/>
            <w:hideMark/>
          </w:tcPr>
          <w:p w14:paraId="4A1B8B81" w14:textId="77777777" w:rsidR="00124ACE" w:rsidRPr="00FE5D8A" w:rsidRDefault="00124ACE" w:rsidP="00926E27">
            <w:pPr>
              <w:pStyle w:val="NormalWeb"/>
              <w:rPr>
                <w:sz w:val="18"/>
                <w:szCs w:val="18"/>
                <w:lang w:val="en-GB"/>
              </w:rPr>
            </w:pPr>
            <w:r w:rsidRPr="00FE5D8A">
              <w:rPr>
                <w:sz w:val="18"/>
                <w:szCs w:val="18"/>
                <w:lang w:val="en-GB"/>
              </w:rPr>
              <w:t>44</w:t>
            </w:r>
          </w:p>
        </w:tc>
        <w:tc>
          <w:tcPr>
            <w:tcW w:w="850" w:type="dxa"/>
            <w:hideMark/>
          </w:tcPr>
          <w:p w14:paraId="1DC3A696" w14:textId="77777777" w:rsidR="00124ACE" w:rsidRPr="00FE5D8A" w:rsidRDefault="00124ACE" w:rsidP="00926E27">
            <w:pPr>
              <w:pStyle w:val="NormalWeb"/>
              <w:rPr>
                <w:sz w:val="18"/>
                <w:szCs w:val="18"/>
                <w:lang w:val="en-GB"/>
              </w:rPr>
            </w:pPr>
            <w:r w:rsidRPr="00FE5D8A">
              <w:rPr>
                <w:sz w:val="18"/>
                <w:szCs w:val="18"/>
                <w:lang w:val="en-GB"/>
              </w:rPr>
              <w:t>17</w:t>
            </w:r>
          </w:p>
        </w:tc>
        <w:tc>
          <w:tcPr>
            <w:tcW w:w="1418" w:type="dxa"/>
            <w:hideMark/>
          </w:tcPr>
          <w:p w14:paraId="75DA9058" w14:textId="77777777" w:rsidR="00124ACE" w:rsidRPr="00FE5D8A" w:rsidRDefault="00124ACE" w:rsidP="00926E27">
            <w:pPr>
              <w:pStyle w:val="NormalWeb"/>
              <w:rPr>
                <w:sz w:val="18"/>
                <w:szCs w:val="18"/>
                <w:lang w:val="en-GB"/>
              </w:rPr>
            </w:pPr>
            <w:r w:rsidRPr="00FE5D8A">
              <w:rPr>
                <w:sz w:val="18"/>
                <w:szCs w:val="18"/>
                <w:lang w:val="en-GB"/>
              </w:rPr>
              <w:t>34</w:t>
            </w:r>
          </w:p>
        </w:tc>
        <w:tc>
          <w:tcPr>
            <w:tcW w:w="992" w:type="dxa"/>
            <w:hideMark/>
          </w:tcPr>
          <w:p w14:paraId="5CE08796" w14:textId="77777777" w:rsidR="00124ACE" w:rsidRPr="00FE5D8A" w:rsidRDefault="00124ACE" w:rsidP="00926E27">
            <w:pPr>
              <w:pStyle w:val="NormalWeb"/>
              <w:rPr>
                <w:sz w:val="18"/>
                <w:szCs w:val="18"/>
                <w:lang w:val="en-GB"/>
              </w:rPr>
            </w:pPr>
            <w:r w:rsidRPr="00FE5D8A">
              <w:rPr>
                <w:sz w:val="18"/>
                <w:szCs w:val="18"/>
                <w:lang w:val="en-GB"/>
              </w:rPr>
              <w:t>27</w:t>
            </w:r>
          </w:p>
        </w:tc>
        <w:tc>
          <w:tcPr>
            <w:tcW w:w="1418" w:type="dxa"/>
            <w:hideMark/>
          </w:tcPr>
          <w:p w14:paraId="2CBE7D01" w14:textId="77777777" w:rsidR="00124ACE" w:rsidRPr="00FE5D8A" w:rsidRDefault="00124ACE" w:rsidP="00926E27">
            <w:pPr>
              <w:pStyle w:val="NormalWeb"/>
              <w:rPr>
                <w:sz w:val="18"/>
                <w:szCs w:val="18"/>
                <w:lang w:val="en-GB"/>
              </w:rPr>
            </w:pPr>
            <w:r w:rsidRPr="00FE5D8A">
              <w:rPr>
                <w:sz w:val="18"/>
                <w:szCs w:val="18"/>
                <w:lang w:val="en-GB"/>
              </w:rPr>
              <w:t>10</w:t>
            </w:r>
          </w:p>
        </w:tc>
        <w:tc>
          <w:tcPr>
            <w:tcW w:w="942" w:type="dxa"/>
            <w:hideMark/>
          </w:tcPr>
          <w:p w14:paraId="22CE5E57" w14:textId="77777777" w:rsidR="00124ACE" w:rsidRPr="00FE5D8A" w:rsidRDefault="00124ACE" w:rsidP="00926E27">
            <w:pPr>
              <w:pStyle w:val="NormalWeb"/>
              <w:rPr>
                <w:sz w:val="18"/>
                <w:szCs w:val="18"/>
                <w:lang w:val="en-GB"/>
              </w:rPr>
            </w:pPr>
            <w:r w:rsidRPr="00FE5D8A">
              <w:rPr>
                <w:sz w:val="18"/>
                <w:szCs w:val="18"/>
                <w:lang w:val="en-GB"/>
              </w:rPr>
              <w:t>8</w:t>
            </w:r>
          </w:p>
        </w:tc>
      </w:tr>
      <w:tr w:rsidR="00124ACE" w:rsidRPr="00FE5D8A" w14:paraId="6F681255" w14:textId="77777777" w:rsidTr="00124ACE">
        <w:trPr>
          <w:cnfStyle w:val="000000010000" w:firstRow="0" w:lastRow="0" w:firstColumn="0" w:lastColumn="0" w:oddVBand="0" w:evenVBand="0" w:oddHBand="0" w:evenHBand="1" w:firstRowFirstColumn="0" w:firstRowLastColumn="0" w:lastRowFirstColumn="0" w:lastRowLastColumn="0"/>
        </w:trPr>
        <w:tc>
          <w:tcPr>
            <w:tcW w:w="3402" w:type="dxa"/>
            <w:hideMark/>
          </w:tcPr>
          <w:p w14:paraId="197A908F" w14:textId="77777777" w:rsidR="00124ACE" w:rsidRPr="00FE5D8A" w:rsidRDefault="00124ACE" w:rsidP="00926E27">
            <w:pPr>
              <w:pStyle w:val="NormalWeb"/>
              <w:jc w:val="left"/>
              <w:rPr>
                <w:sz w:val="18"/>
                <w:szCs w:val="18"/>
                <w:lang w:val="en-GB"/>
              </w:rPr>
            </w:pPr>
            <w:r w:rsidRPr="00FE5D8A">
              <w:rPr>
                <w:sz w:val="18"/>
                <w:szCs w:val="18"/>
                <w:lang w:val="en-GB"/>
              </w:rPr>
              <w:t>Outbreak non-case</w:t>
            </w:r>
          </w:p>
        </w:tc>
        <w:tc>
          <w:tcPr>
            <w:tcW w:w="1418" w:type="dxa"/>
            <w:hideMark/>
          </w:tcPr>
          <w:p w14:paraId="0E087C38" w14:textId="77777777" w:rsidR="00124ACE" w:rsidRPr="00FE5D8A" w:rsidRDefault="00124ACE" w:rsidP="00926E27">
            <w:pPr>
              <w:pStyle w:val="NormalWeb"/>
              <w:rPr>
                <w:sz w:val="18"/>
                <w:szCs w:val="18"/>
                <w:lang w:val="en-GB"/>
              </w:rPr>
            </w:pPr>
            <w:r w:rsidRPr="00FE5D8A">
              <w:rPr>
                <w:sz w:val="18"/>
                <w:szCs w:val="18"/>
                <w:lang w:val="en-GB"/>
              </w:rPr>
              <w:t>217</w:t>
            </w:r>
          </w:p>
        </w:tc>
        <w:tc>
          <w:tcPr>
            <w:tcW w:w="850" w:type="dxa"/>
            <w:hideMark/>
          </w:tcPr>
          <w:p w14:paraId="769221A5" w14:textId="77777777" w:rsidR="00124ACE" w:rsidRPr="00FE5D8A" w:rsidRDefault="00124ACE" w:rsidP="00926E27">
            <w:pPr>
              <w:pStyle w:val="NormalWeb"/>
              <w:rPr>
                <w:sz w:val="18"/>
                <w:szCs w:val="18"/>
                <w:lang w:val="en-GB"/>
              </w:rPr>
            </w:pPr>
            <w:r w:rsidRPr="00FE5D8A">
              <w:rPr>
                <w:sz w:val="18"/>
                <w:szCs w:val="18"/>
                <w:lang w:val="en-GB"/>
              </w:rPr>
              <w:t>83</w:t>
            </w:r>
          </w:p>
        </w:tc>
        <w:tc>
          <w:tcPr>
            <w:tcW w:w="1418" w:type="dxa"/>
            <w:hideMark/>
          </w:tcPr>
          <w:p w14:paraId="5F21A4B6" w14:textId="77777777" w:rsidR="00124ACE" w:rsidRPr="00FE5D8A" w:rsidRDefault="00124ACE" w:rsidP="00926E27">
            <w:pPr>
              <w:pStyle w:val="NormalWeb"/>
              <w:rPr>
                <w:sz w:val="18"/>
                <w:szCs w:val="18"/>
                <w:lang w:val="en-GB"/>
              </w:rPr>
            </w:pPr>
            <w:r w:rsidRPr="00FE5D8A">
              <w:rPr>
                <w:sz w:val="18"/>
                <w:szCs w:val="18"/>
                <w:lang w:val="en-GB"/>
              </w:rPr>
              <w:t>95</w:t>
            </w:r>
          </w:p>
        </w:tc>
        <w:tc>
          <w:tcPr>
            <w:tcW w:w="992" w:type="dxa"/>
            <w:hideMark/>
          </w:tcPr>
          <w:p w14:paraId="28B8B801" w14:textId="77777777" w:rsidR="00124ACE" w:rsidRPr="00FE5D8A" w:rsidRDefault="00124ACE" w:rsidP="00926E27">
            <w:pPr>
              <w:pStyle w:val="NormalWeb"/>
              <w:rPr>
                <w:sz w:val="18"/>
                <w:szCs w:val="18"/>
                <w:lang w:val="en-GB"/>
              </w:rPr>
            </w:pPr>
            <w:r w:rsidRPr="00FE5D8A">
              <w:rPr>
                <w:sz w:val="18"/>
                <w:szCs w:val="18"/>
                <w:lang w:val="en-GB"/>
              </w:rPr>
              <w:t>73</w:t>
            </w:r>
          </w:p>
        </w:tc>
        <w:tc>
          <w:tcPr>
            <w:tcW w:w="1418" w:type="dxa"/>
            <w:hideMark/>
          </w:tcPr>
          <w:p w14:paraId="5177C8B1" w14:textId="77777777" w:rsidR="00124ACE" w:rsidRPr="00FE5D8A" w:rsidRDefault="00124ACE" w:rsidP="00926E27">
            <w:pPr>
              <w:pStyle w:val="NormalWeb"/>
              <w:rPr>
                <w:sz w:val="18"/>
                <w:szCs w:val="18"/>
                <w:lang w:val="en-GB"/>
              </w:rPr>
            </w:pPr>
            <w:r w:rsidRPr="00FE5D8A">
              <w:rPr>
                <w:sz w:val="18"/>
                <w:szCs w:val="18"/>
                <w:lang w:val="en-GB"/>
              </w:rPr>
              <w:t>122</w:t>
            </w:r>
          </w:p>
        </w:tc>
        <w:tc>
          <w:tcPr>
            <w:tcW w:w="942" w:type="dxa"/>
            <w:hideMark/>
          </w:tcPr>
          <w:p w14:paraId="7B5B0F54" w14:textId="77777777" w:rsidR="00124ACE" w:rsidRPr="00FE5D8A" w:rsidRDefault="00124ACE" w:rsidP="00926E27">
            <w:pPr>
              <w:pStyle w:val="NormalWeb"/>
              <w:rPr>
                <w:sz w:val="18"/>
                <w:szCs w:val="18"/>
                <w:lang w:val="en-GB"/>
              </w:rPr>
            </w:pPr>
            <w:r w:rsidRPr="00FE5D8A">
              <w:rPr>
                <w:sz w:val="18"/>
                <w:szCs w:val="18"/>
                <w:lang w:val="en-GB"/>
              </w:rPr>
              <w:t>92</w:t>
            </w:r>
          </w:p>
        </w:tc>
      </w:tr>
    </w:tbl>
    <w:p w14:paraId="73C0EE6C" w14:textId="7FA05795" w:rsidR="002033AF" w:rsidRPr="00124ACE" w:rsidRDefault="00124ACE" w:rsidP="00124ACE">
      <w:pPr>
        <w:pStyle w:val="CDIfootnotes"/>
        <w:rPr>
          <w:lang w:val="en-GB"/>
        </w:rPr>
      </w:pPr>
      <w:r>
        <w:rPr>
          <w:lang w:val="en-GB"/>
        </w:rPr>
        <w:t>a</w:t>
      </w:r>
      <w:r>
        <w:rPr>
          <w:lang w:val="en-GB"/>
        </w:rPr>
        <w:tab/>
        <w:t>Nurse/midwife occupation includes registered nurse, registered midwife, enrolled nurse, assistant in nursing. Allied health occupation includes dietician/nutritionist, radiographer, occupational therapist, physiotherapist, psychologist, podiatrist, social work, speech pathologist. Other occupation includes phlebotomist, laboratory staff, students.</w:t>
      </w:r>
    </w:p>
    <w:p w14:paraId="27E0872B" w14:textId="77777777" w:rsidR="002033AF" w:rsidRPr="002D24BB" w:rsidRDefault="002033AF" w:rsidP="002D24BB">
      <w:pPr>
        <w:pStyle w:val="Heading1"/>
      </w:pPr>
      <w:r w:rsidRPr="002D24BB">
        <w:lastRenderedPageBreak/>
        <w:t xml:space="preserve">Serology results </w:t>
      </w:r>
    </w:p>
    <w:p w14:paraId="6BAE5123" w14:textId="77777777" w:rsidR="002033AF" w:rsidRPr="002D24BB" w:rsidRDefault="002033AF" w:rsidP="002D24BB">
      <w:pPr>
        <w:pStyle w:val="Heading2"/>
      </w:pPr>
      <w:r w:rsidRPr="002D24BB">
        <w:t xml:space="preserve">Round one </w:t>
      </w:r>
    </w:p>
    <w:p w14:paraId="196BA7B9" w14:textId="77777777" w:rsidR="002033AF" w:rsidRDefault="002033AF" w:rsidP="002D24BB">
      <w:r>
        <w:t xml:space="preserve">The mean time between the outbreak period and round one specimen collection was 83 days (range: 72–111 days). The prevalence of positive antibodies in this population of HCWs at round one testing was 14.6% (38/261); this increased to a prevalence of detectable antibodies of 19.9% if equivocal results </w:t>
      </w:r>
      <w:proofErr w:type="gramStart"/>
      <w:r>
        <w:t>were included</w:t>
      </w:r>
      <w:proofErr w:type="gramEnd"/>
      <w:r>
        <w:t xml:space="preserve"> (52/261). Of the 38 HCWs with positive antibodies at round one, 76% were nurses, midwives, or medical doctors. When the equivocal results </w:t>
      </w:r>
      <w:proofErr w:type="gramStart"/>
      <w:r>
        <w:t>were included</w:t>
      </w:r>
      <w:proofErr w:type="gramEnd"/>
      <w:r>
        <w:t xml:space="preserve">, this proportion decreased to 72% of 52 HCWs. </w:t>
      </w:r>
    </w:p>
    <w:p w14:paraId="520E2F5C" w14:textId="77777777" w:rsidR="002033AF" w:rsidRDefault="002033AF" w:rsidP="002D24BB">
      <w:r>
        <w:t xml:space="preserve">Of the </w:t>
      </w:r>
      <w:proofErr w:type="gramStart"/>
      <w:r>
        <w:t>44</w:t>
      </w:r>
      <w:proofErr w:type="gramEnd"/>
      <w:r>
        <w:t xml:space="preserve"> outbreak cases, 32 (72.7%) were seropositive; ten (22.7%) had equivocal serology results; and two (4.5%) were seronegative in the first round of serology testing. </w:t>
      </w:r>
    </w:p>
    <w:p w14:paraId="053BBD62" w14:textId="36BC5BB5" w:rsidR="002033AF" w:rsidRDefault="002033AF" w:rsidP="002D24BB">
      <w:r>
        <w:t xml:space="preserve">Of the 217 outbreak non-cases, six (2.8%) were seropositive; four (1.8%) had equivocal serology results; and 207 (95.4%) were seronegative. (Table 2). </w:t>
      </w:r>
    </w:p>
    <w:p w14:paraId="53221E60" w14:textId="77777777" w:rsidR="007B47B2" w:rsidRDefault="007B47B2" w:rsidP="007B47B2">
      <w:pPr>
        <w:pStyle w:val="CDIFigures"/>
        <w:rPr>
          <w:lang w:val="en-GB"/>
        </w:rPr>
      </w:pPr>
      <w:r>
        <w:rPr>
          <w:lang w:val="en-GB"/>
        </w:rPr>
        <w:t xml:space="preserve">Table 2: Serology results by outbreak status in round one and two, </w:t>
      </w:r>
      <w:proofErr w:type="gramStart"/>
      <w:r>
        <w:rPr>
          <w:lang w:val="en-GB"/>
        </w:rPr>
        <w:t>North West</w:t>
      </w:r>
      <w:proofErr w:type="gramEnd"/>
      <w:r>
        <w:rPr>
          <w:lang w:val="en-GB"/>
        </w:rPr>
        <w:t xml:space="preserve"> Tasmania, 2020</w:t>
      </w:r>
    </w:p>
    <w:tbl>
      <w:tblPr>
        <w:tblStyle w:val="CDI-StandardTable"/>
        <w:tblW w:w="0" w:type="auto"/>
        <w:tblLook w:val="04A0" w:firstRow="1" w:lastRow="0" w:firstColumn="1" w:lastColumn="0" w:noHBand="0" w:noVBand="1"/>
        <w:tblDescription w:val="Table 2 presents the results of the serology testing (positive, negative and equivocal) in rounds one and two for both outbreak cases and outbreak non-cases. The mean and range of days between the outbreak and each round is also presented. &#10;"/>
      </w:tblPr>
      <w:tblGrid>
        <w:gridCol w:w="3261"/>
        <w:gridCol w:w="708"/>
        <w:gridCol w:w="1130"/>
        <w:gridCol w:w="1130"/>
        <w:gridCol w:w="1131"/>
        <w:gridCol w:w="3106"/>
      </w:tblGrid>
      <w:tr w:rsidR="007B47B2" w:rsidRPr="00BF5D68" w14:paraId="59AD7814" w14:textId="77777777" w:rsidTr="007B47B2">
        <w:trPr>
          <w:cnfStyle w:val="100000000000" w:firstRow="1" w:lastRow="0" w:firstColumn="0" w:lastColumn="0" w:oddVBand="0" w:evenVBand="0" w:oddHBand="0" w:evenHBand="0" w:firstRowFirstColumn="0" w:firstRowLastColumn="0" w:lastRowFirstColumn="0" w:lastRowLastColumn="0"/>
          <w:tblHeader/>
        </w:trPr>
        <w:tc>
          <w:tcPr>
            <w:tcW w:w="10466" w:type="dxa"/>
            <w:gridSpan w:val="6"/>
            <w:shd w:val="clear" w:color="auto" w:fill="BBA991"/>
            <w:hideMark/>
          </w:tcPr>
          <w:p w14:paraId="5EF4354B" w14:textId="77777777" w:rsidR="007B47B2" w:rsidRPr="00BF5D68" w:rsidRDefault="007B47B2" w:rsidP="00926E27">
            <w:pPr>
              <w:pStyle w:val="NormalWeb"/>
              <w:rPr>
                <w:color w:val="auto"/>
                <w:sz w:val="18"/>
                <w:szCs w:val="18"/>
                <w:lang w:val="en-GB"/>
              </w:rPr>
            </w:pPr>
            <w:r w:rsidRPr="00BF5D68">
              <w:rPr>
                <w:color w:val="auto"/>
                <w:sz w:val="18"/>
                <w:szCs w:val="18"/>
                <w:lang w:val="en-GB"/>
              </w:rPr>
              <w:t>Round one</w:t>
            </w:r>
          </w:p>
        </w:tc>
      </w:tr>
      <w:tr w:rsidR="007B47B2" w:rsidRPr="00BF5D68" w14:paraId="670C426C" w14:textId="77777777" w:rsidTr="007B47B2">
        <w:trPr>
          <w:cnfStyle w:val="100000000000" w:firstRow="1" w:lastRow="0" w:firstColumn="0" w:lastColumn="0" w:oddVBand="0" w:evenVBand="0" w:oddHBand="0" w:evenHBand="0" w:firstRowFirstColumn="0" w:firstRowLastColumn="0" w:lastRowFirstColumn="0" w:lastRowLastColumn="0"/>
          <w:tblHeader/>
        </w:trPr>
        <w:tc>
          <w:tcPr>
            <w:tcW w:w="3261" w:type="dxa"/>
            <w:vMerge w:val="restart"/>
            <w:hideMark/>
          </w:tcPr>
          <w:p w14:paraId="6EE47E70" w14:textId="77777777" w:rsidR="007B47B2" w:rsidRPr="00BF5D68" w:rsidRDefault="007B47B2" w:rsidP="00926E27">
            <w:pPr>
              <w:pStyle w:val="NormalWeb"/>
              <w:rPr>
                <w:sz w:val="18"/>
                <w:szCs w:val="18"/>
                <w:lang w:val="en-GB"/>
              </w:rPr>
            </w:pPr>
            <w:r w:rsidRPr="00BF5D68">
              <w:rPr>
                <w:sz w:val="18"/>
                <w:szCs w:val="18"/>
                <w:lang w:val="en-GB"/>
              </w:rPr>
              <w:t>Outbreak case status</w:t>
            </w:r>
          </w:p>
        </w:tc>
        <w:tc>
          <w:tcPr>
            <w:tcW w:w="708" w:type="dxa"/>
            <w:vMerge w:val="restart"/>
            <w:hideMark/>
          </w:tcPr>
          <w:p w14:paraId="4ED39376" w14:textId="77777777" w:rsidR="007B47B2" w:rsidRPr="00BF5D68" w:rsidRDefault="007B47B2" w:rsidP="00926E27">
            <w:pPr>
              <w:pStyle w:val="NormalWeb"/>
              <w:rPr>
                <w:sz w:val="18"/>
                <w:szCs w:val="18"/>
                <w:lang w:val="en-GB"/>
              </w:rPr>
            </w:pPr>
            <w:r w:rsidRPr="00BF5D68">
              <w:rPr>
                <w:sz w:val="18"/>
                <w:szCs w:val="18"/>
                <w:lang w:val="en-GB"/>
              </w:rPr>
              <w:t>Total</w:t>
            </w:r>
          </w:p>
        </w:tc>
        <w:tc>
          <w:tcPr>
            <w:tcW w:w="3391" w:type="dxa"/>
            <w:gridSpan w:val="3"/>
            <w:hideMark/>
          </w:tcPr>
          <w:p w14:paraId="25CCEA9D" w14:textId="77777777" w:rsidR="007B47B2" w:rsidRPr="00BF5D68" w:rsidRDefault="007B47B2" w:rsidP="00926E27">
            <w:pPr>
              <w:pStyle w:val="NormalWeb"/>
              <w:rPr>
                <w:sz w:val="18"/>
                <w:szCs w:val="18"/>
                <w:lang w:val="en-GB"/>
              </w:rPr>
            </w:pPr>
            <w:r w:rsidRPr="00BF5D68">
              <w:rPr>
                <w:sz w:val="18"/>
                <w:szCs w:val="18"/>
                <w:lang w:val="en-GB"/>
              </w:rPr>
              <w:t>Serology result</w:t>
            </w:r>
          </w:p>
        </w:tc>
        <w:tc>
          <w:tcPr>
            <w:tcW w:w="3106" w:type="dxa"/>
            <w:vMerge w:val="restart"/>
            <w:hideMark/>
          </w:tcPr>
          <w:p w14:paraId="41514D38" w14:textId="77777777" w:rsidR="007B47B2" w:rsidRPr="00BF5D68" w:rsidRDefault="007B47B2" w:rsidP="00926E27">
            <w:pPr>
              <w:pStyle w:val="NormalWeb"/>
              <w:rPr>
                <w:sz w:val="18"/>
                <w:szCs w:val="18"/>
                <w:lang w:val="en-GB"/>
              </w:rPr>
            </w:pPr>
            <w:r w:rsidRPr="00BF5D68">
              <w:rPr>
                <w:sz w:val="18"/>
                <w:szCs w:val="18"/>
                <w:lang w:val="en-GB"/>
              </w:rPr>
              <w:t xml:space="preserve">Mean (range) days between outbreak and round </w:t>
            </w:r>
            <w:proofErr w:type="spellStart"/>
            <w:r w:rsidRPr="00BF5D68">
              <w:rPr>
                <w:sz w:val="18"/>
                <w:szCs w:val="18"/>
                <w:lang w:val="en-GB"/>
              </w:rPr>
              <w:t>one</w:t>
            </w:r>
            <w:r w:rsidRPr="00BF5D68">
              <w:rPr>
                <w:sz w:val="18"/>
                <w:szCs w:val="18"/>
                <w:vertAlign w:val="superscript"/>
                <w:lang w:val="en-GB"/>
              </w:rPr>
              <w:t>a</w:t>
            </w:r>
            <w:proofErr w:type="spellEnd"/>
          </w:p>
        </w:tc>
      </w:tr>
      <w:tr w:rsidR="007B47B2" w:rsidRPr="00BF5D68" w14:paraId="36B5804D" w14:textId="77777777" w:rsidTr="007B47B2">
        <w:trPr>
          <w:cnfStyle w:val="100000000000" w:firstRow="1" w:lastRow="0" w:firstColumn="0" w:lastColumn="0" w:oddVBand="0" w:evenVBand="0" w:oddHBand="0" w:evenHBand="0" w:firstRowFirstColumn="0" w:firstRowLastColumn="0" w:lastRowFirstColumn="0" w:lastRowLastColumn="0"/>
          <w:tblHeader/>
        </w:trPr>
        <w:tc>
          <w:tcPr>
            <w:tcW w:w="3261" w:type="dxa"/>
            <w:vMerge/>
            <w:hideMark/>
          </w:tcPr>
          <w:p w14:paraId="5C5D0459" w14:textId="77777777" w:rsidR="007B47B2" w:rsidRPr="00BF5D68" w:rsidRDefault="007B47B2" w:rsidP="00926E27">
            <w:pPr>
              <w:rPr>
                <w:sz w:val="18"/>
                <w:szCs w:val="18"/>
                <w:lang w:val="en-GB"/>
              </w:rPr>
            </w:pPr>
          </w:p>
        </w:tc>
        <w:tc>
          <w:tcPr>
            <w:tcW w:w="708" w:type="dxa"/>
            <w:vMerge/>
            <w:hideMark/>
          </w:tcPr>
          <w:p w14:paraId="777C9F5F" w14:textId="77777777" w:rsidR="007B47B2" w:rsidRPr="00BF5D68" w:rsidRDefault="007B47B2" w:rsidP="00926E27">
            <w:pPr>
              <w:rPr>
                <w:sz w:val="18"/>
                <w:szCs w:val="18"/>
                <w:lang w:val="en-GB"/>
              </w:rPr>
            </w:pPr>
          </w:p>
        </w:tc>
        <w:tc>
          <w:tcPr>
            <w:tcW w:w="1130" w:type="dxa"/>
            <w:hideMark/>
          </w:tcPr>
          <w:p w14:paraId="02FB05F0" w14:textId="77777777" w:rsidR="007B47B2" w:rsidRPr="00BF5D68" w:rsidRDefault="007B47B2" w:rsidP="00926E27">
            <w:pPr>
              <w:pStyle w:val="NormalWeb"/>
              <w:rPr>
                <w:sz w:val="18"/>
                <w:szCs w:val="18"/>
                <w:lang w:val="en-GB"/>
              </w:rPr>
            </w:pPr>
            <w:r w:rsidRPr="00BF5D68">
              <w:rPr>
                <w:sz w:val="18"/>
                <w:szCs w:val="18"/>
                <w:lang w:val="en-GB"/>
              </w:rPr>
              <w:t>Positive</w:t>
            </w:r>
          </w:p>
        </w:tc>
        <w:tc>
          <w:tcPr>
            <w:tcW w:w="1130" w:type="dxa"/>
            <w:hideMark/>
          </w:tcPr>
          <w:p w14:paraId="731F7691" w14:textId="77777777" w:rsidR="007B47B2" w:rsidRPr="00BF5D68" w:rsidRDefault="007B47B2" w:rsidP="00926E27">
            <w:pPr>
              <w:pStyle w:val="NormalWeb"/>
              <w:rPr>
                <w:sz w:val="18"/>
                <w:szCs w:val="18"/>
                <w:lang w:val="en-GB"/>
              </w:rPr>
            </w:pPr>
            <w:r w:rsidRPr="00BF5D68">
              <w:rPr>
                <w:sz w:val="18"/>
                <w:szCs w:val="18"/>
                <w:lang w:val="en-GB"/>
              </w:rPr>
              <w:t>Equivocal</w:t>
            </w:r>
          </w:p>
        </w:tc>
        <w:tc>
          <w:tcPr>
            <w:tcW w:w="1131" w:type="dxa"/>
            <w:hideMark/>
          </w:tcPr>
          <w:p w14:paraId="1914833B" w14:textId="77777777" w:rsidR="007B47B2" w:rsidRPr="00BF5D68" w:rsidRDefault="007B47B2" w:rsidP="00926E27">
            <w:pPr>
              <w:pStyle w:val="NormalWeb"/>
              <w:rPr>
                <w:sz w:val="18"/>
                <w:szCs w:val="18"/>
                <w:lang w:val="en-GB"/>
              </w:rPr>
            </w:pPr>
            <w:r w:rsidRPr="00BF5D68">
              <w:rPr>
                <w:sz w:val="18"/>
                <w:szCs w:val="18"/>
                <w:lang w:val="en-GB"/>
              </w:rPr>
              <w:t>Negative</w:t>
            </w:r>
          </w:p>
        </w:tc>
        <w:tc>
          <w:tcPr>
            <w:tcW w:w="3106" w:type="dxa"/>
            <w:vMerge/>
            <w:hideMark/>
          </w:tcPr>
          <w:p w14:paraId="42FB1DDD" w14:textId="77777777" w:rsidR="007B47B2" w:rsidRPr="00BF5D68" w:rsidRDefault="007B47B2" w:rsidP="00926E27">
            <w:pPr>
              <w:rPr>
                <w:sz w:val="18"/>
                <w:szCs w:val="18"/>
                <w:lang w:val="en-GB"/>
              </w:rPr>
            </w:pPr>
          </w:p>
        </w:tc>
      </w:tr>
      <w:tr w:rsidR="007B47B2" w:rsidRPr="00BF5D68" w14:paraId="39CEB98C" w14:textId="77777777" w:rsidTr="007B47B2">
        <w:tc>
          <w:tcPr>
            <w:tcW w:w="3261" w:type="dxa"/>
            <w:shd w:val="clear" w:color="auto" w:fill="auto"/>
            <w:hideMark/>
          </w:tcPr>
          <w:p w14:paraId="6C07DBB8" w14:textId="77777777" w:rsidR="007B47B2" w:rsidRPr="00BF5D68" w:rsidRDefault="007B47B2" w:rsidP="00926E27">
            <w:pPr>
              <w:pStyle w:val="NormalWeb"/>
              <w:rPr>
                <w:sz w:val="18"/>
                <w:szCs w:val="18"/>
                <w:lang w:val="en-GB"/>
              </w:rPr>
            </w:pPr>
            <w:r w:rsidRPr="00BF5D68">
              <w:rPr>
                <w:sz w:val="18"/>
                <w:szCs w:val="18"/>
                <w:lang w:val="en-GB"/>
              </w:rPr>
              <w:t>Outbreak cases</w:t>
            </w:r>
          </w:p>
        </w:tc>
        <w:tc>
          <w:tcPr>
            <w:tcW w:w="708" w:type="dxa"/>
            <w:shd w:val="clear" w:color="auto" w:fill="auto"/>
            <w:hideMark/>
          </w:tcPr>
          <w:p w14:paraId="04850235" w14:textId="77777777" w:rsidR="007B47B2" w:rsidRPr="00BF5D68" w:rsidRDefault="007B47B2" w:rsidP="00926E27">
            <w:pPr>
              <w:pStyle w:val="NormalWeb"/>
              <w:rPr>
                <w:sz w:val="18"/>
                <w:szCs w:val="18"/>
                <w:lang w:val="en-GB"/>
              </w:rPr>
            </w:pPr>
            <w:r w:rsidRPr="00BF5D68">
              <w:rPr>
                <w:sz w:val="18"/>
                <w:szCs w:val="18"/>
                <w:lang w:val="en-GB"/>
              </w:rPr>
              <w:t>44</w:t>
            </w:r>
          </w:p>
        </w:tc>
        <w:tc>
          <w:tcPr>
            <w:tcW w:w="1130" w:type="dxa"/>
            <w:shd w:val="clear" w:color="auto" w:fill="auto"/>
            <w:hideMark/>
          </w:tcPr>
          <w:p w14:paraId="7DB24F24" w14:textId="77777777" w:rsidR="007B47B2" w:rsidRPr="00BF5D68" w:rsidRDefault="007B47B2" w:rsidP="00926E27">
            <w:pPr>
              <w:pStyle w:val="NormalWeb"/>
              <w:rPr>
                <w:sz w:val="18"/>
                <w:szCs w:val="18"/>
                <w:lang w:val="en-GB"/>
              </w:rPr>
            </w:pPr>
            <w:r w:rsidRPr="00BF5D68">
              <w:rPr>
                <w:sz w:val="18"/>
                <w:szCs w:val="18"/>
                <w:lang w:val="en-GB"/>
              </w:rPr>
              <w:t>32</w:t>
            </w:r>
          </w:p>
        </w:tc>
        <w:tc>
          <w:tcPr>
            <w:tcW w:w="1130" w:type="dxa"/>
            <w:shd w:val="clear" w:color="auto" w:fill="auto"/>
            <w:hideMark/>
          </w:tcPr>
          <w:p w14:paraId="3C931881" w14:textId="77777777" w:rsidR="007B47B2" w:rsidRPr="00BF5D68" w:rsidRDefault="007B47B2" w:rsidP="00926E27">
            <w:pPr>
              <w:pStyle w:val="NormalWeb"/>
              <w:rPr>
                <w:sz w:val="18"/>
                <w:szCs w:val="18"/>
                <w:lang w:val="en-GB"/>
              </w:rPr>
            </w:pPr>
            <w:r w:rsidRPr="00BF5D68">
              <w:rPr>
                <w:sz w:val="18"/>
                <w:szCs w:val="18"/>
                <w:lang w:val="en-GB"/>
              </w:rPr>
              <w:t>10</w:t>
            </w:r>
          </w:p>
        </w:tc>
        <w:tc>
          <w:tcPr>
            <w:tcW w:w="1131" w:type="dxa"/>
            <w:shd w:val="clear" w:color="auto" w:fill="auto"/>
            <w:hideMark/>
          </w:tcPr>
          <w:p w14:paraId="721FF396" w14:textId="77777777" w:rsidR="007B47B2" w:rsidRPr="00BF5D68" w:rsidRDefault="007B47B2" w:rsidP="00926E27">
            <w:pPr>
              <w:pStyle w:val="NormalWeb"/>
              <w:rPr>
                <w:sz w:val="18"/>
                <w:szCs w:val="18"/>
                <w:lang w:val="en-GB"/>
              </w:rPr>
            </w:pPr>
            <w:r w:rsidRPr="00BF5D68">
              <w:rPr>
                <w:sz w:val="18"/>
                <w:szCs w:val="18"/>
                <w:lang w:val="en-GB"/>
              </w:rPr>
              <w:t>2</w:t>
            </w:r>
          </w:p>
        </w:tc>
        <w:tc>
          <w:tcPr>
            <w:tcW w:w="3106" w:type="dxa"/>
            <w:shd w:val="clear" w:color="auto" w:fill="auto"/>
            <w:hideMark/>
          </w:tcPr>
          <w:p w14:paraId="4ED0C2D1" w14:textId="77777777" w:rsidR="007B47B2" w:rsidRPr="00BF5D68" w:rsidRDefault="007B47B2" w:rsidP="00926E27">
            <w:pPr>
              <w:pStyle w:val="NormalWeb"/>
              <w:rPr>
                <w:sz w:val="18"/>
                <w:szCs w:val="18"/>
                <w:lang w:val="en-GB"/>
              </w:rPr>
            </w:pPr>
            <w:r w:rsidRPr="00BF5D68">
              <w:rPr>
                <w:sz w:val="18"/>
                <w:szCs w:val="18"/>
                <w:lang w:val="en-GB"/>
              </w:rPr>
              <w:t>92 (74–109)</w:t>
            </w:r>
          </w:p>
        </w:tc>
      </w:tr>
      <w:tr w:rsidR="007B47B2" w:rsidRPr="00BF5D68" w14:paraId="49A6929E" w14:textId="77777777" w:rsidTr="007B47B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auto"/>
            <w:hideMark/>
          </w:tcPr>
          <w:p w14:paraId="4AB0FFBC" w14:textId="77777777" w:rsidR="007B47B2" w:rsidRPr="00BF5D68" w:rsidRDefault="007B47B2" w:rsidP="00926E27">
            <w:pPr>
              <w:pStyle w:val="NormalWeb"/>
              <w:rPr>
                <w:sz w:val="18"/>
                <w:szCs w:val="18"/>
                <w:lang w:val="en-GB"/>
              </w:rPr>
            </w:pPr>
            <w:r w:rsidRPr="00BF5D68">
              <w:rPr>
                <w:sz w:val="18"/>
                <w:szCs w:val="18"/>
                <w:lang w:val="en-GB"/>
              </w:rPr>
              <w:t>Outbreak non-cases</w:t>
            </w:r>
          </w:p>
        </w:tc>
        <w:tc>
          <w:tcPr>
            <w:tcW w:w="708" w:type="dxa"/>
            <w:shd w:val="clear" w:color="auto" w:fill="auto"/>
            <w:hideMark/>
          </w:tcPr>
          <w:p w14:paraId="034F9AE7" w14:textId="77777777" w:rsidR="007B47B2" w:rsidRPr="00BF5D68" w:rsidRDefault="007B47B2" w:rsidP="00926E27">
            <w:pPr>
              <w:pStyle w:val="NormalWeb"/>
              <w:rPr>
                <w:sz w:val="18"/>
                <w:szCs w:val="18"/>
                <w:lang w:val="en-GB"/>
              </w:rPr>
            </w:pPr>
            <w:r w:rsidRPr="00BF5D68">
              <w:rPr>
                <w:sz w:val="18"/>
                <w:szCs w:val="18"/>
                <w:lang w:val="en-GB"/>
              </w:rPr>
              <w:t>217</w:t>
            </w:r>
          </w:p>
        </w:tc>
        <w:tc>
          <w:tcPr>
            <w:tcW w:w="1130" w:type="dxa"/>
            <w:shd w:val="clear" w:color="auto" w:fill="auto"/>
            <w:hideMark/>
          </w:tcPr>
          <w:p w14:paraId="1FF64DF6" w14:textId="77777777" w:rsidR="007B47B2" w:rsidRPr="00BF5D68" w:rsidRDefault="007B47B2" w:rsidP="00926E27">
            <w:pPr>
              <w:pStyle w:val="NormalWeb"/>
              <w:rPr>
                <w:sz w:val="18"/>
                <w:szCs w:val="18"/>
                <w:lang w:val="en-GB"/>
              </w:rPr>
            </w:pPr>
            <w:r w:rsidRPr="00BF5D68">
              <w:rPr>
                <w:sz w:val="18"/>
                <w:szCs w:val="18"/>
                <w:lang w:val="en-GB"/>
              </w:rPr>
              <w:t>6</w:t>
            </w:r>
          </w:p>
        </w:tc>
        <w:tc>
          <w:tcPr>
            <w:tcW w:w="1130" w:type="dxa"/>
            <w:shd w:val="clear" w:color="auto" w:fill="auto"/>
            <w:hideMark/>
          </w:tcPr>
          <w:p w14:paraId="47199921" w14:textId="77777777" w:rsidR="007B47B2" w:rsidRPr="00BF5D68" w:rsidRDefault="007B47B2" w:rsidP="00926E27">
            <w:pPr>
              <w:pStyle w:val="NormalWeb"/>
              <w:rPr>
                <w:sz w:val="18"/>
                <w:szCs w:val="18"/>
                <w:lang w:val="en-GB"/>
              </w:rPr>
            </w:pPr>
            <w:r w:rsidRPr="00BF5D68">
              <w:rPr>
                <w:sz w:val="18"/>
                <w:szCs w:val="18"/>
                <w:lang w:val="en-GB"/>
              </w:rPr>
              <w:t>4</w:t>
            </w:r>
          </w:p>
        </w:tc>
        <w:tc>
          <w:tcPr>
            <w:tcW w:w="1131" w:type="dxa"/>
            <w:shd w:val="clear" w:color="auto" w:fill="auto"/>
            <w:hideMark/>
          </w:tcPr>
          <w:p w14:paraId="3C1471C3" w14:textId="77777777" w:rsidR="007B47B2" w:rsidRPr="00BF5D68" w:rsidRDefault="007B47B2" w:rsidP="00926E27">
            <w:pPr>
              <w:pStyle w:val="NormalWeb"/>
              <w:rPr>
                <w:sz w:val="18"/>
                <w:szCs w:val="18"/>
                <w:lang w:val="en-GB"/>
              </w:rPr>
            </w:pPr>
            <w:r w:rsidRPr="00BF5D68">
              <w:rPr>
                <w:sz w:val="18"/>
                <w:szCs w:val="18"/>
                <w:lang w:val="en-GB"/>
              </w:rPr>
              <w:t>207</w:t>
            </w:r>
          </w:p>
        </w:tc>
        <w:tc>
          <w:tcPr>
            <w:tcW w:w="3106" w:type="dxa"/>
            <w:shd w:val="clear" w:color="auto" w:fill="auto"/>
            <w:hideMark/>
          </w:tcPr>
          <w:p w14:paraId="775D1975" w14:textId="77777777" w:rsidR="007B47B2" w:rsidRPr="00BF5D68" w:rsidRDefault="007B47B2" w:rsidP="00926E27">
            <w:pPr>
              <w:pStyle w:val="NormalWeb"/>
              <w:rPr>
                <w:sz w:val="18"/>
                <w:szCs w:val="18"/>
                <w:lang w:val="en-GB"/>
              </w:rPr>
            </w:pPr>
            <w:r w:rsidRPr="00BF5D68">
              <w:rPr>
                <w:sz w:val="18"/>
                <w:szCs w:val="18"/>
                <w:lang w:val="en-GB"/>
              </w:rPr>
              <w:t>82 (72–111)</w:t>
            </w:r>
          </w:p>
        </w:tc>
      </w:tr>
      <w:tr w:rsidR="007B47B2" w:rsidRPr="00BF5D68" w14:paraId="3CCAD6CB" w14:textId="77777777" w:rsidTr="007B47B2">
        <w:tc>
          <w:tcPr>
            <w:tcW w:w="3261" w:type="dxa"/>
            <w:shd w:val="clear" w:color="auto" w:fill="F7ECDD"/>
            <w:hideMark/>
          </w:tcPr>
          <w:p w14:paraId="16538DA5" w14:textId="77777777" w:rsidR="007B47B2" w:rsidRPr="00BF5D68" w:rsidRDefault="007B47B2" w:rsidP="00926E27">
            <w:pPr>
              <w:pStyle w:val="NormalWeb"/>
              <w:rPr>
                <w:b/>
                <w:bCs/>
                <w:sz w:val="18"/>
                <w:szCs w:val="18"/>
                <w:lang w:val="en-GB"/>
              </w:rPr>
            </w:pPr>
            <w:r w:rsidRPr="00BF5D68">
              <w:rPr>
                <w:b/>
                <w:bCs/>
                <w:sz w:val="18"/>
                <w:szCs w:val="18"/>
                <w:lang w:val="en-GB"/>
              </w:rPr>
              <w:t>Total</w:t>
            </w:r>
          </w:p>
        </w:tc>
        <w:tc>
          <w:tcPr>
            <w:tcW w:w="708" w:type="dxa"/>
            <w:shd w:val="clear" w:color="auto" w:fill="F7ECDD"/>
            <w:hideMark/>
          </w:tcPr>
          <w:p w14:paraId="1E6DA90B" w14:textId="77777777" w:rsidR="007B47B2" w:rsidRPr="00BF5D68" w:rsidRDefault="007B47B2" w:rsidP="00926E27">
            <w:pPr>
              <w:pStyle w:val="NormalWeb"/>
              <w:rPr>
                <w:b/>
                <w:bCs/>
                <w:sz w:val="18"/>
                <w:szCs w:val="18"/>
                <w:lang w:val="en-GB"/>
              </w:rPr>
            </w:pPr>
            <w:r w:rsidRPr="00BF5D68">
              <w:rPr>
                <w:b/>
                <w:bCs/>
                <w:sz w:val="18"/>
                <w:szCs w:val="18"/>
                <w:lang w:val="en-GB"/>
              </w:rPr>
              <w:t>261</w:t>
            </w:r>
          </w:p>
        </w:tc>
        <w:tc>
          <w:tcPr>
            <w:tcW w:w="1130" w:type="dxa"/>
            <w:shd w:val="clear" w:color="auto" w:fill="F7ECDD"/>
            <w:hideMark/>
          </w:tcPr>
          <w:p w14:paraId="6FFAC404" w14:textId="77777777" w:rsidR="007B47B2" w:rsidRPr="00BF5D68" w:rsidRDefault="007B47B2" w:rsidP="00926E27">
            <w:pPr>
              <w:pStyle w:val="NormalWeb"/>
              <w:rPr>
                <w:b/>
                <w:bCs/>
                <w:sz w:val="18"/>
                <w:szCs w:val="18"/>
                <w:lang w:val="en-GB"/>
              </w:rPr>
            </w:pPr>
            <w:r w:rsidRPr="00BF5D68">
              <w:rPr>
                <w:b/>
                <w:bCs/>
                <w:sz w:val="18"/>
                <w:szCs w:val="18"/>
                <w:lang w:val="en-GB"/>
              </w:rPr>
              <w:t>38</w:t>
            </w:r>
          </w:p>
        </w:tc>
        <w:tc>
          <w:tcPr>
            <w:tcW w:w="1130" w:type="dxa"/>
            <w:shd w:val="clear" w:color="auto" w:fill="F7ECDD"/>
            <w:hideMark/>
          </w:tcPr>
          <w:p w14:paraId="023EB010" w14:textId="77777777" w:rsidR="007B47B2" w:rsidRPr="00BF5D68" w:rsidRDefault="007B47B2" w:rsidP="00926E27">
            <w:pPr>
              <w:pStyle w:val="NormalWeb"/>
              <w:rPr>
                <w:b/>
                <w:bCs/>
                <w:sz w:val="18"/>
                <w:szCs w:val="18"/>
                <w:lang w:val="en-GB"/>
              </w:rPr>
            </w:pPr>
            <w:r w:rsidRPr="00BF5D68">
              <w:rPr>
                <w:b/>
                <w:bCs/>
                <w:sz w:val="18"/>
                <w:szCs w:val="18"/>
                <w:lang w:val="en-GB"/>
              </w:rPr>
              <w:t>14</w:t>
            </w:r>
          </w:p>
        </w:tc>
        <w:tc>
          <w:tcPr>
            <w:tcW w:w="1131" w:type="dxa"/>
            <w:shd w:val="clear" w:color="auto" w:fill="F7ECDD"/>
            <w:hideMark/>
          </w:tcPr>
          <w:p w14:paraId="39F50ACA" w14:textId="77777777" w:rsidR="007B47B2" w:rsidRPr="00BF5D68" w:rsidRDefault="007B47B2" w:rsidP="00926E27">
            <w:pPr>
              <w:pStyle w:val="NormalWeb"/>
              <w:rPr>
                <w:b/>
                <w:bCs/>
                <w:sz w:val="18"/>
                <w:szCs w:val="18"/>
                <w:lang w:val="en-GB"/>
              </w:rPr>
            </w:pPr>
            <w:r w:rsidRPr="00BF5D68">
              <w:rPr>
                <w:b/>
                <w:bCs/>
                <w:sz w:val="18"/>
                <w:szCs w:val="18"/>
                <w:lang w:val="en-GB"/>
              </w:rPr>
              <w:t>209</w:t>
            </w:r>
          </w:p>
        </w:tc>
        <w:tc>
          <w:tcPr>
            <w:tcW w:w="3106" w:type="dxa"/>
            <w:shd w:val="clear" w:color="auto" w:fill="F7ECDD"/>
            <w:hideMark/>
          </w:tcPr>
          <w:p w14:paraId="08ABAAF9" w14:textId="77777777" w:rsidR="007B47B2" w:rsidRPr="00BF5D68" w:rsidRDefault="007B47B2" w:rsidP="00926E27">
            <w:pPr>
              <w:pStyle w:val="NormalWeb"/>
              <w:rPr>
                <w:b/>
                <w:bCs/>
                <w:sz w:val="18"/>
                <w:szCs w:val="18"/>
                <w:lang w:val="en-GB"/>
              </w:rPr>
            </w:pPr>
            <w:r w:rsidRPr="00BF5D68">
              <w:rPr>
                <w:b/>
                <w:bCs/>
                <w:sz w:val="18"/>
                <w:szCs w:val="18"/>
                <w:lang w:val="en-GB"/>
              </w:rPr>
              <w:t>83 (72–111)</w:t>
            </w:r>
          </w:p>
        </w:tc>
      </w:tr>
      <w:tr w:rsidR="007B47B2" w:rsidRPr="00BF5D68" w14:paraId="095F79EE" w14:textId="77777777" w:rsidTr="007B47B2">
        <w:trPr>
          <w:cnfStyle w:val="000000010000" w:firstRow="0" w:lastRow="0" w:firstColumn="0" w:lastColumn="0" w:oddVBand="0" w:evenVBand="0" w:oddHBand="0" w:evenHBand="1" w:firstRowFirstColumn="0" w:firstRowLastColumn="0" w:lastRowFirstColumn="0" w:lastRowLastColumn="0"/>
        </w:trPr>
        <w:tc>
          <w:tcPr>
            <w:tcW w:w="10466" w:type="dxa"/>
            <w:gridSpan w:val="6"/>
            <w:shd w:val="clear" w:color="auto" w:fill="BBA991"/>
            <w:hideMark/>
          </w:tcPr>
          <w:p w14:paraId="4C9EF666" w14:textId="77777777" w:rsidR="007B47B2" w:rsidRPr="00BF5D68" w:rsidRDefault="007B47B2" w:rsidP="00926E27">
            <w:pPr>
              <w:pStyle w:val="NormalWeb"/>
              <w:rPr>
                <w:b/>
                <w:bCs/>
                <w:color w:val="auto"/>
                <w:sz w:val="18"/>
                <w:szCs w:val="18"/>
                <w:lang w:val="en-GB"/>
              </w:rPr>
            </w:pPr>
            <w:r w:rsidRPr="00BF5D68">
              <w:rPr>
                <w:b/>
                <w:bCs/>
                <w:color w:val="auto"/>
                <w:sz w:val="18"/>
                <w:szCs w:val="18"/>
                <w:lang w:val="en-GB"/>
              </w:rPr>
              <w:t>Round two</w:t>
            </w:r>
          </w:p>
        </w:tc>
      </w:tr>
      <w:tr w:rsidR="007B47B2" w:rsidRPr="00553B14" w14:paraId="20EE26B6" w14:textId="77777777" w:rsidTr="007B47B2">
        <w:tc>
          <w:tcPr>
            <w:tcW w:w="3261" w:type="dxa"/>
            <w:vMerge w:val="restart"/>
            <w:tcBorders>
              <w:bottom w:val="single" w:sz="2" w:space="0" w:color="F7ECDD"/>
              <w:right w:val="single" w:sz="2" w:space="0" w:color="F7ECDD"/>
            </w:tcBorders>
            <w:shd w:val="clear" w:color="auto" w:fill="404040" w:themeFill="text1" w:themeFillTint="BF"/>
            <w:hideMark/>
          </w:tcPr>
          <w:p w14:paraId="2ED54EE4" w14:textId="77777777" w:rsidR="007B47B2" w:rsidRPr="00553B14" w:rsidRDefault="007B47B2" w:rsidP="00926E27">
            <w:pPr>
              <w:pStyle w:val="NormalWeb"/>
              <w:rPr>
                <w:b/>
                <w:bCs/>
                <w:color w:val="FFFFFF" w:themeColor="background1"/>
                <w:sz w:val="18"/>
                <w:szCs w:val="18"/>
                <w:lang w:val="en-GB"/>
              </w:rPr>
            </w:pPr>
            <w:r w:rsidRPr="00553B14">
              <w:rPr>
                <w:b/>
                <w:bCs/>
                <w:color w:val="FFFFFF" w:themeColor="background1"/>
                <w:sz w:val="18"/>
                <w:szCs w:val="18"/>
                <w:lang w:val="en-GB"/>
              </w:rPr>
              <w:t>Outbreak case</w:t>
            </w:r>
          </w:p>
        </w:tc>
        <w:tc>
          <w:tcPr>
            <w:tcW w:w="708" w:type="dxa"/>
            <w:vMerge w:val="restart"/>
            <w:tcBorders>
              <w:left w:val="single" w:sz="2" w:space="0" w:color="F7ECDD"/>
              <w:bottom w:val="single" w:sz="2" w:space="0" w:color="F7ECDD"/>
              <w:right w:val="single" w:sz="2" w:space="0" w:color="F7ECDD"/>
            </w:tcBorders>
            <w:shd w:val="clear" w:color="auto" w:fill="404040" w:themeFill="text1" w:themeFillTint="BF"/>
            <w:hideMark/>
          </w:tcPr>
          <w:p w14:paraId="484059D8" w14:textId="77777777" w:rsidR="007B47B2" w:rsidRPr="00553B14" w:rsidRDefault="007B47B2" w:rsidP="00926E27">
            <w:pPr>
              <w:pStyle w:val="NormalWeb"/>
              <w:rPr>
                <w:b/>
                <w:bCs/>
                <w:color w:val="FFFFFF" w:themeColor="background1"/>
                <w:sz w:val="18"/>
                <w:szCs w:val="18"/>
                <w:lang w:val="en-GB"/>
              </w:rPr>
            </w:pPr>
            <w:r w:rsidRPr="00553B14">
              <w:rPr>
                <w:b/>
                <w:bCs/>
                <w:color w:val="FFFFFF" w:themeColor="background1"/>
                <w:sz w:val="18"/>
                <w:szCs w:val="18"/>
                <w:lang w:val="en-GB"/>
              </w:rPr>
              <w:t>Total</w:t>
            </w:r>
          </w:p>
        </w:tc>
        <w:tc>
          <w:tcPr>
            <w:tcW w:w="3391" w:type="dxa"/>
            <w:gridSpan w:val="3"/>
            <w:tcBorders>
              <w:left w:val="single" w:sz="2" w:space="0" w:color="F7ECDD"/>
              <w:bottom w:val="single" w:sz="2" w:space="0" w:color="F7ECDD"/>
              <w:right w:val="single" w:sz="2" w:space="0" w:color="F7ECDD"/>
            </w:tcBorders>
            <w:shd w:val="clear" w:color="auto" w:fill="404040" w:themeFill="text1" w:themeFillTint="BF"/>
            <w:hideMark/>
          </w:tcPr>
          <w:p w14:paraId="67C38537" w14:textId="77777777" w:rsidR="007B47B2" w:rsidRPr="00553B14" w:rsidRDefault="007B47B2" w:rsidP="00926E27">
            <w:pPr>
              <w:pStyle w:val="NormalWeb"/>
              <w:rPr>
                <w:b/>
                <w:bCs/>
                <w:color w:val="FFFFFF" w:themeColor="background1"/>
                <w:sz w:val="18"/>
                <w:szCs w:val="18"/>
                <w:lang w:val="en-GB"/>
              </w:rPr>
            </w:pPr>
            <w:r w:rsidRPr="00553B14">
              <w:rPr>
                <w:b/>
                <w:bCs/>
                <w:color w:val="FFFFFF" w:themeColor="background1"/>
                <w:sz w:val="18"/>
                <w:szCs w:val="18"/>
                <w:lang w:val="en-GB"/>
              </w:rPr>
              <w:t>Serology result</w:t>
            </w:r>
          </w:p>
        </w:tc>
        <w:tc>
          <w:tcPr>
            <w:tcW w:w="3106" w:type="dxa"/>
            <w:vMerge w:val="restart"/>
            <w:tcBorders>
              <w:left w:val="single" w:sz="2" w:space="0" w:color="F7ECDD"/>
              <w:bottom w:val="single" w:sz="2" w:space="0" w:color="F7ECDD"/>
            </w:tcBorders>
            <w:shd w:val="clear" w:color="auto" w:fill="404040" w:themeFill="text1" w:themeFillTint="BF"/>
            <w:hideMark/>
          </w:tcPr>
          <w:p w14:paraId="52DA6F56" w14:textId="77777777" w:rsidR="007B47B2" w:rsidRPr="00553B14" w:rsidRDefault="007B47B2" w:rsidP="00926E27">
            <w:pPr>
              <w:pStyle w:val="NormalWeb"/>
              <w:rPr>
                <w:b/>
                <w:bCs/>
                <w:color w:val="FFFFFF" w:themeColor="background1"/>
                <w:sz w:val="18"/>
                <w:szCs w:val="18"/>
                <w:lang w:val="en-GB"/>
              </w:rPr>
            </w:pPr>
            <w:r w:rsidRPr="00553B14">
              <w:rPr>
                <w:b/>
                <w:bCs/>
                <w:color w:val="FFFFFF" w:themeColor="background1"/>
                <w:sz w:val="18"/>
                <w:szCs w:val="18"/>
                <w:lang w:val="en-GB"/>
              </w:rPr>
              <w:t xml:space="preserve">Mean (range) days between outbreak and round </w:t>
            </w:r>
            <w:proofErr w:type="spellStart"/>
            <w:r w:rsidRPr="00553B14">
              <w:rPr>
                <w:b/>
                <w:bCs/>
                <w:color w:val="FFFFFF" w:themeColor="background1"/>
                <w:sz w:val="18"/>
                <w:szCs w:val="18"/>
                <w:lang w:val="en-GB"/>
              </w:rPr>
              <w:t>two</w:t>
            </w:r>
            <w:r w:rsidRPr="00553B14">
              <w:rPr>
                <w:b/>
                <w:bCs/>
                <w:color w:val="FFFFFF" w:themeColor="background1"/>
                <w:sz w:val="18"/>
                <w:szCs w:val="18"/>
                <w:vertAlign w:val="superscript"/>
                <w:lang w:val="en-GB"/>
              </w:rPr>
              <w:t>a</w:t>
            </w:r>
            <w:proofErr w:type="spellEnd"/>
          </w:p>
        </w:tc>
      </w:tr>
      <w:tr w:rsidR="007B47B2" w:rsidRPr="00553B14" w14:paraId="0259207B" w14:textId="77777777" w:rsidTr="007B47B2">
        <w:trPr>
          <w:cnfStyle w:val="000000010000" w:firstRow="0" w:lastRow="0" w:firstColumn="0" w:lastColumn="0" w:oddVBand="0" w:evenVBand="0" w:oddHBand="0" w:evenHBand="1" w:firstRowFirstColumn="0" w:firstRowLastColumn="0" w:lastRowFirstColumn="0" w:lastRowLastColumn="0"/>
        </w:trPr>
        <w:tc>
          <w:tcPr>
            <w:tcW w:w="3261" w:type="dxa"/>
            <w:vMerge/>
            <w:tcBorders>
              <w:top w:val="single" w:sz="2" w:space="0" w:color="F7ECDD"/>
              <w:right w:val="single" w:sz="2" w:space="0" w:color="F7ECDD"/>
            </w:tcBorders>
            <w:shd w:val="clear" w:color="auto" w:fill="404040" w:themeFill="text1" w:themeFillTint="BF"/>
            <w:hideMark/>
          </w:tcPr>
          <w:p w14:paraId="6B4FE03E" w14:textId="77777777" w:rsidR="007B47B2" w:rsidRPr="00553B14" w:rsidRDefault="007B47B2" w:rsidP="00926E27">
            <w:pPr>
              <w:rPr>
                <w:b/>
                <w:bCs/>
                <w:color w:val="FFFFFF" w:themeColor="background1"/>
                <w:sz w:val="18"/>
                <w:szCs w:val="18"/>
                <w:lang w:val="en-GB"/>
              </w:rPr>
            </w:pPr>
          </w:p>
        </w:tc>
        <w:tc>
          <w:tcPr>
            <w:tcW w:w="708" w:type="dxa"/>
            <w:vMerge/>
            <w:tcBorders>
              <w:top w:val="single" w:sz="2" w:space="0" w:color="F7ECDD"/>
              <w:left w:val="single" w:sz="2" w:space="0" w:color="F7ECDD"/>
              <w:right w:val="single" w:sz="2" w:space="0" w:color="F7ECDD"/>
            </w:tcBorders>
            <w:shd w:val="clear" w:color="auto" w:fill="404040" w:themeFill="text1" w:themeFillTint="BF"/>
            <w:hideMark/>
          </w:tcPr>
          <w:p w14:paraId="725A9957" w14:textId="77777777" w:rsidR="007B47B2" w:rsidRPr="00553B14" w:rsidRDefault="007B47B2" w:rsidP="00926E27">
            <w:pPr>
              <w:rPr>
                <w:b/>
                <w:bCs/>
                <w:color w:val="FFFFFF" w:themeColor="background1"/>
                <w:sz w:val="18"/>
                <w:szCs w:val="18"/>
                <w:lang w:val="en-GB"/>
              </w:rPr>
            </w:pPr>
          </w:p>
        </w:tc>
        <w:tc>
          <w:tcPr>
            <w:tcW w:w="1130" w:type="dxa"/>
            <w:tcBorders>
              <w:top w:val="single" w:sz="2" w:space="0" w:color="F7ECDD"/>
              <w:left w:val="single" w:sz="2" w:space="0" w:color="F7ECDD"/>
              <w:right w:val="single" w:sz="2" w:space="0" w:color="F7ECDD"/>
            </w:tcBorders>
            <w:shd w:val="clear" w:color="auto" w:fill="404040" w:themeFill="text1" w:themeFillTint="BF"/>
            <w:hideMark/>
          </w:tcPr>
          <w:p w14:paraId="18B99153" w14:textId="77777777" w:rsidR="007B47B2" w:rsidRPr="00553B14" w:rsidRDefault="007B47B2" w:rsidP="00926E27">
            <w:pPr>
              <w:pStyle w:val="NormalWeb"/>
              <w:rPr>
                <w:b/>
                <w:bCs/>
                <w:color w:val="FFFFFF" w:themeColor="background1"/>
                <w:sz w:val="18"/>
                <w:szCs w:val="18"/>
                <w:lang w:val="en-GB"/>
              </w:rPr>
            </w:pPr>
            <w:r w:rsidRPr="00553B14">
              <w:rPr>
                <w:b/>
                <w:bCs/>
                <w:color w:val="FFFFFF" w:themeColor="background1"/>
                <w:sz w:val="18"/>
                <w:szCs w:val="18"/>
                <w:lang w:val="en-GB"/>
              </w:rPr>
              <w:t>Positive</w:t>
            </w:r>
          </w:p>
        </w:tc>
        <w:tc>
          <w:tcPr>
            <w:tcW w:w="1130" w:type="dxa"/>
            <w:tcBorders>
              <w:top w:val="single" w:sz="2" w:space="0" w:color="F7ECDD"/>
              <w:left w:val="single" w:sz="2" w:space="0" w:color="F7ECDD"/>
              <w:right w:val="single" w:sz="2" w:space="0" w:color="F7ECDD"/>
            </w:tcBorders>
            <w:shd w:val="clear" w:color="auto" w:fill="404040" w:themeFill="text1" w:themeFillTint="BF"/>
            <w:hideMark/>
          </w:tcPr>
          <w:p w14:paraId="2208D43A" w14:textId="77777777" w:rsidR="007B47B2" w:rsidRPr="00553B14" w:rsidRDefault="007B47B2" w:rsidP="00926E27">
            <w:pPr>
              <w:pStyle w:val="NormalWeb"/>
              <w:rPr>
                <w:b/>
                <w:bCs/>
                <w:color w:val="FFFFFF" w:themeColor="background1"/>
                <w:sz w:val="18"/>
                <w:szCs w:val="18"/>
                <w:lang w:val="en-GB"/>
              </w:rPr>
            </w:pPr>
            <w:r w:rsidRPr="00553B14">
              <w:rPr>
                <w:b/>
                <w:bCs/>
                <w:color w:val="FFFFFF" w:themeColor="background1"/>
                <w:sz w:val="18"/>
                <w:szCs w:val="18"/>
                <w:lang w:val="en-GB"/>
              </w:rPr>
              <w:t>Equivocal</w:t>
            </w:r>
          </w:p>
        </w:tc>
        <w:tc>
          <w:tcPr>
            <w:tcW w:w="1131" w:type="dxa"/>
            <w:tcBorders>
              <w:top w:val="single" w:sz="2" w:space="0" w:color="F7ECDD"/>
              <w:left w:val="single" w:sz="2" w:space="0" w:color="F7ECDD"/>
              <w:right w:val="single" w:sz="2" w:space="0" w:color="F7ECDD"/>
            </w:tcBorders>
            <w:shd w:val="clear" w:color="auto" w:fill="404040" w:themeFill="text1" w:themeFillTint="BF"/>
            <w:hideMark/>
          </w:tcPr>
          <w:p w14:paraId="47C27BF4" w14:textId="77777777" w:rsidR="007B47B2" w:rsidRPr="00553B14" w:rsidRDefault="007B47B2" w:rsidP="00926E27">
            <w:pPr>
              <w:pStyle w:val="NormalWeb"/>
              <w:rPr>
                <w:b/>
                <w:bCs/>
                <w:color w:val="FFFFFF" w:themeColor="background1"/>
                <w:sz w:val="18"/>
                <w:szCs w:val="18"/>
                <w:lang w:val="en-GB"/>
              </w:rPr>
            </w:pPr>
            <w:r w:rsidRPr="00553B14">
              <w:rPr>
                <w:b/>
                <w:bCs/>
                <w:color w:val="FFFFFF" w:themeColor="background1"/>
                <w:sz w:val="18"/>
                <w:szCs w:val="18"/>
                <w:lang w:val="en-GB"/>
              </w:rPr>
              <w:t>Negative</w:t>
            </w:r>
          </w:p>
        </w:tc>
        <w:tc>
          <w:tcPr>
            <w:tcW w:w="3106" w:type="dxa"/>
            <w:vMerge/>
            <w:tcBorders>
              <w:top w:val="single" w:sz="2" w:space="0" w:color="F7ECDD"/>
              <w:left w:val="single" w:sz="2" w:space="0" w:color="F7ECDD"/>
            </w:tcBorders>
            <w:shd w:val="clear" w:color="auto" w:fill="404040" w:themeFill="text1" w:themeFillTint="BF"/>
            <w:hideMark/>
          </w:tcPr>
          <w:p w14:paraId="0B1A130A" w14:textId="77777777" w:rsidR="007B47B2" w:rsidRPr="00553B14" w:rsidRDefault="007B47B2" w:rsidP="00926E27">
            <w:pPr>
              <w:rPr>
                <w:b/>
                <w:bCs/>
                <w:color w:val="FFFFFF" w:themeColor="background1"/>
                <w:sz w:val="18"/>
                <w:szCs w:val="18"/>
                <w:lang w:val="en-GB"/>
              </w:rPr>
            </w:pPr>
          </w:p>
        </w:tc>
      </w:tr>
      <w:tr w:rsidR="007B47B2" w:rsidRPr="00BF5D68" w14:paraId="61AB1056" w14:textId="77777777" w:rsidTr="007B47B2">
        <w:tc>
          <w:tcPr>
            <w:tcW w:w="3261" w:type="dxa"/>
            <w:shd w:val="clear" w:color="auto" w:fill="auto"/>
            <w:hideMark/>
          </w:tcPr>
          <w:p w14:paraId="303FCADA" w14:textId="77777777" w:rsidR="007B47B2" w:rsidRPr="00BF5D68" w:rsidRDefault="007B47B2" w:rsidP="00926E27">
            <w:pPr>
              <w:pStyle w:val="NormalWeb"/>
              <w:rPr>
                <w:sz w:val="18"/>
                <w:szCs w:val="18"/>
                <w:lang w:val="en-GB"/>
              </w:rPr>
            </w:pPr>
            <w:r w:rsidRPr="00BF5D68">
              <w:rPr>
                <w:sz w:val="18"/>
                <w:szCs w:val="18"/>
                <w:lang w:val="en-GB"/>
              </w:rPr>
              <w:t>Outbreak cases</w:t>
            </w:r>
          </w:p>
        </w:tc>
        <w:tc>
          <w:tcPr>
            <w:tcW w:w="708" w:type="dxa"/>
            <w:shd w:val="clear" w:color="auto" w:fill="auto"/>
            <w:hideMark/>
          </w:tcPr>
          <w:p w14:paraId="1A55E192" w14:textId="77777777" w:rsidR="007B47B2" w:rsidRPr="00BF5D68" w:rsidRDefault="007B47B2" w:rsidP="00926E27">
            <w:pPr>
              <w:pStyle w:val="NormalWeb"/>
              <w:rPr>
                <w:sz w:val="18"/>
                <w:szCs w:val="18"/>
                <w:lang w:val="en-GB"/>
              </w:rPr>
            </w:pPr>
            <w:r w:rsidRPr="00BF5D68">
              <w:rPr>
                <w:sz w:val="18"/>
                <w:szCs w:val="18"/>
                <w:lang w:val="en-GB"/>
              </w:rPr>
              <w:t>34</w:t>
            </w:r>
          </w:p>
        </w:tc>
        <w:tc>
          <w:tcPr>
            <w:tcW w:w="1130" w:type="dxa"/>
            <w:shd w:val="clear" w:color="auto" w:fill="auto"/>
            <w:hideMark/>
          </w:tcPr>
          <w:p w14:paraId="6BBB5662" w14:textId="77777777" w:rsidR="007B47B2" w:rsidRPr="00BF5D68" w:rsidRDefault="007B47B2" w:rsidP="00926E27">
            <w:pPr>
              <w:pStyle w:val="NormalWeb"/>
              <w:rPr>
                <w:sz w:val="18"/>
                <w:szCs w:val="18"/>
                <w:lang w:val="en-GB"/>
              </w:rPr>
            </w:pPr>
            <w:r w:rsidRPr="00BF5D68">
              <w:rPr>
                <w:sz w:val="18"/>
                <w:szCs w:val="18"/>
                <w:lang w:val="en-GB"/>
              </w:rPr>
              <w:t>12</w:t>
            </w:r>
          </w:p>
        </w:tc>
        <w:tc>
          <w:tcPr>
            <w:tcW w:w="1130" w:type="dxa"/>
            <w:shd w:val="clear" w:color="auto" w:fill="auto"/>
            <w:hideMark/>
          </w:tcPr>
          <w:p w14:paraId="0CEDDE39" w14:textId="77777777" w:rsidR="007B47B2" w:rsidRPr="00BF5D68" w:rsidRDefault="007B47B2" w:rsidP="00926E27">
            <w:pPr>
              <w:pStyle w:val="NormalWeb"/>
              <w:rPr>
                <w:sz w:val="18"/>
                <w:szCs w:val="18"/>
                <w:lang w:val="en-GB"/>
              </w:rPr>
            </w:pPr>
            <w:r w:rsidRPr="00BF5D68">
              <w:rPr>
                <w:sz w:val="18"/>
                <w:szCs w:val="18"/>
                <w:lang w:val="en-GB"/>
              </w:rPr>
              <w:t>10</w:t>
            </w:r>
          </w:p>
        </w:tc>
        <w:tc>
          <w:tcPr>
            <w:tcW w:w="1131" w:type="dxa"/>
            <w:shd w:val="clear" w:color="auto" w:fill="auto"/>
            <w:hideMark/>
          </w:tcPr>
          <w:p w14:paraId="1C72E47C" w14:textId="77777777" w:rsidR="007B47B2" w:rsidRPr="00BF5D68" w:rsidRDefault="007B47B2" w:rsidP="00926E27">
            <w:pPr>
              <w:pStyle w:val="NormalWeb"/>
              <w:rPr>
                <w:sz w:val="18"/>
                <w:szCs w:val="18"/>
                <w:lang w:val="en-GB"/>
              </w:rPr>
            </w:pPr>
            <w:r w:rsidRPr="00BF5D68">
              <w:rPr>
                <w:sz w:val="18"/>
                <w:szCs w:val="18"/>
                <w:lang w:val="en-GB"/>
              </w:rPr>
              <w:t>12</w:t>
            </w:r>
          </w:p>
        </w:tc>
        <w:tc>
          <w:tcPr>
            <w:tcW w:w="3106" w:type="dxa"/>
            <w:shd w:val="clear" w:color="auto" w:fill="auto"/>
            <w:hideMark/>
          </w:tcPr>
          <w:p w14:paraId="7EB4303A" w14:textId="77777777" w:rsidR="007B47B2" w:rsidRPr="00BF5D68" w:rsidRDefault="007B47B2" w:rsidP="00926E27">
            <w:pPr>
              <w:pStyle w:val="NormalWeb"/>
              <w:rPr>
                <w:sz w:val="18"/>
                <w:szCs w:val="18"/>
                <w:lang w:val="en-GB"/>
              </w:rPr>
            </w:pPr>
            <w:r w:rsidRPr="00BF5D68">
              <w:rPr>
                <w:sz w:val="18"/>
                <w:szCs w:val="18"/>
                <w:lang w:val="en-GB"/>
              </w:rPr>
              <w:t>240 (219–251)</w:t>
            </w:r>
          </w:p>
        </w:tc>
      </w:tr>
      <w:tr w:rsidR="007B47B2" w:rsidRPr="00BF5D68" w14:paraId="3C7C99AF" w14:textId="77777777" w:rsidTr="007B47B2">
        <w:trPr>
          <w:cnfStyle w:val="000000010000" w:firstRow="0" w:lastRow="0" w:firstColumn="0" w:lastColumn="0" w:oddVBand="0" w:evenVBand="0" w:oddHBand="0" w:evenHBand="1" w:firstRowFirstColumn="0" w:firstRowLastColumn="0" w:lastRowFirstColumn="0" w:lastRowLastColumn="0"/>
        </w:trPr>
        <w:tc>
          <w:tcPr>
            <w:tcW w:w="3261" w:type="dxa"/>
            <w:shd w:val="clear" w:color="auto" w:fill="auto"/>
            <w:hideMark/>
          </w:tcPr>
          <w:p w14:paraId="7A9EA967" w14:textId="77777777" w:rsidR="007B47B2" w:rsidRPr="00BF5D68" w:rsidRDefault="007B47B2" w:rsidP="00926E27">
            <w:pPr>
              <w:pStyle w:val="NormalWeb"/>
              <w:rPr>
                <w:sz w:val="18"/>
                <w:szCs w:val="18"/>
                <w:lang w:val="en-GB"/>
              </w:rPr>
            </w:pPr>
            <w:r w:rsidRPr="00BF5D68">
              <w:rPr>
                <w:sz w:val="18"/>
                <w:szCs w:val="18"/>
                <w:lang w:val="en-GB"/>
              </w:rPr>
              <w:t>Outbreak non-cases</w:t>
            </w:r>
          </w:p>
        </w:tc>
        <w:tc>
          <w:tcPr>
            <w:tcW w:w="708" w:type="dxa"/>
            <w:shd w:val="clear" w:color="auto" w:fill="auto"/>
            <w:hideMark/>
          </w:tcPr>
          <w:p w14:paraId="33D5BF6B" w14:textId="77777777" w:rsidR="007B47B2" w:rsidRPr="00BF5D68" w:rsidRDefault="007B47B2" w:rsidP="00926E27">
            <w:pPr>
              <w:pStyle w:val="NormalWeb"/>
              <w:rPr>
                <w:sz w:val="18"/>
                <w:szCs w:val="18"/>
                <w:lang w:val="en-GB"/>
              </w:rPr>
            </w:pPr>
            <w:r w:rsidRPr="00BF5D68">
              <w:rPr>
                <w:sz w:val="18"/>
                <w:szCs w:val="18"/>
                <w:lang w:val="en-GB"/>
              </w:rPr>
              <w:t>95</w:t>
            </w:r>
          </w:p>
        </w:tc>
        <w:tc>
          <w:tcPr>
            <w:tcW w:w="1130" w:type="dxa"/>
            <w:shd w:val="clear" w:color="auto" w:fill="auto"/>
            <w:hideMark/>
          </w:tcPr>
          <w:p w14:paraId="2A1D2E09" w14:textId="77777777" w:rsidR="007B47B2" w:rsidRPr="00BF5D68" w:rsidRDefault="007B47B2" w:rsidP="00926E27">
            <w:pPr>
              <w:pStyle w:val="NormalWeb"/>
              <w:rPr>
                <w:sz w:val="18"/>
                <w:szCs w:val="18"/>
                <w:lang w:val="en-GB"/>
              </w:rPr>
            </w:pPr>
            <w:r w:rsidRPr="00BF5D68">
              <w:rPr>
                <w:sz w:val="18"/>
                <w:szCs w:val="18"/>
                <w:lang w:val="en-GB"/>
              </w:rPr>
              <w:t>3</w:t>
            </w:r>
          </w:p>
        </w:tc>
        <w:tc>
          <w:tcPr>
            <w:tcW w:w="1130" w:type="dxa"/>
            <w:shd w:val="clear" w:color="auto" w:fill="auto"/>
            <w:hideMark/>
          </w:tcPr>
          <w:p w14:paraId="3C7BD1A8" w14:textId="77777777" w:rsidR="007B47B2" w:rsidRPr="00BF5D68" w:rsidRDefault="007B47B2" w:rsidP="00926E27">
            <w:pPr>
              <w:pStyle w:val="NormalWeb"/>
              <w:rPr>
                <w:sz w:val="18"/>
                <w:szCs w:val="18"/>
                <w:lang w:val="en-GB"/>
              </w:rPr>
            </w:pPr>
            <w:r w:rsidRPr="00BF5D68">
              <w:rPr>
                <w:sz w:val="18"/>
                <w:szCs w:val="18"/>
                <w:lang w:val="en-GB"/>
              </w:rPr>
              <w:t>4</w:t>
            </w:r>
          </w:p>
        </w:tc>
        <w:tc>
          <w:tcPr>
            <w:tcW w:w="1131" w:type="dxa"/>
            <w:shd w:val="clear" w:color="auto" w:fill="auto"/>
            <w:hideMark/>
          </w:tcPr>
          <w:p w14:paraId="7526F152" w14:textId="77777777" w:rsidR="007B47B2" w:rsidRPr="00BF5D68" w:rsidRDefault="007B47B2" w:rsidP="00926E27">
            <w:pPr>
              <w:pStyle w:val="NormalWeb"/>
              <w:rPr>
                <w:sz w:val="18"/>
                <w:szCs w:val="18"/>
                <w:lang w:val="en-GB"/>
              </w:rPr>
            </w:pPr>
            <w:r w:rsidRPr="00BF5D68">
              <w:rPr>
                <w:sz w:val="18"/>
                <w:szCs w:val="18"/>
                <w:lang w:val="en-GB"/>
              </w:rPr>
              <w:t>88</w:t>
            </w:r>
          </w:p>
        </w:tc>
        <w:tc>
          <w:tcPr>
            <w:tcW w:w="3106" w:type="dxa"/>
            <w:shd w:val="clear" w:color="auto" w:fill="auto"/>
            <w:hideMark/>
          </w:tcPr>
          <w:p w14:paraId="7204C814" w14:textId="77777777" w:rsidR="007B47B2" w:rsidRPr="00BF5D68" w:rsidRDefault="007B47B2" w:rsidP="00926E27">
            <w:pPr>
              <w:pStyle w:val="NormalWeb"/>
              <w:rPr>
                <w:sz w:val="18"/>
                <w:szCs w:val="18"/>
                <w:lang w:val="en-GB"/>
              </w:rPr>
            </w:pPr>
            <w:r w:rsidRPr="00BF5D68">
              <w:rPr>
                <w:sz w:val="18"/>
                <w:szCs w:val="18"/>
                <w:lang w:val="en-GB"/>
              </w:rPr>
              <w:t>228 (226–243)</w:t>
            </w:r>
          </w:p>
        </w:tc>
      </w:tr>
      <w:tr w:rsidR="007B47B2" w:rsidRPr="00553B14" w14:paraId="43A8688E" w14:textId="77777777" w:rsidTr="007B47B2">
        <w:tc>
          <w:tcPr>
            <w:tcW w:w="3261" w:type="dxa"/>
            <w:shd w:val="clear" w:color="auto" w:fill="F7ECDD"/>
            <w:hideMark/>
          </w:tcPr>
          <w:p w14:paraId="13209024" w14:textId="77777777" w:rsidR="007B47B2" w:rsidRPr="00553B14" w:rsidRDefault="007B47B2" w:rsidP="00926E27">
            <w:pPr>
              <w:pStyle w:val="NormalWeb"/>
              <w:rPr>
                <w:b/>
                <w:bCs/>
                <w:sz w:val="18"/>
                <w:szCs w:val="18"/>
                <w:lang w:val="en-GB"/>
              </w:rPr>
            </w:pPr>
            <w:r w:rsidRPr="00553B14">
              <w:rPr>
                <w:b/>
                <w:bCs/>
                <w:sz w:val="18"/>
                <w:szCs w:val="18"/>
                <w:lang w:val="en-GB"/>
              </w:rPr>
              <w:t>Total</w:t>
            </w:r>
          </w:p>
        </w:tc>
        <w:tc>
          <w:tcPr>
            <w:tcW w:w="708" w:type="dxa"/>
            <w:shd w:val="clear" w:color="auto" w:fill="F7ECDD"/>
            <w:hideMark/>
          </w:tcPr>
          <w:p w14:paraId="63466614" w14:textId="77777777" w:rsidR="007B47B2" w:rsidRPr="00553B14" w:rsidRDefault="007B47B2" w:rsidP="00926E27">
            <w:pPr>
              <w:pStyle w:val="NormalWeb"/>
              <w:rPr>
                <w:b/>
                <w:bCs/>
                <w:sz w:val="18"/>
                <w:szCs w:val="18"/>
                <w:lang w:val="en-GB"/>
              </w:rPr>
            </w:pPr>
            <w:r w:rsidRPr="00553B14">
              <w:rPr>
                <w:b/>
                <w:bCs/>
                <w:sz w:val="18"/>
                <w:szCs w:val="18"/>
                <w:lang w:val="en-GB"/>
              </w:rPr>
              <w:t>129</w:t>
            </w:r>
          </w:p>
        </w:tc>
        <w:tc>
          <w:tcPr>
            <w:tcW w:w="1130" w:type="dxa"/>
            <w:shd w:val="clear" w:color="auto" w:fill="F7ECDD"/>
            <w:hideMark/>
          </w:tcPr>
          <w:p w14:paraId="1EC70587" w14:textId="77777777" w:rsidR="007B47B2" w:rsidRPr="00553B14" w:rsidRDefault="007B47B2" w:rsidP="00926E27">
            <w:pPr>
              <w:pStyle w:val="NormalWeb"/>
              <w:rPr>
                <w:b/>
                <w:bCs/>
                <w:sz w:val="18"/>
                <w:szCs w:val="18"/>
                <w:lang w:val="en-GB"/>
              </w:rPr>
            </w:pPr>
            <w:r w:rsidRPr="00553B14">
              <w:rPr>
                <w:b/>
                <w:bCs/>
                <w:sz w:val="18"/>
                <w:szCs w:val="18"/>
                <w:lang w:val="en-GB"/>
              </w:rPr>
              <w:t>15</w:t>
            </w:r>
          </w:p>
        </w:tc>
        <w:tc>
          <w:tcPr>
            <w:tcW w:w="1130" w:type="dxa"/>
            <w:shd w:val="clear" w:color="auto" w:fill="F7ECDD"/>
            <w:hideMark/>
          </w:tcPr>
          <w:p w14:paraId="542BD3F9" w14:textId="77777777" w:rsidR="007B47B2" w:rsidRPr="00553B14" w:rsidRDefault="007B47B2" w:rsidP="00926E27">
            <w:pPr>
              <w:pStyle w:val="NormalWeb"/>
              <w:rPr>
                <w:b/>
                <w:bCs/>
                <w:sz w:val="18"/>
                <w:szCs w:val="18"/>
                <w:lang w:val="en-GB"/>
              </w:rPr>
            </w:pPr>
            <w:r w:rsidRPr="00553B14">
              <w:rPr>
                <w:b/>
                <w:bCs/>
                <w:sz w:val="18"/>
                <w:szCs w:val="18"/>
                <w:lang w:val="en-GB"/>
              </w:rPr>
              <w:t>14</w:t>
            </w:r>
          </w:p>
        </w:tc>
        <w:tc>
          <w:tcPr>
            <w:tcW w:w="1131" w:type="dxa"/>
            <w:shd w:val="clear" w:color="auto" w:fill="F7ECDD"/>
            <w:hideMark/>
          </w:tcPr>
          <w:p w14:paraId="306FDFAF" w14:textId="77777777" w:rsidR="007B47B2" w:rsidRPr="00553B14" w:rsidRDefault="007B47B2" w:rsidP="00926E27">
            <w:pPr>
              <w:pStyle w:val="NormalWeb"/>
              <w:rPr>
                <w:b/>
                <w:bCs/>
                <w:sz w:val="18"/>
                <w:szCs w:val="18"/>
                <w:lang w:val="en-GB"/>
              </w:rPr>
            </w:pPr>
            <w:r w:rsidRPr="00553B14">
              <w:rPr>
                <w:b/>
                <w:bCs/>
                <w:sz w:val="18"/>
                <w:szCs w:val="18"/>
                <w:lang w:val="en-GB"/>
              </w:rPr>
              <w:t>100</w:t>
            </w:r>
          </w:p>
        </w:tc>
        <w:tc>
          <w:tcPr>
            <w:tcW w:w="3106" w:type="dxa"/>
            <w:shd w:val="clear" w:color="auto" w:fill="F7ECDD"/>
            <w:hideMark/>
          </w:tcPr>
          <w:p w14:paraId="4EE50973" w14:textId="77777777" w:rsidR="007B47B2" w:rsidRPr="00553B14" w:rsidRDefault="007B47B2" w:rsidP="00926E27">
            <w:pPr>
              <w:pStyle w:val="NormalWeb"/>
              <w:rPr>
                <w:b/>
                <w:bCs/>
                <w:sz w:val="18"/>
                <w:szCs w:val="18"/>
                <w:lang w:val="en-GB"/>
              </w:rPr>
            </w:pPr>
            <w:r w:rsidRPr="00553B14">
              <w:rPr>
                <w:b/>
                <w:bCs/>
                <w:sz w:val="18"/>
                <w:szCs w:val="18"/>
                <w:lang w:val="en-GB"/>
              </w:rPr>
              <w:t>230 (219–251)</w:t>
            </w:r>
          </w:p>
        </w:tc>
      </w:tr>
    </w:tbl>
    <w:p w14:paraId="7316F782" w14:textId="5CD85652" w:rsidR="007B47B2" w:rsidRPr="007B47B2" w:rsidRDefault="007B47B2" w:rsidP="007B47B2">
      <w:pPr>
        <w:pStyle w:val="CDIfootnotes"/>
        <w:rPr>
          <w:lang w:val="en-GB"/>
        </w:rPr>
      </w:pPr>
      <w:r>
        <w:rPr>
          <w:lang w:val="en-GB"/>
        </w:rPr>
        <w:t xml:space="preserve">a </w:t>
      </w:r>
      <w:r>
        <w:rPr>
          <w:lang w:val="en-GB"/>
        </w:rPr>
        <w:tab/>
        <w:t>Days between the outbreak and serum samples were calculated as the date of the serum collection minus the date of the positive PCR result for cases and the start of return-to-work testing for non-cases (25 April 2021).</w:t>
      </w:r>
    </w:p>
    <w:p w14:paraId="5FDD0DB9" w14:textId="77777777" w:rsidR="002033AF" w:rsidRDefault="002033AF" w:rsidP="002D24BB">
      <w:r>
        <w:t xml:space="preserve">Of the six outbreak non-cases who were seropositive in the first round of serology testing, only one was </w:t>
      </w:r>
      <w:proofErr w:type="gramStart"/>
      <w:r>
        <w:t>tested</w:t>
      </w:r>
      <w:proofErr w:type="gramEnd"/>
      <w:r>
        <w:t xml:space="preserve"> by PCR during the outbreak period. This case reported having mild symptoms and was </w:t>
      </w:r>
      <w:proofErr w:type="gramStart"/>
      <w:r>
        <w:t>tested</w:t>
      </w:r>
      <w:proofErr w:type="gramEnd"/>
      <w:r>
        <w:t xml:space="preserve"> by PCR twice during the outbreak period and twice after the outbreak period, with all four tests negative. The remaining five outbreak non-cases with positive serology were only </w:t>
      </w:r>
      <w:proofErr w:type="gramStart"/>
      <w:r>
        <w:t>tested</w:t>
      </w:r>
      <w:proofErr w:type="gramEnd"/>
      <w:r>
        <w:t xml:space="preserve"> by PCR after the outbreak exposure period during return-to-work screening. Two participants had a single negative PCR test; one had two negative tests; and two had three negative tests. Two of the five reported no symptoms; two reported mild symptoms; and one reported moderate </w:t>
      </w:r>
      <w:proofErr w:type="gramStart"/>
      <w:r>
        <w:t>symptoms</w:t>
      </w:r>
      <w:proofErr w:type="gramEnd"/>
      <w:r>
        <w:t xml:space="preserve"> during the outbreak. Of these six outbreak non-cases, five were female; the average age was 43.5 years; five were nurses or midwives and one was a doctor. </w:t>
      </w:r>
    </w:p>
    <w:p w14:paraId="3E646A18" w14:textId="77777777" w:rsidR="002033AF" w:rsidRPr="002D24BB" w:rsidRDefault="002033AF" w:rsidP="002D24BB">
      <w:pPr>
        <w:pStyle w:val="Heading2"/>
      </w:pPr>
      <w:r w:rsidRPr="002D24BB">
        <w:t xml:space="preserve">Round two </w:t>
      </w:r>
    </w:p>
    <w:p w14:paraId="2D46E62C" w14:textId="77777777" w:rsidR="002033AF" w:rsidRDefault="002033AF" w:rsidP="002D24BB">
      <w:r>
        <w:t xml:space="preserve">The mean time between the outbreak period and round two specimen collection was 230 days (range 219 to 251 days). The prevalence of positive antibodies for the 129 health care workers at round two was 11.6% (15/129); which increased to 22.5% if equivocal results </w:t>
      </w:r>
      <w:proofErr w:type="gramStart"/>
      <w:r>
        <w:t>were included</w:t>
      </w:r>
      <w:proofErr w:type="gramEnd"/>
      <w:r>
        <w:t xml:space="preserve"> (29/129). Of the 15 HCWs with positive antibodies at round </w:t>
      </w:r>
      <w:r>
        <w:lastRenderedPageBreak/>
        <w:t xml:space="preserve">two, 73% were nurses, midwives, or medical doctors. When the equivocal results </w:t>
      </w:r>
      <w:proofErr w:type="gramStart"/>
      <w:r>
        <w:t>were included</w:t>
      </w:r>
      <w:proofErr w:type="gramEnd"/>
      <w:r>
        <w:t xml:space="preserve">, this proportion increased to 76% of 29 HCWs. </w:t>
      </w:r>
    </w:p>
    <w:p w14:paraId="13F8FC74" w14:textId="77777777" w:rsidR="002033AF" w:rsidRDefault="002033AF" w:rsidP="002D24BB">
      <w:r>
        <w:t xml:space="preserve">Of the </w:t>
      </w:r>
      <w:proofErr w:type="gramStart"/>
      <w:r>
        <w:t>34</w:t>
      </w:r>
      <w:proofErr w:type="gramEnd"/>
      <w:r>
        <w:t xml:space="preserve"> outbreak cases in the second round of specimen collection, 12 (35%) were seropositive; 10 (29%) returned equivocal serology results; and 12 (35%) were seronegative. </w:t>
      </w:r>
      <w:proofErr w:type="gramStart"/>
      <w:r>
        <w:t>88</w:t>
      </w:r>
      <w:proofErr w:type="gramEnd"/>
      <w:r>
        <w:t xml:space="preserve"> participants (68%) were both outbreak non-cases and seronegative. Three outbreak non-cases remained seropositive, and four outbreak non-cases had equivocal serostatus (Table 2). </w:t>
      </w:r>
    </w:p>
    <w:p w14:paraId="51F9B925" w14:textId="77777777" w:rsidR="002033AF" w:rsidRPr="002D24BB" w:rsidRDefault="002033AF" w:rsidP="002D24BB">
      <w:pPr>
        <w:pStyle w:val="Heading2"/>
      </w:pPr>
      <w:r w:rsidRPr="002D24BB">
        <w:t xml:space="preserve">Longevity of antibodies </w:t>
      </w:r>
    </w:p>
    <w:p w14:paraId="74409376" w14:textId="62FC0DE8" w:rsidR="002033AF" w:rsidRDefault="002033AF" w:rsidP="002D24BB">
      <w:r>
        <w:t xml:space="preserve">Longevity of antibodies could be considered in the 129 HCWs who </w:t>
      </w:r>
      <w:proofErr w:type="gramStart"/>
      <w:r>
        <w:t>participated</w:t>
      </w:r>
      <w:proofErr w:type="gramEnd"/>
      <w:r>
        <w:t xml:space="preserve"> in both rounds of serological testing. Thirty of the 129 participants in both rounds were seropositive at round 1 (23%), with </w:t>
      </w:r>
      <w:proofErr w:type="gramStart"/>
      <w:r>
        <w:t>15</w:t>
      </w:r>
      <w:proofErr w:type="gramEnd"/>
      <w:r>
        <w:t xml:space="preserve"> seropositive in both rounds (50% of those seropositive in round 1 and 12% of the 129 participants). This </w:t>
      </w:r>
      <w:proofErr w:type="gramStart"/>
      <w:r>
        <w:t>demonstrates</w:t>
      </w:r>
      <w:proofErr w:type="gramEnd"/>
      <w:r>
        <w:t xml:space="preserve"> persistent seropositivity for an average of 238 days after the outbreak (range: 226–250 days). Twelve of these participants were outbreak cases and three were outbreak non-cases (Table 3). </w:t>
      </w:r>
    </w:p>
    <w:p w14:paraId="1042300E" w14:textId="77777777" w:rsidR="007B47B2" w:rsidRDefault="007B47B2" w:rsidP="007B47B2">
      <w:pPr>
        <w:pStyle w:val="CDIFigures"/>
        <w:rPr>
          <w:lang w:val="en-GB"/>
        </w:rPr>
      </w:pPr>
      <w:r>
        <w:rPr>
          <w:lang w:val="en-GB"/>
        </w:rPr>
        <w:t xml:space="preserve">Table 3: Comparison of paired serology outcomes from round one and two by outbreak status, </w:t>
      </w:r>
      <w:proofErr w:type="gramStart"/>
      <w:r>
        <w:rPr>
          <w:lang w:val="en-GB"/>
        </w:rPr>
        <w:t>North West</w:t>
      </w:r>
      <w:proofErr w:type="gramEnd"/>
      <w:r>
        <w:rPr>
          <w:lang w:val="en-GB"/>
        </w:rPr>
        <w:t xml:space="preserve"> Tasmania, 2020 </w:t>
      </w:r>
    </w:p>
    <w:tbl>
      <w:tblPr>
        <w:tblStyle w:val="CDI-StandardTable"/>
        <w:tblW w:w="0" w:type="auto"/>
        <w:tblLook w:val="04A0" w:firstRow="1" w:lastRow="0" w:firstColumn="1" w:lastColumn="0" w:noHBand="0" w:noVBand="1"/>
        <w:tblDescription w:val="Table 3 provides the paired serology outcomes from round one and two by outbreak status for the 129 participants that were in both rounds. &#10;"/>
      </w:tblPr>
      <w:tblGrid>
        <w:gridCol w:w="1843"/>
        <w:gridCol w:w="1843"/>
        <w:gridCol w:w="1134"/>
        <w:gridCol w:w="992"/>
        <w:gridCol w:w="1134"/>
        <w:gridCol w:w="1134"/>
        <w:gridCol w:w="1134"/>
        <w:gridCol w:w="1252"/>
      </w:tblGrid>
      <w:tr w:rsidR="007B47B2" w:rsidRPr="00792536" w14:paraId="3BFA62BE" w14:textId="77777777" w:rsidTr="007B47B2">
        <w:trPr>
          <w:cnfStyle w:val="100000000000" w:firstRow="1" w:lastRow="0" w:firstColumn="0" w:lastColumn="0" w:oddVBand="0" w:evenVBand="0" w:oddHBand="0" w:evenHBand="0" w:firstRowFirstColumn="0" w:firstRowLastColumn="0" w:lastRowFirstColumn="0" w:lastRowLastColumn="0"/>
          <w:tblHeader/>
        </w:trPr>
        <w:tc>
          <w:tcPr>
            <w:tcW w:w="3686" w:type="dxa"/>
            <w:gridSpan w:val="2"/>
            <w:hideMark/>
          </w:tcPr>
          <w:p w14:paraId="563A3691" w14:textId="77777777" w:rsidR="007B47B2" w:rsidRPr="00792536" w:rsidRDefault="007B47B2" w:rsidP="00926E27">
            <w:pPr>
              <w:pStyle w:val="NormalWeb"/>
              <w:rPr>
                <w:sz w:val="18"/>
                <w:szCs w:val="18"/>
                <w:lang w:val="en-GB"/>
              </w:rPr>
            </w:pPr>
            <w:r w:rsidRPr="00792536">
              <w:rPr>
                <w:sz w:val="18"/>
                <w:szCs w:val="18"/>
                <w:lang w:val="en-GB"/>
              </w:rPr>
              <w:t>Paired outcomes</w:t>
            </w:r>
          </w:p>
        </w:tc>
        <w:tc>
          <w:tcPr>
            <w:tcW w:w="2126" w:type="dxa"/>
            <w:gridSpan w:val="2"/>
            <w:hideMark/>
          </w:tcPr>
          <w:p w14:paraId="124C3C55" w14:textId="77777777" w:rsidR="007B47B2" w:rsidRPr="00792536" w:rsidRDefault="007B47B2" w:rsidP="00926E27">
            <w:pPr>
              <w:pStyle w:val="NormalWeb"/>
              <w:rPr>
                <w:sz w:val="18"/>
                <w:szCs w:val="18"/>
                <w:lang w:val="en-GB"/>
              </w:rPr>
            </w:pPr>
            <w:r w:rsidRPr="00792536">
              <w:rPr>
                <w:sz w:val="18"/>
                <w:szCs w:val="18"/>
                <w:lang w:val="en-GB"/>
              </w:rPr>
              <w:t>Outbreak cases</w:t>
            </w:r>
          </w:p>
        </w:tc>
        <w:tc>
          <w:tcPr>
            <w:tcW w:w="2268" w:type="dxa"/>
            <w:gridSpan w:val="2"/>
            <w:hideMark/>
          </w:tcPr>
          <w:p w14:paraId="11B352B0" w14:textId="77777777" w:rsidR="007B47B2" w:rsidRPr="00792536" w:rsidRDefault="007B47B2" w:rsidP="00926E27">
            <w:pPr>
              <w:pStyle w:val="NormalWeb"/>
              <w:rPr>
                <w:sz w:val="18"/>
                <w:szCs w:val="18"/>
                <w:lang w:val="en-GB"/>
              </w:rPr>
            </w:pPr>
            <w:r w:rsidRPr="00792536">
              <w:rPr>
                <w:sz w:val="18"/>
                <w:szCs w:val="18"/>
                <w:lang w:val="en-GB"/>
              </w:rPr>
              <w:t>Outbreak non-cases</w:t>
            </w:r>
          </w:p>
        </w:tc>
        <w:tc>
          <w:tcPr>
            <w:tcW w:w="2386" w:type="dxa"/>
            <w:gridSpan w:val="2"/>
            <w:hideMark/>
          </w:tcPr>
          <w:p w14:paraId="2777DA31" w14:textId="77777777" w:rsidR="007B47B2" w:rsidRPr="00792536" w:rsidRDefault="007B47B2" w:rsidP="00926E27">
            <w:pPr>
              <w:pStyle w:val="NormalWeb"/>
              <w:rPr>
                <w:sz w:val="18"/>
                <w:szCs w:val="18"/>
                <w:lang w:val="en-GB"/>
              </w:rPr>
            </w:pPr>
            <w:r w:rsidRPr="00792536">
              <w:rPr>
                <w:sz w:val="18"/>
                <w:szCs w:val="18"/>
                <w:lang w:val="en-GB"/>
              </w:rPr>
              <w:t>Total</w:t>
            </w:r>
          </w:p>
        </w:tc>
      </w:tr>
      <w:tr w:rsidR="007B47B2" w:rsidRPr="00792536" w14:paraId="7B48C60C" w14:textId="77777777" w:rsidTr="00791912">
        <w:trPr>
          <w:cnfStyle w:val="100000000000" w:firstRow="1" w:lastRow="0" w:firstColumn="0" w:lastColumn="0" w:oddVBand="0" w:evenVBand="0" w:oddHBand="0" w:evenHBand="0" w:firstRowFirstColumn="0" w:firstRowLastColumn="0" w:lastRowFirstColumn="0" w:lastRowLastColumn="0"/>
          <w:tblHeader/>
        </w:trPr>
        <w:tc>
          <w:tcPr>
            <w:tcW w:w="1843" w:type="dxa"/>
            <w:hideMark/>
          </w:tcPr>
          <w:p w14:paraId="0FAADDCE" w14:textId="77777777" w:rsidR="007B47B2" w:rsidRPr="00792536" w:rsidRDefault="007B47B2" w:rsidP="00791912">
            <w:pPr>
              <w:pStyle w:val="NormalWeb"/>
              <w:rPr>
                <w:sz w:val="18"/>
                <w:szCs w:val="18"/>
                <w:lang w:val="en-GB"/>
              </w:rPr>
            </w:pPr>
            <w:r w:rsidRPr="00792536">
              <w:rPr>
                <w:sz w:val="18"/>
                <w:szCs w:val="18"/>
                <w:lang w:val="en-GB"/>
              </w:rPr>
              <w:t>Round one</w:t>
            </w:r>
          </w:p>
        </w:tc>
        <w:tc>
          <w:tcPr>
            <w:tcW w:w="1843" w:type="dxa"/>
            <w:hideMark/>
          </w:tcPr>
          <w:p w14:paraId="290BE5F4" w14:textId="77777777" w:rsidR="007B47B2" w:rsidRPr="00792536" w:rsidRDefault="007B47B2" w:rsidP="00926E27">
            <w:pPr>
              <w:pStyle w:val="NormalWeb"/>
              <w:rPr>
                <w:sz w:val="18"/>
                <w:szCs w:val="18"/>
                <w:lang w:val="en-GB"/>
              </w:rPr>
            </w:pPr>
            <w:r w:rsidRPr="00792536">
              <w:rPr>
                <w:sz w:val="18"/>
                <w:szCs w:val="18"/>
                <w:lang w:val="en-GB"/>
              </w:rPr>
              <w:t>Round two</w:t>
            </w:r>
          </w:p>
        </w:tc>
        <w:tc>
          <w:tcPr>
            <w:tcW w:w="1134" w:type="dxa"/>
            <w:hideMark/>
          </w:tcPr>
          <w:p w14:paraId="48818B5F" w14:textId="77777777" w:rsidR="007B47B2" w:rsidRPr="00792536" w:rsidRDefault="007B47B2" w:rsidP="00926E27">
            <w:pPr>
              <w:pStyle w:val="NormalWeb"/>
              <w:rPr>
                <w:sz w:val="18"/>
                <w:szCs w:val="18"/>
                <w:lang w:val="en-GB"/>
              </w:rPr>
            </w:pPr>
            <w:r w:rsidRPr="00792536">
              <w:rPr>
                <w:sz w:val="18"/>
                <w:szCs w:val="18"/>
                <w:lang w:val="en-GB"/>
              </w:rPr>
              <w:t>Number</w:t>
            </w:r>
          </w:p>
        </w:tc>
        <w:tc>
          <w:tcPr>
            <w:tcW w:w="992" w:type="dxa"/>
            <w:hideMark/>
          </w:tcPr>
          <w:p w14:paraId="2CCC8B29" w14:textId="77777777" w:rsidR="007B47B2" w:rsidRPr="00792536" w:rsidRDefault="007B47B2" w:rsidP="00926E27">
            <w:pPr>
              <w:pStyle w:val="NormalWeb"/>
              <w:rPr>
                <w:sz w:val="18"/>
                <w:szCs w:val="18"/>
                <w:lang w:val="en-GB"/>
              </w:rPr>
            </w:pPr>
            <w:r w:rsidRPr="00792536">
              <w:rPr>
                <w:sz w:val="18"/>
                <w:szCs w:val="18"/>
                <w:lang w:val="en-GB"/>
              </w:rPr>
              <w:t>Percent</w:t>
            </w:r>
          </w:p>
        </w:tc>
        <w:tc>
          <w:tcPr>
            <w:tcW w:w="1134" w:type="dxa"/>
            <w:hideMark/>
          </w:tcPr>
          <w:p w14:paraId="3E0380F5" w14:textId="77777777" w:rsidR="007B47B2" w:rsidRPr="00792536" w:rsidRDefault="007B47B2" w:rsidP="00926E27">
            <w:pPr>
              <w:pStyle w:val="NormalWeb"/>
              <w:rPr>
                <w:sz w:val="18"/>
                <w:szCs w:val="18"/>
                <w:lang w:val="en-GB"/>
              </w:rPr>
            </w:pPr>
            <w:r w:rsidRPr="00792536">
              <w:rPr>
                <w:sz w:val="18"/>
                <w:szCs w:val="18"/>
                <w:lang w:val="en-GB"/>
              </w:rPr>
              <w:t>Number</w:t>
            </w:r>
          </w:p>
        </w:tc>
        <w:tc>
          <w:tcPr>
            <w:tcW w:w="1134" w:type="dxa"/>
            <w:hideMark/>
          </w:tcPr>
          <w:p w14:paraId="27770169" w14:textId="77777777" w:rsidR="007B47B2" w:rsidRPr="00792536" w:rsidRDefault="007B47B2" w:rsidP="00926E27">
            <w:pPr>
              <w:pStyle w:val="NormalWeb"/>
              <w:rPr>
                <w:sz w:val="18"/>
                <w:szCs w:val="18"/>
                <w:lang w:val="en-GB"/>
              </w:rPr>
            </w:pPr>
            <w:r w:rsidRPr="00792536">
              <w:rPr>
                <w:sz w:val="18"/>
                <w:szCs w:val="18"/>
                <w:lang w:val="en-GB"/>
              </w:rPr>
              <w:t>Percent</w:t>
            </w:r>
          </w:p>
        </w:tc>
        <w:tc>
          <w:tcPr>
            <w:tcW w:w="1134" w:type="dxa"/>
            <w:hideMark/>
          </w:tcPr>
          <w:p w14:paraId="1B7DDAC9" w14:textId="77777777" w:rsidR="007B47B2" w:rsidRPr="00792536" w:rsidRDefault="007B47B2" w:rsidP="00926E27">
            <w:pPr>
              <w:pStyle w:val="NormalWeb"/>
              <w:rPr>
                <w:sz w:val="18"/>
                <w:szCs w:val="18"/>
                <w:lang w:val="en-GB"/>
              </w:rPr>
            </w:pPr>
            <w:r w:rsidRPr="00792536">
              <w:rPr>
                <w:sz w:val="18"/>
                <w:szCs w:val="18"/>
                <w:lang w:val="en-GB"/>
              </w:rPr>
              <w:t>Number</w:t>
            </w:r>
          </w:p>
        </w:tc>
        <w:tc>
          <w:tcPr>
            <w:tcW w:w="1252" w:type="dxa"/>
            <w:hideMark/>
          </w:tcPr>
          <w:p w14:paraId="463F08FE" w14:textId="77777777" w:rsidR="007B47B2" w:rsidRPr="00792536" w:rsidRDefault="007B47B2" w:rsidP="00926E27">
            <w:pPr>
              <w:pStyle w:val="NormalWeb"/>
              <w:rPr>
                <w:sz w:val="18"/>
                <w:szCs w:val="18"/>
                <w:lang w:val="en-GB"/>
              </w:rPr>
            </w:pPr>
            <w:r w:rsidRPr="00792536">
              <w:rPr>
                <w:sz w:val="18"/>
                <w:szCs w:val="18"/>
                <w:lang w:val="en-GB"/>
              </w:rPr>
              <w:t>Percent</w:t>
            </w:r>
          </w:p>
        </w:tc>
      </w:tr>
      <w:tr w:rsidR="007B47B2" w:rsidRPr="00792536" w14:paraId="6D413937" w14:textId="77777777" w:rsidTr="00791912">
        <w:tc>
          <w:tcPr>
            <w:tcW w:w="1843" w:type="dxa"/>
            <w:hideMark/>
          </w:tcPr>
          <w:p w14:paraId="31E2A908" w14:textId="77777777" w:rsidR="007B47B2" w:rsidRPr="00792536" w:rsidRDefault="007B47B2" w:rsidP="00791912">
            <w:pPr>
              <w:pStyle w:val="NormalWeb"/>
              <w:rPr>
                <w:sz w:val="18"/>
                <w:szCs w:val="18"/>
                <w:lang w:val="en-GB"/>
              </w:rPr>
            </w:pPr>
            <w:r w:rsidRPr="00792536">
              <w:rPr>
                <w:sz w:val="18"/>
                <w:szCs w:val="18"/>
                <w:lang w:val="en-GB"/>
              </w:rPr>
              <w:t>Positive</w:t>
            </w:r>
          </w:p>
        </w:tc>
        <w:tc>
          <w:tcPr>
            <w:tcW w:w="1843" w:type="dxa"/>
            <w:hideMark/>
          </w:tcPr>
          <w:p w14:paraId="5F7B5652" w14:textId="77777777" w:rsidR="007B47B2" w:rsidRPr="00792536" w:rsidRDefault="007B47B2" w:rsidP="00926E27">
            <w:pPr>
              <w:pStyle w:val="NormalWeb"/>
              <w:rPr>
                <w:sz w:val="18"/>
                <w:szCs w:val="18"/>
                <w:lang w:val="en-GB"/>
              </w:rPr>
            </w:pPr>
            <w:r w:rsidRPr="00792536">
              <w:rPr>
                <w:sz w:val="18"/>
                <w:szCs w:val="18"/>
                <w:lang w:val="en-GB"/>
              </w:rPr>
              <w:t>Positive</w:t>
            </w:r>
          </w:p>
        </w:tc>
        <w:tc>
          <w:tcPr>
            <w:tcW w:w="1134" w:type="dxa"/>
            <w:hideMark/>
          </w:tcPr>
          <w:p w14:paraId="19AB6D65" w14:textId="77777777" w:rsidR="007B47B2" w:rsidRPr="00792536" w:rsidRDefault="007B47B2" w:rsidP="00926E27">
            <w:pPr>
              <w:pStyle w:val="NormalWeb"/>
              <w:rPr>
                <w:sz w:val="18"/>
                <w:szCs w:val="18"/>
                <w:lang w:val="en-GB"/>
              </w:rPr>
            </w:pPr>
            <w:r w:rsidRPr="00792536">
              <w:rPr>
                <w:sz w:val="18"/>
                <w:szCs w:val="18"/>
                <w:lang w:val="en-GB"/>
              </w:rPr>
              <w:t>12</w:t>
            </w:r>
          </w:p>
        </w:tc>
        <w:tc>
          <w:tcPr>
            <w:tcW w:w="992" w:type="dxa"/>
            <w:hideMark/>
          </w:tcPr>
          <w:p w14:paraId="60907ADB" w14:textId="77777777" w:rsidR="007B47B2" w:rsidRPr="00792536" w:rsidRDefault="007B47B2" w:rsidP="00926E27">
            <w:pPr>
              <w:pStyle w:val="NormalWeb"/>
              <w:rPr>
                <w:sz w:val="18"/>
                <w:szCs w:val="18"/>
                <w:lang w:val="en-GB"/>
              </w:rPr>
            </w:pPr>
            <w:r w:rsidRPr="00792536">
              <w:rPr>
                <w:sz w:val="18"/>
                <w:szCs w:val="18"/>
                <w:lang w:val="en-GB"/>
              </w:rPr>
              <w:t>35</w:t>
            </w:r>
          </w:p>
        </w:tc>
        <w:tc>
          <w:tcPr>
            <w:tcW w:w="1134" w:type="dxa"/>
            <w:hideMark/>
          </w:tcPr>
          <w:p w14:paraId="21C6021F" w14:textId="77777777" w:rsidR="007B47B2" w:rsidRPr="00792536" w:rsidRDefault="007B47B2" w:rsidP="00926E27">
            <w:pPr>
              <w:pStyle w:val="NormalWeb"/>
              <w:rPr>
                <w:sz w:val="18"/>
                <w:szCs w:val="18"/>
                <w:lang w:val="en-GB"/>
              </w:rPr>
            </w:pPr>
            <w:r w:rsidRPr="00792536">
              <w:rPr>
                <w:sz w:val="18"/>
                <w:szCs w:val="18"/>
                <w:lang w:val="en-GB"/>
              </w:rPr>
              <w:t>3</w:t>
            </w:r>
          </w:p>
        </w:tc>
        <w:tc>
          <w:tcPr>
            <w:tcW w:w="1134" w:type="dxa"/>
            <w:hideMark/>
          </w:tcPr>
          <w:p w14:paraId="444C1B94" w14:textId="77777777" w:rsidR="007B47B2" w:rsidRPr="00792536" w:rsidRDefault="007B47B2" w:rsidP="00926E27">
            <w:pPr>
              <w:pStyle w:val="NormalWeb"/>
              <w:rPr>
                <w:sz w:val="18"/>
                <w:szCs w:val="18"/>
                <w:lang w:val="en-GB"/>
              </w:rPr>
            </w:pPr>
            <w:r w:rsidRPr="00792536">
              <w:rPr>
                <w:sz w:val="18"/>
                <w:szCs w:val="18"/>
                <w:lang w:val="en-GB"/>
              </w:rPr>
              <w:t>3</w:t>
            </w:r>
          </w:p>
        </w:tc>
        <w:tc>
          <w:tcPr>
            <w:tcW w:w="1134" w:type="dxa"/>
            <w:hideMark/>
          </w:tcPr>
          <w:p w14:paraId="36CADF13" w14:textId="77777777" w:rsidR="007B47B2" w:rsidRPr="00792536" w:rsidRDefault="007B47B2" w:rsidP="00926E27">
            <w:pPr>
              <w:pStyle w:val="NormalWeb"/>
              <w:rPr>
                <w:sz w:val="18"/>
                <w:szCs w:val="18"/>
                <w:lang w:val="en-GB"/>
              </w:rPr>
            </w:pPr>
            <w:r w:rsidRPr="00792536">
              <w:rPr>
                <w:sz w:val="18"/>
                <w:szCs w:val="18"/>
                <w:lang w:val="en-GB"/>
              </w:rPr>
              <w:t>15</w:t>
            </w:r>
          </w:p>
        </w:tc>
        <w:tc>
          <w:tcPr>
            <w:tcW w:w="1252" w:type="dxa"/>
            <w:hideMark/>
          </w:tcPr>
          <w:p w14:paraId="1FDC9B5E" w14:textId="77777777" w:rsidR="007B47B2" w:rsidRPr="00792536" w:rsidRDefault="007B47B2" w:rsidP="00926E27">
            <w:pPr>
              <w:pStyle w:val="NormalWeb"/>
              <w:rPr>
                <w:sz w:val="18"/>
                <w:szCs w:val="18"/>
                <w:lang w:val="en-GB"/>
              </w:rPr>
            </w:pPr>
            <w:r w:rsidRPr="00792536">
              <w:rPr>
                <w:sz w:val="18"/>
                <w:szCs w:val="18"/>
                <w:lang w:val="en-GB"/>
              </w:rPr>
              <w:t>12</w:t>
            </w:r>
          </w:p>
        </w:tc>
      </w:tr>
      <w:tr w:rsidR="007B47B2" w:rsidRPr="00792536" w14:paraId="09073AB0" w14:textId="77777777" w:rsidTr="00791912">
        <w:trPr>
          <w:cnfStyle w:val="000000010000" w:firstRow="0" w:lastRow="0" w:firstColumn="0" w:lastColumn="0" w:oddVBand="0" w:evenVBand="0" w:oddHBand="0" w:evenHBand="1" w:firstRowFirstColumn="0" w:firstRowLastColumn="0" w:lastRowFirstColumn="0" w:lastRowLastColumn="0"/>
        </w:trPr>
        <w:tc>
          <w:tcPr>
            <w:tcW w:w="1843" w:type="dxa"/>
            <w:hideMark/>
          </w:tcPr>
          <w:p w14:paraId="7A3CEB89" w14:textId="77777777" w:rsidR="007B47B2" w:rsidRPr="00792536" w:rsidRDefault="007B47B2" w:rsidP="00791912">
            <w:pPr>
              <w:pStyle w:val="NormalWeb"/>
              <w:rPr>
                <w:sz w:val="18"/>
                <w:szCs w:val="18"/>
                <w:lang w:val="en-GB"/>
              </w:rPr>
            </w:pPr>
            <w:r w:rsidRPr="00792536">
              <w:rPr>
                <w:sz w:val="18"/>
                <w:szCs w:val="18"/>
                <w:lang w:val="en-GB"/>
              </w:rPr>
              <w:t>Positive</w:t>
            </w:r>
          </w:p>
        </w:tc>
        <w:tc>
          <w:tcPr>
            <w:tcW w:w="1843" w:type="dxa"/>
            <w:hideMark/>
          </w:tcPr>
          <w:p w14:paraId="0E24F104" w14:textId="77777777" w:rsidR="007B47B2" w:rsidRPr="00792536" w:rsidRDefault="007B47B2" w:rsidP="00926E27">
            <w:pPr>
              <w:pStyle w:val="NormalWeb"/>
              <w:rPr>
                <w:sz w:val="18"/>
                <w:szCs w:val="18"/>
                <w:lang w:val="en-GB"/>
              </w:rPr>
            </w:pPr>
            <w:r w:rsidRPr="00792536">
              <w:rPr>
                <w:sz w:val="18"/>
                <w:szCs w:val="18"/>
                <w:lang w:val="en-GB"/>
              </w:rPr>
              <w:t>Equivocal</w:t>
            </w:r>
          </w:p>
        </w:tc>
        <w:tc>
          <w:tcPr>
            <w:tcW w:w="1134" w:type="dxa"/>
            <w:hideMark/>
          </w:tcPr>
          <w:p w14:paraId="3A3EDEE0" w14:textId="77777777" w:rsidR="007B47B2" w:rsidRPr="00792536" w:rsidRDefault="007B47B2" w:rsidP="00926E27">
            <w:pPr>
              <w:pStyle w:val="NormalWeb"/>
              <w:rPr>
                <w:sz w:val="18"/>
                <w:szCs w:val="18"/>
                <w:lang w:val="en-GB"/>
              </w:rPr>
            </w:pPr>
            <w:r w:rsidRPr="00792536">
              <w:rPr>
                <w:sz w:val="18"/>
                <w:szCs w:val="18"/>
                <w:lang w:val="en-GB"/>
              </w:rPr>
              <w:t>10</w:t>
            </w:r>
          </w:p>
        </w:tc>
        <w:tc>
          <w:tcPr>
            <w:tcW w:w="992" w:type="dxa"/>
            <w:hideMark/>
          </w:tcPr>
          <w:p w14:paraId="18F9089A" w14:textId="77777777" w:rsidR="007B47B2" w:rsidRPr="00792536" w:rsidRDefault="007B47B2" w:rsidP="00926E27">
            <w:pPr>
              <w:pStyle w:val="NormalWeb"/>
              <w:rPr>
                <w:sz w:val="18"/>
                <w:szCs w:val="18"/>
                <w:lang w:val="en-GB"/>
              </w:rPr>
            </w:pPr>
            <w:r w:rsidRPr="00792536">
              <w:rPr>
                <w:sz w:val="18"/>
                <w:szCs w:val="18"/>
                <w:lang w:val="en-GB"/>
              </w:rPr>
              <w:t>29</w:t>
            </w:r>
          </w:p>
        </w:tc>
        <w:tc>
          <w:tcPr>
            <w:tcW w:w="1134" w:type="dxa"/>
            <w:hideMark/>
          </w:tcPr>
          <w:p w14:paraId="24CBAB87" w14:textId="77777777" w:rsidR="007B47B2" w:rsidRPr="00792536" w:rsidRDefault="007B47B2" w:rsidP="00926E27">
            <w:pPr>
              <w:pStyle w:val="NormalWeb"/>
              <w:rPr>
                <w:sz w:val="18"/>
                <w:szCs w:val="18"/>
                <w:lang w:val="en-GB"/>
              </w:rPr>
            </w:pPr>
            <w:r w:rsidRPr="00792536">
              <w:rPr>
                <w:sz w:val="18"/>
                <w:szCs w:val="18"/>
                <w:lang w:val="en-GB"/>
              </w:rPr>
              <w:t>2</w:t>
            </w:r>
          </w:p>
        </w:tc>
        <w:tc>
          <w:tcPr>
            <w:tcW w:w="1134" w:type="dxa"/>
            <w:hideMark/>
          </w:tcPr>
          <w:p w14:paraId="34801AA2" w14:textId="77777777" w:rsidR="007B47B2" w:rsidRPr="00792536" w:rsidRDefault="007B47B2" w:rsidP="00926E27">
            <w:pPr>
              <w:pStyle w:val="NormalWeb"/>
              <w:rPr>
                <w:sz w:val="18"/>
                <w:szCs w:val="18"/>
                <w:lang w:val="en-GB"/>
              </w:rPr>
            </w:pPr>
            <w:r w:rsidRPr="00792536">
              <w:rPr>
                <w:sz w:val="18"/>
                <w:szCs w:val="18"/>
                <w:lang w:val="en-GB"/>
              </w:rPr>
              <w:t>2</w:t>
            </w:r>
          </w:p>
        </w:tc>
        <w:tc>
          <w:tcPr>
            <w:tcW w:w="1134" w:type="dxa"/>
            <w:hideMark/>
          </w:tcPr>
          <w:p w14:paraId="318A825C" w14:textId="77777777" w:rsidR="007B47B2" w:rsidRPr="00792536" w:rsidRDefault="007B47B2" w:rsidP="00926E27">
            <w:pPr>
              <w:pStyle w:val="NormalWeb"/>
              <w:rPr>
                <w:sz w:val="18"/>
                <w:szCs w:val="18"/>
                <w:lang w:val="en-GB"/>
              </w:rPr>
            </w:pPr>
            <w:r w:rsidRPr="00792536">
              <w:rPr>
                <w:sz w:val="18"/>
                <w:szCs w:val="18"/>
                <w:lang w:val="en-GB"/>
              </w:rPr>
              <w:t>12</w:t>
            </w:r>
          </w:p>
        </w:tc>
        <w:tc>
          <w:tcPr>
            <w:tcW w:w="1252" w:type="dxa"/>
            <w:hideMark/>
          </w:tcPr>
          <w:p w14:paraId="29B7BE2B" w14:textId="77777777" w:rsidR="007B47B2" w:rsidRPr="00792536" w:rsidRDefault="007B47B2" w:rsidP="00926E27">
            <w:pPr>
              <w:pStyle w:val="NormalWeb"/>
              <w:rPr>
                <w:sz w:val="18"/>
                <w:szCs w:val="18"/>
                <w:lang w:val="en-GB"/>
              </w:rPr>
            </w:pPr>
            <w:r w:rsidRPr="00792536">
              <w:rPr>
                <w:sz w:val="18"/>
                <w:szCs w:val="18"/>
                <w:lang w:val="en-GB"/>
              </w:rPr>
              <w:t>9</w:t>
            </w:r>
          </w:p>
        </w:tc>
      </w:tr>
      <w:tr w:rsidR="007B47B2" w:rsidRPr="00792536" w14:paraId="02BA3534" w14:textId="77777777" w:rsidTr="00791912">
        <w:tc>
          <w:tcPr>
            <w:tcW w:w="1843" w:type="dxa"/>
            <w:hideMark/>
          </w:tcPr>
          <w:p w14:paraId="756314DA" w14:textId="77777777" w:rsidR="007B47B2" w:rsidRPr="00792536" w:rsidRDefault="007B47B2" w:rsidP="00791912">
            <w:pPr>
              <w:pStyle w:val="NormalWeb"/>
              <w:rPr>
                <w:sz w:val="18"/>
                <w:szCs w:val="18"/>
                <w:lang w:val="en-GB"/>
              </w:rPr>
            </w:pPr>
            <w:r w:rsidRPr="00792536">
              <w:rPr>
                <w:sz w:val="18"/>
                <w:szCs w:val="18"/>
                <w:lang w:val="en-GB"/>
              </w:rPr>
              <w:t>Positive</w:t>
            </w:r>
          </w:p>
        </w:tc>
        <w:tc>
          <w:tcPr>
            <w:tcW w:w="1843" w:type="dxa"/>
            <w:hideMark/>
          </w:tcPr>
          <w:p w14:paraId="7523E1C2" w14:textId="77777777" w:rsidR="007B47B2" w:rsidRPr="00792536" w:rsidRDefault="007B47B2" w:rsidP="00926E27">
            <w:pPr>
              <w:pStyle w:val="NormalWeb"/>
              <w:rPr>
                <w:sz w:val="18"/>
                <w:szCs w:val="18"/>
                <w:lang w:val="en-GB"/>
              </w:rPr>
            </w:pPr>
            <w:r w:rsidRPr="00792536">
              <w:rPr>
                <w:sz w:val="18"/>
                <w:szCs w:val="18"/>
                <w:lang w:val="en-GB"/>
              </w:rPr>
              <w:t>Negative</w:t>
            </w:r>
          </w:p>
        </w:tc>
        <w:tc>
          <w:tcPr>
            <w:tcW w:w="1134" w:type="dxa"/>
            <w:hideMark/>
          </w:tcPr>
          <w:p w14:paraId="7C98C556" w14:textId="77777777" w:rsidR="007B47B2" w:rsidRPr="00792536" w:rsidRDefault="007B47B2" w:rsidP="00926E27">
            <w:pPr>
              <w:pStyle w:val="NormalWeb"/>
              <w:rPr>
                <w:sz w:val="18"/>
                <w:szCs w:val="18"/>
                <w:lang w:val="en-GB"/>
              </w:rPr>
            </w:pPr>
            <w:r w:rsidRPr="00792536">
              <w:rPr>
                <w:sz w:val="18"/>
                <w:szCs w:val="18"/>
                <w:lang w:val="en-GB"/>
              </w:rPr>
              <w:t>3</w:t>
            </w:r>
          </w:p>
        </w:tc>
        <w:tc>
          <w:tcPr>
            <w:tcW w:w="992" w:type="dxa"/>
            <w:hideMark/>
          </w:tcPr>
          <w:p w14:paraId="0BD769CF" w14:textId="77777777" w:rsidR="007B47B2" w:rsidRPr="00792536" w:rsidRDefault="007B47B2" w:rsidP="00926E27">
            <w:pPr>
              <w:pStyle w:val="NormalWeb"/>
              <w:rPr>
                <w:sz w:val="18"/>
                <w:szCs w:val="18"/>
                <w:lang w:val="en-GB"/>
              </w:rPr>
            </w:pPr>
            <w:r w:rsidRPr="00792536">
              <w:rPr>
                <w:sz w:val="18"/>
                <w:szCs w:val="18"/>
                <w:lang w:val="en-GB"/>
              </w:rPr>
              <w:t>9</w:t>
            </w:r>
          </w:p>
        </w:tc>
        <w:tc>
          <w:tcPr>
            <w:tcW w:w="1134" w:type="dxa"/>
            <w:hideMark/>
          </w:tcPr>
          <w:p w14:paraId="6202DD86" w14:textId="77777777" w:rsidR="007B47B2" w:rsidRPr="00792536" w:rsidRDefault="007B47B2" w:rsidP="00926E27">
            <w:pPr>
              <w:pStyle w:val="NormalWeb"/>
              <w:rPr>
                <w:sz w:val="18"/>
                <w:szCs w:val="18"/>
                <w:lang w:val="en-GB"/>
              </w:rPr>
            </w:pPr>
            <w:r w:rsidRPr="00792536">
              <w:rPr>
                <w:sz w:val="18"/>
                <w:szCs w:val="18"/>
                <w:lang w:val="en-GB"/>
              </w:rPr>
              <w:t>—</w:t>
            </w:r>
          </w:p>
        </w:tc>
        <w:tc>
          <w:tcPr>
            <w:tcW w:w="1134" w:type="dxa"/>
            <w:hideMark/>
          </w:tcPr>
          <w:p w14:paraId="22F947C8" w14:textId="77777777" w:rsidR="007B47B2" w:rsidRPr="00792536" w:rsidRDefault="007B47B2" w:rsidP="00926E27">
            <w:pPr>
              <w:pStyle w:val="NormalWeb"/>
              <w:rPr>
                <w:sz w:val="18"/>
                <w:szCs w:val="18"/>
                <w:lang w:val="en-GB"/>
              </w:rPr>
            </w:pPr>
            <w:r w:rsidRPr="00792536">
              <w:rPr>
                <w:sz w:val="18"/>
                <w:szCs w:val="18"/>
                <w:lang w:val="en-GB"/>
              </w:rPr>
              <w:t>—</w:t>
            </w:r>
          </w:p>
        </w:tc>
        <w:tc>
          <w:tcPr>
            <w:tcW w:w="1134" w:type="dxa"/>
            <w:hideMark/>
          </w:tcPr>
          <w:p w14:paraId="50437EED" w14:textId="77777777" w:rsidR="007B47B2" w:rsidRPr="00792536" w:rsidRDefault="007B47B2" w:rsidP="00926E27">
            <w:pPr>
              <w:pStyle w:val="NormalWeb"/>
              <w:rPr>
                <w:sz w:val="18"/>
                <w:szCs w:val="18"/>
                <w:lang w:val="en-GB"/>
              </w:rPr>
            </w:pPr>
            <w:r w:rsidRPr="00792536">
              <w:rPr>
                <w:sz w:val="18"/>
                <w:szCs w:val="18"/>
                <w:lang w:val="en-GB"/>
              </w:rPr>
              <w:t>3</w:t>
            </w:r>
          </w:p>
        </w:tc>
        <w:tc>
          <w:tcPr>
            <w:tcW w:w="1252" w:type="dxa"/>
            <w:hideMark/>
          </w:tcPr>
          <w:p w14:paraId="48691793" w14:textId="77777777" w:rsidR="007B47B2" w:rsidRPr="00792536" w:rsidRDefault="007B47B2" w:rsidP="00926E27">
            <w:pPr>
              <w:pStyle w:val="NormalWeb"/>
              <w:rPr>
                <w:sz w:val="18"/>
                <w:szCs w:val="18"/>
                <w:lang w:val="en-GB"/>
              </w:rPr>
            </w:pPr>
            <w:r w:rsidRPr="00792536">
              <w:rPr>
                <w:sz w:val="18"/>
                <w:szCs w:val="18"/>
                <w:lang w:val="en-GB"/>
              </w:rPr>
              <w:t>2</w:t>
            </w:r>
          </w:p>
        </w:tc>
      </w:tr>
      <w:tr w:rsidR="007B47B2" w:rsidRPr="00792536" w14:paraId="1AE1B5F8" w14:textId="77777777" w:rsidTr="00791912">
        <w:trPr>
          <w:cnfStyle w:val="000000010000" w:firstRow="0" w:lastRow="0" w:firstColumn="0" w:lastColumn="0" w:oddVBand="0" w:evenVBand="0" w:oddHBand="0" w:evenHBand="1" w:firstRowFirstColumn="0" w:firstRowLastColumn="0" w:lastRowFirstColumn="0" w:lastRowLastColumn="0"/>
        </w:trPr>
        <w:tc>
          <w:tcPr>
            <w:tcW w:w="1843" w:type="dxa"/>
            <w:hideMark/>
          </w:tcPr>
          <w:p w14:paraId="3C97B45A" w14:textId="77777777" w:rsidR="007B47B2" w:rsidRPr="00792536" w:rsidRDefault="007B47B2" w:rsidP="00791912">
            <w:pPr>
              <w:pStyle w:val="NormalWeb"/>
              <w:rPr>
                <w:sz w:val="18"/>
                <w:szCs w:val="18"/>
                <w:lang w:val="en-GB"/>
              </w:rPr>
            </w:pPr>
            <w:r w:rsidRPr="00792536">
              <w:rPr>
                <w:sz w:val="18"/>
                <w:szCs w:val="18"/>
                <w:lang w:val="en-GB"/>
              </w:rPr>
              <w:t>Equivocal</w:t>
            </w:r>
          </w:p>
        </w:tc>
        <w:tc>
          <w:tcPr>
            <w:tcW w:w="1843" w:type="dxa"/>
            <w:hideMark/>
          </w:tcPr>
          <w:p w14:paraId="22EEBDD6" w14:textId="77777777" w:rsidR="007B47B2" w:rsidRPr="00792536" w:rsidRDefault="007B47B2" w:rsidP="00926E27">
            <w:pPr>
              <w:pStyle w:val="NormalWeb"/>
              <w:rPr>
                <w:sz w:val="18"/>
                <w:szCs w:val="18"/>
                <w:lang w:val="en-GB"/>
              </w:rPr>
            </w:pPr>
            <w:r w:rsidRPr="00792536">
              <w:rPr>
                <w:sz w:val="18"/>
                <w:szCs w:val="18"/>
                <w:lang w:val="en-GB"/>
              </w:rPr>
              <w:t>Equivocal</w:t>
            </w:r>
          </w:p>
        </w:tc>
        <w:tc>
          <w:tcPr>
            <w:tcW w:w="1134" w:type="dxa"/>
            <w:hideMark/>
          </w:tcPr>
          <w:p w14:paraId="3BF57CC1" w14:textId="77777777" w:rsidR="007B47B2" w:rsidRPr="00792536" w:rsidRDefault="007B47B2" w:rsidP="00926E27">
            <w:pPr>
              <w:pStyle w:val="NormalWeb"/>
              <w:rPr>
                <w:sz w:val="18"/>
                <w:szCs w:val="18"/>
                <w:lang w:val="en-GB"/>
              </w:rPr>
            </w:pPr>
            <w:r w:rsidRPr="00792536">
              <w:rPr>
                <w:sz w:val="18"/>
                <w:szCs w:val="18"/>
                <w:lang w:val="en-GB"/>
              </w:rPr>
              <w:t>—</w:t>
            </w:r>
          </w:p>
        </w:tc>
        <w:tc>
          <w:tcPr>
            <w:tcW w:w="992" w:type="dxa"/>
            <w:hideMark/>
          </w:tcPr>
          <w:p w14:paraId="53BFD2ED" w14:textId="77777777" w:rsidR="007B47B2" w:rsidRPr="00792536" w:rsidRDefault="007B47B2" w:rsidP="00926E27">
            <w:pPr>
              <w:pStyle w:val="NormalWeb"/>
              <w:rPr>
                <w:sz w:val="18"/>
                <w:szCs w:val="18"/>
                <w:lang w:val="en-GB"/>
              </w:rPr>
            </w:pPr>
            <w:r w:rsidRPr="00792536">
              <w:rPr>
                <w:sz w:val="18"/>
                <w:szCs w:val="18"/>
                <w:lang w:val="en-GB"/>
              </w:rPr>
              <w:t>—</w:t>
            </w:r>
          </w:p>
        </w:tc>
        <w:tc>
          <w:tcPr>
            <w:tcW w:w="1134" w:type="dxa"/>
            <w:hideMark/>
          </w:tcPr>
          <w:p w14:paraId="010BADA3" w14:textId="77777777" w:rsidR="007B47B2" w:rsidRPr="00792536" w:rsidRDefault="007B47B2" w:rsidP="00926E27">
            <w:pPr>
              <w:pStyle w:val="NormalWeb"/>
              <w:rPr>
                <w:sz w:val="18"/>
                <w:szCs w:val="18"/>
                <w:lang w:val="en-GB"/>
              </w:rPr>
            </w:pPr>
            <w:r w:rsidRPr="00792536">
              <w:rPr>
                <w:sz w:val="18"/>
                <w:szCs w:val="18"/>
                <w:lang w:val="en-GB"/>
              </w:rPr>
              <w:t>2</w:t>
            </w:r>
          </w:p>
        </w:tc>
        <w:tc>
          <w:tcPr>
            <w:tcW w:w="1134" w:type="dxa"/>
            <w:hideMark/>
          </w:tcPr>
          <w:p w14:paraId="3810EA08" w14:textId="77777777" w:rsidR="007B47B2" w:rsidRPr="00792536" w:rsidRDefault="007B47B2" w:rsidP="00926E27">
            <w:pPr>
              <w:pStyle w:val="NormalWeb"/>
              <w:rPr>
                <w:sz w:val="18"/>
                <w:szCs w:val="18"/>
                <w:lang w:val="en-GB"/>
              </w:rPr>
            </w:pPr>
            <w:r w:rsidRPr="00792536">
              <w:rPr>
                <w:sz w:val="18"/>
                <w:szCs w:val="18"/>
                <w:lang w:val="en-GB"/>
              </w:rPr>
              <w:t>2</w:t>
            </w:r>
          </w:p>
        </w:tc>
        <w:tc>
          <w:tcPr>
            <w:tcW w:w="1134" w:type="dxa"/>
            <w:hideMark/>
          </w:tcPr>
          <w:p w14:paraId="7BEF0800" w14:textId="77777777" w:rsidR="007B47B2" w:rsidRPr="00792536" w:rsidRDefault="007B47B2" w:rsidP="00926E27">
            <w:pPr>
              <w:pStyle w:val="NormalWeb"/>
              <w:rPr>
                <w:sz w:val="18"/>
                <w:szCs w:val="18"/>
                <w:lang w:val="en-GB"/>
              </w:rPr>
            </w:pPr>
            <w:r w:rsidRPr="00792536">
              <w:rPr>
                <w:sz w:val="18"/>
                <w:szCs w:val="18"/>
                <w:lang w:val="en-GB"/>
              </w:rPr>
              <w:t>2</w:t>
            </w:r>
          </w:p>
        </w:tc>
        <w:tc>
          <w:tcPr>
            <w:tcW w:w="1252" w:type="dxa"/>
            <w:hideMark/>
          </w:tcPr>
          <w:p w14:paraId="1C12DE2A" w14:textId="77777777" w:rsidR="007B47B2" w:rsidRPr="00792536" w:rsidRDefault="007B47B2" w:rsidP="00926E27">
            <w:pPr>
              <w:pStyle w:val="NormalWeb"/>
              <w:rPr>
                <w:sz w:val="18"/>
                <w:szCs w:val="18"/>
                <w:lang w:val="en-GB"/>
              </w:rPr>
            </w:pPr>
            <w:r w:rsidRPr="00792536">
              <w:rPr>
                <w:sz w:val="18"/>
                <w:szCs w:val="18"/>
                <w:lang w:val="en-GB"/>
              </w:rPr>
              <w:t>2</w:t>
            </w:r>
          </w:p>
        </w:tc>
      </w:tr>
      <w:tr w:rsidR="007B47B2" w:rsidRPr="00792536" w14:paraId="7CA919D0" w14:textId="77777777" w:rsidTr="00791912">
        <w:tc>
          <w:tcPr>
            <w:tcW w:w="1843" w:type="dxa"/>
            <w:hideMark/>
          </w:tcPr>
          <w:p w14:paraId="600EB439" w14:textId="77777777" w:rsidR="007B47B2" w:rsidRPr="00792536" w:rsidRDefault="007B47B2" w:rsidP="00791912">
            <w:pPr>
              <w:pStyle w:val="NormalWeb"/>
              <w:rPr>
                <w:sz w:val="18"/>
                <w:szCs w:val="18"/>
                <w:lang w:val="en-GB"/>
              </w:rPr>
            </w:pPr>
            <w:r w:rsidRPr="00792536">
              <w:rPr>
                <w:sz w:val="18"/>
                <w:szCs w:val="18"/>
                <w:lang w:val="en-GB"/>
              </w:rPr>
              <w:t>Equivocal</w:t>
            </w:r>
          </w:p>
        </w:tc>
        <w:tc>
          <w:tcPr>
            <w:tcW w:w="1843" w:type="dxa"/>
            <w:hideMark/>
          </w:tcPr>
          <w:p w14:paraId="2F24D356" w14:textId="77777777" w:rsidR="007B47B2" w:rsidRPr="00792536" w:rsidRDefault="007B47B2" w:rsidP="00926E27">
            <w:pPr>
              <w:pStyle w:val="NormalWeb"/>
              <w:rPr>
                <w:sz w:val="18"/>
                <w:szCs w:val="18"/>
                <w:lang w:val="en-GB"/>
              </w:rPr>
            </w:pPr>
            <w:r w:rsidRPr="00792536">
              <w:rPr>
                <w:sz w:val="18"/>
                <w:szCs w:val="18"/>
                <w:lang w:val="en-GB"/>
              </w:rPr>
              <w:t>Negative</w:t>
            </w:r>
          </w:p>
        </w:tc>
        <w:tc>
          <w:tcPr>
            <w:tcW w:w="1134" w:type="dxa"/>
            <w:hideMark/>
          </w:tcPr>
          <w:p w14:paraId="32CC61E9" w14:textId="77777777" w:rsidR="007B47B2" w:rsidRPr="00792536" w:rsidRDefault="007B47B2" w:rsidP="00926E27">
            <w:pPr>
              <w:pStyle w:val="NormalWeb"/>
              <w:rPr>
                <w:sz w:val="18"/>
                <w:szCs w:val="18"/>
                <w:lang w:val="en-GB"/>
              </w:rPr>
            </w:pPr>
            <w:r w:rsidRPr="00792536">
              <w:rPr>
                <w:sz w:val="18"/>
                <w:szCs w:val="18"/>
                <w:lang w:val="en-GB"/>
              </w:rPr>
              <w:t>7</w:t>
            </w:r>
          </w:p>
        </w:tc>
        <w:tc>
          <w:tcPr>
            <w:tcW w:w="992" w:type="dxa"/>
            <w:hideMark/>
          </w:tcPr>
          <w:p w14:paraId="65D4EF0D" w14:textId="77777777" w:rsidR="007B47B2" w:rsidRPr="00792536" w:rsidRDefault="007B47B2" w:rsidP="00926E27">
            <w:pPr>
              <w:pStyle w:val="NormalWeb"/>
              <w:rPr>
                <w:sz w:val="18"/>
                <w:szCs w:val="18"/>
                <w:lang w:val="en-GB"/>
              </w:rPr>
            </w:pPr>
            <w:r w:rsidRPr="00792536">
              <w:rPr>
                <w:sz w:val="18"/>
                <w:szCs w:val="18"/>
                <w:lang w:val="en-GB"/>
              </w:rPr>
              <w:t>21</w:t>
            </w:r>
          </w:p>
        </w:tc>
        <w:tc>
          <w:tcPr>
            <w:tcW w:w="1134" w:type="dxa"/>
            <w:hideMark/>
          </w:tcPr>
          <w:p w14:paraId="34E3A389" w14:textId="77777777" w:rsidR="007B47B2" w:rsidRPr="00792536" w:rsidRDefault="007B47B2" w:rsidP="00926E27">
            <w:pPr>
              <w:pStyle w:val="NormalWeb"/>
              <w:rPr>
                <w:sz w:val="18"/>
                <w:szCs w:val="18"/>
                <w:lang w:val="en-GB"/>
              </w:rPr>
            </w:pPr>
            <w:r w:rsidRPr="00792536">
              <w:rPr>
                <w:sz w:val="18"/>
                <w:szCs w:val="18"/>
                <w:lang w:val="en-GB"/>
              </w:rPr>
              <w:t>2</w:t>
            </w:r>
          </w:p>
        </w:tc>
        <w:tc>
          <w:tcPr>
            <w:tcW w:w="1134" w:type="dxa"/>
            <w:hideMark/>
          </w:tcPr>
          <w:p w14:paraId="1C058222" w14:textId="77777777" w:rsidR="007B47B2" w:rsidRPr="00792536" w:rsidRDefault="007B47B2" w:rsidP="00926E27">
            <w:pPr>
              <w:pStyle w:val="NormalWeb"/>
              <w:rPr>
                <w:sz w:val="18"/>
                <w:szCs w:val="18"/>
                <w:lang w:val="en-GB"/>
              </w:rPr>
            </w:pPr>
            <w:r w:rsidRPr="00792536">
              <w:rPr>
                <w:sz w:val="18"/>
                <w:szCs w:val="18"/>
                <w:lang w:val="en-GB"/>
              </w:rPr>
              <w:t>2</w:t>
            </w:r>
          </w:p>
        </w:tc>
        <w:tc>
          <w:tcPr>
            <w:tcW w:w="1134" w:type="dxa"/>
            <w:hideMark/>
          </w:tcPr>
          <w:p w14:paraId="1A5E1125" w14:textId="77777777" w:rsidR="007B47B2" w:rsidRPr="00792536" w:rsidRDefault="007B47B2" w:rsidP="00926E27">
            <w:pPr>
              <w:pStyle w:val="NormalWeb"/>
              <w:rPr>
                <w:sz w:val="18"/>
                <w:szCs w:val="18"/>
                <w:lang w:val="en-GB"/>
              </w:rPr>
            </w:pPr>
            <w:r w:rsidRPr="00792536">
              <w:rPr>
                <w:sz w:val="18"/>
                <w:szCs w:val="18"/>
                <w:lang w:val="en-GB"/>
              </w:rPr>
              <w:t>9</w:t>
            </w:r>
          </w:p>
        </w:tc>
        <w:tc>
          <w:tcPr>
            <w:tcW w:w="1252" w:type="dxa"/>
            <w:hideMark/>
          </w:tcPr>
          <w:p w14:paraId="25C47429" w14:textId="77777777" w:rsidR="007B47B2" w:rsidRPr="00792536" w:rsidRDefault="007B47B2" w:rsidP="00926E27">
            <w:pPr>
              <w:pStyle w:val="NormalWeb"/>
              <w:rPr>
                <w:sz w:val="18"/>
                <w:szCs w:val="18"/>
                <w:lang w:val="en-GB"/>
              </w:rPr>
            </w:pPr>
            <w:r w:rsidRPr="00792536">
              <w:rPr>
                <w:sz w:val="18"/>
                <w:szCs w:val="18"/>
                <w:lang w:val="en-GB"/>
              </w:rPr>
              <w:t>7</w:t>
            </w:r>
          </w:p>
        </w:tc>
      </w:tr>
      <w:tr w:rsidR="007B47B2" w:rsidRPr="00792536" w14:paraId="7B632AD8" w14:textId="77777777" w:rsidTr="00791912">
        <w:trPr>
          <w:cnfStyle w:val="000000010000" w:firstRow="0" w:lastRow="0" w:firstColumn="0" w:lastColumn="0" w:oddVBand="0" w:evenVBand="0" w:oddHBand="0" w:evenHBand="1" w:firstRowFirstColumn="0" w:firstRowLastColumn="0" w:lastRowFirstColumn="0" w:lastRowLastColumn="0"/>
        </w:trPr>
        <w:tc>
          <w:tcPr>
            <w:tcW w:w="1843" w:type="dxa"/>
            <w:hideMark/>
          </w:tcPr>
          <w:p w14:paraId="7E50475B" w14:textId="77777777" w:rsidR="007B47B2" w:rsidRPr="00792536" w:rsidRDefault="007B47B2" w:rsidP="00791912">
            <w:pPr>
              <w:pStyle w:val="NormalWeb"/>
              <w:rPr>
                <w:sz w:val="18"/>
                <w:szCs w:val="18"/>
                <w:lang w:val="en-GB"/>
              </w:rPr>
            </w:pPr>
            <w:r w:rsidRPr="00792536">
              <w:rPr>
                <w:sz w:val="18"/>
                <w:szCs w:val="18"/>
                <w:lang w:val="en-GB"/>
              </w:rPr>
              <w:t>Negative</w:t>
            </w:r>
          </w:p>
        </w:tc>
        <w:tc>
          <w:tcPr>
            <w:tcW w:w="1843" w:type="dxa"/>
            <w:hideMark/>
          </w:tcPr>
          <w:p w14:paraId="68CE6591" w14:textId="77777777" w:rsidR="007B47B2" w:rsidRPr="00792536" w:rsidRDefault="007B47B2" w:rsidP="00926E27">
            <w:pPr>
              <w:pStyle w:val="NormalWeb"/>
              <w:rPr>
                <w:sz w:val="18"/>
                <w:szCs w:val="18"/>
                <w:lang w:val="en-GB"/>
              </w:rPr>
            </w:pPr>
            <w:r w:rsidRPr="00792536">
              <w:rPr>
                <w:sz w:val="18"/>
                <w:szCs w:val="18"/>
                <w:lang w:val="en-GB"/>
              </w:rPr>
              <w:t>Negative</w:t>
            </w:r>
          </w:p>
        </w:tc>
        <w:tc>
          <w:tcPr>
            <w:tcW w:w="1134" w:type="dxa"/>
            <w:hideMark/>
          </w:tcPr>
          <w:p w14:paraId="511B6116" w14:textId="77777777" w:rsidR="007B47B2" w:rsidRPr="00792536" w:rsidRDefault="007B47B2" w:rsidP="00926E27">
            <w:pPr>
              <w:pStyle w:val="NormalWeb"/>
              <w:rPr>
                <w:sz w:val="18"/>
                <w:szCs w:val="18"/>
                <w:lang w:val="en-GB"/>
              </w:rPr>
            </w:pPr>
            <w:r w:rsidRPr="00792536">
              <w:rPr>
                <w:sz w:val="18"/>
                <w:szCs w:val="18"/>
                <w:lang w:val="en-GB"/>
              </w:rPr>
              <w:t>2</w:t>
            </w:r>
          </w:p>
        </w:tc>
        <w:tc>
          <w:tcPr>
            <w:tcW w:w="992" w:type="dxa"/>
            <w:hideMark/>
          </w:tcPr>
          <w:p w14:paraId="22687B09" w14:textId="77777777" w:rsidR="007B47B2" w:rsidRPr="00792536" w:rsidRDefault="007B47B2" w:rsidP="00926E27">
            <w:pPr>
              <w:pStyle w:val="NormalWeb"/>
              <w:rPr>
                <w:sz w:val="18"/>
                <w:szCs w:val="18"/>
                <w:lang w:val="en-GB"/>
              </w:rPr>
            </w:pPr>
            <w:r w:rsidRPr="00792536">
              <w:rPr>
                <w:sz w:val="18"/>
                <w:szCs w:val="18"/>
                <w:lang w:val="en-GB"/>
              </w:rPr>
              <w:t>6</w:t>
            </w:r>
          </w:p>
        </w:tc>
        <w:tc>
          <w:tcPr>
            <w:tcW w:w="1134" w:type="dxa"/>
            <w:hideMark/>
          </w:tcPr>
          <w:p w14:paraId="1D44CD48" w14:textId="77777777" w:rsidR="007B47B2" w:rsidRPr="00792536" w:rsidRDefault="007B47B2" w:rsidP="00926E27">
            <w:pPr>
              <w:pStyle w:val="NormalWeb"/>
              <w:rPr>
                <w:sz w:val="18"/>
                <w:szCs w:val="18"/>
                <w:lang w:val="en-GB"/>
              </w:rPr>
            </w:pPr>
            <w:r w:rsidRPr="00792536">
              <w:rPr>
                <w:sz w:val="18"/>
                <w:szCs w:val="18"/>
                <w:lang w:val="en-GB"/>
              </w:rPr>
              <w:t>86</w:t>
            </w:r>
          </w:p>
        </w:tc>
        <w:tc>
          <w:tcPr>
            <w:tcW w:w="1134" w:type="dxa"/>
            <w:hideMark/>
          </w:tcPr>
          <w:p w14:paraId="738401CB" w14:textId="77777777" w:rsidR="007B47B2" w:rsidRPr="00792536" w:rsidRDefault="007B47B2" w:rsidP="00926E27">
            <w:pPr>
              <w:pStyle w:val="NormalWeb"/>
              <w:rPr>
                <w:sz w:val="18"/>
                <w:szCs w:val="18"/>
                <w:lang w:val="en-GB"/>
              </w:rPr>
            </w:pPr>
            <w:r w:rsidRPr="00792536">
              <w:rPr>
                <w:sz w:val="18"/>
                <w:szCs w:val="18"/>
                <w:lang w:val="en-GB"/>
              </w:rPr>
              <w:t>91</w:t>
            </w:r>
          </w:p>
        </w:tc>
        <w:tc>
          <w:tcPr>
            <w:tcW w:w="1134" w:type="dxa"/>
            <w:hideMark/>
          </w:tcPr>
          <w:p w14:paraId="2A45C341" w14:textId="77777777" w:rsidR="007B47B2" w:rsidRPr="00792536" w:rsidRDefault="007B47B2" w:rsidP="00926E27">
            <w:pPr>
              <w:pStyle w:val="NormalWeb"/>
              <w:rPr>
                <w:sz w:val="18"/>
                <w:szCs w:val="18"/>
                <w:lang w:val="en-GB"/>
              </w:rPr>
            </w:pPr>
            <w:r w:rsidRPr="00792536">
              <w:rPr>
                <w:sz w:val="18"/>
                <w:szCs w:val="18"/>
                <w:lang w:val="en-GB"/>
              </w:rPr>
              <w:t>88</w:t>
            </w:r>
          </w:p>
        </w:tc>
        <w:tc>
          <w:tcPr>
            <w:tcW w:w="1252" w:type="dxa"/>
            <w:hideMark/>
          </w:tcPr>
          <w:p w14:paraId="51606DDA" w14:textId="77777777" w:rsidR="007B47B2" w:rsidRPr="00792536" w:rsidRDefault="007B47B2" w:rsidP="00926E27">
            <w:pPr>
              <w:pStyle w:val="NormalWeb"/>
              <w:rPr>
                <w:sz w:val="18"/>
                <w:szCs w:val="18"/>
                <w:lang w:val="en-GB"/>
              </w:rPr>
            </w:pPr>
            <w:r w:rsidRPr="00792536">
              <w:rPr>
                <w:sz w:val="18"/>
                <w:szCs w:val="18"/>
                <w:lang w:val="en-GB"/>
              </w:rPr>
              <w:t>68</w:t>
            </w:r>
          </w:p>
        </w:tc>
      </w:tr>
      <w:tr w:rsidR="007B47B2" w:rsidRPr="00792536" w14:paraId="46A4032E" w14:textId="77777777" w:rsidTr="00791912">
        <w:tc>
          <w:tcPr>
            <w:tcW w:w="1843" w:type="dxa"/>
            <w:shd w:val="clear" w:color="auto" w:fill="F7ECDD"/>
            <w:hideMark/>
          </w:tcPr>
          <w:p w14:paraId="266F9AD4" w14:textId="77777777" w:rsidR="007B47B2" w:rsidRPr="00792536" w:rsidRDefault="007B47B2" w:rsidP="00791912">
            <w:pPr>
              <w:pStyle w:val="NormalWeb"/>
              <w:rPr>
                <w:b/>
                <w:bCs/>
                <w:sz w:val="18"/>
                <w:szCs w:val="18"/>
                <w:lang w:val="en-GB"/>
              </w:rPr>
            </w:pPr>
            <w:r w:rsidRPr="00792536">
              <w:rPr>
                <w:b/>
                <w:bCs/>
                <w:sz w:val="18"/>
                <w:szCs w:val="18"/>
                <w:lang w:val="en-GB"/>
              </w:rPr>
              <w:t>Total</w:t>
            </w:r>
          </w:p>
        </w:tc>
        <w:tc>
          <w:tcPr>
            <w:tcW w:w="1843" w:type="dxa"/>
            <w:shd w:val="clear" w:color="auto" w:fill="F7ECDD"/>
            <w:hideMark/>
          </w:tcPr>
          <w:p w14:paraId="22938252" w14:textId="77777777" w:rsidR="007B47B2" w:rsidRPr="00792536" w:rsidRDefault="007B47B2" w:rsidP="00926E27">
            <w:pPr>
              <w:pStyle w:val="NormalWeb"/>
              <w:rPr>
                <w:b/>
                <w:bCs/>
                <w:sz w:val="18"/>
                <w:szCs w:val="18"/>
                <w:lang w:val="en-GB"/>
              </w:rPr>
            </w:pPr>
            <w:r w:rsidRPr="00792536">
              <w:rPr>
                <w:b/>
                <w:bCs/>
                <w:sz w:val="18"/>
                <w:szCs w:val="18"/>
                <w:lang w:val="en-GB"/>
              </w:rPr>
              <w:t>Total</w:t>
            </w:r>
          </w:p>
        </w:tc>
        <w:tc>
          <w:tcPr>
            <w:tcW w:w="1134" w:type="dxa"/>
            <w:shd w:val="clear" w:color="auto" w:fill="F7ECDD"/>
            <w:hideMark/>
          </w:tcPr>
          <w:p w14:paraId="0FFB4C53" w14:textId="77777777" w:rsidR="007B47B2" w:rsidRPr="00792536" w:rsidRDefault="007B47B2" w:rsidP="00926E27">
            <w:pPr>
              <w:pStyle w:val="NormalWeb"/>
              <w:rPr>
                <w:b/>
                <w:bCs/>
                <w:sz w:val="18"/>
                <w:szCs w:val="18"/>
                <w:lang w:val="en-GB"/>
              </w:rPr>
            </w:pPr>
            <w:r w:rsidRPr="00792536">
              <w:rPr>
                <w:b/>
                <w:bCs/>
                <w:sz w:val="18"/>
                <w:szCs w:val="18"/>
                <w:lang w:val="en-GB"/>
              </w:rPr>
              <w:t>34</w:t>
            </w:r>
          </w:p>
        </w:tc>
        <w:tc>
          <w:tcPr>
            <w:tcW w:w="992" w:type="dxa"/>
            <w:shd w:val="clear" w:color="auto" w:fill="F7ECDD"/>
            <w:hideMark/>
          </w:tcPr>
          <w:p w14:paraId="36ABB909" w14:textId="77777777" w:rsidR="007B47B2" w:rsidRPr="00792536" w:rsidRDefault="007B47B2" w:rsidP="00926E27">
            <w:pPr>
              <w:pStyle w:val="NormalWeb"/>
              <w:rPr>
                <w:b/>
                <w:bCs/>
                <w:sz w:val="18"/>
                <w:szCs w:val="18"/>
                <w:lang w:val="en-GB"/>
              </w:rPr>
            </w:pPr>
            <w:r w:rsidRPr="00792536">
              <w:rPr>
                <w:b/>
                <w:bCs/>
                <w:sz w:val="18"/>
                <w:szCs w:val="18"/>
                <w:lang w:val="en-GB"/>
              </w:rPr>
              <w:t>100</w:t>
            </w:r>
          </w:p>
        </w:tc>
        <w:tc>
          <w:tcPr>
            <w:tcW w:w="1134" w:type="dxa"/>
            <w:shd w:val="clear" w:color="auto" w:fill="F7ECDD"/>
            <w:hideMark/>
          </w:tcPr>
          <w:p w14:paraId="74E6608A" w14:textId="77777777" w:rsidR="007B47B2" w:rsidRPr="00792536" w:rsidRDefault="007B47B2" w:rsidP="00926E27">
            <w:pPr>
              <w:pStyle w:val="NormalWeb"/>
              <w:rPr>
                <w:b/>
                <w:bCs/>
                <w:sz w:val="18"/>
                <w:szCs w:val="18"/>
                <w:lang w:val="en-GB"/>
              </w:rPr>
            </w:pPr>
            <w:r w:rsidRPr="00792536">
              <w:rPr>
                <w:b/>
                <w:bCs/>
                <w:sz w:val="18"/>
                <w:szCs w:val="18"/>
                <w:lang w:val="en-GB"/>
              </w:rPr>
              <w:t>95</w:t>
            </w:r>
          </w:p>
        </w:tc>
        <w:tc>
          <w:tcPr>
            <w:tcW w:w="1134" w:type="dxa"/>
            <w:shd w:val="clear" w:color="auto" w:fill="F7ECDD"/>
            <w:hideMark/>
          </w:tcPr>
          <w:p w14:paraId="451278E8" w14:textId="77777777" w:rsidR="007B47B2" w:rsidRPr="00792536" w:rsidRDefault="007B47B2" w:rsidP="00926E27">
            <w:pPr>
              <w:pStyle w:val="NormalWeb"/>
              <w:rPr>
                <w:b/>
                <w:bCs/>
                <w:sz w:val="18"/>
                <w:szCs w:val="18"/>
                <w:lang w:val="en-GB"/>
              </w:rPr>
            </w:pPr>
            <w:r w:rsidRPr="00792536">
              <w:rPr>
                <w:b/>
                <w:bCs/>
                <w:sz w:val="18"/>
                <w:szCs w:val="18"/>
                <w:lang w:val="en-GB"/>
              </w:rPr>
              <w:t>100</w:t>
            </w:r>
          </w:p>
        </w:tc>
        <w:tc>
          <w:tcPr>
            <w:tcW w:w="1134" w:type="dxa"/>
            <w:shd w:val="clear" w:color="auto" w:fill="F7ECDD"/>
            <w:hideMark/>
          </w:tcPr>
          <w:p w14:paraId="70B52FF9" w14:textId="77777777" w:rsidR="007B47B2" w:rsidRPr="00792536" w:rsidRDefault="007B47B2" w:rsidP="00926E27">
            <w:pPr>
              <w:pStyle w:val="NormalWeb"/>
              <w:rPr>
                <w:b/>
                <w:bCs/>
                <w:sz w:val="18"/>
                <w:szCs w:val="18"/>
                <w:lang w:val="en-GB"/>
              </w:rPr>
            </w:pPr>
            <w:r w:rsidRPr="00792536">
              <w:rPr>
                <w:b/>
                <w:bCs/>
                <w:sz w:val="18"/>
                <w:szCs w:val="18"/>
                <w:lang w:val="en-GB"/>
              </w:rPr>
              <w:t>129</w:t>
            </w:r>
          </w:p>
        </w:tc>
        <w:tc>
          <w:tcPr>
            <w:tcW w:w="1252" w:type="dxa"/>
            <w:shd w:val="clear" w:color="auto" w:fill="F7ECDD"/>
            <w:hideMark/>
          </w:tcPr>
          <w:p w14:paraId="71FE5F89" w14:textId="77777777" w:rsidR="007B47B2" w:rsidRPr="00792536" w:rsidRDefault="007B47B2" w:rsidP="00926E27">
            <w:pPr>
              <w:pStyle w:val="NormalWeb"/>
              <w:rPr>
                <w:b/>
                <w:bCs/>
                <w:sz w:val="18"/>
                <w:szCs w:val="18"/>
                <w:lang w:val="en-GB"/>
              </w:rPr>
            </w:pPr>
            <w:r w:rsidRPr="00792536">
              <w:rPr>
                <w:b/>
                <w:bCs/>
                <w:sz w:val="18"/>
                <w:szCs w:val="18"/>
                <w:lang w:val="en-GB"/>
              </w:rPr>
              <w:t>100</w:t>
            </w:r>
          </w:p>
        </w:tc>
      </w:tr>
    </w:tbl>
    <w:p w14:paraId="069CA2A1" w14:textId="77777777" w:rsidR="007B47B2" w:rsidRDefault="007B47B2" w:rsidP="002D24BB"/>
    <w:p w14:paraId="6C65F998" w14:textId="524044CF" w:rsidR="002033AF" w:rsidRDefault="002033AF" w:rsidP="002D24BB">
      <w:r>
        <w:t xml:space="preserve">A further </w:t>
      </w:r>
      <w:proofErr w:type="gramStart"/>
      <w:r>
        <w:t>12</w:t>
      </w:r>
      <w:proofErr w:type="gramEnd"/>
      <w:r>
        <w:t xml:space="preserve"> participants were seropositive at round one, an average of 92 days after the outbreak (range: 74–109 days), and then had equivocal serology at round two, an average of 237 days after the outbreak (range: 219–251 days). Ten of these were outbreak cases and two were outbreak non-cases (Table 3). </w:t>
      </w:r>
    </w:p>
    <w:p w14:paraId="1F25336F" w14:textId="77777777" w:rsidR="002033AF" w:rsidRDefault="002033AF" w:rsidP="002D24BB">
      <w:r>
        <w:t xml:space="preserve">Three participants, all outbreak cases, were seropositive in round one then seronegative in round two. All seronegative participants in round one </w:t>
      </w:r>
      <w:proofErr w:type="gramStart"/>
      <w:r>
        <w:t>were</w:t>
      </w:r>
      <w:proofErr w:type="gramEnd"/>
      <w:r>
        <w:t xml:space="preserve"> also seronegative in round two. Two outbreak non-cases had equivocal serology results in both rounds. Nine participants (seven outbreak cases and two outbreak non-cases) had equivocal serology in round one and were seronegative in round two (Table 3). </w:t>
      </w:r>
    </w:p>
    <w:p w14:paraId="7132DC7F" w14:textId="77777777" w:rsidR="002033AF" w:rsidRPr="002D24BB" w:rsidRDefault="002033AF" w:rsidP="002D24BB">
      <w:pPr>
        <w:pStyle w:val="Heading1"/>
      </w:pPr>
      <w:r w:rsidRPr="002D24BB">
        <w:t xml:space="preserve">Discussion </w:t>
      </w:r>
    </w:p>
    <w:p w14:paraId="4741F6A9" w14:textId="77777777" w:rsidR="002033AF" w:rsidRDefault="002033AF" w:rsidP="002D24BB">
      <w:r>
        <w:t xml:space="preserve">In this cohort of 261 HCWs, among whom 44 (17%) were PCR-confirmed outbreak cases during a hospital-wide outbreak, the prevalence of positive antibodies was 14.6% when a first round of serology testing </w:t>
      </w:r>
      <w:proofErr w:type="gramStart"/>
      <w:r>
        <w:t>was conducted</w:t>
      </w:r>
      <w:proofErr w:type="gramEnd"/>
      <w:r>
        <w:t xml:space="preserve"> a mean of 83 days after the outbreak. For the 129 participants in the second round of serology testing, including 34 (26%) who were outbreak cases, the prevalence of positive antibodies was 11.6% when </w:t>
      </w:r>
      <w:proofErr w:type="gramStart"/>
      <w:r>
        <w:t>tested</w:t>
      </w:r>
      <w:proofErr w:type="gramEnd"/>
      <w:r>
        <w:t xml:space="preserve"> a mean of 230 days after the outbreak. The </w:t>
      </w:r>
      <w:proofErr w:type="gramStart"/>
      <w:r>
        <w:t>combined</w:t>
      </w:r>
      <w:proofErr w:type="gramEnd"/>
      <w:r>
        <w:t xml:space="preserve"> prevalence of positive and equivocal serology results was 20% in the first round and 22% in the second. This cohort of HCWs were part of the first and one of the largest outbreaks early in the </w:t>
      </w:r>
      <w:r>
        <w:lastRenderedPageBreak/>
        <w:t>COVID-19 pandemic in Australia,</w:t>
      </w:r>
      <w:proofErr w:type="gramStart"/>
      <w:r>
        <w:rPr>
          <w:vertAlign w:val="superscript"/>
        </w:rPr>
        <w:t>3</w:t>
      </w:r>
      <w:proofErr w:type="gramEnd"/>
      <w:r>
        <w:t xml:space="preserve"> with the seroprevalence of antibodies supporting the clinical and epidemiological findings of a relatively high transmission in this setting. This contrasts with the low seroprevalence found in a 2020 national serology survey, indicative of limited community transmission in Australia at that time.</w:t>
      </w:r>
      <w:r>
        <w:rPr>
          <w:vertAlign w:val="superscript"/>
        </w:rPr>
        <w:t xml:space="preserve">10 </w:t>
      </w:r>
    </w:p>
    <w:p w14:paraId="48A09B6B" w14:textId="77777777" w:rsidR="002033AF" w:rsidRDefault="002033AF" w:rsidP="002D24BB">
      <w:r>
        <w:t>There has been a range of seroprevalences of SARS-CoV-2 antibodies reported among European HCWs during March to September 2020, with many less than 10%.</w:t>
      </w:r>
      <w:r>
        <w:rPr>
          <w:vertAlign w:val="superscript"/>
        </w:rPr>
        <w:t>11</w:t>
      </w:r>
      <w:r>
        <w:t xml:space="preserve"> Systematic reviews of 28 and 25 studies of HCWs conducted in 2020 found seroprevalences of 7% and 8% respectively;</w:t>
      </w:r>
      <w:r>
        <w:rPr>
          <w:vertAlign w:val="superscript"/>
        </w:rPr>
        <w:t>12,13</w:t>
      </w:r>
      <w:r>
        <w:t xml:space="preserve"> a seroprevalence of 9% among HCWs was reported in a systematic review and meta-analysis of 49 studies in 2021.</w:t>
      </w:r>
      <w:r>
        <w:rPr>
          <w:vertAlign w:val="superscript"/>
        </w:rPr>
        <w:t>14</w:t>
      </w:r>
      <w:r>
        <w:t xml:space="preserve"> The seroprevalence in HCWs from this outbreak in Tasmania was higher than many of these studies, but lower than the 27% reported in a cross-sectional study of HCWs from a public hospital in New York City early in 2020,</w:t>
      </w:r>
      <w:r>
        <w:rPr>
          <w:vertAlign w:val="superscript"/>
        </w:rPr>
        <w:t>15</w:t>
      </w:r>
      <w:r>
        <w:t xml:space="preserve"> and from studies predominately based in the United Kingdom that reported a seroprevalence between 20% and 45% among HCWs at a similar time.</w:t>
      </w:r>
      <w:r>
        <w:rPr>
          <w:vertAlign w:val="superscript"/>
        </w:rPr>
        <w:t>11</w:t>
      </w:r>
      <w:r>
        <w:t xml:space="preserve"> Seroprevalence also varied by country, with higher seroprevalence in studies conducted in North America (12.7%) than in those conducted in Europe (8.5%), Africa (8.2%) and Asia (4%).</w:t>
      </w:r>
      <w:r>
        <w:rPr>
          <w:vertAlign w:val="superscript"/>
        </w:rPr>
        <w:t>14</w:t>
      </w:r>
      <w:r>
        <w:t xml:space="preserve"> Variation in seroprevalence among HCWs may be due to different levels of community transmission; to whether there were outbreaks in healthcare facilities in those countries; and to infection prevention and control practices in these settings. </w:t>
      </w:r>
    </w:p>
    <w:p w14:paraId="54773289" w14:textId="77777777" w:rsidR="002033AF" w:rsidRDefault="002033AF" w:rsidP="002D24BB">
      <w:r>
        <w:t>Our study showed that 22% of the cohort of HCWs were seropositive or had equivocal results an average of 238 days after the outbreak. Detection of anti-SARS-CoV-2 antibodies after natural infection depends on factors including specific assay sensitivity, which ranges from 85 to 97%;</w:t>
      </w:r>
      <w:r>
        <w:rPr>
          <w:vertAlign w:val="superscript"/>
        </w:rPr>
        <w:t>16,17</w:t>
      </w:r>
      <w:r>
        <w:t xml:space="preserve"> and initial antibody response that varies with severity of COVID-19 illness</w:t>
      </w:r>
      <w:r>
        <w:rPr>
          <w:vertAlign w:val="superscript"/>
        </w:rPr>
        <w:t>18,19</w:t>
      </w:r>
      <w:r>
        <w:t xml:space="preserve"> and host factors, such as age.</w:t>
      </w:r>
      <w:r>
        <w:rPr>
          <w:vertAlign w:val="superscript"/>
        </w:rPr>
        <w:t>19</w:t>
      </w:r>
      <w:r>
        <w:t xml:space="preserve"> Waning antibody levels after seroconversion to SARS-CoV-2 has been reported from several months after infection</w:t>
      </w:r>
      <w:r>
        <w:rPr>
          <w:vertAlign w:val="superscript"/>
        </w:rPr>
        <w:t>20–22</w:t>
      </w:r>
      <w:r>
        <w:t xml:space="preserve"> to beyond five months.</w:t>
      </w:r>
      <w:r>
        <w:rPr>
          <w:vertAlign w:val="superscript"/>
        </w:rPr>
        <w:t>23</w:t>
      </w:r>
      <w:r>
        <w:t xml:space="preserve"> Waning antibody levels were also a notable finding in our study, with seropositivity of outbreak cases halving from 73% at three months to 35% at eight months after infection. Most cases with waning immunity had equivocal serology; </w:t>
      </w:r>
      <w:proofErr w:type="gramStart"/>
      <w:r>
        <w:t>several</w:t>
      </w:r>
      <w:proofErr w:type="gramEnd"/>
      <w:r>
        <w:t xml:space="preserve"> became seronegative. </w:t>
      </w:r>
    </w:p>
    <w:p w14:paraId="7BDA835D" w14:textId="708941C2" w:rsidR="002033AF" w:rsidRDefault="002033AF" w:rsidP="002D24BB">
      <w:proofErr w:type="gramStart"/>
      <w:r>
        <w:t>Almost a</w:t>
      </w:r>
      <w:proofErr w:type="gramEnd"/>
      <w:r>
        <w:t xml:space="preserve"> third of outbreak cases (27%) had a negative or equivocal serostatus when first tested 12 weeks after the outbreak. Without earlier serology testing, it is unclear whether this is due to a low or absent </w:t>
      </w:r>
      <w:proofErr w:type="gramStart"/>
      <w:r>
        <w:t>initial</w:t>
      </w:r>
      <w:proofErr w:type="gramEnd"/>
      <w:r>
        <w:t xml:space="preserve"> serological response, or to a response then rapid decline in detectable antibodies by the time of the first sample. No individuals seroconverted from equivocal to positive, or from negative to equivocal or positive, between the two tests at three and eight months after the outbreak, reflecting the </w:t>
      </w:r>
      <w:proofErr w:type="gramStart"/>
      <w:r>
        <w:t>very low</w:t>
      </w:r>
      <w:proofErr w:type="gramEnd"/>
      <w:r>
        <w:t xml:space="preserve"> community incidence of COVID-19 in Tasmania at that</w:t>
      </w:r>
      <w:r w:rsidR="0034798F">
        <w:t> </w:t>
      </w:r>
      <w:r>
        <w:t xml:space="preserve">time. </w:t>
      </w:r>
    </w:p>
    <w:p w14:paraId="08EE7F93" w14:textId="77777777" w:rsidR="002033AF" w:rsidRDefault="002033AF" w:rsidP="002D24BB">
      <w:r>
        <w:t xml:space="preserve">Our findings highlight the complementary role serology played in COVID-19 diagnosis during this HCW outbreak early in the pandemic, during a time of low transmission and prior to vaccination. It enabled diagnosis of suspected SARS-CoV-2 infection in persons who were PCR-negative and who could not be </w:t>
      </w:r>
      <w:proofErr w:type="gramStart"/>
      <w:r>
        <w:t>tested</w:t>
      </w:r>
      <w:proofErr w:type="gramEnd"/>
      <w:r>
        <w:t xml:space="preserve"> by PCR or antigen testing. Six </w:t>
      </w:r>
      <w:proofErr w:type="gramStart"/>
      <w:r>
        <w:t>additional</w:t>
      </w:r>
      <w:proofErr w:type="gramEnd"/>
      <w:r>
        <w:t xml:space="preserve"> cases were detected by serology, five of whom were not tested by PCR during the outbreak. The sixth seropositive non-outbreak case </w:t>
      </w:r>
      <w:proofErr w:type="gramStart"/>
      <w:r>
        <w:t>tested</w:t>
      </w:r>
      <w:proofErr w:type="gramEnd"/>
      <w:r>
        <w:t xml:space="preserve"> negative by PCR during the outbreak period. Such discordant results may be due to false negative PCR tests, to the timing of PCR tests, or to a false positive serology test. Infection after the outbreak was unlikely because of the low local prevalence of COVID-19 after the outbreak, but acquisition from within or beyond the affected region cannot </w:t>
      </w:r>
      <w:proofErr w:type="gramStart"/>
      <w:r>
        <w:t>be completely excluded</w:t>
      </w:r>
      <w:proofErr w:type="gramEnd"/>
      <w:r>
        <w:t xml:space="preserve">. As vaccination had not </w:t>
      </w:r>
      <w:proofErr w:type="gramStart"/>
      <w:r>
        <w:t>been introduced</w:t>
      </w:r>
      <w:proofErr w:type="gramEnd"/>
      <w:r>
        <w:t xml:space="preserve"> to Australia at the time, vaccine-related immunity was not a consideration. </w:t>
      </w:r>
    </w:p>
    <w:p w14:paraId="40A0D663" w14:textId="77777777" w:rsidR="002033AF" w:rsidRDefault="002033AF" w:rsidP="002D24BB">
      <w:r>
        <w:t xml:space="preserve">That all seronegative participants in round one </w:t>
      </w:r>
      <w:proofErr w:type="gramStart"/>
      <w:r>
        <w:t>were</w:t>
      </w:r>
      <w:proofErr w:type="gramEnd"/>
      <w:r>
        <w:t xml:space="preserve"> also seronegative in round two supports our understanding that the workplace and community responses to this large outbreak arrested local transmission of COVID-19. Genomic analysis has shown that the genomic sequences linked to this outbreak were contained within the outbreak setting.</w:t>
      </w:r>
      <w:r>
        <w:rPr>
          <w:vertAlign w:val="superscript"/>
        </w:rPr>
        <w:t>24</w:t>
      </w:r>
      <w:r>
        <w:t xml:space="preserve"> Containment efforts included very restrictive public health and social measures; enhanced infection, prevention and control measures; as well as the unprecedented (at the time) closure of all health facilities on the campus; and mandatory 14-day home quarantine of all HCWs and their household contacts.</w:t>
      </w:r>
      <w:r>
        <w:rPr>
          <w:vertAlign w:val="superscript"/>
        </w:rPr>
        <w:t>3</w:t>
      </w:r>
      <w:r>
        <w:t xml:space="preserve"> At the time of the outbreak there </w:t>
      </w:r>
      <w:r>
        <w:lastRenderedPageBreak/>
        <w:t xml:space="preserve">were state border restrictions, with non-essential travellers required to complete 14 days quarantine upon arrival to Tasmania, and national bans on international travel. </w:t>
      </w:r>
    </w:p>
    <w:p w14:paraId="754D5F57" w14:textId="77777777" w:rsidR="002033AF" w:rsidRDefault="002033AF" w:rsidP="002D24BB">
      <w:r>
        <w:t xml:space="preserve">There were </w:t>
      </w:r>
      <w:proofErr w:type="gramStart"/>
      <w:r>
        <w:t>several</w:t>
      </w:r>
      <w:proofErr w:type="gramEnd"/>
      <w:r>
        <w:t xml:space="preserve"> limitations to this study. The small sample size and low response rate from the large cohort of workers from the three implicated healthcare facilities may limit the representativeness of the results. There is also likely to be volunteer bias, with those who volunteered for serology </w:t>
      </w:r>
      <w:proofErr w:type="gramStart"/>
      <w:r>
        <w:t>possibly being</w:t>
      </w:r>
      <w:proofErr w:type="gramEnd"/>
      <w:r>
        <w:t xml:space="preserve"> more likely to be cases or thinking themselves to be cases. This is suggested by the higher proportion of outbreak cases who </w:t>
      </w:r>
      <w:proofErr w:type="gramStart"/>
      <w:r>
        <w:t>participated</w:t>
      </w:r>
      <w:proofErr w:type="gramEnd"/>
      <w:r>
        <w:t xml:space="preserve"> in round two compared with round one. The delay in publishing this study reflects the challenges of conducting operational research during public health events, especially during a protracted pandemic. </w:t>
      </w:r>
    </w:p>
    <w:p w14:paraId="344F8278" w14:textId="77777777" w:rsidR="002033AF" w:rsidRDefault="002033AF" w:rsidP="002D24BB">
      <w:r>
        <w:t xml:space="preserve">Despite these limitations, this study has shown that retrospective serology testing complemented the restricted PCR testing that was in place during this outbreak investigation. It highlights the usefulness of serological testing performed either contemporaneously or retrospectively, as a complementary diagnostic tool with PCR, to characterise the epidemiology of emerging infections early in settings with little community transmission and in the absence of vaccination. However, for serology testing to be most effective for diagnosis, it would need to </w:t>
      </w:r>
      <w:proofErr w:type="gramStart"/>
      <w:r>
        <w:t>be done</w:t>
      </w:r>
      <w:proofErr w:type="gramEnd"/>
      <w:r>
        <w:t xml:space="preserve"> in real time during an outbreak, which would require considerable resourcing not often available during an emergency response. That this operational research project was undertaken during this outbreak is encouraging, even though </w:t>
      </w:r>
      <w:proofErr w:type="gramStart"/>
      <w:r>
        <w:t>subsequent</w:t>
      </w:r>
      <w:proofErr w:type="gramEnd"/>
      <w:r>
        <w:t xml:space="preserve"> COVID-19 outbreaks throughout Australia overshadowed its relevance and timeliness, including the timeliness to publication. The results of this study </w:t>
      </w:r>
      <w:proofErr w:type="gramStart"/>
      <w:r>
        <w:t>provide</w:t>
      </w:r>
      <w:proofErr w:type="gramEnd"/>
      <w:r>
        <w:t xml:space="preserve"> additional evidence of the longevity of the SARS-CoV-2 antibody response 230 days after an outbreak in an unvaccinated population; the results also demonstrate the quality of the outbreak response by showing the high proportion of persistently seronegative HCWs as evidence that the outbreak was contained without local establishment of community transmission. </w:t>
      </w:r>
    </w:p>
    <w:p w14:paraId="59E9D39D" w14:textId="77777777" w:rsidR="00AF1429" w:rsidRDefault="00AF1429">
      <w:pPr>
        <w:rPr>
          <w:rFonts w:asciiTheme="majorHAnsi" w:eastAsiaTheme="majorEastAsia" w:hAnsiTheme="majorHAnsi" w:cstheme="majorBidi"/>
          <w:b/>
          <w:bCs/>
          <w:sz w:val="32"/>
          <w:szCs w:val="28"/>
        </w:rPr>
      </w:pPr>
      <w:r>
        <w:br w:type="page"/>
      </w:r>
    </w:p>
    <w:p w14:paraId="694D04CA" w14:textId="04235112" w:rsidR="002033AF" w:rsidRPr="002D24BB" w:rsidRDefault="002033AF" w:rsidP="002D24BB">
      <w:pPr>
        <w:pStyle w:val="Heading1"/>
      </w:pPr>
      <w:r w:rsidRPr="002D24BB">
        <w:lastRenderedPageBreak/>
        <w:t xml:space="preserve">Author details </w:t>
      </w:r>
    </w:p>
    <w:p w14:paraId="4ABDB95C" w14:textId="675AF7A3" w:rsidR="002033AF" w:rsidRDefault="002033AF" w:rsidP="002D24BB">
      <w:r>
        <w:t>Michelle McPherson,</w:t>
      </w:r>
      <w:r>
        <w:rPr>
          <w:vertAlign w:val="superscript"/>
        </w:rPr>
        <w:t>1,2</w:t>
      </w:r>
      <w:r>
        <w:t xml:space="preserve"> </w:t>
      </w:r>
      <w:r w:rsidR="00AF1429">
        <w:br/>
      </w:r>
      <w:r>
        <w:t>Nicola Stephens,</w:t>
      </w:r>
      <w:r>
        <w:rPr>
          <w:vertAlign w:val="superscript"/>
        </w:rPr>
        <w:t>1,2</w:t>
      </w:r>
      <w:r>
        <w:t xml:space="preserve"> </w:t>
      </w:r>
      <w:r w:rsidR="00AF1429">
        <w:br/>
      </w:r>
      <w:r>
        <w:t>Kylie Smith,</w:t>
      </w:r>
      <w:r>
        <w:rPr>
          <w:vertAlign w:val="superscript"/>
        </w:rPr>
        <w:t>2,3</w:t>
      </w:r>
      <w:r>
        <w:t xml:space="preserve"> </w:t>
      </w:r>
      <w:r w:rsidR="00AF1429">
        <w:br/>
      </w:r>
      <w:r>
        <w:t>M Therese Marfori,</w:t>
      </w:r>
      <w:r>
        <w:rPr>
          <w:vertAlign w:val="superscript"/>
        </w:rPr>
        <w:t>2,3</w:t>
      </w:r>
      <w:r>
        <w:t xml:space="preserve"> </w:t>
      </w:r>
      <w:r w:rsidR="00AF1429">
        <w:br/>
      </w:r>
      <w:r>
        <w:t>Meru Sheel,</w:t>
      </w:r>
      <w:proofErr w:type="gramStart"/>
      <w:r>
        <w:rPr>
          <w:vertAlign w:val="superscript"/>
        </w:rPr>
        <w:t>4</w:t>
      </w:r>
      <w:proofErr w:type="gramEnd"/>
      <w:r>
        <w:t xml:space="preserve"> </w:t>
      </w:r>
      <w:r w:rsidR="00AF1429">
        <w:br/>
      </w:r>
      <w:r>
        <w:t>Louise Cooley,</w:t>
      </w:r>
      <w:r>
        <w:rPr>
          <w:vertAlign w:val="superscript"/>
        </w:rPr>
        <w:t>5</w:t>
      </w:r>
      <w:r>
        <w:t xml:space="preserve"> </w:t>
      </w:r>
      <w:r w:rsidR="00AF1429">
        <w:br/>
      </w:r>
      <w:r>
        <w:t>Belinda McEwan,</w:t>
      </w:r>
      <w:r>
        <w:rPr>
          <w:vertAlign w:val="superscript"/>
        </w:rPr>
        <w:t>5</w:t>
      </w:r>
      <w:r>
        <w:t xml:space="preserve"> </w:t>
      </w:r>
      <w:r w:rsidR="00AF1429">
        <w:br/>
      </w:r>
      <w:r>
        <w:t>Mark Veitch,</w:t>
      </w:r>
      <w:r>
        <w:rPr>
          <w:vertAlign w:val="superscript"/>
        </w:rPr>
        <w:t>2</w:t>
      </w:r>
      <w:r>
        <w:t xml:space="preserve"> </w:t>
      </w:r>
      <w:r w:rsidR="00AF1429">
        <w:br/>
      </w:r>
      <w:r>
        <w:t>Fay H Johnston</w:t>
      </w:r>
      <w:r>
        <w:rPr>
          <w:vertAlign w:val="superscript"/>
        </w:rPr>
        <w:t xml:space="preserve">2,3 </w:t>
      </w:r>
    </w:p>
    <w:p w14:paraId="6B7CE18D" w14:textId="77777777" w:rsidR="002033AF" w:rsidRPr="002D24BB" w:rsidRDefault="002033AF" w:rsidP="002D24BB">
      <w:pPr>
        <w:pStyle w:val="ListParagraph"/>
        <w:numPr>
          <w:ilvl w:val="0"/>
          <w:numId w:val="9"/>
        </w:numPr>
        <w:rPr>
          <w:rFonts w:eastAsia="Times New Roman"/>
        </w:rPr>
      </w:pPr>
      <w:r w:rsidRPr="002D24BB">
        <w:rPr>
          <w:rFonts w:eastAsia="Times New Roman"/>
        </w:rPr>
        <w:t xml:space="preserve">Tasmanian School of Medicine, University of Tasmania, Hobart, Tasmania, Australia </w:t>
      </w:r>
    </w:p>
    <w:p w14:paraId="30E5C3FA" w14:textId="77777777" w:rsidR="002033AF" w:rsidRPr="002D24BB" w:rsidRDefault="002033AF" w:rsidP="002D24BB">
      <w:pPr>
        <w:pStyle w:val="ListParagraph"/>
        <w:numPr>
          <w:ilvl w:val="0"/>
          <w:numId w:val="9"/>
        </w:numPr>
        <w:rPr>
          <w:rFonts w:eastAsia="Times New Roman"/>
        </w:rPr>
      </w:pPr>
      <w:r w:rsidRPr="002D24BB">
        <w:rPr>
          <w:rFonts w:eastAsia="Times New Roman"/>
        </w:rPr>
        <w:t xml:space="preserve">Public Health Services, Department of Health, Tasmania, Australia </w:t>
      </w:r>
    </w:p>
    <w:p w14:paraId="799C1B11" w14:textId="77777777" w:rsidR="002033AF" w:rsidRPr="002D24BB" w:rsidRDefault="002033AF" w:rsidP="002D24BB">
      <w:pPr>
        <w:pStyle w:val="ListParagraph"/>
        <w:numPr>
          <w:ilvl w:val="0"/>
          <w:numId w:val="9"/>
        </w:numPr>
        <w:rPr>
          <w:rFonts w:eastAsia="Times New Roman"/>
        </w:rPr>
      </w:pPr>
      <w:r w:rsidRPr="002D24BB">
        <w:rPr>
          <w:rFonts w:eastAsia="Times New Roman"/>
        </w:rPr>
        <w:t xml:space="preserve">Menzies Institute for Medical Research, University of Tasmania, Tasmania, Australia </w:t>
      </w:r>
    </w:p>
    <w:p w14:paraId="74C765CA" w14:textId="77777777" w:rsidR="002033AF" w:rsidRPr="002D24BB" w:rsidRDefault="002033AF" w:rsidP="002D24BB">
      <w:pPr>
        <w:pStyle w:val="ListParagraph"/>
        <w:numPr>
          <w:ilvl w:val="0"/>
          <w:numId w:val="9"/>
        </w:numPr>
        <w:rPr>
          <w:rFonts w:eastAsia="Times New Roman"/>
        </w:rPr>
      </w:pPr>
      <w:r w:rsidRPr="002D24BB">
        <w:rPr>
          <w:rFonts w:eastAsia="Times New Roman"/>
        </w:rPr>
        <w:t xml:space="preserve">Sydney School of Public Health, Faculty of Medicine and Health, University of Sydney, New South Wales Australia </w:t>
      </w:r>
    </w:p>
    <w:p w14:paraId="2098F816" w14:textId="77777777" w:rsidR="002033AF" w:rsidRPr="002D24BB" w:rsidRDefault="002033AF" w:rsidP="002D24BB">
      <w:pPr>
        <w:pStyle w:val="ListParagraph"/>
        <w:numPr>
          <w:ilvl w:val="0"/>
          <w:numId w:val="9"/>
        </w:numPr>
        <w:rPr>
          <w:rFonts w:eastAsia="Times New Roman"/>
        </w:rPr>
      </w:pPr>
      <w:r w:rsidRPr="002D24BB">
        <w:rPr>
          <w:rFonts w:eastAsia="Times New Roman"/>
        </w:rPr>
        <w:t xml:space="preserve">Tasmanian Department of Health, Tasmania, Australia </w:t>
      </w:r>
    </w:p>
    <w:p w14:paraId="277227A7" w14:textId="77777777" w:rsidR="002033AF" w:rsidRPr="002D24BB" w:rsidRDefault="002033AF" w:rsidP="007B47B2">
      <w:pPr>
        <w:pStyle w:val="Heading2"/>
        <w:spacing w:after="200"/>
      </w:pPr>
      <w:r w:rsidRPr="002D24BB">
        <w:t xml:space="preserve">Corresponding author </w:t>
      </w:r>
    </w:p>
    <w:p w14:paraId="61680C54" w14:textId="77777777" w:rsidR="002033AF" w:rsidRDefault="002033AF" w:rsidP="00E968E5">
      <w:pPr>
        <w:pStyle w:val="NoSpacing"/>
      </w:pPr>
      <w:r>
        <w:t xml:space="preserve">Michelle McPherson </w:t>
      </w:r>
    </w:p>
    <w:p w14:paraId="6FADEA79" w14:textId="77777777" w:rsidR="002033AF" w:rsidRDefault="002033AF" w:rsidP="00E968E5">
      <w:pPr>
        <w:pStyle w:val="NoSpacing"/>
      </w:pPr>
      <w:r>
        <w:t xml:space="preserve">Tasmanian School of Medicine, University of Tasmania, Hobart, Tasmania, Australia </w:t>
      </w:r>
    </w:p>
    <w:p w14:paraId="7E091CBD" w14:textId="77777777" w:rsidR="002033AF" w:rsidRDefault="002033AF" w:rsidP="00E968E5">
      <w:pPr>
        <w:pStyle w:val="NoSpacing"/>
      </w:pPr>
      <w:r>
        <w:t xml:space="preserve">email: michelle.mcpherson@utas.edu.au </w:t>
      </w:r>
    </w:p>
    <w:p w14:paraId="69779B5A" w14:textId="77777777" w:rsidR="007A0B75" w:rsidRDefault="007A0B75">
      <w:pPr>
        <w:rPr>
          <w:rFonts w:asciiTheme="majorHAnsi" w:eastAsiaTheme="majorEastAsia" w:hAnsiTheme="majorHAnsi" w:cstheme="majorBidi"/>
          <w:b/>
          <w:bCs/>
          <w:sz w:val="32"/>
          <w:szCs w:val="28"/>
        </w:rPr>
      </w:pPr>
      <w:r>
        <w:br w:type="page"/>
      </w:r>
    </w:p>
    <w:p w14:paraId="3EA0775F" w14:textId="245845B9" w:rsidR="002033AF" w:rsidRPr="002D24BB" w:rsidRDefault="002033AF" w:rsidP="002D24BB">
      <w:pPr>
        <w:pStyle w:val="Heading1"/>
      </w:pPr>
      <w:r w:rsidRPr="002D24BB">
        <w:lastRenderedPageBreak/>
        <w:t xml:space="preserve">References </w:t>
      </w:r>
    </w:p>
    <w:p w14:paraId="2D1042F7" w14:textId="77777777" w:rsidR="002033AF" w:rsidRPr="002D24BB" w:rsidRDefault="002033AF" w:rsidP="002D24BB">
      <w:pPr>
        <w:pStyle w:val="ListParagraph"/>
        <w:numPr>
          <w:ilvl w:val="0"/>
          <w:numId w:val="10"/>
        </w:numPr>
        <w:rPr>
          <w:rFonts w:eastAsia="Times New Roman"/>
        </w:rPr>
      </w:pPr>
      <w:r w:rsidRPr="002D24BB">
        <w:rPr>
          <w:rFonts w:eastAsia="Times New Roman"/>
        </w:rPr>
        <w:t xml:space="preserve">Nguyen LH, Drew DA, Graham MS, Joshi AD, Guo CG, Ma W et al. Risk of COVID-19 among front-line health-care workers and the general community: a prospective cohort study. </w:t>
      </w:r>
      <w:r w:rsidRPr="002D24BB">
        <w:rPr>
          <w:rStyle w:val="Emphasis"/>
          <w:rFonts w:eastAsia="Times New Roman"/>
          <w:b w:val="0"/>
          <w:bCs w:val="0"/>
        </w:rPr>
        <w:t>Lancet Public Health</w:t>
      </w:r>
      <w:r w:rsidRPr="002D24BB">
        <w:rPr>
          <w:rFonts w:eastAsia="Times New Roman"/>
        </w:rPr>
        <w:t>. 2020;5(9</w:t>
      </w:r>
      <w:proofErr w:type="gramStart"/>
      <w:r w:rsidRPr="002D24BB">
        <w:rPr>
          <w:rFonts w:eastAsia="Times New Roman"/>
        </w:rPr>
        <w:t>):e</w:t>
      </w:r>
      <w:proofErr w:type="gramEnd"/>
      <w:r w:rsidRPr="002D24BB">
        <w:rPr>
          <w:rFonts w:eastAsia="Times New Roman"/>
        </w:rPr>
        <w:t xml:space="preserve">475–83. </w:t>
      </w:r>
      <w:proofErr w:type="spellStart"/>
      <w:r w:rsidRPr="002D24BB">
        <w:rPr>
          <w:rFonts w:eastAsia="Times New Roman"/>
        </w:rPr>
        <w:t>doi</w:t>
      </w:r>
      <w:proofErr w:type="spellEnd"/>
      <w:r w:rsidRPr="002D24BB">
        <w:rPr>
          <w:rFonts w:eastAsia="Times New Roman"/>
        </w:rPr>
        <w:t xml:space="preserve">: https://doi.org/10.1016/S2468-2667(20)30164-X. </w:t>
      </w:r>
    </w:p>
    <w:p w14:paraId="63E5D432" w14:textId="77777777" w:rsidR="002033AF" w:rsidRPr="002D24BB" w:rsidRDefault="002033AF" w:rsidP="002D24BB">
      <w:pPr>
        <w:pStyle w:val="ListParagraph"/>
        <w:numPr>
          <w:ilvl w:val="0"/>
          <w:numId w:val="10"/>
        </w:numPr>
        <w:rPr>
          <w:rFonts w:eastAsia="Times New Roman"/>
        </w:rPr>
      </w:pPr>
      <w:proofErr w:type="spellStart"/>
      <w:r w:rsidRPr="002D24BB">
        <w:rPr>
          <w:rFonts w:eastAsia="Times New Roman"/>
        </w:rPr>
        <w:t>Bielicki</w:t>
      </w:r>
      <w:proofErr w:type="spellEnd"/>
      <w:r w:rsidRPr="002D24BB">
        <w:rPr>
          <w:rFonts w:eastAsia="Times New Roman"/>
        </w:rPr>
        <w:t xml:space="preserve"> JA, Duval X, Gobat N, </w:t>
      </w:r>
      <w:proofErr w:type="spellStart"/>
      <w:r w:rsidRPr="002D24BB">
        <w:rPr>
          <w:rFonts w:eastAsia="Times New Roman"/>
        </w:rPr>
        <w:t>Goossens</w:t>
      </w:r>
      <w:proofErr w:type="spellEnd"/>
      <w:r w:rsidRPr="002D24BB">
        <w:rPr>
          <w:rFonts w:eastAsia="Times New Roman"/>
        </w:rPr>
        <w:t xml:space="preserve"> H, Koopmans M, </w:t>
      </w:r>
      <w:proofErr w:type="spellStart"/>
      <w:r w:rsidRPr="002D24BB">
        <w:rPr>
          <w:rFonts w:eastAsia="Times New Roman"/>
        </w:rPr>
        <w:t>Tacconelli</w:t>
      </w:r>
      <w:proofErr w:type="spellEnd"/>
      <w:r w:rsidRPr="002D24BB">
        <w:rPr>
          <w:rFonts w:eastAsia="Times New Roman"/>
        </w:rPr>
        <w:t xml:space="preserve"> E et al. </w:t>
      </w:r>
      <w:proofErr w:type="gramStart"/>
      <w:r w:rsidRPr="002D24BB">
        <w:rPr>
          <w:rFonts w:eastAsia="Times New Roman"/>
        </w:rPr>
        <w:t>Monitoring</w:t>
      </w:r>
      <w:proofErr w:type="gramEnd"/>
      <w:r w:rsidRPr="002D24BB">
        <w:rPr>
          <w:rFonts w:eastAsia="Times New Roman"/>
        </w:rPr>
        <w:t xml:space="preserve"> approaches for health-care workers during the COVID-19 pandemic. </w:t>
      </w:r>
      <w:r w:rsidRPr="002D24BB">
        <w:rPr>
          <w:rStyle w:val="Emphasis"/>
          <w:rFonts w:eastAsia="Times New Roman"/>
          <w:b w:val="0"/>
          <w:bCs w:val="0"/>
        </w:rPr>
        <w:t>Lancet Infect Dis</w:t>
      </w:r>
      <w:r w:rsidRPr="002D24BB">
        <w:rPr>
          <w:rFonts w:eastAsia="Times New Roman"/>
        </w:rPr>
        <w:t>. 2020;20(10</w:t>
      </w:r>
      <w:proofErr w:type="gramStart"/>
      <w:r w:rsidRPr="002D24BB">
        <w:rPr>
          <w:rFonts w:eastAsia="Times New Roman"/>
        </w:rPr>
        <w:t>):e</w:t>
      </w:r>
      <w:proofErr w:type="gramEnd"/>
      <w:r w:rsidRPr="002D24BB">
        <w:rPr>
          <w:rFonts w:eastAsia="Times New Roman"/>
        </w:rPr>
        <w:t xml:space="preserve">261–7. </w:t>
      </w:r>
      <w:proofErr w:type="spellStart"/>
      <w:r w:rsidRPr="002D24BB">
        <w:rPr>
          <w:rFonts w:eastAsia="Times New Roman"/>
        </w:rPr>
        <w:t>doi</w:t>
      </w:r>
      <w:proofErr w:type="spellEnd"/>
      <w:r w:rsidRPr="002D24BB">
        <w:rPr>
          <w:rFonts w:eastAsia="Times New Roman"/>
        </w:rPr>
        <w:t xml:space="preserve">: https://doi.org/10.1016/S1473-3099(20)30458-8. </w:t>
      </w:r>
    </w:p>
    <w:p w14:paraId="030A7389" w14:textId="77777777" w:rsidR="002033AF" w:rsidRPr="002D24BB" w:rsidRDefault="002033AF" w:rsidP="002D24BB">
      <w:pPr>
        <w:pStyle w:val="ListParagraph"/>
        <w:numPr>
          <w:ilvl w:val="0"/>
          <w:numId w:val="10"/>
        </w:numPr>
        <w:rPr>
          <w:rFonts w:eastAsia="Times New Roman"/>
        </w:rPr>
      </w:pPr>
      <w:r w:rsidRPr="002D24BB">
        <w:rPr>
          <w:rFonts w:eastAsia="Times New Roman"/>
        </w:rPr>
        <w:t xml:space="preserve">Johnston FH, Anderson T, Harlock M, </w:t>
      </w:r>
      <w:proofErr w:type="spellStart"/>
      <w:r w:rsidRPr="002D24BB">
        <w:rPr>
          <w:rFonts w:eastAsia="Times New Roman"/>
        </w:rPr>
        <w:t>Castree</w:t>
      </w:r>
      <w:proofErr w:type="spellEnd"/>
      <w:r w:rsidRPr="002D24BB">
        <w:rPr>
          <w:rFonts w:eastAsia="Times New Roman"/>
        </w:rPr>
        <w:t xml:space="preserve"> N, Parry L, </w:t>
      </w:r>
      <w:proofErr w:type="spellStart"/>
      <w:r w:rsidRPr="002D24BB">
        <w:rPr>
          <w:rFonts w:eastAsia="Times New Roman"/>
        </w:rPr>
        <w:t>Marfori</w:t>
      </w:r>
      <w:proofErr w:type="spellEnd"/>
      <w:r w:rsidRPr="002D24BB">
        <w:rPr>
          <w:rFonts w:eastAsia="Times New Roman"/>
        </w:rPr>
        <w:t xml:space="preserve"> T et al. Lessons learnt from the first large outbreak of COVID-19 in health-care settings in Tasmania, Australia. </w:t>
      </w:r>
      <w:r w:rsidRPr="002D24BB">
        <w:rPr>
          <w:rStyle w:val="Emphasis"/>
          <w:rFonts w:eastAsia="Times New Roman"/>
          <w:b w:val="0"/>
          <w:bCs w:val="0"/>
        </w:rPr>
        <w:t xml:space="preserve">Western Pac </w:t>
      </w:r>
      <w:proofErr w:type="spellStart"/>
      <w:r w:rsidRPr="002D24BB">
        <w:rPr>
          <w:rStyle w:val="Emphasis"/>
          <w:rFonts w:eastAsia="Times New Roman"/>
          <w:b w:val="0"/>
          <w:bCs w:val="0"/>
        </w:rPr>
        <w:t>Surveill</w:t>
      </w:r>
      <w:proofErr w:type="spellEnd"/>
      <w:r w:rsidRPr="002D24BB">
        <w:rPr>
          <w:rStyle w:val="Emphasis"/>
          <w:rFonts w:eastAsia="Times New Roman"/>
          <w:b w:val="0"/>
          <w:bCs w:val="0"/>
        </w:rPr>
        <w:t xml:space="preserve"> Response J</w:t>
      </w:r>
      <w:r w:rsidRPr="002D24BB">
        <w:rPr>
          <w:rFonts w:eastAsia="Times New Roman"/>
        </w:rPr>
        <w:t xml:space="preserve">. 2021;12(4):1–7. </w:t>
      </w:r>
      <w:proofErr w:type="spellStart"/>
      <w:r w:rsidRPr="002D24BB">
        <w:rPr>
          <w:rFonts w:eastAsia="Times New Roman"/>
        </w:rPr>
        <w:t>doi</w:t>
      </w:r>
      <w:proofErr w:type="spellEnd"/>
      <w:r w:rsidRPr="002D24BB">
        <w:rPr>
          <w:rFonts w:eastAsia="Times New Roman"/>
        </w:rPr>
        <w:t xml:space="preserve">: https://doi.org/10.5365/wpsar.2021.12.4.884. </w:t>
      </w:r>
    </w:p>
    <w:p w14:paraId="42FEFB6D" w14:textId="77777777" w:rsidR="002033AF" w:rsidRPr="002D24BB" w:rsidRDefault="002033AF" w:rsidP="002D24BB">
      <w:pPr>
        <w:pStyle w:val="ListParagraph"/>
        <w:numPr>
          <w:ilvl w:val="0"/>
          <w:numId w:val="10"/>
        </w:numPr>
        <w:rPr>
          <w:rFonts w:eastAsia="Times New Roman"/>
        </w:rPr>
      </w:pPr>
      <w:r w:rsidRPr="002D24BB">
        <w:rPr>
          <w:rFonts w:eastAsia="Times New Roman"/>
        </w:rPr>
        <w:t xml:space="preserve">Ainsworth M, Andersson M, Auckland K, Baillie JK, Barnes E, Beer S et al. Performance characteristics of five immunoassays for SARS-CoV-2: a head-to-head benchmark comparison. </w:t>
      </w:r>
      <w:r w:rsidRPr="002D24BB">
        <w:rPr>
          <w:rStyle w:val="Emphasis"/>
          <w:rFonts w:eastAsia="Times New Roman"/>
          <w:b w:val="0"/>
          <w:bCs w:val="0"/>
        </w:rPr>
        <w:t>Lancet Infect Dis</w:t>
      </w:r>
      <w:r w:rsidRPr="002D24BB">
        <w:rPr>
          <w:rFonts w:eastAsia="Times New Roman"/>
        </w:rPr>
        <w:t>. 2020;20(12):1390–</w:t>
      </w:r>
      <w:proofErr w:type="gramStart"/>
      <w:r w:rsidRPr="002D24BB">
        <w:rPr>
          <w:rFonts w:eastAsia="Times New Roman"/>
        </w:rPr>
        <w:t>400</w:t>
      </w:r>
      <w:proofErr w:type="gramEnd"/>
      <w:r w:rsidRPr="002D24BB">
        <w:rPr>
          <w:rFonts w:eastAsia="Times New Roman"/>
        </w:rPr>
        <w:t xml:space="preserve">. </w:t>
      </w:r>
      <w:proofErr w:type="spellStart"/>
      <w:r w:rsidRPr="002D24BB">
        <w:rPr>
          <w:rFonts w:eastAsia="Times New Roman"/>
        </w:rPr>
        <w:t>doi</w:t>
      </w:r>
      <w:proofErr w:type="spellEnd"/>
      <w:r w:rsidRPr="002D24BB">
        <w:rPr>
          <w:rFonts w:eastAsia="Times New Roman"/>
        </w:rPr>
        <w:t xml:space="preserve">: https://doi.org/10.1016/S1473-3099(20)30634-4. </w:t>
      </w:r>
    </w:p>
    <w:p w14:paraId="4B006854" w14:textId="77777777" w:rsidR="002033AF" w:rsidRPr="002D24BB" w:rsidRDefault="002033AF" w:rsidP="002D24BB">
      <w:pPr>
        <w:pStyle w:val="ListParagraph"/>
        <w:numPr>
          <w:ilvl w:val="0"/>
          <w:numId w:val="10"/>
        </w:numPr>
        <w:rPr>
          <w:rFonts w:eastAsia="Times New Roman"/>
        </w:rPr>
      </w:pPr>
      <w:proofErr w:type="spellStart"/>
      <w:r w:rsidRPr="002D24BB">
        <w:rPr>
          <w:rFonts w:eastAsia="Times New Roman"/>
        </w:rPr>
        <w:t>Escribano</w:t>
      </w:r>
      <w:proofErr w:type="spellEnd"/>
      <w:r w:rsidRPr="002D24BB">
        <w:rPr>
          <w:rFonts w:eastAsia="Times New Roman"/>
        </w:rPr>
        <w:t xml:space="preserve"> P, Álvarez-</w:t>
      </w:r>
      <w:proofErr w:type="spellStart"/>
      <w:r w:rsidRPr="002D24BB">
        <w:rPr>
          <w:rFonts w:eastAsia="Times New Roman"/>
        </w:rPr>
        <w:t>Uría</w:t>
      </w:r>
      <w:proofErr w:type="spellEnd"/>
      <w:r w:rsidRPr="002D24BB">
        <w:rPr>
          <w:rFonts w:eastAsia="Times New Roman"/>
        </w:rPr>
        <w:t xml:space="preserve"> A, Alonso R, </w:t>
      </w:r>
      <w:proofErr w:type="spellStart"/>
      <w:r w:rsidRPr="002D24BB">
        <w:rPr>
          <w:rFonts w:eastAsia="Times New Roman"/>
        </w:rPr>
        <w:t>Catalán</w:t>
      </w:r>
      <w:proofErr w:type="spellEnd"/>
      <w:r w:rsidRPr="002D24BB">
        <w:rPr>
          <w:rFonts w:eastAsia="Times New Roman"/>
        </w:rPr>
        <w:t xml:space="preserve"> P, </w:t>
      </w:r>
      <w:proofErr w:type="spellStart"/>
      <w:r w:rsidRPr="002D24BB">
        <w:rPr>
          <w:rFonts w:eastAsia="Times New Roman"/>
        </w:rPr>
        <w:t>Alcalá</w:t>
      </w:r>
      <w:proofErr w:type="spellEnd"/>
      <w:r w:rsidRPr="002D24BB">
        <w:rPr>
          <w:rFonts w:eastAsia="Times New Roman"/>
        </w:rPr>
        <w:t xml:space="preserve"> L, Muñoz P et al. Detection of SARS-CoV-2 antibodies is insufficient for the diagnosis of active or cured COVID-19. </w:t>
      </w:r>
      <w:r w:rsidRPr="002D24BB">
        <w:rPr>
          <w:rStyle w:val="Emphasis"/>
          <w:rFonts w:eastAsia="Times New Roman"/>
          <w:b w:val="0"/>
          <w:bCs w:val="0"/>
        </w:rPr>
        <w:t>Sci Rep</w:t>
      </w:r>
      <w:r w:rsidRPr="002D24BB">
        <w:rPr>
          <w:rFonts w:eastAsia="Times New Roman"/>
        </w:rPr>
        <w:t xml:space="preserve">. 2020;10(1):19893. </w:t>
      </w:r>
      <w:proofErr w:type="spellStart"/>
      <w:r w:rsidRPr="002D24BB">
        <w:rPr>
          <w:rFonts w:eastAsia="Times New Roman"/>
        </w:rPr>
        <w:t>doi</w:t>
      </w:r>
      <w:proofErr w:type="spellEnd"/>
      <w:r w:rsidRPr="002D24BB">
        <w:rPr>
          <w:rFonts w:eastAsia="Times New Roman"/>
        </w:rPr>
        <w:t xml:space="preserve">: https://doi.org/10.1038/s41598-020-76914-5. </w:t>
      </w:r>
    </w:p>
    <w:p w14:paraId="69AF464A" w14:textId="77777777" w:rsidR="002033AF" w:rsidRPr="002D24BB" w:rsidRDefault="002033AF" w:rsidP="002D24BB">
      <w:pPr>
        <w:pStyle w:val="ListParagraph"/>
        <w:numPr>
          <w:ilvl w:val="0"/>
          <w:numId w:val="10"/>
        </w:numPr>
        <w:rPr>
          <w:rFonts w:eastAsia="Times New Roman"/>
        </w:rPr>
      </w:pPr>
      <w:proofErr w:type="spellStart"/>
      <w:r w:rsidRPr="002D24BB">
        <w:rPr>
          <w:rFonts w:eastAsia="Times New Roman"/>
        </w:rPr>
        <w:t>Deeks</w:t>
      </w:r>
      <w:proofErr w:type="spellEnd"/>
      <w:r w:rsidRPr="002D24BB">
        <w:rPr>
          <w:rFonts w:eastAsia="Times New Roman"/>
        </w:rPr>
        <w:t xml:space="preserve"> JJ, </w:t>
      </w:r>
      <w:proofErr w:type="spellStart"/>
      <w:r w:rsidRPr="002D24BB">
        <w:rPr>
          <w:rFonts w:eastAsia="Times New Roman"/>
        </w:rPr>
        <w:t>Dinnes</w:t>
      </w:r>
      <w:proofErr w:type="spellEnd"/>
      <w:r w:rsidRPr="002D24BB">
        <w:rPr>
          <w:rFonts w:eastAsia="Times New Roman"/>
        </w:rPr>
        <w:t xml:space="preserve"> J, </w:t>
      </w:r>
      <w:proofErr w:type="spellStart"/>
      <w:r w:rsidRPr="002D24BB">
        <w:rPr>
          <w:rFonts w:eastAsia="Times New Roman"/>
        </w:rPr>
        <w:t>Takwoingi</w:t>
      </w:r>
      <w:proofErr w:type="spellEnd"/>
      <w:r w:rsidRPr="002D24BB">
        <w:rPr>
          <w:rFonts w:eastAsia="Times New Roman"/>
        </w:rPr>
        <w:t xml:space="preserve"> Y, Davenport C, </w:t>
      </w:r>
      <w:proofErr w:type="spellStart"/>
      <w:r w:rsidRPr="002D24BB">
        <w:rPr>
          <w:rFonts w:eastAsia="Times New Roman"/>
        </w:rPr>
        <w:t>Spijker</w:t>
      </w:r>
      <w:proofErr w:type="spellEnd"/>
      <w:r w:rsidRPr="002D24BB">
        <w:rPr>
          <w:rFonts w:eastAsia="Times New Roman"/>
        </w:rPr>
        <w:t xml:space="preserve"> R, Taylor-Phillips S et al. Antibody tests for identification of current and past infection with SARS‐CoV‐2. </w:t>
      </w:r>
      <w:r w:rsidRPr="002D24BB">
        <w:rPr>
          <w:rStyle w:val="Emphasis"/>
          <w:rFonts w:eastAsia="Times New Roman"/>
          <w:b w:val="0"/>
          <w:bCs w:val="0"/>
        </w:rPr>
        <w:t>Cochrane Database Syst Rev</w:t>
      </w:r>
      <w:r w:rsidRPr="002D24BB">
        <w:rPr>
          <w:rFonts w:eastAsia="Times New Roman"/>
        </w:rPr>
        <w:t xml:space="preserve">. 2020;6(6):CD013652. </w:t>
      </w:r>
      <w:proofErr w:type="spellStart"/>
      <w:r w:rsidRPr="002D24BB">
        <w:rPr>
          <w:rFonts w:eastAsia="Times New Roman"/>
        </w:rPr>
        <w:t>doi</w:t>
      </w:r>
      <w:proofErr w:type="spellEnd"/>
      <w:r w:rsidRPr="002D24BB">
        <w:rPr>
          <w:rFonts w:eastAsia="Times New Roman"/>
        </w:rPr>
        <w:t xml:space="preserve">: https://doi.org/10.1002/14651858.CD013652. </w:t>
      </w:r>
    </w:p>
    <w:p w14:paraId="042874AE" w14:textId="77777777" w:rsidR="002033AF" w:rsidRPr="002D24BB" w:rsidRDefault="002033AF" w:rsidP="002D24BB">
      <w:pPr>
        <w:pStyle w:val="ListParagraph"/>
        <w:numPr>
          <w:ilvl w:val="0"/>
          <w:numId w:val="10"/>
        </w:numPr>
        <w:rPr>
          <w:rFonts w:eastAsia="Times New Roman"/>
        </w:rPr>
      </w:pPr>
      <w:r w:rsidRPr="002D24BB">
        <w:rPr>
          <w:rFonts w:eastAsia="Times New Roman"/>
        </w:rPr>
        <w:t xml:space="preserve">Dan JM, Mateus J, Kato Y, Hastie KM, Yu ED, </w:t>
      </w:r>
      <w:proofErr w:type="spellStart"/>
      <w:r w:rsidRPr="002D24BB">
        <w:rPr>
          <w:rFonts w:eastAsia="Times New Roman"/>
        </w:rPr>
        <w:t>Faliti</w:t>
      </w:r>
      <w:proofErr w:type="spellEnd"/>
      <w:r w:rsidRPr="002D24BB">
        <w:rPr>
          <w:rFonts w:eastAsia="Times New Roman"/>
        </w:rPr>
        <w:t xml:space="preserve"> CE et al. Immunological memory to SARS-CoV-2 assessed for up to 8 months after infection. </w:t>
      </w:r>
      <w:r w:rsidRPr="002D24BB">
        <w:rPr>
          <w:rStyle w:val="Emphasis"/>
          <w:rFonts w:eastAsia="Times New Roman"/>
          <w:b w:val="0"/>
          <w:bCs w:val="0"/>
        </w:rPr>
        <w:t>Science</w:t>
      </w:r>
      <w:r w:rsidRPr="002D24BB">
        <w:rPr>
          <w:rFonts w:eastAsia="Times New Roman"/>
        </w:rPr>
        <w:t>. 2021;371(6529</w:t>
      </w:r>
      <w:proofErr w:type="gramStart"/>
      <w:r w:rsidRPr="002D24BB">
        <w:rPr>
          <w:rFonts w:eastAsia="Times New Roman"/>
        </w:rPr>
        <w:t>):eabf</w:t>
      </w:r>
      <w:proofErr w:type="gramEnd"/>
      <w:r w:rsidRPr="002D24BB">
        <w:rPr>
          <w:rFonts w:eastAsia="Times New Roman"/>
        </w:rPr>
        <w:t xml:space="preserve">4063. </w:t>
      </w:r>
      <w:proofErr w:type="spellStart"/>
      <w:r w:rsidRPr="002D24BB">
        <w:rPr>
          <w:rFonts w:eastAsia="Times New Roman"/>
        </w:rPr>
        <w:t>doi</w:t>
      </w:r>
      <w:proofErr w:type="spellEnd"/>
      <w:r w:rsidRPr="002D24BB">
        <w:rPr>
          <w:rFonts w:eastAsia="Times New Roman"/>
        </w:rPr>
        <w:t xml:space="preserve">: https://doi.org/10.1126/science.abf4063. </w:t>
      </w:r>
    </w:p>
    <w:p w14:paraId="1F10EAFD" w14:textId="77777777" w:rsidR="002033AF" w:rsidRPr="002D24BB" w:rsidRDefault="002033AF" w:rsidP="002D24BB">
      <w:pPr>
        <w:pStyle w:val="ListParagraph"/>
        <w:numPr>
          <w:ilvl w:val="0"/>
          <w:numId w:val="10"/>
        </w:numPr>
        <w:rPr>
          <w:rFonts w:eastAsia="Times New Roman"/>
        </w:rPr>
      </w:pPr>
      <w:proofErr w:type="spellStart"/>
      <w:r w:rsidRPr="002D24BB">
        <w:rPr>
          <w:rFonts w:eastAsia="Times New Roman"/>
        </w:rPr>
        <w:t>Yamayoshi</w:t>
      </w:r>
      <w:proofErr w:type="spellEnd"/>
      <w:r w:rsidRPr="002D24BB">
        <w:rPr>
          <w:rFonts w:eastAsia="Times New Roman"/>
        </w:rPr>
        <w:t xml:space="preserve"> S, Yasuhara A, Ito M, Akasaka O, Nakamura M, </w:t>
      </w:r>
      <w:proofErr w:type="spellStart"/>
      <w:r w:rsidRPr="002D24BB">
        <w:rPr>
          <w:rFonts w:eastAsia="Times New Roman"/>
        </w:rPr>
        <w:t>Nakachi</w:t>
      </w:r>
      <w:proofErr w:type="spellEnd"/>
      <w:r w:rsidRPr="002D24BB">
        <w:rPr>
          <w:rFonts w:eastAsia="Times New Roman"/>
        </w:rPr>
        <w:t xml:space="preserve"> I et al. Antibody </w:t>
      </w:r>
      <w:proofErr w:type="spellStart"/>
      <w:r w:rsidRPr="002D24BB">
        <w:rPr>
          <w:rFonts w:eastAsia="Times New Roman"/>
        </w:rPr>
        <w:t>titers</w:t>
      </w:r>
      <w:proofErr w:type="spellEnd"/>
      <w:r w:rsidRPr="002D24BB">
        <w:rPr>
          <w:rFonts w:eastAsia="Times New Roman"/>
        </w:rPr>
        <w:t xml:space="preserve"> against SARS-CoV-2 decline, but do not disappear for </w:t>
      </w:r>
      <w:proofErr w:type="gramStart"/>
      <w:r w:rsidRPr="002D24BB">
        <w:rPr>
          <w:rFonts w:eastAsia="Times New Roman"/>
        </w:rPr>
        <w:t>several</w:t>
      </w:r>
      <w:proofErr w:type="gramEnd"/>
      <w:r w:rsidRPr="002D24BB">
        <w:rPr>
          <w:rFonts w:eastAsia="Times New Roman"/>
        </w:rPr>
        <w:t xml:space="preserve"> months. </w:t>
      </w:r>
      <w:proofErr w:type="spellStart"/>
      <w:r w:rsidRPr="002D24BB">
        <w:rPr>
          <w:rStyle w:val="Emphasis"/>
          <w:rFonts w:eastAsia="Times New Roman"/>
          <w:b w:val="0"/>
          <w:bCs w:val="0"/>
        </w:rPr>
        <w:t>EClinicalMedicine</w:t>
      </w:r>
      <w:proofErr w:type="spellEnd"/>
      <w:r w:rsidRPr="002D24BB">
        <w:rPr>
          <w:rFonts w:eastAsia="Times New Roman"/>
        </w:rPr>
        <w:t xml:space="preserve">. </w:t>
      </w:r>
      <w:proofErr w:type="gramStart"/>
      <w:r w:rsidRPr="002D24BB">
        <w:rPr>
          <w:rFonts w:eastAsia="Times New Roman"/>
        </w:rPr>
        <w:t>2021;32:100734</w:t>
      </w:r>
      <w:proofErr w:type="gramEnd"/>
      <w:r w:rsidRPr="002D24BB">
        <w:rPr>
          <w:rFonts w:eastAsia="Times New Roman"/>
        </w:rPr>
        <w:t xml:space="preserve">. </w:t>
      </w:r>
      <w:proofErr w:type="spellStart"/>
      <w:r w:rsidRPr="002D24BB">
        <w:rPr>
          <w:rFonts w:eastAsia="Times New Roman"/>
        </w:rPr>
        <w:t>doi</w:t>
      </w:r>
      <w:proofErr w:type="spellEnd"/>
      <w:r w:rsidRPr="002D24BB">
        <w:rPr>
          <w:rFonts w:eastAsia="Times New Roman"/>
        </w:rPr>
        <w:t xml:space="preserve">: https://doi.org/10.1016/j.eclinm.2021.100734. </w:t>
      </w:r>
    </w:p>
    <w:p w14:paraId="6713B317" w14:textId="77777777" w:rsidR="002033AF" w:rsidRPr="002D24BB" w:rsidRDefault="002033AF" w:rsidP="002D24BB">
      <w:pPr>
        <w:pStyle w:val="ListParagraph"/>
        <w:numPr>
          <w:ilvl w:val="0"/>
          <w:numId w:val="10"/>
        </w:numPr>
        <w:rPr>
          <w:rFonts w:eastAsia="Times New Roman"/>
        </w:rPr>
      </w:pPr>
      <w:proofErr w:type="spellStart"/>
      <w:r w:rsidRPr="002D24BB">
        <w:rPr>
          <w:rFonts w:eastAsia="Times New Roman"/>
        </w:rPr>
        <w:t>Röltgen</w:t>
      </w:r>
      <w:proofErr w:type="spellEnd"/>
      <w:r w:rsidRPr="002D24BB">
        <w:rPr>
          <w:rFonts w:eastAsia="Times New Roman"/>
        </w:rPr>
        <w:t xml:space="preserve"> K, Powell AE, Wirz OF, Stevens BA, Hogan CA, Najeeb J et al. Defining the features and duration of antibody responses to SARS-CoV-2 infection associated with disease severity and outcome. </w:t>
      </w:r>
      <w:r w:rsidRPr="002D24BB">
        <w:rPr>
          <w:rStyle w:val="Emphasis"/>
          <w:rFonts w:eastAsia="Times New Roman"/>
          <w:b w:val="0"/>
          <w:bCs w:val="0"/>
        </w:rPr>
        <w:t>Sci Immunol</w:t>
      </w:r>
      <w:r w:rsidRPr="002D24BB">
        <w:rPr>
          <w:rFonts w:eastAsia="Times New Roman"/>
        </w:rPr>
        <w:t>. 2020;5(54</w:t>
      </w:r>
      <w:proofErr w:type="gramStart"/>
      <w:r w:rsidRPr="002D24BB">
        <w:rPr>
          <w:rFonts w:eastAsia="Times New Roman"/>
        </w:rPr>
        <w:t>):eabe</w:t>
      </w:r>
      <w:proofErr w:type="gramEnd"/>
      <w:r w:rsidRPr="002D24BB">
        <w:rPr>
          <w:rFonts w:eastAsia="Times New Roman"/>
        </w:rPr>
        <w:t xml:space="preserve">0240. </w:t>
      </w:r>
      <w:proofErr w:type="spellStart"/>
      <w:r w:rsidRPr="002D24BB">
        <w:rPr>
          <w:rFonts w:eastAsia="Times New Roman"/>
        </w:rPr>
        <w:t>doi</w:t>
      </w:r>
      <w:proofErr w:type="spellEnd"/>
      <w:r w:rsidRPr="002D24BB">
        <w:rPr>
          <w:rFonts w:eastAsia="Times New Roman"/>
        </w:rPr>
        <w:t xml:space="preserve">: https://doi.org/10.1126/sciimmunol.abe0240. </w:t>
      </w:r>
    </w:p>
    <w:p w14:paraId="79CA689F" w14:textId="77777777" w:rsidR="002033AF" w:rsidRPr="002D24BB" w:rsidRDefault="002033AF" w:rsidP="002D24BB">
      <w:pPr>
        <w:pStyle w:val="ListParagraph"/>
        <w:numPr>
          <w:ilvl w:val="0"/>
          <w:numId w:val="10"/>
        </w:numPr>
        <w:rPr>
          <w:rFonts w:eastAsia="Times New Roman"/>
        </w:rPr>
      </w:pPr>
      <w:r w:rsidRPr="002D24BB">
        <w:rPr>
          <w:rFonts w:eastAsia="Times New Roman"/>
        </w:rPr>
        <w:t xml:space="preserve">Vette KM, </w:t>
      </w:r>
      <w:proofErr w:type="spellStart"/>
      <w:r w:rsidRPr="002D24BB">
        <w:rPr>
          <w:rFonts w:eastAsia="Times New Roman"/>
        </w:rPr>
        <w:t>Machalek</w:t>
      </w:r>
      <w:proofErr w:type="spellEnd"/>
      <w:r w:rsidRPr="002D24BB">
        <w:rPr>
          <w:rFonts w:eastAsia="Times New Roman"/>
        </w:rPr>
        <w:t xml:space="preserve"> DA, Gidding HF, Nicholson S, O’Sullivan MVN, Carlin JB et al. Seroprevalence of severe acute respiratory syndrome coronavirus 2-specific antibodies in Australia after the first epidemic wave in 2020: a national survey. </w:t>
      </w:r>
      <w:r w:rsidRPr="002D24BB">
        <w:rPr>
          <w:rStyle w:val="Emphasis"/>
          <w:rFonts w:eastAsia="Times New Roman"/>
          <w:b w:val="0"/>
          <w:bCs w:val="0"/>
        </w:rPr>
        <w:t>Open Forum Infect Dis</w:t>
      </w:r>
      <w:r w:rsidRPr="002D24BB">
        <w:rPr>
          <w:rFonts w:eastAsia="Times New Roman"/>
        </w:rPr>
        <w:t>. 2022;9(3</w:t>
      </w:r>
      <w:proofErr w:type="gramStart"/>
      <w:r w:rsidRPr="002D24BB">
        <w:rPr>
          <w:rFonts w:eastAsia="Times New Roman"/>
        </w:rPr>
        <w:t>):ofac</w:t>
      </w:r>
      <w:proofErr w:type="gramEnd"/>
      <w:r w:rsidRPr="002D24BB">
        <w:rPr>
          <w:rFonts w:eastAsia="Times New Roman"/>
        </w:rPr>
        <w:t xml:space="preserve">002. </w:t>
      </w:r>
      <w:proofErr w:type="spellStart"/>
      <w:r w:rsidRPr="002D24BB">
        <w:rPr>
          <w:rFonts w:eastAsia="Times New Roman"/>
        </w:rPr>
        <w:t>doi</w:t>
      </w:r>
      <w:proofErr w:type="spellEnd"/>
      <w:r w:rsidRPr="002D24BB">
        <w:rPr>
          <w:rFonts w:eastAsia="Times New Roman"/>
        </w:rPr>
        <w:t xml:space="preserve">: https://doi.org/10.1093/ofid/ofac002. </w:t>
      </w:r>
    </w:p>
    <w:p w14:paraId="651C91D9" w14:textId="77777777" w:rsidR="002033AF" w:rsidRPr="002D24BB" w:rsidRDefault="002033AF" w:rsidP="002D24BB">
      <w:pPr>
        <w:pStyle w:val="ListParagraph"/>
        <w:numPr>
          <w:ilvl w:val="0"/>
          <w:numId w:val="10"/>
        </w:numPr>
        <w:rPr>
          <w:rFonts w:eastAsia="Times New Roman"/>
        </w:rPr>
      </w:pPr>
      <w:proofErr w:type="spellStart"/>
      <w:r w:rsidRPr="002D24BB">
        <w:rPr>
          <w:rFonts w:eastAsia="Times New Roman"/>
        </w:rPr>
        <w:t>Vaselli</w:t>
      </w:r>
      <w:proofErr w:type="spellEnd"/>
      <w:r w:rsidRPr="002D24BB">
        <w:rPr>
          <w:rFonts w:eastAsia="Times New Roman"/>
        </w:rPr>
        <w:t xml:space="preserve"> NM, Hungerford D, Shenton B, </w:t>
      </w:r>
      <w:proofErr w:type="spellStart"/>
      <w:r w:rsidRPr="002D24BB">
        <w:rPr>
          <w:rFonts w:eastAsia="Times New Roman"/>
        </w:rPr>
        <w:t>Khashkhusha</w:t>
      </w:r>
      <w:proofErr w:type="spellEnd"/>
      <w:r w:rsidRPr="002D24BB">
        <w:rPr>
          <w:rFonts w:eastAsia="Times New Roman"/>
        </w:rPr>
        <w:t xml:space="preserve"> A, Cunliffe NA, French N. The seroprevalence of SARS-CoV-2 during the first wave in Europe 2020: a systematic review. </w:t>
      </w:r>
      <w:proofErr w:type="spellStart"/>
      <w:r w:rsidRPr="002D24BB">
        <w:rPr>
          <w:rStyle w:val="Emphasis"/>
          <w:rFonts w:eastAsia="Times New Roman"/>
          <w:b w:val="0"/>
          <w:bCs w:val="0"/>
        </w:rPr>
        <w:t>PLoS</w:t>
      </w:r>
      <w:proofErr w:type="spellEnd"/>
      <w:r w:rsidRPr="002D24BB">
        <w:rPr>
          <w:rStyle w:val="Emphasis"/>
          <w:rFonts w:eastAsia="Times New Roman"/>
          <w:b w:val="0"/>
          <w:bCs w:val="0"/>
        </w:rPr>
        <w:t xml:space="preserve"> One</w:t>
      </w:r>
      <w:r w:rsidRPr="002D24BB">
        <w:rPr>
          <w:rFonts w:eastAsia="Times New Roman"/>
        </w:rPr>
        <w:t>. 2021;16(11</w:t>
      </w:r>
      <w:proofErr w:type="gramStart"/>
      <w:r w:rsidRPr="002D24BB">
        <w:rPr>
          <w:rFonts w:eastAsia="Times New Roman"/>
        </w:rPr>
        <w:t>):e</w:t>
      </w:r>
      <w:proofErr w:type="gramEnd"/>
      <w:r w:rsidRPr="002D24BB">
        <w:rPr>
          <w:rFonts w:eastAsia="Times New Roman"/>
        </w:rPr>
        <w:t xml:space="preserve">0250541. </w:t>
      </w:r>
      <w:proofErr w:type="spellStart"/>
      <w:r w:rsidRPr="002D24BB">
        <w:rPr>
          <w:rFonts w:eastAsia="Times New Roman"/>
        </w:rPr>
        <w:t>doi</w:t>
      </w:r>
      <w:proofErr w:type="spellEnd"/>
      <w:r w:rsidRPr="002D24BB">
        <w:rPr>
          <w:rFonts w:eastAsia="Times New Roman"/>
        </w:rPr>
        <w:t xml:space="preserve">: https://doi.org/10.1371/journal.pone.0250541. </w:t>
      </w:r>
    </w:p>
    <w:p w14:paraId="141415DD" w14:textId="77777777" w:rsidR="002033AF" w:rsidRPr="002D24BB" w:rsidRDefault="002033AF" w:rsidP="002D24BB">
      <w:pPr>
        <w:pStyle w:val="ListParagraph"/>
        <w:numPr>
          <w:ilvl w:val="0"/>
          <w:numId w:val="10"/>
        </w:numPr>
        <w:rPr>
          <w:rFonts w:eastAsia="Times New Roman"/>
        </w:rPr>
      </w:pPr>
      <w:r w:rsidRPr="002D24BB">
        <w:rPr>
          <w:rFonts w:eastAsia="Times New Roman"/>
        </w:rPr>
        <w:t xml:space="preserve">Gómez-Ochoa SA, Franco OH, Rojas LZ, </w:t>
      </w:r>
      <w:proofErr w:type="spellStart"/>
      <w:r w:rsidRPr="002D24BB">
        <w:rPr>
          <w:rFonts w:eastAsia="Times New Roman"/>
        </w:rPr>
        <w:t>Raguindin</w:t>
      </w:r>
      <w:proofErr w:type="spellEnd"/>
      <w:r w:rsidRPr="002D24BB">
        <w:rPr>
          <w:rFonts w:eastAsia="Times New Roman"/>
        </w:rPr>
        <w:t xml:space="preserve"> PF, </w:t>
      </w:r>
      <w:proofErr w:type="spellStart"/>
      <w:r w:rsidRPr="002D24BB">
        <w:rPr>
          <w:rFonts w:eastAsia="Times New Roman"/>
        </w:rPr>
        <w:t>Roa</w:t>
      </w:r>
      <w:proofErr w:type="spellEnd"/>
      <w:r w:rsidRPr="002D24BB">
        <w:rPr>
          <w:rFonts w:eastAsia="Times New Roman"/>
        </w:rPr>
        <w:t xml:space="preserve">-Díaz ZM, </w:t>
      </w:r>
      <w:proofErr w:type="spellStart"/>
      <w:r w:rsidRPr="002D24BB">
        <w:rPr>
          <w:rFonts w:eastAsia="Times New Roman"/>
        </w:rPr>
        <w:t>Wyssmann</w:t>
      </w:r>
      <w:proofErr w:type="spellEnd"/>
      <w:r w:rsidRPr="002D24BB">
        <w:rPr>
          <w:rFonts w:eastAsia="Times New Roman"/>
        </w:rPr>
        <w:t xml:space="preserve"> BM et al. COVID-19 in health-care workers: a living systematic review and meta-analysis of prevalence, risk factors, clinical characteristics, and outcomes. </w:t>
      </w:r>
      <w:r w:rsidRPr="002D24BB">
        <w:rPr>
          <w:rStyle w:val="Emphasis"/>
          <w:rFonts w:eastAsia="Times New Roman"/>
          <w:b w:val="0"/>
          <w:bCs w:val="0"/>
        </w:rPr>
        <w:t>Am J Epidemiol</w:t>
      </w:r>
      <w:r w:rsidRPr="002D24BB">
        <w:rPr>
          <w:rFonts w:eastAsia="Times New Roman"/>
        </w:rPr>
        <w:t xml:space="preserve">. 2021;190(1):161–75. </w:t>
      </w:r>
      <w:proofErr w:type="spellStart"/>
      <w:r w:rsidRPr="002D24BB">
        <w:rPr>
          <w:rFonts w:eastAsia="Times New Roman"/>
        </w:rPr>
        <w:t>doi</w:t>
      </w:r>
      <w:proofErr w:type="spellEnd"/>
      <w:r w:rsidRPr="002D24BB">
        <w:rPr>
          <w:rFonts w:eastAsia="Times New Roman"/>
        </w:rPr>
        <w:t xml:space="preserve">: https://doi.org/10.1093/aje/kwaa191. </w:t>
      </w:r>
    </w:p>
    <w:p w14:paraId="61978591" w14:textId="77777777" w:rsidR="002033AF" w:rsidRPr="002D24BB" w:rsidRDefault="002033AF" w:rsidP="002D24BB">
      <w:pPr>
        <w:pStyle w:val="ListParagraph"/>
        <w:numPr>
          <w:ilvl w:val="0"/>
          <w:numId w:val="10"/>
        </w:numPr>
        <w:rPr>
          <w:rFonts w:eastAsia="Times New Roman"/>
        </w:rPr>
      </w:pPr>
      <w:proofErr w:type="spellStart"/>
      <w:r w:rsidRPr="002D24BB">
        <w:rPr>
          <w:rFonts w:eastAsia="Times New Roman"/>
        </w:rPr>
        <w:t>Kayı</w:t>
      </w:r>
      <w:proofErr w:type="spellEnd"/>
      <w:r w:rsidRPr="002D24BB">
        <w:rPr>
          <w:rFonts w:eastAsia="Times New Roman"/>
        </w:rPr>
        <w:t xml:space="preserve"> İ, </w:t>
      </w:r>
      <w:proofErr w:type="spellStart"/>
      <w:r w:rsidRPr="002D24BB">
        <w:rPr>
          <w:rFonts w:eastAsia="Times New Roman"/>
        </w:rPr>
        <w:t>Madran</w:t>
      </w:r>
      <w:proofErr w:type="spellEnd"/>
      <w:r w:rsidRPr="002D24BB">
        <w:rPr>
          <w:rFonts w:eastAsia="Times New Roman"/>
        </w:rPr>
        <w:t xml:space="preserve"> B, </w:t>
      </w:r>
      <w:proofErr w:type="spellStart"/>
      <w:r w:rsidRPr="002D24BB">
        <w:rPr>
          <w:rFonts w:eastAsia="Times New Roman"/>
        </w:rPr>
        <w:t>Keske</w:t>
      </w:r>
      <w:proofErr w:type="spellEnd"/>
      <w:r w:rsidRPr="002D24BB">
        <w:rPr>
          <w:rFonts w:eastAsia="Times New Roman"/>
        </w:rPr>
        <w:t xml:space="preserve"> Ş, </w:t>
      </w:r>
      <w:proofErr w:type="spellStart"/>
      <w:r w:rsidRPr="002D24BB">
        <w:rPr>
          <w:rFonts w:eastAsia="Times New Roman"/>
        </w:rPr>
        <w:t>Karanfil</w:t>
      </w:r>
      <w:proofErr w:type="spellEnd"/>
      <w:r w:rsidRPr="002D24BB">
        <w:rPr>
          <w:rFonts w:eastAsia="Times New Roman"/>
        </w:rPr>
        <w:t xml:space="preserve"> Ö, </w:t>
      </w:r>
      <w:proofErr w:type="spellStart"/>
      <w:r w:rsidRPr="002D24BB">
        <w:rPr>
          <w:rFonts w:eastAsia="Times New Roman"/>
        </w:rPr>
        <w:t>Arribas</w:t>
      </w:r>
      <w:proofErr w:type="spellEnd"/>
      <w:r w:rsidRPr="002D24BB">
        <w:rPr>
          <w:rFonts w:eastAsia="Times New Roman"/>
        </w:rPr>
        <w:t xml:space="preserve"> JR, </w:t>
      </w:r>
      <w:proofErr w:type="spellStart"/>
      <w:r w:rsidRPr="002D24BB">
        <w:rPr>
          <w:rFonts w:eastAsia="Times New Roman"/>
        </w:rPr>
        <w:t>Psheniсhnaya</w:t>
      </w:r>
      <w:proofErr w:type="spellEnd"/>
      <w:r w:rsidRPr="002D24BB">
        <w:rPr>
          <w:rFonts w:eastAsia="Times New Roman"/>
        </w:rPr>
        <w:t xml:space="preserve"> N et al. The seroprevalence of SARS-CoV-2 antibodies among health care workers before the era of vaccination: a systematic review and meta-analysis. </w:t>
      </w:r>
      <w:r w:rsidRPr="002D24BB">
        <w:rPr>
          <w:rStyle w:val="Emphasis"/>
          <w:rFonts w:eastAsia="Times New Roman"/>
          <w:b w:val="0"/>
          <w:bCs w:val="0"/>
        </w:rPr>
        <w:t>Clin Microbiol Infect</w:t>
      </w:r>
      <w:r w:rsidRPr="002D24BB">
        <w:rPr>
          <w:rFonts w:eastAsia="Times New Roman"/>
        </w:rPr>
        <w:t xml:space="preserve">. 2021;27(9):1242–9. </w:t>
      </w:r>
      <w:proofErr w:type="spellStart"/>
      <w:r w:rsidRPr="002D24BB">
        <w:rPr>
          <w:rFonts w:eastAsia="Times New Roman"/>
        </w:rPr>
        <w:t>doi</w:t>
      </w:r>
      <w:proofErr w:type="spellEnd"/>
      <w:r w:rsidRPr="002D24BB">
        <w:rPr>
          <w:rFonts w:eastAsia="Times New Roman"/>
        </w:rPr>
        <w:t xml:space="preserve">: https://doi.org/10.1016/j.cmi.2021.05.036. </w:t>
      </w:r>
    </w:p>
    <w:p w14:paraId="0CEBF40E" w14:textId="77777777" w:rsidR="002033AF" w:rsidRPr="002D24BB" w:rsidRDefault="002033AF" w:rsidP="002D24BB">
      <w:pPr>
        <w:pStyle w:val="ListParagraph"/>
        <w:numPr>
          <w:ilvl w:val="0"/>
          <w:numId w:val="10"/>
        </w:numPr>
        <w:rPr>
          <w:rFonts w:eastAsia="Times New Roman"/>
        </w:rPr>
      </w:pPr>
      <w:proofErr w:type="spellStart"/>
      <w:r w:rsidRPr="002D24BB">
        <w:rPr>
          <w:rFonts w:eastAsia="Times New Roman"/>
        </w:rPr>
        <w:t>Galanis</w:t>
      </w:r>
      <w:proofErr w:type="spellEnd"/>
      <w:r w:rsidRPr="002D24BB">
        <w:rPr>
          <w:rFonts w:eastAsia="Times New Roman"/>
        </w:rPr>
        <w:t xml:space="preserve"> P, Vraka I, </w:t>
      </w:r>
      <w:proofErr w:type="spellStart"/>
      <w:r w:rsidRPr="002D24BB">
        <w:rPr>
          <w:rFonts w:eastAsia="Times New Roman"/>
        </w:rPr>
        <w:t>Fragkou</w:t>
      </w:r>
      <w:proofErr w:type="spellEnd"/>
      <w:r w:rsidRPr="002D24BB">
        <w:rPr>
          <w:rFonts w:eastAsia="Times New Roman"/>
        </w:rPr>
        <w:t xml:space="preserve"> D, </w:t>
      </w:r>
      <w:proofErr w:type="spellStart"/>
      <w:r w:rsidRPr="002D24BB">
        <w:rPr>
          <w:rFonts w:eastAsia="Times New Roman"/>
        </w:rPr>
        <w:t>Bilali</w:t>
      </w:r>
      <w:proofErr w:type="spellEnd"/>
      <w:r w:rsidRPr="002D24BB">
        <w:rPr>
          <w:rFonts w:eastAsia="Times New Roman"/>
        </w:rPr>
        <w:t xml:space="preserve"> A, </w:t>
      </w:r>
      <w:proofErr w:type="spellStart"/>
      <w:r w:rsidRPr="002D24BB">
        <w:rPr>
          <w:rFonts w:eastAsia="Times New Roman"/>
        </w:rPr>
        <w:t>Kaitelidou</w:t>
      </w:r>
      <w:proofErr w:type="spellEnd"/>
      <w:r w:rsidRPr="002D24BB">
        <w:rPr>
          <w:rFonts w:eastAsia="Times New Roman"/>
        </w:rPr>
        <w:t xml:space="preserve"> D. Seroprevalence of SARS-CoV-2 antibodies and associated factors in healthcare workers: a systematic review and meta-analysis. </w:t>
      </w:r>
      <w:r w:rsidRPr="002D24BB">
        <w:rPr>
          <w:rStyle w:val="Emphasis"/>
          <w:rFonts w:eastAsia="Times New Roman"/>
          <w:b w:val="0"/>
          <w:bCs w:val="0"/>
        </w:rPr>
        <w:t>J Hosp Infect</w:t>
      </w:r>
      <w:r w:rsidRPr="002D24BB">
        <w:rPr>
          <w:rFonts w:eastAsia="Times New Roman"/>
        </w:rPr>
        <w:t xml:space="preserve">. 2021; 108:120–34. </w:t>
      </w:r>
      <w:proofErr w:type="spellStart"/>
      <w:r w:rsidRPr="002D24BB">
        <w:rPr>
          <w:rFonts w:eastAsia="Times New Roman"/>
        </w:rPr>
        <w:t>doi</w:t>
      </w:r>
      <w:proofErr w:type="spellEnd"/>
      <w:r w:rsidRPr="002D24BB">
        <w:rPr>
          <w:rFonts w:eastAsia="Times New Roman"/>
        </w:rPr>
        <w:t xml:space="preserve">: https://doi.org/10.1016/j.jhin.2020.11.008. </w:t>
      </w:r>
    </w:p>
    <w:p w14:paraId="52FE7189" w14:textId="77777777" w:rsidR="002033AF" w:rsidRPr="002D24BB" w:rsidRDefault="002033AF" w:rsidP="002D24BB">
      <w:pPr>
        <w:pStyle w:val="ListParagraph"/>
        <w:numPr>
          <w:ilvl w:val="0"/>
          <w:numId w:val="10"/>
        </w:numPr>
        <w:rPr>
          <w:rFonts w:eastAsia="Times New Roman"/>
        </w:rPr>
      </w:pPr>
      <w:r w:rsidRPr="002D24BB">
        <w:rPr>
          <w:rFonts w:eastAsia="Times New Roman"/>
        </w:rPr>
        <w:lastRenderedPageBreak/>
        <w:t xml:space="preserve">Venugopal U, Jilani N, Rabah S, Shariff MA, Jawed M, Mendez </w:t>
      </w:r>
      <w:proofErr w:type="spellStart"/>
      <w:r w:rsidRPr="002D24BB">
        <w:rPr>
          <w:rFonts w:eastAsia="Times New Roman"/>
        </w:rPr>
        <w:t>Batres</w:t>
      </w:r>
      <w:proofErr w:type="spellEnd"/>
      <w:r w:rsidRPr="002D24BB">
        <w:rPr>
          <w:rFonts w:eastAsia="Times New Roman"/>
        </w:rPr>
        <w:t xml:space="preserve"> A et al. SARS-CoV-2 seroprevalence among health care workers in a New York City hospital: a cross-sectional analysis during the COVID-19 pandemic. </w:t>
      </w:r>
      <w:r w:rsidRPr="002D24BB">
        <w:rPr>
          <w:rStyle w:val="Emphasis"/>
          <w:rFonts w:eastAsia="Times New Roman"/>
          <w:b w:val="0"/>
          <w:bCs w:val="0"/>
        </w:rPr>
        <w:t>Int J Infect Dis</w:t>
      </w:r>
      <w:r w:rsidRPr="002D24BB">
        <w:rPr>
          <w:rFonts w:eastAsia="Times New Roman"/>
        </w:rPr>
        <w:t xml:space="preserve">. </w:t>
      </w:r>
      <w:proofErr w:type="gramStart"/>
      <w:r w:rsidRPr="002D24BB">
        <w:rPr>
          <w:rFonts w:eastAsia="Times New Roman"/>
        </w:rPr>
        <w:t>2021;102:63</w:t>
      </w:r>
      <w:proofErr w:type="gramEnd"/>
      <w:r w:rsidRPr="002D24BB">
        <w:rPr>
          <w:rFonts w:eastAsia="Times New Roman"/>
        </w:rPr>
        <w:t xml:space="preserve">–9. </w:t>
      </w:r>
      <w:proofErr w:type="spellStart"/>
      <w:r w:rsidRPr="002D24BB">
        <w:rPr>
          <w:rFonts w:eastAsia="Times New Roman"/>
        </w:rPr>
        <w:t>doi</w:t>
      </w:r>
      <w:proofErr w:type="spellEnd"/>
      <w:r w:rsidRPr="002D24BB">
        <w:rPr>
          <w:rFonts w:eastAsia="Times New Roman"/>
        </w:rPr>
        <w:t xml:space="preserve">: https://doi.org/10.1016/j.ijid.2020.10.036. </w:t>
      </w:r>
    </w:p>
    <w:p w14:paraId="0656744F" w14:textId="77777777" w:rsidR="002033AF" w:rsidRPr="002D24BB" w:rsidRDefault="002033AF" w:rsidP="002D24BB">
      <w:pPr>
        <w:pStyle w:val="ListParagraph"/>
        <w:numPr>
          <w:ilvl w:val="0"/>
          <w:numId w:val="10"/>
        </w:numPr>
        <w:rPr>
          <w:rFonts w:eastAsia="Times New Roman"/>
        </w:rPr>
      </w:pPr>
      <w:proofErr w:type="spellStart"/>
      <w:r w:rsidRPr="002D24BB">
        <w:rPr>
          <w:rFonts w:eastAsia="Times New Roman"/>
        </w:rPr>
        <w:t>Lisboa</w:t>
      </w:r>
      <w:proofErr w:type="spellEnd"/>
      <w:r w:rsidRPr="002D24BB">
        <w:rPr>
          <w:rFonts w:eastAsia="Times New Roman"/>
        </w:rPr>
        <w:t xml:space="preserve"> Bastos M, </w:t>
      </w:r>
      <w:proofErr w:type="spellStart"/>
      <w:r w:rsidRPr="002D24BB">
        <w:rPr>
          <w:rFonts w:eastAsia="Times New Roman"/>
        </w:rPr>
        <w:t>Tavaziva</w:t>
      </w:r>
      <w:proofErr w:type="spellEnd"/>
      <w:r w:rsidRPr="002D24BB">
        <w:rPr>
          <w:rFonts w:eastAsia="Times New Roman"/>
        </w:rPr>
        <w:t xml:space="preserve"> G, </w:t>
      </w:r>
      <w:proofErr w:type="spellStart"/>
      <w:r w:rsidRPr="002D24BB">
        <w:rPr>
          <w:rFonts w:eastAsia="Times New Roman"/>
        </w:rPr>
        <w:t>Abidi</w:t>
      </w:r>
      <w:proofErr w:type="spellEnd"/>
      <w:r w:rsidRPr="002D24BB">
        <w:rPr>
          <w:rFonts w:eastAsia="Times New Roman"/>
        </w:rPr>
        <w:t xml:space="preserve"> SK, Campbell JR, </w:t>
      </w:r>
      <w:proofErr w:type="spellStart"/>
      <w:r w:rsidRPr="002D24BB">
        <w:rPr>
          <w:rFonts w:eastAsia="Times New Roman"/>
        </w:rPr>
        <w:t>Haraoui</w:t>
      </w:r>
      <w:proofErr w:type="spellEnd"/>
      <w:r w:rsidRPr="002D24BB">
        <w:rPr>
          <w:rFonts w:eastAsia="Times New Roman"/>
        </w:rPr>
        <w:t xml:space="preserve"> LP, Johnston JC et al. Diagnostic accuracy of serological tests for covid-19: systematic review and meta-analysis. </w:t>
      </w:r>
      <w:r w:rsidRPr="002D24BB">
        <w:rPr>
          <w:rStyle w:val="Emphasis"/>
          <w:rFonts w:eastAsia="Times New Roman"/>
          <w:b w:val="0"/>
          <w:bCs w:val="0"/>
        </w:rPr>
        <w:t>BMJ</w:t>
      </w:r>
      <w:r w:rsidRPr="002D24BB">
        <w:rPr>
          <w:rFonts w:eastAsia="Times New Roman"/>
        </w:rPr>
        <w:t xml:space="preserve">. 2020;370:m2516. </w:t>
      </w:r>
      <w:proofErr w:type="spellStart"/>
      <w:r w:rsidRPr="002D24BB">
        <w:rPr>
          <w:rFonts w:eastAsia="Times New Roman"/>
        </w:rPr>
        <w:t>doi</w:t>
      </w:r>
      <w:proofErr w:type="spellEnd"/>
      <w:r w:rsidRPr="002D24BB">
        <w:rPr>
          <w:rFonts w:eastAsia="Times New Roman"/>
        </w:rPr>
        <w:t xml:space="preserve">: https://doi.org/10.1136/bmj.m2516. </w:t>
      </w:r>
    </w:p>
    <w:p w14:paraId="3DB89E84" w14:textId="77777777" w:rsidR="002033AF" w:rsidRPr="002D24BB" w:rsidRDefault="002033AF" w:rsidP="002D24BB">
      <w:pPr>
        <w:pStyle w:val="ListParagraph"/>
        <w:numPr>
          <w:ilvl w:val="0"/>
          <w:numId w:val="10"/>
        </w:numPr>
        <w:rPr>
          <w:rFonts w:eastAsia="Times New Roman"/>
        </w:rPr>
      </w:pPr>
      <w:r w:rsidRPr="002D24BB">
        <w:rPr>
          <w:rFonts w:eastAsia="Times New Roman"/>
        </w:rPr>
        <w:t xml:space="preserve">Macedo ACL, </w:t>
      </w:r>
      <w:proofErr w:type="spellStart"/>
      <w:r w:rsidRPr="002D24BB">
        <w:rPr>
          <w:rFonts w:eastAsia="Times New Roman"/>
        </w:rPr>
        <w:t>Prestes</w:t>
      </w:r>
      <w:proofErr w:type="spellEnd"/>
      <w:r w:rsidRPr="002D24BB">
        <w:rPr>
          <w:rFonts w:eastAsia="Times New Roman"/>
        </w:rPr>
        <w:t xml:space="preserve"> GDS, </w:t>
      </w:r>
      <w:proofErr w:type="spellStart"/>
      <w:r w:rsidRPr="002D24BB">
        <w:rPr>
          <w:rFonts w:eastAsia="Times New Roman"/>
        </w:rPr>
        <w:t>Colonetti</w:t>
      </w:r>
      <w:proofErr w:type="spellEnd"/>
      <w:r w:rsidRPr="002D24BB">
        <w:rPr>
          <w:rFonts w:eastAsia="Times New Roman"/>
        </w:rPr>
        <w:t xml:space="preserve"> T, Candido ACR, </w:t>
      </w:r>
      <w:proofErr w:type="spellStart"/>
      <w:r w:rsidRPr="002D24BB">
        <w:rPr>
          <w:rFonts w:eastAsia="Times New Roman"/>
        </w:rPr>
        <w:t>Uggioni</w:t>
      </w:r>
      <w:proofErr w:type="spellEnd"/>
      <w:r w:rsidRPr="002D24BB">
        <w:rPr>
          <w:rFonts w:eastAsia="Times New Roman"/>
        </w:rPr>
        <w:t xml:space="preserve"> MLR, Gomes AC et al. A systematic review and meta-analysis of the accuracy of SARS-COV-2 IGM and IGG tests in individuals with COVID-19. </w:t>
      </w:r>
      <w:r w:rsidRPr="002D24BB">
        <w:rPr>
          <w:rStyle w:val="Emphasis"/>
          <w:rFonts w:eastAsia="Times New Roman"/>
          <w:b w:val="0"/>
          <w:bCs w:val="0"/>
        </w:rPr>
        <w:t xml:space="preserve">J Clin </w:t>
      </w:r>
      <w:proofErr w:type="spellStart"/>
      <w:r w:rsidRPr="002D24BB">
        <w:rPr>
          <w:rStyle w:val="Emphasis"/>
          <w:rFonts w:eastAsia="Times New Roman"/>
          <w:b w:val="0"/>
          <w:bCs w:val="0"/>
        </w:rPr>
        <w:t>Virol</w:t>
      </w:r>
      <w:proofErr w:type="spellEnd"/>
      <w:r w:rsidRPr="002D24BB">
        <w:rPr>
          <w:rFonts w:eastAsia="Times New Roman"/>
        </w:rPr>
        <w:t xml:space="preserve">. </w:t>
      </w:r>
      <w:proofErr w:type="gramStart"/>
      <w:r w:rsidRPr="002D24BB">
        <w:rPr>
          <w:rFonts w:eastAsia="Times New Roman"/>
        </w:rPr>
        <w:t>2022;148:105121</w:t>
      </w:r>
      <w:proofErr w:type="gramEnd"/>
      <w:r w:rsidRPr="002D24BB">
        <w:rPr>
          <w:rFonts w:eastAsia="Times New Roman"/>
        </w:rPr>
        <w:t xml:space="preserve">. </w:t>
      </w:r>
      <w:proofErr w:type="spellStart"/>
      <w:r w:rsidRPr="002D24BB">
        <w:rPr>
          <w:rFonts w:eastAsia="Times New Roman"/>
        </w:rPr>
        <w:t>doi</w:t>
      </w:r>
      <w:proofErr w:type="spellEnd"/>
      <w:r w:rsidRPr="002D24BB">
        <w:rPr>
          <w:rFonts w:eastAsia="Times New Roman"/>
        </w:rPr>
        <w:t xml:space="preserve">: https://doi.org/10.1016/j.jcv.2022.105121. </w:t>
      </w:r>
    </w:p>
    <w:p w14:paraId="6EA6010C" w14:textId="77777777" w:rsidR="002033AF" w:rsidRPr="002D24BB" w:rsidRDefault="002033AF" w:rsidP="002D24BB">
      <w:pPr>
        <w:pStyle w:val="ListParagraph"/>
        <w:numPr>
          <w:ilvl w:val="0"/>
          <w:numId w:val="10"/>
        </w:numPr>
        <w:rPr>
          <w:rFonts w:eastAsia="Times New Roman"/>
        </w:rPr>
      </w:pPr>
      <w:r w:rsidRPr="002D24BB">
        <w:rPr>
          <w:rFonts w:eastAsia="Times New Roman"/>
        </w:rPr>
        <w:t xml:space="preserve">Choe PG, Kang CK, Suh HJ, Jung J, Song KH, Bang JH et al. Waning antibody responses in asymptomatic and symptomatic SARS-CoV-2 infection. </w:t>
      </w:r>
      <w:proofErr w:type="spellStart"/>
      <w:r w:rsidRPr="002D24BB">
        <w:rPr>
          <w:rStyle w:val="Emphasis"/>
          <w:rFonts w:eastAsia="Times New Roman"/>
          <w:b w:val="0"/>
          <w:bCs w:val="0"/>
        </w:rPr>
        <w:t>Emerg</w:t>
      </w:r>
      <w:proofErr w:type="spellEnd"/>
      <w:r w:rsidRPr="002D24BB">
        <w:rPr>
          <w:rStyle w:val="Emphasis"/>
          <w:rFonts w:eastAsia="Times New Roman"/>
          <w:b w:val="0"/>
          <w:bCs w:val="0"/>
        </w:rPr>
        <w:t xml:space="preserve"> Infect Dis</w:t>
      </w:r>
      <w:r w:rsidRPr="002D24BB">
        <w:rPr>
          <w:rFonts w:eastAsia="Times New Roman"/>
        </w:rPr>
        <w:t xml:space="preserve">. 2021;27(1):327–9. </w:t>
      </w:r>
      <w:proofErr w:type="spellStart"/>
      <w:r w:rsidRPr="002D24BB">
        <w:rPr>
          <w:rFonts w:eastAsia="Times New Roman"/>
        </w:rPr>
        <w:t>doi</w:t>
      </w:r>
      <w:proofErr w:type="spellEnd"/>
      <w:r w:rsidRPr="002D24BB">
        <w:rPr>
          <w:rFonts w:eastAsia="Times New Roman"/>
        </w:rPr>
        <w:t xml:space="preserve">: https://doi.org/10.3201/eid2701.203515. </w:t>
      </w:r>
    </w:p>
    <w:p w14:paraId="7183140E" w14:textId="77777777" w:rsidR="002033AF" w:rsidRPr="002D24BB" w:rsidRDefault="002033AF" w:rsidP="002D24BB">
      <w:pPr>
        <w:pStyle w:val="ListParagraph"/>
        <w:numPr>
          <w:ilvl w:val="0"/>
          <w:numId w:val="10"/>
        </w:numPr>
        <w:rPr>
          <w:rFonts w:eastAsia="Times New Roman"/>
        </w:rPr>
      </w:pPr>
      <w:r w:rsidRPr="002D24BB">
        <w:rPr>
          <w:rFonts w:eastAsia="Times New Roman"/>
        </w:rPr>
        <w:t xml:space="preserve">Wang X, Guo X, Xin Q, Pan Y, Hu Y, Li J et al. Neutralizing antibody responses to severe acute respiratory syndrome coronavirus </w:t>
      </w:r>
      <w:proofErr w:type="gramStart"/>
      <w:r w:rsidRPr="002D24BB">
        <w:rPr>
          <w:rFonts w:eastAsia="Times New Roman"/>
        </w:rPr>
        <w:t>2</w:t>
      </w:r>
      <w:proofErr w:type="gramEnd"/>
      <w:r w:rsidRPr="002D24BB">
        <w:rPr>
          <w:rFonts w:eastAsia="Times New Roman"/>
        </w:rPr>
        <w:t xml:space="preserve"> in coronavirus disease 2019 inpatients and convalescent patients. </w:t>
      </w:r>
      <w:r w:rsidRPr="002D24BB">
        <w:rPr>
          <w:rStyle w:val="Emphasis"/>
          <w:rFonts w:eastAsia="Times New Roman"/>
          <w:b w:val="0"/>
          <w:bCs w:val="0"/>
        </w:rPr>
        <w:t>Clin Infect Dis</w:t>
      </w:r>
      <w:r w:rsidRPr="002D24BB">
        <w:rPr>
          <w:rFonts w:eastAsia="Times New Roman"/>
        </w:rPr>
        <w:t xml:space="preserve">. 2020;71(10):2688–94. </w:t>
      </w:r>
      <w:proofErr w:type="spellStart"/>
      <w:r w:rsidRPr="002D24BB">
        <w:rPr>
          <w:rFonts w:eastAsia="Times New Roman"/>
        </w:rPr>
        <w:t>doi</w:t>
      </w:r>
      <w:proofErr w:type="spellEnd"/>
      <w:r w:rsidRPr="002D24BB">
        <w:rPr>
          <w:rFonts w:eastAsia="Times New Roman"/>
        </w:rPr>
        <w:t xml:space="preserve">: https://doi.org/10.1093/cid/ciaa721. </w:t>
      </w:r>
    </w:p>
    <w:p w14:paraId="4CA5501A" w14:textId="77777777" w:rsidR="002033AF" w:rsidRPr="002D24BB" w:rsidRDefault="002033AF" w:rsidP="002D24BB">
      <w:pPr>
        <w:pStyle w:val="ListParagraph"/>
        <w:numPr>
          <w:ilvl w:val="0"/>
          <w:numId w:val="10"/>
        </w:numPr>
        <w:rPr>
          <w:rFonts w:eastAsia="Times New Roman"/>
        </w:rPr>
      </w:pPr>
      <w:r w:rsidRPr="002D24BB">
        <w:rPr>
          <w:rFonts w:eastAsia="Times New Roman"/>
        </w:rPr>
        <w:t xml:space="preserve">Chou R, Dana T, Buckley DI, </w:t>
      </w:r>
      <w:proofErr w:type="spellStart"/>
      <w:r w:rsidRPr="002D24BB">
        <w:rPr>
          <w:rFonts w:eastAsia="Times New Roman"/>
        </w:rPr>
        <w:t>Selph</w:t>
      </w:r>
      <w:proofErr w:type="spellEnd"/>
      <w:r w:rsidRPr="002D24BB">
        <w:rPr>
          <w:rFonts w:eastAsia="Times New Roman"/>
        </w:rPr>
        <w:t xml:space="preserve"> S, Fu R, Totten AM. Epidemiology of and risk factors for coronavirus infection in health care workers: a living rapid review. </w:t>
      </w:r>
      <w:r w:rsidRPr="002D24BB">
        <w:rPr>
          <w:rStyle w:val="Emphasis"/>
          <w:rFonts w:eastAsia="Times New Roman"/>
          <w:b w:val="0"/>
          <w:bCs w:val="0"/>
        </w:rPr>
        <w:t>Ann Intern Med</w:t>
      </w:r>
      <w:r w:rsidRPr="002D24BB">
        <w:rPr>
          <w:rFonts w:eastAsia="Times New Roman"/>
        </w:rPr>
        <w:t xml:space="preserve">. 2020;173(2):120–36. </w:t>
      </w:r>
      <w:proofErr w:type="spellStart"/>
      <w:r w:rsidRPr="002D24BB">
        <w:rPr>
          <w:rFonts w:eastAsia="Times New Roman"/>
        </w:rPr>
        <w:t>doi</w:t>
      </w:r>
      <w:proofErr w:type="spellEnd"/>
      <w:r w:rsidRPr="002D24BB">
        <w:rPr>
          <w:rFonts w:eastAsia="Times New Roman"/>
        </w:rPr>
        <w:t xml:space="preserve">: https://doi.org/10.7326/M20-1632. </w:t>
      </w:r>
    </w:p>
    <w:p w14:paraId="7CFEC863" w14:textId="77777777" w:rsidR="002033AF" w:rsidRPr="002D24BB" w:rsidRDefault="002033AF" w:rsidP="002D24BB">
      <w:pPr>
        <w:pStyle w:val="ListParagraph"/>
        <w:numPr>
          <w:ilvl w:val="0"/>
          <w:numId w:val="10"/>
        </w:numPr>
        <w:rPr>
          <w:rFonts w:eastAsia="Times New Roman"/>
        </w:rPr>
      </w:pPr>
      <w:proofErr w:type="spellStart"/>
      <w:r w:rsidRPr="002D24BB">
        <w:rPr>
          <w:rFonts w:eastAsia="Times New Roman"/>
        </w:rPr>
        <w:t>Gaebler</w:t>
      </w:r>
      <w:proofErr w:type="spellEnd"/>
      <w:r w:rsidRPr="002D24BB">
        <w:rPr>
          <w:rFonts w:eastAsia="Times New Roman"/>
        </w:rPr>
        <w:t xml:space="preserve"> C, Wang Z, </w:t>
      </w:r>
      <w:proofErr w:type="spellStart"/>
      <w:r w:rsidRPr="002D24BB">
        <w:rPr>
          <w:rFonts w:eastAsia="Times New Roman"/>
        </w:rPr>
        <w:t>Lorenzi</w:t>
      </w:r>
      <w:proofErr w:type="spellEnd"/>
      <w:r w:rsidRPr="002D24BB">
        <w:rPr>
          <w:rFonts w:eastAsia="Times New Roman"/>
        </w:rPr>
        <w:t xml:space="preserve"> JCC, </w:t>
      </w:r>
      <w:proofErr w:type="spellStart"/>
      <w:r w:rsidRPr="002D24BB">
        <w:rPr>
          <w:rFonts w:eastAsia="Times New Roman"/>
        </w:rPr>
        <w:t>Muecksch</w:t>
      </w:r>
      <w:proofErr w:type="spellEnd"/>
      <w:r w:rsidRPr="002D24BB">
        <w:rPr>
          <w:rFonts w:eastAsia="Times New Roman"/>
        </w:rPr>
        <w:t xml:space="preserve"> F, </w:t>
      </w:r>
      <w:proofErr w:type="spellStart"/>
      <w:r w:rsidRPr="002D24BB">
        <w:rPr>
          <w:rFonts w:eastAsia="Times New Roman"/>
        </w:rPr>
        <w:t>Finkin</w:t>
      </w:r>
      <w:proofErr w:type="spellEnd"/>
      <w:r w:rsidRPr="002D24BB">
        <w:rPr>
          <w:rFonts w:eastAsia="Times New Roman"/>
        </w:rPr>
        <w:t xml:space="preserve"> S, Tokuyama M et al. Evolution of antibody immunity to SARS-CoV-2. </w:t>
      </w:r>
      <w:r w:rsidRPr="002D24BB">
        <w:rPr>
          <w:rStyle w:val="Emphasis"/>
          <w:rFonts w:eastAsia="Times New Roman"/>
          <w:b w:val="0"/>
          <w:bCs w:val="0"/>
        </w:rPr>
        <w:t>Nature</w:t>
      </w:r>
      <w:r w:rsidRPr="002D24BB">
        <w:rPr>
          <w:rFonts w:eastAsia="Times New Roman"/>
        </w:rPr>
        <w:t xml:space="preserve">. 2021;591(7851):639–44. </w:t>
      </w:r>
      <w:proofErr w:type="spellStart"/>
      <w:r w:rsidRPr="002D24BB">
        <w:rPr>
          <w:rFonts w:eastAsia="Times New Roman"/>
        </w:rPr>
        <w:t>doi</w:t>
      </w:r>
      <w:proofErr w:type="spellEnd"/>
      <w:r w:rsidRPr="002D24BB">
        <w:rPr>
          <w:rFonts w:eastAsia="Times New Roman"/>
        </w:rPr>
        <w:t xml:space="preserve">: https://doi.org/10.1038/s41586-021-03207-w. </w:t>
      </w:r>
    </w:p>
    <w:p w14:paraId="555A8117" w14:textId="77777777" w:rsidR="002033AF" w:rsidRPr="002D24BB" w:rsidRDefault="002033AF" w:rsidP="002D24BB">
      <w:pPr>
        <w:pStyle w:val="ListParagraph"/>
        <w:numPr>
          <w:ilvl w:val="0"/>
          <w:numId w:val="10"/>
        </w:numPr>
        <w:rPr>
          <w:rFonts w:eastAsia="Times New Roman"/>
        </w:rPr>
      </w:pPr>
      <w:proofErr w:type="spellStart"/>
      <w:r w:rsidRPr="002D24BB">
        <w:rPr>
          <w:rFonts w:eastAsia="Times New Roman"/>
        </w:rPr>
        <w:t>Seow</w:t>
      </w:r>
      <w:proofErr w:type="spellEnd"/>
      <w:r w:rsidRPr="002D24BB">
        <w:rPr>
          <w:rFonts w:eastAsia="Times New Roman"/>
        </w:rPr>
        <w:t xml:space="preserve"> J, Graham C, Merrick B, </w:t>
      </w:r>
      <w:proofErr w:type="spellStart"/>
      <w:r w:rsidRPr="002D24BB">
        <w:rPr>
          <w:rFonts w:eastAsia="Times New Roman"/>
        </w:rPr>
        <w:t>Acors</w:t>
      </w:r>
      <w:proofErr w:type="spellEnd"/>
      <w:r w:rsidRPr="002D24BB">
        <w:rPr>
          <w:rFonts w:eastAsia="Times New Roman"/>
        </w:rPr>
        <w:t xml:space="preserve"> S, Pickering S, Steel KJA et al. Longitudinal observation and decline of neutralizing antibody responses in the three months following SARS-CoV-2 infection in humans. </w:t>
      </w:r>
      <w:r w:rsidRPr="002D24BB">
        <w:rPr>
          <w:rStyle w:val="Emphasis"/>
          <w:rFonts w:eastAsia="Times New Roman"/>
          <w:b w:val="0"/>
          <w:bCs w:val="0"/>
        </w:rPr>
        <w:t>Nat Microbiol</w:t>
      </w:r>
      <w:r w:rsidRPr="002D24BB">
        <w:rPr>
          <w:rFonts w:eastAsia="Times New Roman"/>
        </w:rPr>
        <w:t xml:space="preserve">. 2020;5(12):1598–607. </w:t>
      </w:r>
      <w:proofErr w:type="spellStart"/>
      <w:r w:rsidRPr="002D24BB">
        <w:rPr>
          <w:rFonts w:eastAsia="Times New Roman"/>
        </w:rPr>
        <w:t>doi</w:t>
      </w:r>
      <w:proofErr w:type="spellEnd"/>
      <w:r w:rsidRPr="002D24BB">
        <w:rPr>
          <w:rFonts w:eastAsia="Times New Roman"/>
        </w:rPr>
        <w:t xml:space="preserve">: https://doi.org/10.1038/s41564-020-00813-8. </w:t>
      </w:r>
    </w:p>
    <w:p w14:paraId="0C172467" w14:textId="77777777" w:rsidR="002033AF" w:rsidRPr="002D24BB" w:rsidRDefault="002033AF" w:rsidP="002D24BB">
      <w:pPr>
        <w:pStyle w:val="ListParagraph"/>
        <w:numPr>
          <w:ilvl w:val="0"/>
          <w:numId w:val="10"/>
        </w:numPr>
        <w:rPr>
          <w:rFonts w:eastAsia="Times New Roman"/>
        </w:rPr>
      </w:pPr>
      <w:proofErr w:type="spellStart"/>
      <w:r w:rsidRPr="002D24BB">
        <w:rPr>
          <w:rFonts w:eastAsia="Times New Roman"/>
        </w:rPr>
        <w:t>Wajnberg</w:t>
      </w:r>
      <w:proofErr w:type="spellEnd"/>
      <w:r w:rsidRPr="002D24BB">
        <w:rPr>
          <w:rFonts w:eastAsia="Times New Roman"/>
        </w:rPr>
        <w:t xml:space="preserve"> A, </w:t>
      </w:r>
      <w:proofErr w:type="spellStart"/>
      <w:r w:rsidRPr="002D24BB">
        <w:rPr>
          <w:rFonts w:eastAsia="Times New Roman"/>
        </w:rPr>
        <w:t>Amanat</w:t>
      </w:r>
      <w:proofErr w:type="spellEnd"/>
      <w:r w:rsidRPr="002D24BB">
        <w:rPr>
          <w:rFonts w:eastAsia="Times New Roman"/>
        </w:rPr>
        <w:t xml:space="preserve"> F, </w:t>
      </w:r>
      <w:proofErr w:type="spellStart"/>
      <w:r w:rsidRPr="002D24BB">
        <w:rPr>
          <w:rFonts w:eastAsia="Times New Roman"/>
        </w:rPr>
        <w:t>Firpo</w:t>
      </w:r>
      <w:proofErr w:type="spellEnd"/>
      <w:r w:rsidRPr="002D24BB">
        <w:rPr>
          <w:rFonts w:eastAsia="Times New Roman"/>
        </w:rPr>
        <w:t xml:space="preserve"> A, Altman DR, Bailey MJ, Mansour M et al. Robust neutralizing antibodies to SARS-CoV-2 infection persist for months. </w:t>
      </w:r>
      <w:r w:rsidRPr="002D24BB">
        <w:rPr>
          <w:rStyle w:val="Emphasis"/>
          <w:rFonts w:eastAsia="Times New Roman"/>
          <w:b w:val="0"/>
          <w:bCs w:val="0"/>
        </w:rPr>
        <w:t>Science</w:t>
      </w:r>
      <w:r w:rsidRPr="002D24BB">
        <w:rPr>
          <w:rFonts w:eastAsia="Times New Roman"/>
        </w:rPr>
        <w:t xml:space="preserve">. 2020;370(6521):1227–30. </w:t>
      </w:r>
      <w:proofErr w:type="spellStart"/>
      <w:r w:rsidRPr="002D24BB">
        <w:rPr>
          <w:rFonts w:eastAsia="Times New Roman"/>
        </w:rPr>
        <w:t>doi</w:t>
      </w:r>
      <w:proofErr w:type="spellEnd"/>
      <w:r w:rsidRPr="002D24BB">
        <w:rPr>
          <w:rFonts w:eastAsia="Times New Roman"/>
        </w:rPr>
        <w:t xml:space="preserve">: https://doi.org/10.1126/science.abd7728. </w:t>
      </w:r>
    </w:p>
    <w:p w14:paraId="6EDC3D1C" w14:textId="77777777" w:rsidR="002033AF" w:rsidRPr="002D24BB" w:rsidRDefault="002033AF" w:rsidP="002D24BB">
      <w:pPr>
        <w:pStyle w:val="ListParagraph"/>
        <w:numPr>
          <w:ilvl w:val="0"/>
          <w:numId w:val="10"/>
        </w:numPr>
        <w:rPr>
          <w:rFonts w:eastAsia="Times New Roman"/>
        </w:rPr>
      </w:pPr>
      <w:r w:rsidRPr="002D24BB">
        <w:rPr>
          <w:rFonts w:eastAsia="Times New Roman"/>
        </w:rPr>
        <w:t xml:space="preserve">Stephens N, McPherson M, Cooley L, </w:t>
      </w:r>
      <w:proofErr w:type="spellStart"/>
      <w:r w:rsidRPr="002D24BB">
        <w:rPr>
          <w:rFonts w:eastAsia="Times New Roman"/>
        </w:rPr>
        <w:t>Vanhaeften</w:t>
      </w:r>
      <w:proofErr w:type="spellEnd"/>
      <w:r w:rsidRPr="002D24BB">
        <w:rPr>
          <w:rFonts w:eastAsia="Times New Roman"/>
        </w:rPr>
        <w:t xml:space="preserve"> R, Wilmot M, Lane C et al. COVID-19: integrating genomic and epidemiological data to inform public health interventions and policy in Tasmania, Australia. </w:t>
      </w:r>
      <w:r w:rsidRPr="002D24BB">
        <w:rPr>
          <w:rStyle w:val="Emphasis"/>
          <w:rFonts w:eastAsia="Times New Roman"/>
          <w:b w:val="0"/>
          <w:bCs w:val="0"/>
        </w:rPr>
        <w:t xml:space="preserve">Western Pac </w:t>
      </w:r>
      <w:proofErr w:type="spellStart"/>
      <w:r w:rsidRPr="002D24BB">
        <w:rPr>
          <w:rStyle w:val="Emphasis"/>
          <w:rFonts w:eastAsia="Times New Roman"/>
          <w:b w:val="0"/>
          <w:bCs w:val="0"/>
        </w:rPr>
        <w:t>Surveill</w:t>
      </w:r>
      <w:proofErr w:type="spellEnd"/>
      <w:r w:rsidRPr="002D24BB">
        <w:rPr>
          <w:rStyle w:val="Emphasis"/>
          <w:rFonts w:eastAsia="Times New Roman"/>
          <w:b w:val="0"/>
          <w:bCs w:val="0"/>
        </w:rPr>
        <w:t xml:space="preserve"> Response J</w:t>
      </w:r>
      <w:r w:rsidRPr="002D24BB">
        <w:rPr>
          <w:rFonts w:eastAsia="Times New Roman"/>
        </w:rPr>
        <w:t xml:space="preserve">. 2021;12(4):1–9. </w:t>
      </w:r>
      <w:proofErr w:type="spellStart"/>
      <w:r w:rsidRPr="002D24BB">
        <w:rPr>
          <w:rFonts w:eastAsia="Times New Roman"/>
        </w:rPr>
        <w:t>doi</w:t>
      </w:r>
      <w:proofErr w:type="spellEnd"/>
      <w:r w:rsidRPr="002D24BB">
        <w:rPr>
          <w:rFonts w:eastAsia="Times New Roman"/>
        </w:rPr>
        <w:t>: https://doi.org/10.5365/wpsar.2021.12.4.878.</w:t>
      </w:r>
    </w:p>
    <w:p w14:paraId="2911AF9A" w14:textId="5903EE80" w:rsidR="00BF5D68" w:rsidRPr="00865F30" w:rsidRDefault="008B5348">
      <w:pPr>
        <w:rPr>
          <w:rFonts w:cs="Myriad Pro"/>
          <w:color w:val="211D1E"/>
        </w:rPr>
      </w:pPr>
      <w:r>
        <w:rPr>
          <w:rStyle w:val="A10"/>
        </w:rPr>
        <w:br w:type="page"/>
      </w:r>
    </w:p>
    <w:p w14:paraId="402243AA" w14:textId="5BEE595D"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7D8A9FF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A27539E"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1BFB787" w14:textId="77777777" w:rsidR="000A5F42" w:rsidRPr="000606CC" w:rsidRDefault="000A5F42" w:rsidP="000A5F42">
      <w:pPr>
        <w:pStyle w:val="NoSpacing"/>
        <w:rPr>
          <w:rStyle w:val="URI"/>
          <w:rFonts w:cstheme="minorHAnsi"/>
          <w:sz w:val="20"/>
          <w:szCs w:val="18"/>
        </w:rPr>
      </w:pPr>
    </w:p>
    <w:p w14:paraId="12F09BCC"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w:t>
      </w:r>
      <w:r w:rsidR="001723AC">
        <w:rPr>
          <w:rStyle w:val="Strong"/>
          <w:rFonts w:cs="Calibri"/>
          <w:b w:val="0"/>
          <w:bCs w:val="0"/>
          <w:sz w:val="20"/>
          <w:szCs w:val="18"/>
        </w:rPr>
        <w:t>Department of Health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3395AE36" w14:textId="77777777" w:rsidR="000A5F42" w:rsidRPr="000606CC" w:rsidRDefault="000A5F42" w:rsidP="000A5F42">
      <w:pPr>
        <w:pStyle w:val="NoSpacing"/>
        <w:rPr>
          <w:rStyle w:val="Strong"/>
          <w:rFonts w:cstheme="minorHAnsi"/>
          <w:sz w:val="20"/>
          <w:szCs w:val="18"/>
        </w:rPr>
      </w:pPr>
    </w:p>
    <w:p w14:paraId="104923F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60F46B4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BC377E1"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4DAAF5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44860DE0" w14:textId="77777777" w:rsidR="000A5F42" w:rsidRPr="000606CC" w:rsidRDefault="000A5F42" w:rsidP="000A5F42">
      <w:pPr>
        <w:pStyle w:val="NoSpacing"/>
        <w:rPr>
          <w:rStyle w:val="Strong"/>
          <w:rFonts w:cstheme="minorHAnsi"/>
          <w:sz w:val="20"/>
          <w:szCs w:val="18"/>
        </w:rPr>
      </w:pPr>
    </w:p>
    <w:p w14:paraId="65CF1FB7" w14:textId="386FFF4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600AB69" w14:textId="77777777" w:rsidR="000A5F42" w:rsidRPr="000606CC" w:rsidRDefault="000A5F42" w:rsidP="000A5F42">
      <w:pPr>
        <w:pStyle w:val="NoSpacing"/>
        <w:rPr>
          <w:rStyle w:val="Strong"/>
          <w:rFonts w:cstheme="minorHAnsi"/>
          <w:sz w:val="20"/>
          <w:szCs w:val="18"/>
        </w:rPr>
      </w:pPr>
    </w:p>
    <w:p w14:paraId="72BCC59D"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4EF61C82" w14:textId="77777777" w:rsidR="000A5F42" w:rsidRPr="000606CC" w:rsidRDefault="000A5F42" w:rsidP="000A5F42">
      <w:pPr>
        <w:pStyle w:val="NoSpacing"/>
        <w:rPr>
          <w:rStyle w:val="Strong"/>
          <w:rFonts w:cstheme="minorHAnsi"/>
          <w:sz w:val="20"/>
          <w:szCs w:val="18"/>
        </w:rPr>
      </w:pPr>
    </w:p>
    <w:p w14:paraId="52B08676" w14:textId="23DDB1B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9233189" w14:textId="77777777" w:rsidR="000A5F42" w:rsidRPr="000606CC" w:rsidRDefault="000A5F42" w:rsidP="000A5F42">
      <w:pPr>
        <w:pStyle w:val="NoSpacing"/>
        <w:rPr>
          <w:rStyle w:val="Strong"/>
          <w:rFonts w:cstheme="minorHAnsi"/>
          <w:sz w:val="20"/>
          <w:szCs w:val="18"/>
        </w:rPr>
      </w:pPr>
    </w:p>
    <w:p w14:paraId="3630385A" w14:textId="436A18E9"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2EE9787" w14:textId="3691676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46381725" w14:textId="77777777" w:rsidR="000A5F42" w:rsidRPr="000606CC" w:rsidRDefault="000A5F42" w:rsidP="000A5F42">
      <w:pPr>
        <w:pStyle w:val="NoSpacing"/>
        <w:pBdr>
          <w:bottom w:val="single" w:sz="6" w:space="1" w:color="auto"/>
        </w:pBdr>
        <w:rPr>
          <w:rStyle w:val="Strong"/>
          <w:rFonts w:cstheme="minorHAnsi"/>
          <w:sz w:val="12"/>
          <w:szCs w:val="18"/>
        </w:rPr>
      </w:pPr>
    </w:p>
    <w:p w14:paraId="70DCBF14" w14:textId="77777777" w:rsidR="000A5F42" w:rsidRPr="000606CC" w:rsidRDefault="000A5F42" w:rsidP="000A5F42">
      <w:pPr>
        <w:pStyle w:val="NoSpacing"/>
        <w:rPr>
          <w:rFonts w:cstheme="minorHAnsi"/>
          <w:sz w:val="20"/>
          <w:szCs w:val="18"/>
        </w:rPr>
      </w:pPr>
    </w:p>
    <w:p w14:paraId="5F9B5DE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Medicus and Medline.</w:t>
      </w:r>
    </w:p>
    <w:p w14:paraId="666E0F4D" w14:textId="77777777" w:rsidR="000A5F42" w:rsidRPr="000606CC" w:rsidRDefault="000A5F42" w:rsidP="000A5F42">
      <w:pPr>
        <w:pStyle w:val="NoSpacing"/>
        <w:rPr>
          <w:rFonts w:cstheme="minorHAnsi"/>
          <w:sz w:val="20"/>
          <w:szCs w:val="18"/>
        </w:rPr>
      </w:pPr>
    </w:p>
    <w:p w14:paraId="274DF98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5699F5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DE7930">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70134990" w14:textId="39CDF924"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EF9FB8B" w14:textId="77777777" w:rsidR="000A5F42" w:rsidRPr="000606CC" w:rsidRDefault="000A5F42" w:rsidP="000A5F42">
      <w:pPr>
        <w:pStyle w:val="NoSpacing"/>
        <w:rPr>
          <w:rFonts w:cstheme="minorHAnsi"/>
          <w:sz w:val="20"/>
          <w:szCs w:val="18"/>
        </w:rPr>
      </w:pPr>
    </w:p>
    <w:p w14:paraId="4733E26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C82751F" w14:textId="3006B79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3D3F3F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15430C1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832D10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088CB4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7AEA9025" w14:textId="77777777" w:rsidR="000A5F42" w:rsidRPr="000606CC" w:rsidRDefault="000A5F42" w:rsidP="000A5F42">
      <w:pPr>
        <w:pStyle w:val="NoSpacing"/>
        <w:rPr>
          <w:rStyle w:val="Strong"/>
          <w:rFonts w:cstheme="minorHAnsi"/>
          <w:sz w:val="20"/>
          <w:szCs w:val="18"/>
        </w:rPr>
      </w:pPr>
    </w:p>
    <w:p w14:paraId="13A8CE3C"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4DFC91C3" w14:textId="77777777" w:rsidR="000A5F42" w:rsidRPr="000606CC" w:rsidRDefault="000A5F42" w:rsidP="000A5F42">
      <w:pPr>
        <w:pStyle w:val="NoSpacing"/>
        <w:rPr>
          <w:rStyle w:val="Strong"/>
          <w:rFonts w:cstheme="minorHAnsi"/>
          <w:sz w:val="20"/>
          <w:szCs w:val="18"/>
        </w:rPr>
      </w:pPr>
    </w:p>
    <w:p w14:paraId="6D70C7FE" w14:textId="73477AA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AB55988" w14:textId="77777777" w:rsidR="000A5F42" w:rsidRPr="000606CC" w:rsidRDefault="000A5F42" w:rsidP="000A5F42">
      <w:pPr>
        <w:pStyle w:val="NoSpacing"/>
        <w:rPr>
          <w:rStyle w:val="URI"/>
          <w:rFonts w:cstheme="minorHAnsi"/>
          <w:sz w:val="20"/>
          <w:szCs w:val="18"/>
        </w:rPr>
      </w:pPr>
    </w:p>
    <w:p w14:paraId="3A386C6E" w14:textId="25A54CC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21A49061"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490B0" w14:textId="77777777" w:rsidR="00DE7930" w:rsidRDefault="00DE7930" w:rsidP="00E54DBA">
      <w:r>
        <w:separator/>
      </w:r>
    </w:p>
    <w:p w14:paraId="25EF6031" w14:textId="77777777" w:rsidR="00DE7930" w:rsidRDefault="00DE7930"/>
    <w:p w14:paraId="6B4A10BD" w14:textId="77777777" w:rsidR="00DE7930" w:rsidRDefault="00DE7930" w:rsidP="008714B0"/>
  </w:endnote>
  <w:endnote w:type="continuationSeparator" w:id="0">
    <w:p w14:paraId="74118419" w14:textId="77777777" w:rsidR="00DE7930" w:rsidRDefault="00DE7930" w:rsidP="00E54DBA">
      <w:r>
        <w:continuationSeparator/>
      </w:r>
    </w:p>
    <w:p w14:paraId="5F05B11C" w14:textId="77777777" w:rsidR="00DE7930" w:rsidRDefault="00DE7930"/>
    <w:p w14:paraId="78686D17" w14:textId="77777777" w:rsidR="00DE7930" w:rsidRDefault="00DE793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379D2" w14:textId="2B0A0DDB"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2033AF">
      <w:rPr>
        <w:i/>
        <w:sz w:val="18"/>
      </w:rPr>
      <w:t>Commun</w:t>
    </w:r>
    <w:proofErr w:type="spellEnd"/>
    <w:r w:rsidR="00CE342B" w:rsidRPr="002033AF">
      <w:rPr>
        <w:i/>
        <w:sz w:val="18"/>
      </w:rPr>
      <w:t xml:space="preserve"> Dis </w:t>
    </w:r>
    <w:proofErr w:type="spellStart"/>
    <w:r w:rsidR="00CE342B" w:rsidRPr="002033AF">
      <w:rPr>
        <w:i/>
        <w:sz w:val="18"/>
      </w:rPr>
      <w:t>Intell</w:t>
    </w:r>
    <w:proofErr w:type="spellEnd"/>
    <w:r w:rsidR="00CE342B" w:rsidRPr="002033AF">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DE7930">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DE7930">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BE7E20">
      <w:rPr>
        <w:sz w:val="18"/>
      </w:rPr>
      <w:t>https://doi.org/10.33321/cdi.2023.47.6</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BE7E20">
      <w:rPr>
        <w:sz w:val="18"/>
      </w:rPr>
      <w:t>19/01/2023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01AC" w14:textId="04C27AD6"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2033AF">
      <w:rPr>
        <w:i/>
        <w:sz w:val="18"/>
      </w:rPr>
      <w:t>Commun</w:t>
    </w:r>
    <w:proofErr w:type="spellEnd"/>
    <w:r w:rsidR="00A164D5" w:rsidRPr="002033AF">
      <w:rPr>
        <w:i/>
        <w:sz w:val="18"/>
      </w:rPr>
      <w:t xml:space="preserve"> Dis </w:t>
    </w:r>
    <w:proofErr w:type="spellStart"/>
    <w:r w:rsidR="00A164D5" w:rsidRPr="002033AF">
      <w:rPr>
        <w:i/>
        <w:sz w:val="18"/>
      </w:rPr>
      <w:t>Intell</w:t>
    </w:r>
    <w:proofErr w:type="spellEnd"/>
    <w:r w:rsidR="00A164D5" w:rsidRPr="002033AF">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DE7930">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DE7930">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BE7E20">
      <w:rPr>
        <w:sz w:val="18"/>
      </w:rPr>
      <w:t>https://doi.org/10.33321/cdi.2023.47.6</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BE7E20">
      <w:rPr>
        <w:sz w:val="18"/>
      </w:rPr>
      <w:t>19/01/2023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999A" w14:textId="77777777" w:rsidR="00DE7930" w:rsidRPr="00B91FB5" w:rsidRDefault="00DE7930" w:rsidP="00B91FB5">
      <w:pPr>
        <w:spacing w:after="0" w:line="240" w:lineRule="auto"/>
        <w:rPr>
          <w:sz w:val="18"/>
          <w:szCs w:val="18"/>
        </w:rPr>
      </w:pPr>
      <w:r w:rsidRPr="00B91FB5">
        <w:rPr>
          <w:sz w:val="18"/>
          <w:szCs w:val="18"/>
        </w:rPr>
        <w:separator/>
      </w:r>
    </w:p>
  </w:footnote>
  <w:footnote w:type="continuationSeparator" w:id="0">
    <w:p w14:paraId="199948C1" w14:textId="77777777" w:rsidR="00DE7930" w:rsidRDefault="00DE7930" w:rsidP="00E54DBA">
      <w:r>
        <w:continuationSeparator/>
      </w:r>
    </w:p>
  </w:footnote>
  <w:footnote w:type="continuationNotice" w:id="1">
    <w:p w14:paraId="24888492" w14:textId="77777777" w:rsidR="00DE7930" w:rsidRPr="00224EFF" w:rsidRDefault="00DE7930"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D8213" w14:textId="711081EA" w:rsidR="00257484" w:rsidRPr="00A153B6" w:rsidRDefault="00BE7E20"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13A05">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A596F"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355C73C4" wp14:editId="36D1E66B">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471"/>
    <w:multiLevelType w:val="hybridMultilevel"/>
    <w:tmpl w:val="22A0B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6A08E8"/>
    <w:multiLevelType w:val="hybridMultilevel"/>
    <w:tmpl w:val="D150A4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9B6270D"/>
    <w:multiLevelType w:val="multilevel"/>
    <w:tmpl w:val="CBFE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171AD7"/>
    <w:multiLevelType w:val="multilevel"/>
    <w:tmpl w:val="BD5AA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2"/>
  </w:num>
  <w:num w:numId="5">
    <w:abstractNumId w:val="7"/>
  </w:num>
  <w:num w:numId="6">
    <w:abstractNumId w:val="8"/>
  </w:num>
  <w:num w:numId="7">
    <w:abstractNumId w:val="6"/>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noPunctuationKerning/>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30"/>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C1B6B"/>
    <w:rsid w:val="000D4B4D"/>
    <w:rsid w:val="00113D58"/>
    <w:rsid w:val="001171D6"/>
    <w:rsid w:val="001200CB"/>
    <w:rsid w:val="00124ACE"/>
    <w:rsid w:val="001378A3"/>
    <w:rsid w:val="00155582"/>
    <w:rsid w:val="0016159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1393"/>
    <w:rsid w:val="001C70B2"/>
    <w:rsid w:val="001D37C7"/>
    <w:rsid w:val="001D6888"/>
    <w:rsid w:val="001E4E1D"/>
    <w:rsid w:val="001F1EA8"/>
    <w:rsid w:val="002033AF"/>
    <w:rsid w:val="00214CC6"/>
    <w:rsid w:val="00224EFF"/>
    <w:rsid w:val="002276DC"/>
    <w:rsid w:val="00227E00"/>
    <w:rsid w:val="002307CB"/>
    <w:rsid w:val="00231046"/>
    <w:rsid w:val="0023387B"/>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D24BB"/>
    <w:rsid w:val="002E2FB3"/>
    <w:rsid w:val="002F327B"/>
    <w:rsid w:val="00301626"/>
    <w:rsid w:val="003059EC"/>
    <w:rsid w:val="00316CCD"/>
    <w:rsid w:val="00324F7E"/>
    <w:rsid w:val="003323BC"/>
    <w:rsid w:val="00346D42"/>
    <w:rsid w:val="00346E11"/>
    <w:rsid w:val="0034798F"/>
    <w:rsid w:val="003601C0"/>
    <w:rsid w:val="003635F5"/>
    <w:rsid w:val="00372A88"/>
    <w:rsid w:val="00381A0F"/>
    <w:rsid w:val="003A1B3A"/>
    <w:rsid w:val="003A40F5"/>
    <w:rsid w:val="003B5B8C"/>
    <w:rsid w:val="003C7841"/>
    <w:rsid w:val="003D79B1"/>
    <w:rsid w:val="003E74EE"/>
    <w:rsid w:val="003F0552"/>
    <w:rsid w:val="003F3BC2"/>
    <w:rsid w:val="003F725B"/>
    <w:rsid w:val="00401ED1"/>
    <w:rsid w:val="0040224C"/>
    <w:rsid w:val="00413A05"/>
    <w:rsid w:val="00413EE1"/>
    <w:rsid w:val="004164BB"/>
    <w:rsid w:val="0042000E"/>
    <w:rsid w:val="00421ECE"/>
    <w:rsid w:val="00422FEB"/>
    <w:rsid w:val="0042435E"/>
    <w:rsid w:val="004315F5"/>
    <w:rsid w:val="00433456"/>
    <w:rsid w:val="00433DFA"/>
    <w:rsid w:val="00435D67"/>
    <w:rsid w:val="0045581E"/>
    <w:rsid w:val="00464A58"/>
    <w:rsid w:val="00473D2D"/>
    <w:rsid w:val="004A2125"/>
    <w:rsid w:val="004A38F6"/>
    <w:rsid w:val="004B4EB6"/>
    <w:rsid w:val="004C083C"/>
    <w:rsid w:val="004C67C6"/>
    <w:rsid w:val="004D29DE"/>
    <w:rsid w:val="004F4B13"/>
    <w:rsid w:val="00510EAC"/>
    <w:rsid w:val="00534513"/>
    <w:rsid w:val="00542A57"/>
    <w:rsid w:val="00553B14"/>
    <w:rsid w:val="00565974"/>
    <w:rsid w:val="005732C0"/>
    <w:rsid w:val="0057336D"/>
    <w:rsid w:val="0057489A"/>
    <w:rsid w:val="00574ACF"/>
    <w:rsid w:val="00581588"/>
    <w:rsid w:val="00584A5F"/>
    <w:rsid w:val="0058540B"/>
    <w:rsid w:val="00587C87"/>
    <w:rsid w:val="00590B80"/>
    <w:rsid w:val="005A6769"/>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C9A"/>
    <w:rsid w:val="00636E0D"/>
    <w:rsid w:val="00637FC4"/>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86329"/>
    <w:rsid w:val="00791912"/>
    <w:rsid w:val="00792536"/>
    <w:rsid w:val="00792C7D"/>
    <w:rsid w:val="00794A4D"/>
    <w:rsid w:val="007A0B75"/>
    <w:rsid w:val="007A5234"/>
    <w:rsid w:val="007B47B2"/>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65F30"/>
    <w:rsid w:val="008714B0"/>
    <w:rsid w:val="00876331"/>
    <w:rsid w:val="00880726"/>
    <w:rsid w:val="008A3544"/>
    <w:rsid w:val="008B48B8"/>
    <w:rsid w:val="008B5348"/>
    <w:rsid w:val="008B58F8"/>
    <w:rsid w:val="008C0712"/>
    <w:rsid w:val="008C4520"/>
    <w:rsid w:val="008C5F09"/>
    <w:rsid w:val="008D470F"/>
    <w:rsid w:val="008D4F52"/>
    <w:rsid w:val="008E1F8F"/>
    <w:rsid w:val="008E36EF"/>
    <w:rsid w:val="008E4768"/>
    <w:rsid w:val="008E761E"/>
    <w:rsid w:val="008F77B3"/>
    <w:rsid w:val="009008F5"/>
    <w:rsid w:val="00904CC1"/>
    <w:rsid w:val="009066AF"/>
    <w:rsid w:val="00912050"/>
    <w:rsid w:val="00912E48"/>
    <w:rsid w:val="00912E68"/>
    <w:rsid w:val="009148D1"/>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B47DE"/>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AF1429"/>
    <w:rsid w:val="00B01F99"/>
    <w:rsid w:val="00B02B37"/>
    <w:rsid w:val="00B05276"/>
    <w:rsid w:val="00B132DB"/>
    <w:rsid w:val="00B31427"/>
    <w:rsid w:val="00B33861"/>
    <w:rsid w:val="00B40DE2"/>
    <w:rsid w:val="00B50210"/>
    <w:rsid w:val="00B53955"/>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BE7E20"/>
    <w:rsid w:val="00BF5D68"/>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E7930"/>
    <w:rsid w:val="00DF2102"/>
    <w:rsid w:val="00E005A9"/>
    <w:rsid w:val="00E065BA"/>
    <w:rsid w:val="00E1166E"/>
    <w:rsid w:val="00E24DC0"/>
    <w:rsid w:val="00E2519C"/>
    <w:rsid w:val="00E25F2A"/>
    <w:rsid w:val="00E41455"/>
    <w:rsid w:val="00E42AD2"/>
    <w:rsid w:val="00E50856"/>
    <w:rsid w:val="00E52CD8"/>
    <w:rsid w:val="00E538CC"/>
    <w:rsid w:val="00E54BBD"/>
    <w:rsid w:val="00E54DBA"/>
    <w:rsid w:val="00E63D7C"/>
    <w:rsid w:val="00E640D5"/>
    <w:rsid w:val="00E66E2E"/>
    <w:rsid w:val="00E67691"/>
    <w:rsid w:val="00E92237"/>
    <w:rsid w:val="00E951EF"/>
    <w:rsid w:val="00E96653"/>
    <w:rsid w:val="00E968E5"/>
    <w:rsid w:val="00EA3D54"/>
    <w:rsid w:val="00EA51E9"/>
    <w:rsid w:val="00EA56D9"/>
    <w:rsid w:val="00EA5CE3"/>
    <w:rsid w:val="00EB51C1"/>
    <w:rsid w:val="00EB5AE1"/>
    <w:rsid w:val="00EB5E0B"/>
    <w:rsid w:val="00EC2171"/>
    <w:rsid w:val="00ED442D"/>
    <w:rsid w:val="00ED70C2"/>
    <w:rsid w:val="00EE18FF"/>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5D8A"/>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E23DE7"/>
  <w15:docId w15:val="{9217FC0C-EAC8-4D3C-B20D-6D818250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ACE"/>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CommentReference">
    <w:name w:val="annotation reference"/>
    <w:basedOn w:val="DefaultParagraphFont"/>
    <w:uiPriority w:val="99"/>
    <w:semiHidden/>
    <w:unhideWhenUsed/>
    <w:rsid w:val="00791912"/>
    <w:rPr>
      <w:sz w:val="16"/>
      <w:szCs w:val="16"/>
    </w:rPr>
  </w:style>
  <w:style w:type="paragraph" w:styleId="CommentText">
    <w:name w:val="annotation text"/>
    <w:basedOn w:val="Normal"/>
    <w:link w:val="CommentTextChar"/>
    <w:uiPriority w:val="99"/>
    <w:semiHidden/>
    <w:unhideWhenUsed/>
    <w:rsid w:val="00791912"/>
    <w:pPr>
      <w:spacing w:line="240" w:lineRule="auto"/>
    </w:pPr>
    <w:rPr>
      <w:sz w:val="20"/>
      <w:szCs w:val="20"/>
    </w:rPr>
  </w:style>
  <w:style w:type="character" w:customStyle="1" w:styleId="CommentTextChar">
    <w:name w:val="Comment Text Char"/>
    <w:basedOn w:val="DefaultParagraphFont"/>
    <w:link w:val="CommentText"/>
    <w:uiPriority w:val="99"/>
    <w:semiHidden/>
    <w:rsid w:val="00791912"/>
    <w:rPr>
      <w:sz w:val="20"/>
      <w:szCs w:val="20"/>
    </w:rPr>
  </w:style>
  <w:style w:type="paragraph" w:styleId="CommentSubject">
    <w:name w:val="annotation subject"/>
    <w:basedOn w:val="CommentText"/>
    <w:next w:val="CommentText"/>
    <w:link w:val="CommentSubjectChar"/>
    <w:uiPriority w:val="99"/>
    <w:semiHidden/>
    <w:unhideWhenUsed/>
    <w:rsid w:val="00791912"/>
    <w:rPr>
      <w:b/>
      <w:bCs/>
    </w:rPr>
  </w:style>
  <w:style w:type="character" w:customStyle="1" w:styleId="CommentSubjectChar">
    <w:name w:val="Comment Subject Char"/>
    <w:basedOn w:val="CommentTextChar"/>
    <w:link w:val="CommentSubject"/>
    <w:uiPriority w:val="99"/>
    <w:semiHidden/>
    <w:rsid w:val="007919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90842">
      <w:bodyDiv w:val="1"/>
      <w:marLeft w:val="0"/>
      <w:marRight w:val="0"/>
      <w:marTop w:val="0"/>
      <w:marBottom w:val="0"/>
      <w:divBdr>
        <w:top w:val="none" w:sz="0" w:space="0" w:color="auto"/>
        <w:left w:val="none" w:sz="0" w:space="0" w:color="auto"/>
        <w:bottom w:val="none" w:sz="0" w:space="0" w:color="auto"/>
        <w:right w:val="none" w:sz="0" w:space="0" w:color="auto"/>
      </w:divBdr>
    </w:div>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7</TotalTime>
  <Pages>12</Pages>
  <Words>4904</Words>
  <Characters>28817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Communicable Diseases Intelligence - Serology study of healthcare workers following a hospital-based outbreak of COVID-19 in North West Tasmania, Australia, 2020</vt:lpstr>
    </vt:vector>
  </TitlesOfParts>
  <Company>Australian Government, Department of Health</Company>
  <LinksUpToDate>false</LinksUpToDate>
  <CharactersWithSpaces>33654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Serology study of healthcare workers following a hospital-based outbreak of COVID-19 in North West Tasmania, Australia, 2020</dc:title>
  <dc:subject>After a large COVID-19 outbreak in a healthcare setting in Tasmania, a serology study was conducted three and eight months after the outbreak to determine the proportion of healthcare workers with antibodies for SARS-CoV-2 and whether they had already been diagnosed as COVID-19 cases.</dc:subject>
  <dc:creator>Michelle McPherson;Nicola Stephens;Kylie J Smith;M Therese Marfori;Meru Sheel;Louise Cooley;Belinda McEwan;Mark Veitch;Fay H Johnston</dc:creator>
  <cp:keywords>COVID-19; seroprevalence; healthcare workers; hospital-based outbreak</cp:keywords>
  <dc:description>© Commonwealth of Australia CC BY-NC-ND ISSN: 2209-6051 (Online)</dc:description>
  <cp:lastModifiedBy>YOUSEFI, Kasra</cp:lastModifiedBy>
  <cp:revision>7</cp:revision>
  <cp:lastPrinted>2018-05-10T02:19:00Z</cp:lastPrinted>
  <dcterms:created xsi:type="dcterms:W3CDTF">2023-01-10T00:55:00Z</dcterms:created>
  <dcterms:modified xsi:type="dcterms:W3CDTF">2023-01-10T01:56:00Z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19/01/2023</vt:lpwstr>
  </property>
  <property fmtid="{D5CDD505-2E9C-101B-9397-08002B2CF9AE}" pid="5" name="DOI">
    <vt:lpwstr>https://doi.org/10.33321/cdi.2023.47.6</vt:lpwstr>
  </property>
</Properties>
</file>